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31A5" w14:textId="77777777" w:rsidR="00664DC1" w:rsidRDefault="00664DC1" w:rsidP="2CA33581">
      <w:pPr>
        <w:pStyle w:val="Body"/>
        <w:ind w:firstLine="1134"/>
      </w:pPr>
    </w:p>
    <w:p w14:paraId="5397FBA0" w14:textId="61A05F3B" w:rsidR="00056EC4" w:rsidRDefault="00E9042A" w:rsidP="2CA33581">
      <w:pPr>
        <w:pStyle w:val="Body"/>
        <w:ind w:firstLine="1134"/>
      </w:pPr>
      <w:r>
        <w:rPr>
          <w:noProof/>
        </w:rPr>
        <w:drawing>
          <wp:anchor distT="0" distB="0" distL="114300" distR="114300" simplePos="0" relativeHeight="251658240" behindDoc="1" locked="1" layoutInCell="1" allowOverlap="0" wp14:anchorId="1DCD5EAD" wp14:editId="25C2AC8A">
            <wp:simplePos x="0" y="0"/>
            <wp:positionH relativeFrom="page">
              <wp:posOffset>-2540</wp:posOffset>
            </wp:positionH>
            <wp:positionV relativeFrom="page">
              <wp:posOffset>31115</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C61DA11" w14:textId="77777777" w:rsidTr="6B3575E0">
        <w:trPr>
          <w:cantSplit/>
        </w:trPr>
        <w:tc>
          <w:tcPr>
            <w:tcW w:w="0" w:type="auto"/>
            <w:tcMar>
              <w:top w:w="0" w:type="dxa"/>
              <w:left w:w="0" w:type="dxa"/>
              <w:right w:w="0" w:type="dxa"/>
            </w:tcMar>
          </w:tcPr>
          <w:p w14:paraId="089D0F55" w14:textId="255C2DF9" w:rsidR="00AD784C" w:rsidRPr="00431F42" w:rsidRDefault="00762082" w:rsidP="00CC3BB0">
            <w:pPr>
              <w:pStyle w:val="Documenttitle"/>
            </w:pPr>
            <w:r>
              <w:t>Policy and funding guidelines 202</w:t>
            </w:r>
            <w:r w:rsidR="00B27A83">
              <w:t>5</w:t>
            </w:r>
            <w:r>
              <w:t>–2</w:t>
            </w:r>
            <w:r w:rsidR="00B27A83">
              <w:t>6</w:t>
            </w:r>
          </w:p>
        </w:tc>
      </w:tr>
      <w:tr w:rsidR="00AD784C" w14:paraId="5153F3E1" w14:textId="77777777" w:rsidTr="6B3575E0">
        <w:trPr>
          <w:cantSplit/>
        </w:trPr>
        <w:tc>
          <w:tcPr>
            <w:tcW w:w="0" w:type="auto"/>
          </w:tcPr>
          <w:p w14:paraId="4D9CD336" w14:textId="3B3BC851" w:rsidR="00386109" w:rsidRDefault="00762082" w:rsidP="00D2666F">
            <w:pPr>
              <w:pStyle w:val="Documentsubtitle"/>
            </w:pPr>
            <w:r>
              <w:t>Funding rules</w:t>
            </w:r>
          </w:p>
          <w:p w14:paraId="20F77BC5" w14:textId="1DD61EB8" w:rsidR="00762082" w:rsidRPr="00A1389F" w:rsidRDefault="00762082" w:rsidP="00762082">
            <w:pPr>
              <w:pStyle w:val="Body"/>
            </w:pPr>
          </w:p>
        </w:tc>
      </w:tr>
      <w:tr w:rsidR="00430393" w14:paraId="09B0373D" w14:textId="77777777" w:rsidTr="6B3575E0">
        <w:trPr>
          <w:cantSplit/>
        </w:trPr>
        <w:tc>
          <w:tcPr>
            <w:tcW w:w="0" w:type="auto"/>
          </w:tcPr>
          <w:p w14:paraId="3E8A92EE" w14:textId="3C75C5B2" w:rsidR="00D75490" w:rsidRDefault="00D75490" w:rsidP="00430393">
            <w:pPr>
              <w:pStyle w:val="Bannermarking"/>
            </w:pPr>
          </w:p>
          <w:p w14:paraId="1CBFEB3D" w14:textId="18A37E37" w:rsidR="00430393" w:rsidRDefault="00687AE3" w:rsidP="00430393">
            <w:pPr>
              <w:pStyle w:val="Bannermarking"/>
            </w:pPr>
            <w:fldSimple w:instr="FILLIN  &quot;Type the protective marking&quot; \d OFFICIAL \o  \* MERGEFORMAT">
              <w:r>
                <w:t>OFFICIAL</w:t>
              </w:r>
            </w:fldSimple>
          </w:p>
        </w:tc>
      </w:tr>
    </w:tbl>
    <w:p w14:paraId="4843DBDA" w14:textId="77777777" w:rsidR="00FE4081" w:rsidRDefault="00FE4081" w:rsidP="00D2666F">
      <w:pPr>
        <w:pStyle w:val="Body"/>
      </w:pPr>
    </w:p>
    <w:p w14:paraId="6E5618FA" w14:textId="77777777" w:rsidR="00FE4081" w:rsidRPr="00FE4081" w:rsidRDefault="00FE4081" w:rsidP="00FE4081">
      <w:pPr>
        <w:pStyle w:val="Body"/>
        <w:sectPr w:rsidR="00FE4081" w:rsidRPr="00FE4081" w:rsidSect="008D71AD">
          <w:headerReference w:type="default" r:id="rId9"/>
          <w:footerReference w:type="even" r:id="rId10"/>
          <w:footerReference w:type="default" r:id="rId11"/>
          <w:footerReference w:type="first" r:id="rId12"/>
          <w:type w:val="continuous"/>
          <w:pgSz w:w="11906" w:h="16838" w:code="9"/>
          <w:pgMar w:top="3969" w:right="1304" w:bottom="1418" w:left="1304" w:header="680" w:footer="851" w:gutter="0"/>
          <w:cols w:space="340"/>
          <w:docGrid w:linePitch="360"/>
        </w:sectPr>
      </w:pPr>
    </w:p>
    <w:p w14:paraId="7CE32833" w14:textId="1377AB3F" w:rsidR="0094291C" w:rsidRDefault="0094291C" w:rsidP="0094291C">
      <w:pPr>
        <w:pStyle w:val="Accessibilitypara"/>
        <w:spacing w:before="8000"/>
      </w:pPr>
      <w:r w:rsidRPr="000F3F7F">
        <w:rPr>
          <w:lang w:val="en-US"/>
        </w:rPr>
        <w:lastRenderedPageBreak/>
        <w:t>To receive this publication in an accessible format</w:t>
      </w:r>
      <w:r>
        <w:rPr>
          <w:lang w:val="en-US"/>
        </w:rPr>
        <w:t xml:space="preserve"> email </w:t>
      </w:r>
      <w:hyperlink r:id="rId13" w:history="1">
        <w:r>
          <w:rPr>
            <w:rStyle w:val="Hyperlink"/>
          </w:rPr>
          <w:t>Health Funding, Finance and Investment; Accountability</w:t>
        </w:r>
      </w:hyperlink>
      <w:r>
        <w:rPr>
          <w:rStyle w:val="Hyperlink"/>
        </w:rPr>
        <w:t xml:space="preserve"> on</w:t>
      </w:r>
      <w:r>
        <w:t xml:space="preserve"> &lt;Accountability</w:t>
      </w:r>
      <w:r w:rsidRPr="00E41295">
        <w:t>@</w:t>
      </w:r>
      <w:r>
        <w:t>health</w:t>
      </w:r>
      <w:r w:rsidRPr="00E41295">
        <w:t>.vic.gov.au</w:t>
      </w:r>
      <w:r>
        <w:t>&gt;.</w:t>
      </w:r>
    </w:p>
    <w:p w14:paraId="318A3712" w14:textId="77777777" w:rsidR="0094291C" w:rsidRPr="00741904" w:rsidRDefault="0094291C" w:rsidP="0094291C">
      <w:pPr>
        <w:pStyle w:val="DHHSaccessibilitypara"/>
      </w:pPr>
      <w:r w:rsidRPr="00903B70">
        <w:rPr>
          <w:sz w:val="20"/>
        </w:rPr>
        <w:t>Authorised and published by the Victorian Government, 1 Treasury Place, Melbourne.</w:t>
      </w:r>
    </w:p>
    <w:p w14:paraId="1E6F81D6" w14:textId="6C187B21" w:rsidR="0094291C" w:rsidRPr="00903B70" w:rsidRDefault="0094291C" w:rsidP="0094291C">
      <w:pPr>
        <w:pStyle w:val="Body"/>
        <w:rPr>
          <w:sz w:val="20"/>
        </w:rPr>
      </w:pPr>
      <w:r w:rsidRPr="3D00DAF1">
        <w:rPr>
          <w:sz w:val="20"/>
        </w:rPr>
        <w:t xml:space="preserve">© State of Victoria, Department of Health, </w:t>
      </w:r>
      <w:r w:rsidR="006B70A2" w:rsidRPr="001F40F1">
        <w:rPr>
          <w:sz w:val="20"/>
        </w:rPr>
        <w:t>July</w:t>
      </w:r>
      <w:r w:rsidRPr="00160DFC">
        <w:rPr>
          <w:sz w:val="20"/>
        </w:rPr>
        <w:t xml:space="preserve"> 202</w:t>
      </w:r>
      <w:r w:rsidR="00782357" w:rsidRPr="00160DFC">
        <w:rPr>
          <w:sz w:val="20"/>
        </w:rPr>
        <w:t>5</w:t>
      </w:r>
      <w:r w:rsidRPr="00160DFC">
        <w:rPr>
          <w:sz w:val="20"/>
        </w:rPr>
        <w:t>.</w:t>
      </w:r>
    </w:p>
    <w:p w14:paraId="36D4AF7B" w14:textId="77777777" w:rsidR="0094291C" w:rsidRPr="00903B70" w:rsidRDefault="0094291C" w:rsidP="0094291C">
      <w:pPr>
        <w:pStyle w:val="Imprint"/>
        <w:rPr>
          <w:color w:val="auto"/>
        </w:rPr>
      </w:pPr>
      <w:r w:rsidRPr="00903B70">
        <w:rPr>
          <w:color w:val="auto"/>
        </w:rPr>
        <w:t>In this document, ‘Aboriginal’ refers to both Aboriginal and Torres Strait Islander people. ‘Indigenous’ or ‘Koori/Koorie’ is retained when part of the title of a report, program or quotation</w:t>
      </w:r>
      <w:r w:rsidRPr="00903B70">
        <w:t>.</w:t>
      </w:r>
    </w:p>
    <w:p w14:paraId="185CD921" w14:textId="77777777" w:rsidR="0094291C" w:rsidRPr="00903B70" w:rsidRDefault="0094291C" w:rsidP="0094291C">
      <w:pPr>
        <w:pStyle w:val="Body"/>
        <w:rPr>
          <w:sz w:val="20"/>
          <w:lang w:val="en-US"/>
        </w:rPr>
      </w:pPr>
      <w:r w:rsidRPr="00C45C95">
        <w:rPr>
          <w:sz w:val="20"/>
          <w:lang w:val="en-US"/>
        </w:rPr>
        <w:t xml:space="preserve">ISSN </w:t>
      </w:r>
      <w:r w:rsidRPr="00C45C95">
        <w:rPr>
          <w:rFonts w:cs="Arial"/>
          <w:color w:val="000000"/>
          <w:sz w:val="20"/>
        </w:rPr>
        <w:t>2653-4207</w:t>
      </w:r>
      <w:r w:rsidRPr="00C45C95">
        <w:rPr>
          <w:sz w:val="20"/>
          <w:lang w:val="en-US"/>
        </w:rPr>
        <w:t xml:space="preserve"> (online</w:t>
      </w:r>
      <w:r>
        <w:rPr>
          <w:sz w:val="20"/>
          <w:lang w:val="en-US"/>
        </w:rPr>
        <w:t>/Word</w:t>
      </w:r>
      <w:r w:rsidRPr="00C45C95">
        <w:rPr>
          <w:sz w:val="20"/>
          <w:lang w:val="en-US"/>
        </w:rPr>
        <w:t>)</w:t>
      </w:r>
    </w:p>
    <w:p w14:paraId="3D02797E" w14:textId="7524BC43" w:rsidR="0094291C" w:rsidRDefault="0094291C" w:rsidP="0094291C">
      <w:pPr>
        <w:pStyle w:val="Imprint"/>
      </w:pPr>
      <w:r w:rsidRPr="00903B70">
        <w:rPr>
          <w:lang w:val="en-US"/>
        </w:rPr>
        <w:t xml:space="preserve">Available on the </w:t>
      </w:r>
      <w:hyperlink r:id="rId14" w:history="1">
        <w:r w:rsidRPr="00903B70">
          <w:rPr>
            <w:rStyle w:val="Hyperlink"/>
            <w:lang w:val="en-US"/>
          </w:rPr>
          <w:t>Policy and Funding Guidelines webpage</w:t>
        </w:r>
      </w:hyperlink>
      <w:r w:rsidRPr="00903B70">
        <w:rPr>
          <w:lang w:val="en-US"/>
        </w:rPr>
        <w:t xml:space="preserve"> &lt;https://www.health.vic.gov.au/policy-and-funding-guidelines-for-health-services&gt;.</w:t>
      </w:r>
      <w:r w:rsidRPr="00E835BA">
        <w:t xml:space="preserve"> </w:t>
      </w:r>
    </w:p>
    <w:p w14:paraId="640659E7" w14:textId="77777777" w:rsidR="0008204A" w:rsidRPr="0008204A" w:rsidRDefault="0008204A" w:rsidP="0008204A">
      <w:pPr>
        <w:pStyle w:val="Body"/>
      </w:pPr>
      <w:r w:rsidRPr="0008204A">
        <w:br w:type="page"/>
      </w:r>
    </w:p>
    <w:p w14:paraId="62B3E4BB" w14:textId="77D04507" w:rsidR="00AD784C" w:rsidRPr="00B57329" w:rsidRDefault="00AD784C" w:rsidP="00AD4C45">
      <w:pPr>
        <w:pStyle w:val="Heading1"/>
        <w:numPr>
          <w:ilvl w:val="0"/>
          <w:numId w:val="0"/>
        </w:numPr>
        <w:ind w:left="1134" w:hanging="1134"/>
      </w:pPr>
      <w:bookmarkStart w:id="0" w:name="_Toc167651218"/>
      <w:bookmarkStart w:id="1" w:name="_Toc201148196"/>
      <w:r w:rsidRPr="00B57329">
        <w:lastRenderedPageBreak/>
        <w:t>Contents</w:t>
      </w:r>
      <w:bookmarkEnd w:id="0"/>
      <w:bookmarkEnd w:id="1"/>
    </w:p>
    <w:p w14:paraId="75383EE4" w14:textId="2FFB6D15" w:rsidR="0050671F" w:rsidRDefault="00481585">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w:instrText>
      </w:r>
      <w:r>
        <w:rPr>
          <w:b w:val="0"/>
        </w:rPr>
        <w:fldChar w:fldCharType="separate"/>
      </w:r>
      <w:hyperlink w:anchor="_Toc201148196" w:history="1">
        <w:r w:rsidR="0050671F" w:rsidRPr="001B63F5">
          <w:rPr>
            <w:rStyle w:val="Hyperlink"/>
          </w:rPr>
          <w:t>Contents</w:t>
        </w:r>
        <w:r w:rsidR="0050671F">
          <w:rPr>
            <w:webHidden/>
          </w:rPr>
          <w:tab/>
        </w:r>
        <w:r w:rsidR="0050671F">
          <w:rPr>
            <w:webHidden/>
          </w:rPr>
          <w:fldChar w:fldCharType="begin"/>
        </w:r>
        <w:r w:rsidR="0050671F">
          <w:rPr>
            <w:webHidden/>
          </w:rPr>
          <w:instrText xml:space="preserve"> PAGEREF _Toc201148196 \h </w:instrText>
        </w:r>
        <w:r w:rsidR="0050671F">
          <w:rPr>
            <w:webHidden/>
          </w:rPr>
        </w:r>
        <w:r w:rsidR="0050671F">
          <w:rPr>
            <w:webHidden/>
          </w:rPr>
          <w:fldChar w:fldCharType="separate"/>
        </w:r>
        <w:r w:rsidR="0050671F">
          <w:rPr>
            <w:webHidden/>
          </w:rPr>
          <w:t>2</w:t>
        </w:r>
        <w:r w:rsidR="0050671F">
          <w:rPr>
            <w:webHidden/>
          </w:rPr>
          <w:fldChar w:fldCharType="end"/>
        </w:r>
      </w:hyperlink>
    </w:p>
    <w:p w14:paraId="09D19888" w14:textId="79FE6216"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197" w:history="1">
        <w:r w:rsidRPr="001B63F5">
          <w:rPr>
            <w:rStyle w:val="Hyperlink"/>
          </w:rPr>
          <w:t>Overview of the Policy and funding guidelines 2025–26</w:t>
        </w:r>
        <w:r>
          <w:rPr>
            <w:webHidden/>
          </w:rPr>
          <w:tab/>
        </w:r>
        <w:r>
          <w:rPr>
            <w:webHidden/>
          </w:rPr>
          <w:fldChar w:fldCharType="begin"/>
        </w:r>
        <w:r>
          <w:rPr>
            <w:webHidden/>
          </w:rPr>
          <w:instrText xml:space="preserve"> PAGEREF _Toc201148197 \h </w:instrText>
        </w:r>
        <w:r>
          <w:rPr>
            <w:webHidden/>
          </w:rPr>
        </w:r>
        <w:r>
          <w:rPr>
            <w:webHidden/>
          </w:rPr>
          <w:fldChar w:fldCharType="separate"/>
        </w:r>
        <w:r>
          <w:rPr>
            <w:webHidden/>
          </w:rPr>
          <w:t>5</w:t>
        </w:r>
        <w:r>
          <w:rPr>
            <w:webHidden/>
          </w:rPr>
          <w:fldChar w:fldCharType="end"/>
        </w:r>
      </w:hyperlink>
    </w:p>
    <w:p w14:paraId="48D55BDE" w14:textId="342DCBD9"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198" w:history="1">
        <w:r w:rsidRPr="001B63F5">
          <w:rPr>
            <w:rStyle w:val="Hyperlink"/>
          </w:rPr>
          <w:t>Policy guide</w:t>
        </w:r>
        <w:r>
          <w:rPr>
            <w:webHidden/>
          </w:rPr>
          <w:tab/>
        </w:r>
        <w:r>
          <w:rPr>
            <w:webHidden/>
          </w:rPr>
          <w:fldChar w:fldCharType="begin"/>
        </w:r>
        <w:r>
          <w:rPr>
            <w:webHidden/>
          </w:rPr>
          <w:instrText xml:space="preserve"> PAGEREF _Toc201148198 \h </w:instrText>
        </w:r>
        <w:r>
          <w:rPr>
            <w:webHidden/>
          </w:rPr>
        </w:r>
        <w:r>
          <w:rPr>
            <w:webHidden/>
          </w:rPr>
          <w:fldChar w:fldCharType="separate"/>
        </w:r>
        <w:r>
          <w:rPr>
            <w:webHidden/>
          </w:rPr>
          <w:t>5</w:t>
        </w:r>
        <w:r>
          <w:rPr>
            <w:webHidden/>
          </w:rPr>
          <w:fldChar w:fldCharType="end"/>
        </w:r>
      </w:hyperlink>
    </w:p>
    <w:p w14:paraId="3C3231E9" w14:textId="28A98F1C"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199" w:history="1">
        <w:r w:rsidRPr="001B63F5">
          <w:rPr>
            <w:rStyle w:val="Hyperlink"/>
          </w:rPr>
          <w:t>Funding rules</w:t>
        </w:r>
        <w:r>
          <w:rPr>
            <w:webHidden/>
          </w:rPr>
          <w:tab/>
        </w:r>
        <w:r>
          <w:rPr>
            <w:webHidden/>
          </w:rPr>
          <w:fldChar w:fldCharType="begin"/>
        </w:r>
        <w:r>
          <w:rPr>
            <w:webHidden/>
          </w:rPr>
          <w:instrText xml:space="preserve"> PAGEREF _Toc201148199 \h </w:instrText>
        </w:r>
        <w:r>
          <w:rPr>
            <w:webHidden/>
          </w:rPr>
        </w:r>
        <w:r>
          <w:rPr>
            <w:webHidden/>
          </w:rPr>
          <w:fldChar w:fldCharType="separate"/>
        </w:r>
        <w:r>
          <w:rPr>
            <w:webHidden/>
          </w:rPr>
          <w:t>5</w:t>
        </w:r>
        <w:r>
          <w:rPr>
            <w:webHidden/>
          </w:rPr>
          <w:fldChar w:fldCharType="end"/>
        </w:r>
      </w:hyperlink>
    </w:p>
    <w:p w14:paraId="6CB17E73" w14:textId="677CED00"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200" w:history="1">
        <w:r w:rsidRPr="001B63F5">
          <w:rPr>
            <w:rStyle w:val="Hyperlink"/>
          </w:rPr>
          <w:t>Terminology</w:t>
        </w:r>
        <w:r>
          <w:rPr>
            <w:webHidden/>
          </w:rPr>
          <w:tab/>
        </w:r>
        <w:r>
          <w:rPr>
            <w:webHidden/>
          </w:rPr>
          <w:fldChar w:fldCharType="begin"/>
        </w:r>
        <w:r>
          <w:rPr>
            <w:webHidden/>
          </w:rPr>
          <w:instrText xml:space="preserve"> PAGEREF _Toc201148200 \h </w:instrText>
        </w:r>
        <w:r>
          <w:rPr>
            <w:webHidden/>
          </w:rPr>
        </w:r>
        <w:r>
          <w:rPr>
            <w:webHidden/>
          </w:rPr>
          <w:fldChar w:fldCharType="separate"/>
        </w:r>
        <w:r>
          <w:rPr>
            <w:webHidden/>
          </w:rPr>
          <w:t>6</w:t>
        </w:r>
        <w:r>
          <w:rPr>
            <w:webHidden/>
          </w:rPr>
          <w:fldChar w:fldCharType="end"/>
        </w:r>
      </w:hyperlink>
    </w:p>
    <w:p w14:paraId="704CF491" w14:textId="1048DC8D"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201" w:history="1">
        <w:r w:rsidRPr="001B63F5">
          <w:rPr>
            <w:rStyle w:val="Hyperlink"/>
          </w:rPr>
          <w:t>Part 1: Funding and pricing arrangements</w:t>
        </w:r>
        <w:r>
          <w:rPr>
            <w:webHidden/>
          </w:rPr>
          <w:tab/>
        </w:r>
        <w:r>
          <w:rPr>
            <w:webHidden/>
          </w:rPr>
          <w:fldChar w:fldCharType="begin"/>
        </w:r>
        <w:r>
          <w:rPr>
            <w:webHidden/>
          </w:rPr>
          <w:instrText xml:space="preserve"> PAGEREF _Toc201148201 \h </w:instrText>
        </w:r>
        <w:r>
          <w:rPr>
            <w:webHidden/>
          </w:rPr>
        </w:r>
        <w:r>
          <w:rPr>
            <w:webHidden/>
          </w:rPr>
          <w:fldChar w:fldCharType="separate"/>
        </w:r>
        <w:r>
          <w:rPr>
            <w:webHidden/>
          </w:rPr>
          <w:t>7</w:t>
        </w:r>
        <w:r>
          <w:rPr>
            <w:webHidden/>
          </w:rPr>
          <w:fldChar w:fldCharType="end"/>
        </w:r>
      </w:hyperlink>
    </w:p>
    <w:p w14:paraId="534F4301" w14:textId="2077ACAA"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02" w:history="1">
        <w:r w:rsidRPr="001B63F5">
          <w:rPr>
            <w:rStyle w:val="Hyperlink"/>
          </w:rPr>
          <w:t>1</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National funding and pricing of public hospitals</w:t>
        </w:r>
        <w:r>
          <w:rPr>
            <w:webHidden/>
          </w:rPr>
          <w:tab/>
        </w:r>
        <w:r>
          <w:rPr>
            <w:webHidden/>
          </w:rPr>
          <w:fldChar w:fldCharType="begin"/>
        </w:r>
        <w:r>
          <w:rPr>
            <w:webHidden/>
          </w:rPr>
          <w:instrText xml:space="preserve"> PAGEREF _Toc201148202 \h </w:instrText>
        </w:r>
        <w:r>
          <w:rPr>
            <w:webHidden/>
          </w:rPr>
        </w:r>
        <w:r>
          <w:rPr>
            <w:webHidden/>
          </w:rPr>
          <w:fldChar w:fldCharType="separate"/>
        </w:r>
        <w:r>
          <w:rPr>
            <w:webHidden/>
          </w:rPr>
          <w:t>8</w:t>
        </w:r>
        <w:r>
          <w:rPr>
            <w:webHidden/>
          </w:rPr>
          <w:fldChar w:fldCharType="end"/>
        </w:r>
      </w:hyperlink>
    </w:p>
    <w:p w14:paraId="22CA5F99" w14:textId="41AB8933"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3" w:history="1">
        <w:r w:rsidRPr="001B63F5">
          <w:rPr>
            <w:rStyle w:val="Hyperlink"/>
          </w:rPr>
          <w:t>1.1</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health reform agreement</w:t>
        </w:r>
        <w:r>
          <w:rPr>
            <w:webHidden/>
          </w:rPr>
          <w:tab/>
        </w:r>
        <w:r>
          <w:rPr>
            <w:webHidden/>
          </w:rPr>
          <w:fldChar w:fldCharType="begin"/>
        </w:r>
        <w:r>
          <w:rPr>
            <w:webHidden/>
          </w:rPr>
          <w:instrText xml:space="preserve"> PAGEREF _Toc201148203 \h </w:instrText>
        </w:r>
        <w:r>
          <w:rPr>
            <w:webHidden/>
          </w:rPr>
        </w:r>
        <w:r>
          <w:rPr>
            <w:webHidden/>
          </w:rPr>
          <w:fldChar w:fldCharType="separate"/>
        </w:r>
        <w:r>
          <w:rPr>
            <w:webHidden/>
          </w:rPr>
          <w:t>8</w:t>
        </w:r>
        <w:r>
          <w:rPr>
            <w:webHidden/>
          </w:rPr>
          <w:fldChar w:fldCharType="end"/>
        </w:r>
      </w:hyperlink>
    </w:p>
    <w:p w14:paraId="48C22914" w14:textId="2A9273A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4" w:history="1">
        <w:r w:rsidRPr="001B63F5">
          <w:rPr>
            <w:rStyle w:val="Hyperlink"/>
          </w:rPr>
          <w:t>1.2</w:t>
        </w:r>
        <w:r>
          <w:rPr>
            <w:rFonts w:asciiTheme="minorHAnsi" w:eastAsiaTheme="minorEastAsia" w:hAnsiTheme="minorHAnsi" w:cstheme="minorBidi"/>
            <w:kern w:val="2"/>
            <w:sz w:val="24"/>
            <w:szCs w:val="24"/>
            <w:lang w:eastAsia="en-AU"/>
            <w14:ligatures w14:val="standardContextual"/>
          </w:rPr>
          <w:tab/>
        </w:r>
        <w:r w:rsidRPr="001B63F5">
          <w:rPr>
            <w:rStyle w:val="Hyperlink"/>
          </w:rPr>
          <w:t>Pricing framework for Australian public hospitals</w:t>
        </w:r>
        <w:r>
          <w:rPr>
            <w:webHidden/>
          </w:rPr>
          <w:tab/>
        </w:r>
        <w:r>
          <w:rPr>
            <w:webHidden/>
          </w:rPr>
          <w:fldChar w:fldCharType="begin"/>
        </w:r>
        <w:r>
          <w:rPr>
            <w:webHidden/>
          </w:rPr>
          <w:instrText xml:space="preserve"> PAGEREF _Toc201148204 \h </w:instrText>
        </w:r>
        <w:r>
          <w:rPr>
            <w:webHidden/>
          </w:rPr>
        </w:r>
        <w:r>
          <w:rPr>
            <w:webHidden/>
          </w:rPr>
          <w:fldChar w:fldCharType="separate"/>
        </w:r>
        <w:r>
          <w:rPr>
            <w:webHidden/>
          </w:rPr>
          <w:t>8</w:t>
        </w:r>
        <w:r>
          <w:rPr>
            <w:webHidden/>
          </w:rPr>
          <w:fldChar w:fldCharType="end"/>
        </w:r>
      </w:hyperlink>
    </w:p>
    <w:p w14:paraId="5BAEBC74" w14:textId="69C432AF"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5" w:history="1">
        <w:r w:rsidRPr="001B63F5">
          <w:rPr>
            <w:rStyle w:val="Hyperlink"/>
          </w:rPr>
          <w:t>1.3</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Activity-based funding</w:t>
        </w:r>
        <w:r>
          <w:rPr>
            <w:webHidden/>
          </w:rPr>
          <w:tab/>
        </w:r>
        <w:r>
          <w:rPr>
            <w:webHidden/>
          </w:rPr>
          <w:fldChar w:fldCharType="begin"/>
        </w:r>
        <w:r>
          <w:rPr>
            <w:webHidden/>
          </w:rPr>
          <w:instrText xml:space="preserve"> PAGEREF _Toc201148205 \h </w:instrText>
        </w:r>
        <w:r>
          <w:rPr>
            <w:webHidden/>
          </w:rPr>
        </w:r>
        <w:r>
          <w:rPr>
            <w:webHidden/>
          </w:rPr>
          <w:fldChar w:fldCharType="separate"/>
        </w:r>
        <w:r>
          <w:rPr>
            <w:webHidden/>
          </w:rPr>
          <w:t>9</w:t>
        </w:r>
        <w:r>
          <w:rPr>
            <w:webHidden/>
          </w:rPr>
          <w:fldChar w:fldCharType="end"/>
        </w:r>
      </w:hyperlink>
    </w:p>
    <w:p w14:paraId="5980A653" w14:textId="395A640F"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6" w:history="1">
        <w:r w:rsidRPr="001B63F5">
          <w:rPr>
            <w:rStyle w:val="Hyperlink"/>
          </w:rPr>
          <w:t>1.4</w:t>
        </w:r>
        <w:r>
          <w:rPr>
            <w:rFonts w:asciiTheme="minorHAnsi" w:eastAsiaTheme="minorEastAsia" w:hAnsiTheme="minorHAnsi" w:cstheme="minorBidi"/>
            <w:kern w:val="2"/>
            <w:sz w:val="24"/>
            <w:szCs w:val="24"/>
            <w:lang w:eastAsia="en-AU"/>
            <w14:ligatures w14:val="standardContextual"/>
          </w:rPr>
          <w:tab/>
        </w:r>
        <w:r w:rsidRPr="001B63F5">
          <w:rPr>
            <w:rStyle w:val="Hyperlink"/>
          </w:rPr>
          <w:t>Block funding</w:t>
        </w:r>
        <w:r>
          <w:rPr>
            <w:webHidden/>
          </w:rPr>
          <w:tab/>
        </w:r>
        <w:r>
          <w:rPr>
            <w:webHidden/>
          </w:rPr>
          <w:fldChar w:fldCharType="begin"/>
        </w:r>
        <w:r>
          <w:rPr>
            <w:webHidden/>
          </w:rPr>
          <w:instrText xml:space="preserve"> PAGEREF _Toc201148206 \h </w:instrText>
        </w:r>
        <w:r>
          <w:rPr>
            <w:webHidden/>
          </w:rPr>
        </w:r>
        <w:r>
          <w:rPr>
            <w:webHidden/>
          </w:rPr>
          <w:fldChar w:fldCharType="separate"/>
        </w:r>
        <w:r>
          <w:rPr>
            <w:webHidden/>
          </w:rPr>
          <w:t>9</w:t>
        </w:r>
        <w:r>
          <w:rPr>
            <w:webHidden/>
          </w:rPr>
          <w:fldChar w:fldCharType="end"/>
        </w:r>
      </w:hyperlink>
    </w:p>
    <w:p w14:paraId="3779A57B" w14:textId="2B9B338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7" w:history="1">
        <w:r w:rsidRPr="001B63F5">
          <w:rPr>
            <w:rStyle w:val="Hyperlink"/>
          </w:rPr>
          <w:t>1.5</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alignment with the national funding model</w:t>
        </w:r>
        <w:r>
          <w:rPr>
            <w:webHidden/>
          </w:rPr>
          <w:tab/>
        </w:r>
        <w:r>
          <w:rPr>
            <w:webHidden/>
          </w:rPr>
          <w:fldChar w:fldCharType="begin"/>
        </w:r>
        <w:r>
          <w:rPr>
            <w:webHidden/>
          </w:rPr>
          <w:instrText xml:space="preserve"> PAGEREF _Toc201148207 \h </w:instrText>
        </w:r>
        <w:r>
          <w:rPr>
            <w:webHidden/>
          </w:rPr>
        </w:r>
        <w:r>
          <w:rPr>
            <w:webHidden/>
          </w:rPr>
          <w:fldChar w:fldCharType="separate"/>
        </w:r>
        <w:r>
          <w:rPr>
            <w:webHidden/>
          </w:rPr>
          <w:t>10</w:t>
        </w:r>
        <w:r>
          <w:rPr>
            <w:webHidden/>
          </w:rPr>
          <w:fldChar w:fldCharType="end"/>
        </w:r>
      </w:hyperlink>
    </w:p>
    <w:p w14:paraId="50CE25AA" w14:textId="04B0D1E7"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08" w:history="1">
        <w:r w:rsidRPr="001B63F5">
          <w:rPr>
            <w:rStyle w:val="Hyperlink"/>
          </w:rPr>
          <w:t>2</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Victorian pricing framework for activity-based funded health services</w:t>
        </w:r>
        <w:r>
          <w:rPr>
            <w:webHidden/>
          </w:rPr>
          <w:tab/>
        </w:r>
        <w:r>
          <w:rPr>
            <w:webHidden/>
          </w:rPr>
          <w:fldChar w:fldCharType="begin"/>
        </w:r>
        <w:r>
          <w:rPr>
            <w:webHidden/>
          </w:rPr>
          <w:instrText xml:space="preserve"> PAGEREF _Toc201148208 \h </w:instrText>
        </w:r>
        <w:r>
          <w:rPr>
            <w:webHidden/>
          </w:rPr>
        </w:r>
        <w:r>
          <w:rPr>
            <w:webHidden/>
          </w:rPr>
          <w:fldChar w:fldCharType="separate"/>
        </w:r>
        <w:r>
          <w:rPr>
            <w:webHidden/>
          </w:rPr>
          <w:t>12</w:t>
        </w:r>
        <w:r>
          <w:rPr>
            <w:webHidden/>
          </w:rPr>
          <w:fldChar w:fldCharType="end"/>
        </w:r>
      </w:hyperlink>
    </w:p>
    <w:p w14:paraId="0F87DDA0" w14:textId="1754AF0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9" w:history="1">
        <w:r w:rsidRPr="001B63F5">
          <w:rPr>
            <w:rStyle w:val="Hyperlink"/>
          </w:rPr>
          <w:t>2.1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ABF pricing framework principles</w:t>
        </w:r>
        <w:r>
          <w:rPr>
            <w:webHidden/>
          </w:rPr>
          <w:tab/>
        </w:r>
        <w:r>
          <w:rPr>
            <w:webHidden/>
          </w:rPr>
          <w:fldChar w:fldCharType="begin"/>
        </w:r>
        <w:r>
          <w:rPr>
            <w:webHidden/>
          </w:rPr>
          <w:instrText xml:space="preserve"> PAGEREF _Toc201148209 \h </w:instrText>
        </w:r>
        <w:r>
          <w:rPr>
            <w:webHidden/>
          </w:rPr>
        </w:r>
        <w:r>
          <w:rPr>
            <w:webHidden/>
          </w:rPr>
          <w:fldChar w:fldCharType="separate"/>
        </w:r>
        <w:r>
          <w:rPr>
            <w:webHidden/>
          </w:rPr>
          <w:t>12</w:t>
        </w:r>
        <w:r>
          <w:rPr>
            <w:webHidden/>
          </w:rPr>
          <w:fldChar w:fldCharType="end"/>
        </w:r>
      </w:hyperlink>
    </w:p>
    <w:p w14:paraId="6A4E080F" w14:textId="5A8E4AC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0" w:history="1">
        <w:r w:rsidRPr="001B63F5">
          <w:rPr>
            <w:rStyle w:val="Hyperlink"/>
          </w:rPr>
          <w:t>2.2</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ABF pricing framework scope</w:t>
        </w:r>
        <w:r>
          <w:rPr>
            <w:webHidden/>
          </w:rPr>
          <w:tab/>
        </w:r>
        <w:r>
          <w:rPr>
            <w:webHidden/>
          </w:rPr>
          <w:fldChar w:fldCharType="begin"/>
        </w:r>
        <w:r>
          <w:rPr>
            <w:webHidden/>
          </w:rPr>
          <w:instrText xml:space="preserve"> PAGEREF _Toc201148210 \h </w:instrText>
        </w:r>
        <w:r>
          <w:rPr>
            <w:webHidden/>
          </w:rPr>
        </w:r>
        <w:r>
          <w:rPr>
            <w:webHidden/>
          </w:rPr>
          <w:fldChar w:fldCharType="separate"/>
        </w:r>
        <w:r>
          <w:rPr>
            <w:webHidden/>
          </w:rPr>
          <w:t>13</w:t>
        </w:r>
        <w:r>
          <w:rPr>
            <w:webHidden/>
          </w:rPr>
          <w:fldChar w:fldCharType="end"/>
        </w:r>
      </w:hyperlink>
    </w:p>
    <w:p w14:paraId="4E98057C" w14:textId="78DEE8E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1" w:history="1">
        <w:r w:rsidRPr="001B63F5">
          <w:rPr>
            <w:rStyle w:val="Hyperlink"/>
          </w:rPr>
          <w:t>2.3</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efficient price</w:t>
        </w:r>
        <w:r>
          <w:rPr>
            <w:webHidden/>
          </w:rPr>
          <w:tab/>
        </w:r>
        <w:r>
          <w:rPr>
            <w:webHidden/>
          </w:rPr>
          <w:fldChar w:fldCharType="begin"/>
        </w:r>
        <w:r>
          <w:rPr>
            <w:webHidden/>
          </w:rPr>
          <w:instrText xml:space="preserve"> PAGEREF _Toc201148211 \h </w:instrText>
        </w:r>
        <w:r>
          <w:rPr>
            <w:webHidden/>
          </w:rPr>
        </w:r>
        <w:r>
          <w:rPr>
            <w:webHidden/>
          </w:rPr>
          <w:fldChar w:fldCharType="separate"/>
        </w:r>
        <w:r>
          <w:rPr>
            <w:webHidden/>
          </w:rPr>
          <w:t>13</w:t>
        </w:r>
        <w:r>
          <w:rPr>
            <w:webHidden/>
          </w:rPr>
          <w:fldChar w:fldCharType="end"/>
        </w:r>
      </w:hyperlink>
    </w:p>
    <w:p w14:paraId="39173E50" w14:textId="68BD601A"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2" w:history="1">
        <w:r w:rsidRPr="001B63F5">
          <w:rPr>
            <w:rStyle w:val="Hyperlink"/>
          </w:rPr>
          <w:t>2.4</w:t>
        </w:r>
        <w:r>
          <w:rPr>
            <w:rFonts w:asciiTheme="minorHAnsi" w:eastAsiaTheme="minorEastAsia" w:hAnsiTheme="minorHAnsi" w:cstheme="minorBidi"/>
            <w:kern w:val="2"/>
            <w:sz w:val="24"/>
            <w:szCs w:val="24"/>
            <w:lang w:eastAsia="en-AU"/>
            <w14:ligatures w14:val="standardContextual"/>
          </w:rPr>
          <w:tab/>
        </w:r>
        <w:r w:rsidRPr="001B63F5">
          <w:rPr>
            <w:rStyle w:val="Hyperlink"/>
          </w:rPr>
          <w:t>Localised pricing adjustments</w:t>
        </w:r>
        <w:r>
          <w:rPr>
            <w:webHidden/>
          </w:rPr>
          <w:tab/>
        </w:r>
        <w:r>
          <w:rPr>
            <w:webHidden/>
          </w:rPr>
          <w:fldChar w:fldCharType="begin"/>
        </w:r>
        <w:r>
          <w:rPr>
            <w:webHidden/>
          </w:rPr>
          <w:instrText xml:space="preserve"> PAGEREF _Toc201148212 \h </w:instrText>
        </w:r>
        <w:r>
          <w:rPr>
            <w:webHidden/>
          </w:rPr>
        </w:r>
        <w:r>
          <w:rPr>
            <w:webHidden/>
          </w:rPr>
          <w:fldChar w:fldCharType="separate"/>
        </w:r>
        <w:r>
          <w:rPr>
            <w:webHidden/>
          </w:rPr>
          <w:t>13</w:t>
        </w:r>
        <w:r>
          <w:rPr>
            <w:webHidden/>
          </w:rPr>
          <w:fldChar w:fldCharType="end"/>
        </w:r>
      </w:hyperlink>
    </w:p>
    <w:p w14:paraId="4BBE5BDA" w14:textId="33BBEF7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3" w:history="1">
        <w:r w:rsidRPr="001B63F5">
          <w:rPr>
            <w:rStyle w:val="Hyperlink"/>
          </w:rPr>
          <w:t>2.5</w:t>
        </w:r>
        <w:r>
          <w:rPr>
            <w:rFonts w:asciiTheme="minorHAnsi" w:eastAsiaTheme="minorEastAsia" w:hAnsiTheme="minorHAnsi" w:cstheme="minorBidi"/>
            <w:kern w:val="2"/>
            <w:sz w:val="24"/>
            <w:szCs w:val="24"/>
            <w:lang w:eastAsia="en-AU"/>
            <w14:ligatures w14:val="standardContextual"/>
          </w:rPr>
          <w:tab/>
        </w:r>
        <w:r w:rsidRPr="001B63F5">
          <w:rPr>
            <w:rStyle w:val="Hyperlink"/>
          </w:rPr>
          <w:t>Funding reforms 2025–26</w:t>
        </w:r>
        <w:r>
          <w:rPr>
            <w:webHidden/>
          </w:rPr>
          <w:tab/>
        </w:r>
        <w:r>
          <w:rPr>
            <w:webHidden/>
          </w:rPr>
          <w:fldChar w:fldCharType="begin"/>
        </w:r>
        <w:r>
          <w:rPr>
            <w:webHidden/>
          </w:rPr>
          <w:instrText xml:space="preserve"> PAGEREF _Toc201148213 \h </w:instrText>
        </w:r>
        <w:r>
          <w:rPr>
            <w:webHidden/>
          </w:rPr>
        </w:r>
        <w:r>
          <w:rPr>
            <w:webHidden/>
          </w:rPr>
          <w:fldChar w:fldCharType="separate"/>
        </w:r>
        <w:r>
          <w:rPr>
            <w:webHidden/>
          </w:rPr>
          <w:t>17</w:t>
        </w:r>
        <w:r>
          <w:rPr>
            <w:webHidden/>
          </w:rPr>
          <w:fldChar w:fldCharType="end"/>
        </w:r>
      </w:hyperlink>
    </w:p>
    <w:p w14:paraId="60D69D66" w14:textId="5ADB8C77"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14" w:history="1">
        <w:r w:rsidRPr="001B63F5">
          <w:rPr>
            <w:rStyle w:val="Hyperlink"/>
          </w:rPr>
          <w:t>3</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NHRA services funded outside the Victorian ABF pricing framework</w:t>
        </w:r>
        <w:r>
          <w:rPr>
            <w:webHidden/>
          </w:rPr>
          <w:tab/>
        </w:r>
        <w:r>
          <w:rPr>
            <w:webHidden/>
          </w:rPr>
          <w:fldChar w:fldCharType="begin"/>
        </w:r>
        <w:r>
          <w:rPr>
            <w:webHidden/>
          </w:rPr>
          <w:instrText xml:space="preserve"> PAGEREF _Toc201148214 \h </w:instrText>
        </w:r>
        <w:r>
          <w:rPr>
            <w:webHidden/>
          </w:rPr>
        </w:r>
        <w:r>
          <w:rPr>
            <w:webHidden/>
          </w:rPr>
          <w:fldChar w:fldCharType="separate"/>
        </w:r>
        <w:r>
          <w:rPr>
            <w:webHidden/>
          </w:rPr>
          <w:t>18</w:t>
        </w:r>
        <w:r>
          <w:rPr>
            <w:webHidden/>
          </w:rPr>
          <w:fldChar w:fldCharType="end"/>
        </w:r>
      </w:hyperlink>
    </w:p>
    <w:p w14:paraId="24613EC7" w14:textId="52474DC4"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5" w:history="1">
        <w:r w:rsidRPr="001B63F5">
          <w:rPr>
            <w:rStyle w:val="Hyperlink"/>
          </w:rPr>
          <w:t>3.1</w:t>
        </w:r>
        <w:r>
          <w:rPr>
            <w:rFonts w:asciiTheme="minorHAnsi" w:eastAsiaTheme="minorEastAsia" w:hAnsiTheme="minorHAnsi" w:cstheme="minorBidi"/>
            <w:kern w:val="2"/>
            <w:sz w:val="24"/>
            <w:szCs w:val="24"/>
            <w:lang w:eastAsia="en-AU"/>
            <w14:ligatures w14:val="standardContextual"/>
          </w:rPr>
          <w:tab/>
        </w:r>
        <w:r w:rsidRPr="001B63F5">
          <w:rPr>
            <w:rStyle w:val="Hyperlink"/>
          </w:rPr>
          <w:t>Community palliative care</w:t>
        </w:r>
        <w:r>
          <w:rPr>
            <w:webHidden/>
          </w:rPr>
          <w:tab/>
        </w:r>
        <w:r>
          <w:rPr>
            <w:webHidden/>
          </w:rPr>
          <w:fldChar w:fldCharType="begin"/>
        </w:r>
        <w:r>
          <w:rPr>
            <w:webHidden/>
          </w:rPr>
          <w:instrText xml:space="preserve"> PAGEREF _Toc201148215 \h </w:instrText>
        </w:r>
        <w:r>
          <w:rPr>
            <w:webHidden/>
          </w:rPr>
        </w:r>
        <w:r>
          <w:rPr>
            <w:webHidden/>
          </w:rPr>
          <w:fldChar w:fldCharType="separate"/>
        </w:r>
        <w:r>
          <w:rPr>
            <w:webHidden/>
          </w:rPr>
          <w:t>18</w:t>
        </w:r>
        <w:r>
          <w:rPr>
            <w:webHidden/>
          </w:rPr>
          <w:fldChar w:fldCharType="end"/>
        </w:r>
      </w:hyperlink>
    </w:p>
    <w:p w14:paraId="41B22146" w14:textId="6EA0A636"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6" w:history="1">
        <w:r w:rsidRPr="001B63F5">
          <w:rPr>
            <w:rStyle w:val="Hyperlink"/>
          </w:rPr>
          <w:t>3.2</w:t>
        </w:r>
        <w:r>
          <w:rPr>
            <w:rFonts w:asciiTheme="minorHAnsi" w:eastAsiaTheme="minorEastAsia" w:hAnsiTheme="minorHAnsi" w:cstheme="minorBidi"/>
            <w:kern w:val="2"/>
            <w:sz w:val="24"/>
            <w:szCs w:val="24"/>
            <w:lang w:eastAsia="en-AU"/>
            <w14:ligatures w14:val="standardContextual"/>
          </w:rPr>
          <w:tab/>
        </w:r>
        <w:r w:rsidRPr="001B63F5">
          <w:rPr>
            <w:rStyle w:val="Hyperlink"/>
          </w:rPr>
          <w:t>Palliative care consultancy services</w:t>
        </w:r>
        <w:r>
          <w:rPr>
            <w:webHidden/>
          </w:rPr>
          <w:tab/>
        </w:r>
        <w:r>
          <w:rPr>
            <w:webHidden/>
          </w:rPr>
          <w:fldChar w:fldCharType="begin"/>
        </w:r>
        <w:r>
          <w:rPr>
            <w:webHidden/>
          </w:rPr>
          <w:instrText xml:space="preserve"> PAGEREF _Toc201148216 \h </w:instrText>
        </w:r>
        <w:r>
          <w:rPr>
            <w:webHidden/>
          </w:rPr>
        </w:r>
        <w:r>
          <w:rPr>
            <w:webHidden/>
          </w:rPr>
          <w:fldChar w:fldCharType="separate"/>
        </w:r>
        <w:r>
          <w:rPr>
            <w:webHidden/>
          </w:rPr>
          <w:t>18</w:t>
        </w:r>
        <w:r>
          <w:rPr>
            <w:webHidden/>
          </w:rPr>
          <w:fldChar w:fldCharType="end"/>
        </w:r>
      </w:hyperlink>
    </w:p>
    <w:p w14:paraId="69B3511F" w14:textId="5B4A8DE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7" w:history="1">
        <w:r w:rsidRPr="001B63F5">
          <w:rPr>
            <w:rStyle w:val="Hyperlink"/>
          </w:rPr>
          <w:t>3.3</w:t>
        </w:r>
        <w:r>
          <w:rPr>
            <w:rFonts w:asciiTheme="minorHAnsi" w:eastAsiaTheme="minorEastAsia" w:hAnsiTheme="minorHAnsi" w:cstheme="minorBidi"/>
            <w:kern w:val="2"/>
            <w:sz w:val="24"/>
            <w:szCs w:val="24"/>
            <w:lang w:eastAsia="en-AU"/>
            <w14:ligatures w14:val="standardContextual"/>
          </w:rPr>
          <w:tab/>
        </w:r>
        <w:r w:rsidRPr="001B63F5">
          <w:rPr>
            <w:rStyle w:val="Hyperlink"/>
          </w:rPr>
          <w:t>Complex care program (previously the Family Choice Program)</w:t>
        </w:r>
        <w:r>
          <w:rPr>
            <w:webHidden/>
          </w:rPr>
          <w:tab/>
        </w:r>
        <w:r>
          <w:rPr>
            <w:webHidden/>
          </w:rPr>
          <w:fldChar w:fldCharType="begin"/>
        </w:r>
        <w:r>
          <w:rPr>
            <w:webHidden/>
          </w:rPr>
          <w:instrText xml:space="preserve"> PAGEREF _Toc201148217 \h </w:instrText>
        </w:r>
        <w:r>
          <w:rPr>
            <w:webHidden/>
          </w:rPr>
        </w:r>
        <w:r>
          <w:rPr>
            <w:webHidden/>
          </w:rPr>
          <w:fldChar w:fldCharType="separate"/>
        </w:r>
        <w:r>
          <w:rPr>
            <w:webHidden/>
          </w:rPr>
          <w:t>19</w:t>
        </w:r>
        <w:r>
          <w:rPr>
            <w:webHidden/>
          </w:rPr>
          <w:fldChar w:fldCharType="end"/>
        </w:r>
      </w:hyperlink>
    </w:p>
    <w:p w14:paraId="1F3BF22C" w14:textId="7621BC47"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8" w:history="1">
        <w:r w:rsidRPr="001B63F5">
          <w:rPr>
            <w:rStyle w:val="Hyperlink"/>
          </w:rPr>
          <w:t>3.4</w:t>
        </w:r>
        <w:r>
          <w:rPr>
            <w:rFonts w:asciiTheme="minorHAnsi" w:eastAsiaTheme="minorEastAsia" w:hAnsiTheme="minorHAnsi" w:cstheme="minorBidi"/>
            <w:kern w:val="2"/>
            <w:sz w:val="24"/>
            <w:szCs w:val="24"/>
            <w:lang w:eastAsia="en-AU"/>
            <w14:ligatures w14:val="standardContextual"/>
          </w:rPr>
          <w:tab/>
        </w:r>
        <w:r w:rsidRPr="001B63F5">
          <w:rPr>
            <w:rStyle w:val="Hyperlink"/>
          </w:rPr>
          <w:t>Early parenting services</w:t>
        </w:r>
        <w:r>
          <w:rPr>
            <w:webHidden/>
          </w:rPr>
          <w:tab/>
        </w:r>
        <w:r>
          <w:rPr>
            <w:webHidden/>
          </w:rPr>
          <w:fldChar w:fldCharType="begin"/>
        </w:r>
        <w:r>
          <w:rPr>
            <w:webHidden/>
          </w:rPr>
          <w:instrText xml:space="preserve"> PAGEREF _Toc201148218 \h </w:instrText>
        </w:r>
        <w:r>
          <w:rPr>
            <w:webHidden/>
          </w:rPr>
        </w:r>
        <w:r>
          <w:rPr>
            <w:webHidden/>
          </w:rPr>
          <w:fldChar w:fldCharType="separate"/>
        </w:r>
        <w:r>
          <w:rPr>
            <w:webHidden/>
          </w:rPr>
          <w:t>20</w:t>
        </w:r>
        <w:r>
          <w:rPr>
            <w:webHidden/>
          </w:rPr>
          <w:fldChar w:fldCharType="end"/>
        </w:r>
      </w:hyperlink>
    </w:p>
    <w:p w14:paraId="59C648A4" w14:textId="3B1553DD"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9" w:history="1">
        <w:r w:rsidRPr="001B63F5">
          <w:rPr>
            <w:rStyle w:val="Hyperlink"/>
          </w:rPr>
          <w:t>3.5</w:t>
        </w:r>
        <w:r>
          <w:rPr>
            <w:rFonts w:asciiTheme="minorHAnsi" w:eastAsiaTheme="minorEastAsia" w:hAnsiTheme="minorHAnsi" w:cstheme="minorBidi"/>
            <w:kern w:val="2"/>
            <w:sz w:val="24"/>
            <w:szCs w:val="24"/>
            <w:lang w:eastAsia="en-AU"/>
            <w14:ligatures w14:val="standardContextual"/>
          </w:rPr>
          <w:tab/>
        </w:r>
        <w:r w:rsidRPr="001B63F5">
          <w:rPr>
            <w:rStyle w:val="Hyperlink"/>
          </w:rPr>
          <w:t>Forensicare</w:t>
        </w:r>
        <w:r>
          <w:rPr>
            <w:webHidden/>
          </w:rPr>
          <w:tab/>
        </w:r>
        <w:r>
          <w:rPr>
            <w:webHidden/>
          </w:rPr>
          <w:fldChar w:fldCharType="begin"/>
        </w:r>
        <w:r>
          <w:rPr>
            <w:webHidden/>
          </w:rPr>
          <w:instrText xml:space="preserve"> PAGEREF _Toc201148219 \h </w:instrText>
        </w:r>
        <w:r>
          <w:rPr>
            <w:webHidden/>
          </w:rPr>
        </w:r>
        <w:r>
          <w:rPr>
            <w:webHidden/>
          </w:rPr>
          <w:fldChar w:fldCharType="separate"/>
        </w:r>
        <w:r>
          <w:rPr>
            <w:webHidden/>
          </w:rPr>
          <w:t>20</w:t>
        </w:r>
        <w:r>
          <w:rPr>
            <w:webHidden/>
          </w:rPr>
          <w:fldChar w:fldCharType="end"/>
        </w:r>
      </w:hyperlink>
    </w:p>
    <w:p w14:paraId="26DDA06F" w14:textId="39B1C93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0" w:history="1">
        <w:r w:rsidRPr="001B63F5">
          <w:rPr>
            <w:rStyle w:val="Hyperlink"/>
          </w:rPr>
          <w:t>3.6</w:t>
        </w:r>
        <w:r>
          <w:rPr>
            <w:rFonts w:asciiTheme="minorHAnsi" w:eastAsiaTheme="minorEastAsia" w:hAnsiTheme="minorHAnsi" w:cstheme="minorBidi"/>
            <w:kern w:val="2"/>
            <w:sz w:val="24"/>
            <w:szCs w:val="24"/>
            <w:lang w:eastAsia="en-AU"/>
            <w14:ligatures w14:val="standardContextual"/>
          </w:rPr>
          <w:tab/>
        </w:r>
        <w:r w:rsidRPr="001B63F5">
          <w:rPr>
            <w:rStyle w:val="Hyperlink"/>
          </w:rPr>
          <w:t>Genetic clinical activity</w:t>
        </w:r>
        <w:r>
          <w:rPr>
            <w:webHidden/>
          </w:rPr>
          <w:tab/>
        </w:r>
        <w:r>
          <w:rPr>
            <w:webHidden/>
          </w:rPr>
          <w:fldChar w:fldCharType="begin"/>
        </w:r>
        <w:r>
          <w:rPr>
            <w:webHidden/>
          </w:rPr>
          <w:instrText xml:space="preserve"> PAGEREF _Toc201148220 \h </w:instrText>
        </w:r>
        <w:r>
          <w:rPr>
            <w:webHidden/>
          </w:rPr>
        </w:r>
        <w:r>
          <w:rPr>
            <w:webHidden/>
          </w:rPr>
          <w:fldChar w:fldCharType="separate"/>
        </w:r>
        <w:r>
          <w:rPr>
            <w:webHidden/>
          </w:rPr>
          <w:t>20</w:t>
        </w:r>
        <w:r>
          <w:rPr>
            <w:webHidden/>
          </w:rPr>
          <w:fldChar w:fldCharType="end"/>
        </w:r>
      </w:hyperlink>
    </w:p>
    <w:p w14:paraId="1F608889" w14:textId="359ABFE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1" w:history="1">
        <w:r w:rsidRPr="001B63F5">
          <w:rPr>
            <w:rStyle w:val="Hyperlink"/>
            <w:rFonts w:eastAsia="Times"/>
          </w:rPr>
          <w:t>3.7</w:t>
        </w:r>
        <w:r>
          <w:rPr>
            <w:rFonts w:asciiTheme="minorHAnsi" w:eastAsiaTheme="minorEastAsia" w:hAnsiTheme="minorHAnsi" w:cstheme="minorBidi"/>
            <w:kern w:val="2"/>
            <w:sz w:val="24"/>
            <w:szCs w:val="24"/>
            <w:lang w:eastAsia="en-AU"/>
            <w14:ligatures w14:val="standardContextual"/>
          </w:rPr>
          <w:tab/>
        </w:r>
        <w:r w:rsidRPr="001B63F5">
          <w:rPr>
            <w:rStyle w:val="Hyperlink"/>
          </w:rPr>
          <w:t>High-cost, highly specialised therapies</w:t>
        </w:r>
        <w:r>
          <w:rPr>
            <w:webHidden/>
          </w:rPr>
          <w:tab/>
        </w:r>
        <w:r>
          <w:rPr>
            <w:webHidden/>
          </w:rPr>
          <w:fldChar w:fldCharType="begin"/>
        </w:r>
        <w:r>
          <w:rPr>
            <w:webHidden/>
          </w:rPr>
          <w:instrText xml:space="preserve"> PAGEREF _Toc201148221 \h </w:instrText>
        </w:r>
        <w:r>
          <w:rPr>
            <w:webHidden/>
          </w:rPr>
        </w:r>
        <w:r>
          <w:rPr>
            <w:webHidden/>
          </w:rPr>
          <w:fldChar w:fldCharType="separate"/>
        </w:r>
        <w:r>
          <w:rPr>
            <w:webHidden/>
          </w:rPr>
          <w:t>20</w:t>
        </w:r>
        <w:r>
          <w:rPr>
            <w:webHidden/>
          </w:rPr>
          <w:fldChar w:fldCharType="end"/>
        </w:r>
      </w:hyperlink>
    </w:p>
    <w:p w14:paraId="5562AAD0" w14:textId="18B2DC29"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2" w:history="1">
        <w:r w:rsidRPr="001B63F5">
          <w:rPr>
            <w:rStyle w:val="Hyperlink"/>
            <w:rFonts w:eastAsia="Times"/>
          </w:rPr>
          <w:t>3.8</w:t>
        </w:r>
        <w:r>
          <w:rPr>
            <w:rFonts w:asciiTheme="minorHAnsi" w:eastAsiaTheme="minorEastAsia" w:hAnsiTheme="minorHAnsi" w:cstheme="minorBidi"/>
            <w:kern w:val="2"/>
            <w:sz w:val="24"/>
            <w:szCs w:val="24"/>
            <w:lang w:eastAsia="en-AU"/>
            <w14:ligatures w14:val="standardContextual"/>
          </w:rPr>
          <w:tab/>
        </w:r>
        <w:r w:rsidRPr="001B63F5">
          <w:rPr>
            <w:rStyle w:val="Hyperlink"/>
            <w:rFonts w:eastAsia="Times"/>
          </w:rPr>
          <w:t>Lithotripsy</w:t>
        </w:r>
        <w:r>
          <w:rPr>
            <w:webHidden/>
          </w:rPr>
          <w:tab/>
        </w:r>
        <w:r>
          <w:rPr>
            <w:webHidden/>
          </w:rPr>
          <w:fldChar w:fldCharType="begin"/>
        </w:r>
        <w:r>
          <w:rPr>
            <w:webHidden/>
          </w:rPr>
          <w:instrText xml:space="preserve"> PAGEREF _Toc201148222 \h </w:instrText>
        </w:r>
        <w:r>
          <w:rPr>
            <w:webHidden/>
          </w:rPr>
        </w:r>
        <w:r>
          <w:rPr>
            <w:webHidden/>
          </w:rPr>
          <w:fldChar w:fldCharType="separate"/>
        </w:r>
        <w:r>
          <w:rPr>
            <w:webHidden/>
          </w:rPr>
          <w:t>21</w:t>
        </w:r>
        <w:r>
          <w:rPr>
            <w:webHidden/>
          </w:rPr>
          <w:fldChar w:fldCharType="end"/>
        </w:r>
      </w:hyperlink>
    </w:p>
    <w:p w14:paraId="453FCC7F" w14:textId="1791508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3" w:history="1">
        <w:r w:rsidRPr="001B63F5">
          <w:rPr>
            <w:rStyle w:val="Hyperlink"/>
          </w:rPr>
          <w:t>3.9</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and wellbeing</w:t>
        </w:r>
        <w:r>
          <w:rPr>
            <w:webHidden/>
          </w:rPr>
          <w:tab/>
        </w:r>
        <w:r>
          <w:rPr>
            <w:webHidden/>
          </w:rPr>
          <w:fldChar w:fldCharType="begin"/>
        </w:r>
        <w:r>
          <w:rPr>
            <w:webHidden/>
          </w:rPr>
          <w:instrText xml:space="preserve"> PAGEREF _Toc201148223 \h </w:instrText>
        </w:r>
        <w:r>
          <w:rPr>
            <w:webHidden/>
          </w:rPr>
        </w:r>
        <w:r>
          <w:rPr>
            <w:webHidden/>
          </w:rPr>
          <w:fldChar w:fldCharType="separate"/>
        </w:r>
        <w:r>
          <w:rPr>
            <w:webHidden/>
          </w:rPr>
          <w:t>21</w:t>
        </w:r>
        <w:r>
          <w:rPr>
            <w:webHidden/>
          </w:rPr>
          <w:fldChar w:fldCharType="end"/>
        </w:r>
      </w:hyperlink>
    </w:p>
    <w:p w14:paraId="3B95034C" w14:textId="13AE394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4" w:history="1">
        <w:r w:rsidRPr="001B63F5">
          <w:rPr>
            <w:rStyle w:val="Hyperlink"/>
          </w:rPr>
          <w:t>3.10</w:t>
        </w:r>
        <w:r>
          <w:rPr>
            <w:rFonts w:asciiTheme="minorHAnsi" w:eastAsiaTheme="minorEastAsia" w:hAnsiTheme="minorHAnsi" w:cstheme="minorBidi"/>
            <w:kern w:val="2"/>
            <w:sz w:val="24"/>
            <w:szCs w:val="24"/>
            <w:lang w:eastAsia="en-AU"/>
            <w14:ligatures w14:val="standardContextual"/>
          </w:rPr>
          <w:tab/>
        </w:r>
        <w:r w:rsidRPr="001B63F5">
          <w:rPr>
            <w:rStyle w:val="Hyperlink"/>
          </w:rPr>
          <w:t>Radiotherapy</w:t>
        </w:r>
        <w:r>
          <w:rPr>
            <w:webHidden/>
          </w:rPr>
          <w:tab/>
        </w:r>
        <w:r>
          <w:rPr>
            <w:webHidden/>
          </w:rPr>
          <w:fldChar w:fldCharType="begin"/>
        </w:r>
        <w:r>
          <w:rPr>
            <w:webHidden/>
          </w:rPr>
          <w:instrText xml:space="preserve"> PAGEREF _Toc201148224 \h </w:instrText>
        </w:r>
        <w:r>
          <w:rPr>
            <w:webHidden/>
          </w:rPr>
        </w:r>
        <w:r>
          <w:rPr>
            <w:webHidden/>
          </w:rPr>
          <w:fldChar w:fldCharType="separate"/>
        </w:r>
        <w:r>
          <w:rPr>
            <w:webHidden/>
          </w:rPr>
          <w:t>22</w:t>
        </w:r>
        <w:r>
          <w:rPr>
            <w:webHidden/>
          </w:rPr>
          <w:fldChar w:fldCharType="end"/>
        </w:r>
      </w:hyperlink>
    </w:p>
    <w:p w14:paraId="5EAC484F" w14:textId="01F9948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5" w:history="1">
        <w:r w:rsidRPr="001B63F5">
          <w:rPr>
            <w:rStyle w:val="Hyperlink"/>
            <w:rFonts w:eastAsia="Times"/>
          </w:rPr>
          <w:t>3.11</w:t>
        </w:r>
        <w:r>
          <w:rPr>
            <w:rFonts w:asciiTheme="minorHAnsi" w:eastAsiaTheme="minorEastAsia" w:hAnsiTheme="minorHAnsi" w:cstheme="minorBidi"/>
            <w:kern w:val="2"/>
            <w:sz w:val="24"/>
            <w:szCs w:val="24"/>
            <w:lang w:eastAsia="en-AU"/>
            <w14:ligatures w14:val="standardContextual"/>
          </w:rPr>
          <w:tab/>
        </w:r>
        <w:r w:rsidRPr="001B63F5">
          <w:rPr>
            <w:rStyle w:val="Hyperlink"/>
            <w:rFonts w:eastAsia="Times"/>
          </w:rPr>
          <w:t>Small rural health services</w:t>
        </w:r>
        <w:r>
          <w:rPr>
            <w:webHidden/>
          </w:rPr>
          <w:tab/>
        </w:r>
        <w:r>
          <w:rPr>
            <w:webHidden/>
          </w:rPr>
          <w:fldChar w:fldCharType="begin"/>
        </w:r>
        <w:r>
          <w:rPr>
            <w:webHidden/>
          </w:rPr>
          <w:instrText xml:space="preserve"> PAGEREF _Toc201148225 \h </w:instrText>
        </w:r>
        <w:r>
          <w:rPr>
            <w:webHidden/>
          </w:rPr>
        </w:r>
        <w:r>
          <w:rPr>
            <w:webHidden/>
          </w:rPr>
          <w:fldChar w:fldCharType="separate"/>
        </w:r>
        <w:r>
          <w:rPr>
            <w:webHidden/>
          </w:rPr>
          <w:t>24</w:t>
        </w:r>
        <w:r>
          <w:rPr>
            <w:webHidden/>
          </w:rPr>
          <w:fldChar w:fldCharType="end"/>
        </w:r>
      </w:hyperlink>
    </w:p>
    <w:p w14:paraId="125EE667" w14:textId="31D10AB0"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6" w:history="1">
        <w:r w:rsidRPr="001B63F5">
          <w:rPr>
            <w:rStyle w:val="Hyperlink"/>
          </w:rPr>
          <w:t>3.12</w:t>
        </w:r>
        <w:r>
          <w:rPr>
            <w:rFonts w:asciiTheme="minorHAnsi" w:eastAsiaTheme="minorEastAsia" w:hAnsiTheme="minorHAnsi" w:cstheme="minorBidi"/>
            <w:kern w:val="2"/>
            <w:sz w:val="24"/>
            <w:szCs w:val="24"/>
            <w:lang w:eastAsia="en-AU"/>
            <w14:ligatures w14:val="standardContextual"/>
          </w:rPr>
          <w:tab/>
        </w:r>
        <w:r w:rsidRPr="001B63F5">
          <w:rPr>
            <w:rStyle w:val="Hyperlink"/>
          </w:rPr>
          <w:t>Subacute and non-acute care exceptions to national funding model</w:t>
        </w:r>
        <w:r>
          <w:rPr>
            <w:webHidden/>
          </w:rPr>
          <w:tab/>
        </w:r>
        <w:r>
          <w:rPr>
            <w:webHidden/>
          </w:rPr>
          <w:fldChar w:fldCharType="begin"/>
        </w:r>
        <w:r>
          <w:rPr>
            <w:webHidden/>
          </w:rPr>
          <w:instrText xml:space="preserve"> PAGEREF _Toc201148226 \h </w:instrText>
        </w:r>
        <w:r>
          <w:rPr>
            <w:webHidden/>
          </w:rPr>
        </w:r>
        <w:r>
          <w:rPr>
            <w:webHidden/>
          </w:rPr>
          <w:fldChar w:fldCharType="separate"/>
        </w:r>
        <w:r>
          <w:rPr>
            <w:webHidden/>
          </w:rPr>
          <w:t>24</w:t>
        </w:r>
        <w:r>
          <w:rPr>
            <w:webHidden/>
          </w:rPr>
          <w:fldChar w:fldCharType="end"/>
        </w:r>
      </w:hyperlink>
    </w:p>
    <w:p w14:paraId="5DB9BFE1" w14:textId="2AFD460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7" w:history="1">
        <w:r w:rsidRPr="001B63F5">
          <w:rPr>
            <w:rStyle w:val="Hyperlink"/>
          </w:rPr>
          <w:t>3.13</w:t>
        </w:r>
        <w:r>
          <w:rPr>
            <w:rFonts w:asciiTheme="minorHAnsi" w:eastAsiaTheme="minorEastAsia" w:hAnsiTheme="minorHAnsi" w:cstheme="minorBidi"/>
            <w:kern w:val="2"/>
            <w:sz w:val="24"/>
            <w:szCs w:val="24"/>
            <w:lang w:eastAsia="en-AU"/>
            <w14:ligatures w14:val="standardContextual"/>
          </w:rPr>
          <w:tab/>
        </w:r>
        <w:r w:rsidRPr="001B63F5">
          <w:rPr>
            <w:rStyle w:val="Hyperlink"/>
          </w:rPr>
          <w:t>Training and development</w:t>
        </w:r>
        <w:r>
          <w:rPr>
            <w:webHidden/>
          </w:rPr>
          <w:tab/>
        </w:r>
        <w:r>
          <w:rPr>
            <w:webHidden/>
          </w:rPr>
          <w:fldChar w:fldCharType="begin"/>
        </w:r>
        <w:r>
          <w:rPr>
            <w:webHidden/>
          </w:rPr>
          <w:instrText xml:space="preserve"> PAGEREF _Toc201148227 \h </w:instrText>
        </w:r>
        <w:r>
          <w:rPr>
            <w:webHidden/>
          </w:rPr>
        </w:r>
        <w:r>
          <w:rPr>
            <w:webHidden/>
          </w:rPr>
          <w:fldChar w:fldCharType="separate"/>
        </w:r>
        <w:r>
          <w:rPr>
            <w:webHidden/>
          </w:rPr>
          <w:t>25</w:t>
        </w:r>
        <w:r>
          <w:rPr>
            <w:webHidden/>
          </w:rPr>
          <w:fldChar w:fldCharType="end"/>
        </w:r>
      </w:hyperlink>
    </w:p>
    <w:p w14:paraId="3A02F900" w14:textId="70A2453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8" w:history="1">
        <w:r w:rsidRPr="001B63F5">
          <w:rPr>
            <w:rStyle w:val="Hyperlink"/>
          </w:rPr>
          <w:t>3.14</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Virtual Emergency Department</w:t>
        </w:r>
        <w:r>
          <w:rPr>
            <w:webHidden/>
          </w:rPr>
          <w:tab/>
        </w:r>
        <w:r>
          <w:rPr>
            <w:webHidden/>
          </w:rPr>
          <w:fldChar w:fldCharType="begin"/>
        </w:r>
        <w:r>
          <w:rPr>
            <w:webHidden/>
          </w:rPr>
          <w:instrText xml:space="preserve"> PAGEREF _Toc201148228 \h </w:instrText>
        </w:r>
        <w:r>
          <w:rPr>
            <w:webHidden/>
          </w:rPr>
        </w:r>
        <w:r>
          <w:rPr>
            <w:webHidden/>
          </w:rPr>
          <w:fldChar w:fldCharType="separate"/>
        </w:r>
        <w:r>
          <w:rPr>
            <w:webHidden/>
          </w:rPr>
          <w:t>25</w:t>
        </w:r>
        <w:r>
          <w:rPr>
            <w:webHidden/>
          </w:rPr>
          <w:fldChar w:fldCharType="end"/>
        </w:r>
      </w:hyperlink>
    </w:p>
    <w:p w14:paraId="1F173BCF" w14:textId="3F64F22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29" w:history="1">
        <w:r w:rsidRPr="001B63F5">
          <w:rPr>
            <w:rStyle w:val="Hyperlink"/>
          </w:rPr>
          <w:t>4</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Services funded in addition to the NHRA</w:t>
        </w:r>
        <w:r>
          <w:rPr>
            <w:webHidden/>
          </w:rPr>
          <w:tab/>
        </w:r>
        <w:r>
          <w:rPr>
            <w:webHidden/>
          </w:rPr>
          <w:fldChar w:fldCharType="begin"/>
        </w:r>
        <w:r>
          <w:rPr>
            <w:webHidden/>
          </w:rPr>
          <w:instrText xml:space="preserve"> PAGEREF _Toc201148229 \h </w:instrText>
        </w:r>
        <w:r>
          <w:rPr>
            <w:webHidden/>
          </w:rPr>
        </w:r>
        <w:r>
          <w:rPr>
            <w:webHidden/>
          </w:rPr>
          <w:fldChar w:fldCharType="separate"/>
        </w:r>
        <w:r>
          <w:rPr>
            <w:webHidden/>
          </w:rPr>
          <w:t>26</w:t>
        </w:r>
        <w:r>
          <w:rPr>
            <w:webHidden/>
          </w:rPr>
          <w:fldChar w:fldCharType="end"/>
        </w:r>
      </w:hyperlink>
    </w:p>
    <w:p w14:paraId="595E40A0" w14:textId="180EF33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0" w:history="1">
        <w:r w:rsidRPr="001B63F5">
          <w:rPr>
            <w:rStyle w:val="Hyperlink"/>
          </w:rPr>
          <w:t>4.1</w:t>
        </w:r>
        <w:r>
          <w:rPr>
            <w:rFonts w:asciiTheme="minorHAnsi" w:eastAsiaTheme="minorEastAsia" w:hAnsiTheme="minorHAnsi" w:cstheme="minorBidi"/>
            <w:kern w:val="2"/>
            <w:sz w:val="24"/>
            <w:szCs w:val="24"/>
            <w:lang w:eastAsia="en-AU"/>
            <w14:ligatures w14:val="standardContextual"/>
          </w:rPr>
          <w:tab/>
        </w:r>
        <w:r w:rsidRPr="001B63F5">
          <w:rPr>
            <w:rStyle w:val="Hyperlink"/>
          </w:rPr>
          <w:t>Alcohol and other drug services</w:t>
        </w:r>
        <w:r>
          <w:rPr>
            <w:webHidden/>
          </w:rPr>
          <w:tab/>
        </w:r>
        <w:r>
          <w:rPr>
            <w:webHidden/>
          </w:rPr>
          <w:fldChar w:fldCharType="begin"/>
        </w:r>
        <w:r>
          <w:rPr>
            <w:webHidden/>
          </w:rPr>
          <w:instrText xml:space="preserve"> PAGEREF _Toc201148230 \h </w:instrText>
        </w:r>
        <w:r>
          <w:rPr>
            <w:webHidden/>
          </w:rPr>
        </w:r>
        <w:r>
          <w:rPr>
            <w:webHidden/>
          </w:rPr>
          <w:fldChar w:fldCharType="separate"/>
        </w:r>
        <w:r>
          <w:rPr>
            <w:webHidden/>
          </w:rPr>
          <w:t>26</w:t>
        </w:r>
        <w:r>
          <w:rPr>
            <w:webHidden/>
          </w:rPr>
          <w:fldChar w:fldCharType="end"/>
        </w:r>
      </w:hyperlink>
    </w:p>
    <w:p w14:paraId="0FE21E75" w14:textId="4B912DD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1" w:history="1">
        <w:r w:rsidRPr="001B63F5">
          <w:rPr>
            <w:rStyle w:val="Hyperlink"/>
          </w:rPr>
          <w:t>4.2</w:t>
        </w:r>
        <w:r>
          <w:rPr>
            <w:rFonts w:asciiTheme="minorHAnsi" w:eastAsiaTheme="minorEastAsia" w:hAnsiTheme="minorHAnsi" w:cstheme="minorBidi"/>
            <w:kern w:val="2"/>
            <w:sz w:val="24"/>
            <w:szCs w:val="24"/>
            <w:lang w:eastAsia="en-AU"/>
            <w14:ligatures w14:val="standardContextual"/>
          </w:rPr>
          <w:tab/>
        </w:r>
        <w:r w:rsidRPr="001B63F5">
          <w:rPr>
            <w:rStyle w:val="Hyperlink"/>
          </w:rPr>
          <w:t>Community health pricing</w:t>
        </w:r>
        <w:r>
          <w:rPr>
            <w:webHidden/>
          </w:rPr>
          <w:tab/>
        </w:r>
        <w:r>
          <w:rPr>
            <w:webHidden/>
          </w:rPr>
          <w:fldChar w:fldCharType="begin"/>
        </w:r>
        <w:r>
          <w:rPr>
            <w:webHidden/>
          </w:rPr>
          <w:instrText xml:space="preserve"> PAGEREF _Toc201148231 \h </w:instrText>
        </w:r>
        <w:r>
          <w:rPr>
            <w:webHidden/>
          </w:rPr>
        </w:r>
        <w:r>
          <w:rPr>
            <w:webHidden/>
          </w:rPr>
          <w:fldChar w:fldCharType="separate"/>
        </w:r>
        <w:r>
          <w:rPr>
            <w:webHidden/>
          </w:rPr>
          <w:t>26</w:t>
        </w:r>
        <w:r>
          <w:rPr>
            <w:webHidden/>
          </w:rPr>
          <w:fldChar w:fldCharType="end"/>
        </w:r>
      </w:hyperlink>
    </w:p>
    <w:p w14:paraId="70B72A4B" w14:textId="4E6BFE3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2" w:history="1">
        <w:r w:rsidRPr="001B63F5">
          <w:rPr>
            <w:rStyle w:val="Hyperlink"/>
          </w:rPr>
          <w:t>4.3</w:t>
        </w:r>
        <w:r>
          <w:rPr>
            <w:rFonts w:asciiTheme="minorHAnsi" w:eastAsiaTheme="minorEastAsia" w:hAnsiTheme="minorHAnsi" w:cstheme="minorBidi"/>
            <w:kern w:val="2"/>
            <w:sz w:val="24"/>
            <w:szCs w:val="24"/>
            <w:lang w:eastAsia="en-AU"/>
            <w14:ligatures w14:val="standardContextual"/>
          </w:rPr>
          <w:tab/>
        </w:r>
        <w:r w:rsidRPr="001B63F5">
          <w:rPr>
            <w:rStyle w:val="Hyperlink"/>
          </w:rPr>
          <w:t>Local public health unit block-funded functions</w:t>
        </w:r>
        <w:r>
          <w:rPr>
            <w:webHidden/>
          </w:rPr>
          <w:tab/>
        </w:r>
        <w:r>
          <w:rPr>
            <w:webHidden/>
          </w:rPr>
          <w:fldChar w:fldCharType="begin"/>
        </w:r>
        <w:r>
          <w:rPr>
            <w:webHidden/>
          </w:rPr>
          <w:instrText xml:space="preserve"> PAGEREF _Toc201148232 \h </w:instrText>
        </w:r>
        <w:r>
          <w:rPr>
            <w:webHidden/>
          </w:rPr>
        </w:r>
        <w:r>
          <w:rPr>
            <w:webHidden/>
          </w:rPr>
          <w:fldChar w:fldCharType="separate"/>
        </w:r>
        <w:r>
          <w:rPr>
            <w:webHidden/>
          </w:rPr>
          <w:t>26</w:t>
        </w:r>
        <w:r>
          <w:rPr>
            <w:webHidden/>
          </w:rPr>
          <w:fldChar w:fldCharType="end"/>
        </w:r>
      </w:hyperlink>
    </w:p>
    <w:p w14:paraId="3DDE7D80" w14:textId="7A19885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3" w:history="1">
        <w:r w:rsidRPr="001B63F5">
          <w:rPr>
            <w:rStyle w:val="Hyperlink"/>
          </w:rPr>
          <w:t>4.4</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community support services</w:t>
        </w:r>
        <w:r>
          <w:rPr>
            <w:webHidden/>
          </w:rPr>
          <w:tab/>
        </w:r>
        <w:r>
          <w:rPr>
            <w:webHidden/>
          </w:rPr>
          <w:fldChar w:fldCharType="begin"/>
        </w:r>
        <w:r>
          <w:rPr>
            <w:webHidden/>
          </w:rPr>
          <w:instrText xml:space="preserve"> PAGEREF _Toc201148233 \h </w:instrText>
        </w:r>
        <w:r>
          <w:rPr>
            <w:webHidden/>
          </w:rPr>
        </w:r>
        <w:r>
          <w:rPr>
            <w:webHidden/>
          </w:rPr>
          <w:fldChar w:fldCharType="separate"/>
        </w:r>
        <w:r>
          <w:rPr>
            <w:webHidden/>
          </w:rPr>
          <w:t>27</w:t>
        </w:r>
        <w:r>
          <w:rPr>
            <w:webHidden/>
          </w:rPr>
          <w:fldChar w:fldCharType="end"/>
        </w:r>
      </w:hyperlink>
    </w:p>
    <w:p w14:paraId="1B8173E4" w14:textId="5AC3148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4" w:history="1">
        <w:r w:rsidRPr="001B63F5">
          <w:rPr>
            <w:rStyle w:val="Hyperlink"/>
          </w:rPr>
          <w:t>4.5</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Nationally funded centres</w:t>
        </w:r>
        <w:r>
          <w:rPr>
            <w:webHidden/>
          </w:rPr>
          <w:tab/>
        </w:r>
        <w:r>
          <w:rPr>
            <w:webHidden/>
          </w:rPr>
          <w:fldChar w:fldCharType="begin"/>
        </w:r>
        <w:r>
          <w:rPr>
            <w:webHidden/>
          </w:rPr>
          <w:instrText xml:space="preserve"> PAGEREF _Toc201148234 \h </w:instrText>
        </w:r>
        <w:r>
          <w:rPr>
            <w:webHidden/>
          </w:rPr>
        </w:r>
        <w:r>
          <w:rPr>
            <w:webHidden/>
          </w:rPr>
          <w:fldChar w:fldCharType="separate"/>
        </w:r>
        <w:r>
          <w:rPr>
            <w:webHidden/>
          </w:rPr>
          <w:t>27</w:t>
        </w:r>
        <w:r>
          <w:rPr>
            <w:webHidden/>
          </w:rPr>
          <w:fldChar w:fldCharType="end"/>
        </w:r>
      </w:hyperlink>
    </w:p>
    <w:p w14:paraId="5047A3E1" w14:textId="05B23DB9"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5" w:history="1">
        <w:r w:rsidRPr="001B63F5">
          <w:rPr>
            <w:rStyle w:val="Hyperlink"/>
          </w:rPr>
          <w:t>4.6</w:t>
        </w:r>
        <w:r>
          <w:rPr>
            <w:rFonts w:asciiTheme="minorHAnsi" w:eastAsiaTheme="minorEastAsia" w:hAnsiTheme="minorHAnsi" w:cstheme="minorBidi"/>
            <w:kern w:val="2"/>
            <w:sz w:val="24"/>
            <w:szCs w:val="24"/>
            <w:lang w:eastAsia="en-AU"/>
            <w14:ligatures w14:val="standardContextual"/>
          </w:rPr>
          <w:tab/>
        </w:r>
        <w:r w:rsidRPr="001B63F5">
          <w:rPr>
            <w:rStyle w:val="Hyperlink"/>
          </w:rPr>
          <w:t>Ageing, aged and home care</w:t>
        </w:r>
        <w:r>
          <w:rPr>
            <w:webHidden/>
          </w:rPr>
          <w:tab/>
        </w:r>
        <w:r>
          <w:rPr>
            <w:webHidden/>
          </w:rPr>
          <w:fldChar w:fldCharType="begin"/>
        </w:r>
        <w:r>
          <w:rPr>
            <w:webHidden/>
          </w:rPr>
          <w:instrText xml:space="preserve"> PAGEREF _Toc201148235 \h </w:instrText>
        </w:r>
        <w:r>
          <w:rPr>
            <w:webHidden/>
          </w:rPr>
        </w:r>
        <w:r>
          <w:rPr>
            <w:webHidden/>
          </w:rPr>
          <w:fldChar w:fldCharType="separate"/>
        </w:r>
        <w:r>
          <w:rPr>
            <w:webHidden/>
          </w:rPr>
          <w:t>27</w:t>
        </w:r>
        <w:r>
          <w:rPr>
            <w:webHidden/>
          </w:rPr>
          <w:fldChar w:fldCharType="end"/>
        </w:r>
      </w:hyperlink>
    </w:p>
    <w:p w14:paraId="6766D576" w14:textId="4ECA3BC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6" w:history="1">
        <w:r w:rsidRPr="001B63F5">
          <w:rPr>
            <w:rStyle w:val="Hyperlink"/>
          </w:rPr>
          <w:t>4.7</w:t>
        </w:r>
        <w:r>
          <w:rPr>
            <w:rFonts w:asciiTheme="minorHAnsi" w:eastAsiaTheme="minorEastAsia" w:hAnsiTheme="minorHAnsi" w:cstheme="minorBidi"/>
            <w:kern w:val="2"/>
            <w:sz w:val="24"/>
            <w:szCs w:val="24"/>
            <w:lang w:eastAsia="en-AU"/>
            <w14:ligatures w14:val="standardContextual"/>
          </w:rPr>
          <w:tab/>
        </w:r>
        <w:r w:rsidRPr="001B63F5">
          <w:rPr>
            <w:rStyle w:val="Hyperlink"/>
          </w:rPr>
          <w:t>Transition Care Program</w:t>
        </w:r>
        <w:r>
          <w:rPr>
            <w:webHidden/>
          </w:rPr>
          <w:tab/>
        </w:r>
        <w:r>
          <w:rPr>
            <w:webHidden/>
          </w:rPr>
          <w:fldChar w:fldCharType="begin"/>
        </w:r>
        <w:r>
          <w:rPr>
            <w:webHidden/>
          </w:rPr>
          <w:instrText xml:space="preserve"> PAGEREF _Toc201148236 \h </w:instrText>
        </w:r>
        <w:r>
          <w:rPr>
            <w:webHidden/>
          </w:rPr>
        </w:r>
        <w:r>
          <w:rPr>
            <w:webHidden/>
          </w:rPr>
          <w:fldChar w:fldCharType="separate"/>
        </w:r>
        <w:r>
          <w:rPr>
            <w:webHidden/>
          </w:rPr>
          <w:t>28</w:t>
        </w:r>
        <w:r>
          <w:rPr>
            <w:webHidden/>
          </w:rPr>
          <w:fldChar w:fldCharType="end"/>
        </w:r>
      </w:hyperlink>
    </w:p>
    <w:p w14:paraId="6F181131" w14:textId="28E3C32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37" w:history="1">
        <w:r w:rsidRPr="001B63F5">
          <w:rPr>
            <w:rStyle w:val="Hyperlink"/>
          </w:rPr>
          <w:t>5</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Compensable, cross-border and prisoner patients</w:t>
        </w:r>
        <w:r>
          <w:rPr>
            <w:webHidden/>
          </w:rPr>
          <w:tab/>
        </w:r>
        <w:r>
          <w:rPr>
            <w:webHidden/>
          </w:rPr>
          <w:fldChar w:fldCharType="begin"/>
        </w:r>
        <w:r>
          <w:rPr>
            <w:webHidden/>
          </w:rPr>
          <w:instrText xml:space="preserve"> PAGEREF _Toc201148237 \h </w:instrText>
        </w:r>
        <w:r>
          <w:rPr>
            <w:webHidden/>
          </w:rPr>
        </w:r>
        <w:r>
          <w:rPr>
            <w:webHidden/>
          </w:rPr>
          <w:fldChar w:fldCharType="separate"/>
        </w:r>
        <w:r>
          <w:rPr>
            <w:webHidden/>
          </w:rPr>
          <w:t>30</w:t>
        </w:r>
        <w:r>
          <w:rPr>
            <w:webHidden/>
          </w:rPr>
          <w:fldChar w:fldCharType="end"/>
        </w:r>
      </w:hyperlink>
    </w:p>
    <w:p w14:paraId="09587246" w14:textId="7A225D31"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8" w:history="1">
        <w:r w:rsidRPr="001B63F5">
          <w:rPr>
            <w:rStyle w:val="Hyperlink"/>
          </w:rPr>
          <w:t>5.1</w:t>
        </w:r>
        <w:r>
          <w:rPr>
            <w:rFonts w:asciiTheme="minorHAnsi" w:eastAsiaTheme="minorEastAsia" w:hAnsiTheme="minorHAnsi" w:cstheme="minorBidi"/>
            <w:kern w:val="2"/>
            <w:sz w:val="24"/>
            <w:szCs w:val="24"/>
            <w:lang w:eastAsia="en-AU"/>
            <w14:ligatures w14:val="standardContextual"/>
          </w:rPr>
          <w:tab/>
        </w:r>
        <w:r w:rsidRPr="001B63F5">
          <w:rPr>
            <w:rStyle w:val="Hyperlink"/>
          </w:rPr>
          <w:t>Compensable patients</w:t>
        </w:r>
        <w:r>
          <w:rPr>
            <w:webHidden/>
          </w:rPr>
          <w:tab/>
        </w:r>
        <w:r>
          <w:rPr>
            <w:webHidden/>
          </w:rPr>
          <w:fldChar w:fldCharType="begin"/>
        </w:r>
        <w:r>
          <w:rPr>
            <w:webHidden/>
          </w:rPr>
          <w:instrText xml:space="preserve"> PAGEREF _Toc201148238 \h </w:instrText>
        </w:r>
        <w:r>
          <w:rPr>
            <w:webHidden/>
          </w:rPr>
        </w:r>
        <w:r>
          <w:rPr>
            <w:webHidden/>
          </w:rPr>
          <w:fldChar w:fldCharType="separate"/>
        </w:r>
        <w:r>
          <w:rPr>
            <w:webHidden/>
          </w:rPr>
          <w:t>30</w:t>
        </w:r>
        <w:r>
          <w:rPr>
            <w:webHidden/>
          </w:rPr>
          <w:fldChar w:fldCharType="end"/>
        </w:r>
      </w:hyperlink>
    </w:p>
    <w:p w14:paraId="2124A972" w14:textId="790CA88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9" w:history="1">
        <w:r w:rsidRPr="001B63F5">
          <w:rPr>
            <w:rStyle w:val="Hyperlink"/>
          </w:rPr>
          <w:t>5.2</w:t>
        </w:r>
        <w:r>
          <w:rPr>
            <w:rFonts w:asciiTheme="minorHAnsi" w:eastAsiaTheme="minorEastAsia" w:hAnsiTheme="minorHAnsi" w:cstheme="minorBidi"/>
            <w:kern w:val="2"/>
            <w:sz w:val="24"/>
            <w:szCs w:val="24"/>
            <w:lang w:eastAsia="en-AU"/>
            <w14:ligatures w14:val="standardContextual"/>
          </w:rPr>
          <w:tab/>
        </w:r>
        <w:r w:rsidRPr="001B63F5">
          <w:rPr>
            <w:rStyle w:val="Hyperlink"/>
          </w:rPr>
          <w:t>Cross-border patients</w:t>
        </w:r>
        <w:r>
          <w:rPr>
            <w:webHidden/>
          </w:rPr>
          <w:tab/>
        </w:r>
        <w:r>
          <w:rPr>
            <w:webHidden/>
          </w:rPr>
          <w:fldChar w:fldCharType="begin"/>
        </w:r>
        <w:r>
          <w:rPr>
            <w:webHidden/>
          </w:rPr>
          <w:instrText xml:space="preserve"> PAGEREF _Toc201148239 \h </w:instrText>
        </w:r>
        <w:r>
          <w:rPr>
            <w:webHidden/>
          </w:rPr>
        </w:r>
        <w:r>
          <w:rPr>
            <w:webHidden/>
          </w:rPr>
          <w:fldChar w:fldCharType="separate"/>
        </w:r>
        <w:r>
          <w:rPr>
            <w:webHidden/>
          </w:rPr>
          <w:t>36</w:t>
        </w:r>
        <w:r>
          <w:rPr>
            <w:webHidden/>
          </w:rPr>
          <w:fldChar w:fldCharType="end"/>
        </w:r>
      </w:hyperlink>
    </w:p>
    <w:p w14:paraId="16852EDE" w14:textId="555CC83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0" w:history="1">
        <w:r w:rsidRPr="001B63F5">
          <w:rPr>
            <w:rStyle w:val="Hyperlink"/>
          </w:rPr>
          <w:t>5.3</w:t>
        </w:r>
        <w:r>
          <w:rPr>
            <w:rFonts w:asciiTheme="minorHAnsi" w:eastAsiaTheme="minorEastAsia" w:hAnsiTheme="minorHAnsi" w:cstheme="minorBidi"/>
            <w:kern w:val="2"/>
            <w:sz w:val="24"/>
            <w:szCs w:val="24"/>
            <w:lang w:eastAsia="en-AU"/>
            <w14:ligatures w14:val="standardContextual"/>
          </w:rPr>
          <w:tab/>
        </w:r>
        <w:r w:rsidRPr="001B63F5">
          <w:rPr>
            <w:rStyle w:val="Hyperlink"/>
          </w:rPr>
          <w:t>Private patients in public hospitals</w:t>
        </w:r>
        <w:r>
          <w:rPr>
            <w:webHidden/>
          </w:rPr>
          <w:tab/>
        </w:r>
        <w:r>
          <w:rPr>
            <w:webHidden/>
          </w:rPr>
          <w:fldChar w:fldCharType="begin"/>
        </w:r>
        <w:r>
          <w:rPr>
            <w:webHidden/>
          </w:rPr>
          <w:instrText xml:space="preserve"> PAGEREF _Toc201148240 \h </w:instrText>
        </w:r>
        <w:r>
          <w:rPr>
            <w:webHidden/>
          </w:rPr>
        </w:r>
        <w:r>
          <w:rPr>
            <w:webHidden/>
          </w:rPr>
          <w:fldChar w:fldCharType="separate"/>
        </w:r>
        <w:r>
          <w:rPr>
            <w:webHidden/>
          </w:rPr>
          <w:t>37</w:t>
        </w:r>
        <w:r>
          <w:rPr>
            <w:webHidden/>
          </w:rPr>
          <w:fldChar w:fldCharType="end"/>
        </w:r>
      </w:hyperlink>
    </w:p>
    <w:p w14:paraId="0E63B3D2" w14:textId="2FBFD95E"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1" w:history="1">
        <w:r w:rsidRPr="001B63F5">
          <w:rPr>
            <w:rStyle w:val="Hyperlink"/>
          </w:rPr>
          <w:t>5.4</w:t>
        </w:r>
        <w:r>
          <w:rPr>
            <w:rFonts w:asciiTheme="minorHAnsi" w:eastAsiaTheme="minorEastAsia" w:hAnsiTheme="minorHAnsi" w:cstheme="minorBidi"/>
            <w:kern w:val="2"/>
            <w:sz w:val="24"/>
            <w:szCs w:val="24"/>
            <w:lang w:eastAsia="en-AU"/>
            <w14:ligatures w14:val="standardContextual"/>
          </w:rPr>
          <w:tab/>
        </w:r>
        <w:r w:rsidRPr="001B63F5">
          <w:rPr>
            <w:rStyle w:val="Hyperlink"/>
          </w:rPr>
          <w:t>Prisoners</w:t>
        </w:r>
        <w:r>
          <w:rPr>
            <w:webHidden/>
          </w:rPr>
          <w:tab/>
        </w:r>
        <w:r>
          <w:rPr>
            <w:webHidden/>
          </w:rPr>
          <w:fldChar w:fldCharType="begin"/>
        </w:r>
        <w:r>
          <w:rPr>
            <w:webHidden/>
          </w:rPr>
          <w:instrText xml:space="preserve"> PAGEREF _Toc201148241 \h </w:instrText>
        </w:r>
        <w:r>
          <w:rPr>
            <w:webHidden/>
          </w:rPr>
        </w:r>
        <w:r>
          <w:rPr>
            <w:webHidden/>
          </w:rPr>
          <w:fldChar w:fldCharType="separate"/>
        </w:r>
        <w:r>
          <w:rPr>
            <w:webHidden/>
          </w:rPr>
          <w:t>37</w:t>
        </w:r>
        <w:r>
          <w:rPr>
            <w:webHidden/>
          </w:rPr>
          <w:fldChar w:fldCharType="end"/>
        </w:r>
      </w:hyperlink>
    </w:p>
    <w:p w14:paraId="21F64978" w14:textId="065564AB"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2" w:history="1">
        <w:r w:rsidRPr="001B63F5">
          <w:rPr>
            <w:rStyle w:val="Hyperlink"/>
            <w:rFonts w:eastAsia="Arial"/>
          </w:rPr>
          <w:t>6</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Improving health outcomes for Aboriginal and Torres Strait Islander patients</w:t>
        </w:r>
        <w:r>
          <w:rPr>
            <w:webHidden/>
          </w:rPr>
          <w:tab/>
        </w:r>
        <w:r>
          <w:rPr>
            <w:webHidden/>
          </w:rPr>
          <w:fldChar w:fldCharType="begin"/>
        </w:r>
        <w:r>
          <w:rPr>
            <w:webHidden/>
          </w:rPr>
          <w:instrText xml:space="preserve"> PAGEREF _Toc201148242 \h </w:instrText>
        </w:r>
        <w:r>
          <w:rPr>
            <w:webHidden/>
          </w:rPr>
        </w:r>
        <w:r>
          <w:rPr>
            <w:webHidden/>
          </w:rPr>
          <w:fldChar w:fldCharType="separate"/>
        </w:r>
        <w:r>
          <w:rPr>
            <w:webHidden/>
          </w:rPr>
          <w:t>39</w:t>
        </w:r>
        <w:r>
          <w:rPr>
            <w:webHidden/>
          </w:rPr>
          <w:fldChar w:fldCharType="end"/>
        </w:r>
      </w:hyperlink>
    </w:p>
    <w:p w14:paraId="006D53B2" w14:textId="2861B2A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3" w:history="1">
        <w:r w:rsidRPr="001B63F5">
          <w:rPr>
            <w:rStyle w:val="Hyperlink"/>
            <w:rFonts w:eastAsia="Arial" w:cs="Arial"/>
          </w:rPr>
          <w:t>6.1</w:t>
        </w:r>
        <w:r>
          <w:rPr>
            <w:rFonts w:asciiTheme="minorHAnsi" w:eastAsiaTheme="minorEastAsia" w:hAnsiTheme="minorHAnsi" w:cstheme="minorBidi"/>
            <w:kern w:val="2"/>
            <w:sz w:val="24"/>
            <w:szCs w:val="24"/>
            <w:lang w:eastAsia="en-AU"/>
            <w14:ligatures w14:val="standardContextual"/>
          </w:rPr>
          <w:tab/>
        </w:r>
        <w:r w:rsidRPr="001B63F5">
          <w:rPr>
            <w:rStyle w:val="Hyperlink"/>
          </w:rPr>
          <w:t>Aboriginal cultural safety planning and reporting requirements</w:t>
        </w:r>
        <w:r>
          <w:rPr>
            <w:webHidden/>
          </w:rPr>
          <w:tab/>
        </w:r>
        <w:r>
          <w:rPr>
            <w:webHidden/>
          </w:rPr>
          <w:fldChar w:fldCharType="begin"/>
        </w:r>
        <w:r>
          <w:rPr>
            <w:webHidden/>
          </w:rPr>
          <w:instrText xml:space="preserve"> PAGEREF _Toc201148243 \h </w:instrText>
        </w:r>
        <w:r>
          <w:rPr>
            <w:webHidden/>
          </w:rPr>
        </w:r>
        <w:r>
          <w:rPr>
            <w:webHidden/>
          </w:rPr>
          <w:fldChar w:fldCharType="separate"/>
        </w:r>
        <w:r>
          <w:rPr>
            <w:webHidden/>
          </w:rPr>
          <w:t>40</w:t>
        </w:r>
        <w:r>
          <w:rPr>
            <w:webHidden/>
          </w:rPr>
          <w:fldChar w:fldCharType="end"/>
        </w:r>
      </w:hyperlink>
    </w:p>
    <w:p w14:paraId="7D3071A2" w14:textId="60A979E1"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4" w:history="1">
        <w:r w:rsidRPr="001B63F5">
          <w:rPr>
            <w:rStyle w:val="Hyperlink"/>
          </w:rPr>
          <w:t>6.2</w:t>
        </w:r>
        <w:r>
          <w:rPr>
            <w:rFonts w:asciiTheme="minorHAnsi" w:eastAsiaTheme="minorEastAsia" w:hAnsiTheme="minorHAnsi" w:cstheme="minorBidi"/>
            <w:kern w:val="2"/>
            <w:sz w:val="24"/>
            <w:szCs w:val="24"/>
            <w:lang w:eastAsia="en-AU"/>
            <w14:ligatures w14:val="standardContextual"/>
          </w:rPr>
          <w:tab/>
        </w:r>
        <w:r w:rsidRPr="001B63F5">
          <w:rPr>
            <w:rStyle w:val="Hyperlink"/>
          </w:rPr>
          <w:t>Indicators and monitoring</w:t>
        </w:r>
        <w:r>
          <w:rPr>
            <w:webHidden/>
          </w:rPr>
          <w:tab/>
        </w:r>
        <w:r>
          <w:rPr>
            <w:webHidden/>
          </w:rPr>
          <w:fldChar w:fldCharType="begin"/>
        </w:r>
        <w:r>
          <w:rPr>
            <w:webHidden/>
          </w:rPr>
          <w:instrText xml:space="preserve"> PAGEREF _Toc201148244 \h </w:instrText>
        </w:r>
        <w:r>
          <w:rPr>
            <w:webHidden/>
          </w:rPr>
        </w:r>
        <w:r>
          <w:rPr>
            <w:webHidden/>
          </w:rPr>
          <w:fldChar w:fldCharType="separate"/>
        </w:r>
        <w:r>
          <w:rPr>
            <w:webHidden/>
          </w:rPr>
          <w:t>40</w:t>
        </w:r>
        <w:r>
          <w:rPr>
            <w:webHidden/>
          </w:rPr>
          <w:fldChar w:fldCharType="end"/>
        </w:r>
      </w:hyperlink>
    </w:p>
    <w:p w14:paraId="468446DE" w14:textId="26024571"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5" w:history="1">
        <w:r w:rsidRPr="001B63F5">
          <w:rPr>
            <w:rStyle w:val="Hyperlink"/>
          </w:rPr>
          <w:t>7</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Pricing for quality</w:t>
        </w:r>
        <w:r>
          <w:rPr>
            <w:webHidden/>
          </w:rPr>
          <w:tab/>
        </w:r>
        <w:r>
          <w:rPr>
            <w:webHidden/>
          </w:rPr>
          <w:fldChar w:fldCharType="begin"/>
        </w:r>
        <w:r>
          <w:rPr>
            <w:webHidden/>
          </w:rPr>
          <w:instrText xml:space="preserve"> PAGEREF _Toc201148245 \h </w:instrText>
        </w:r>
        <w:r>
          <w:rPr>
            <w:webHidden/>
          </w:rPr>
        </w:r>
        <w:r>
          <w:rPr>
            <w:webHidden/>
          </w:rPr>
          <w:fldChar w:fldCharType="separate"/>
        </w:r>
        <w:r>
          <w:rPr>
            <w:webHidden/>
          </w:rPr>
          <w:t>41</w:t>
        </w:r>
        <w:r>
          <w:rPr>
            <w:webHidden/>
          </w:rPr>
          <w:fldChar w:fldCharType="end"/>
        </w:r>
      </w:hyperlink>
    </w:p>
    <w:p w14:paraId="5B9F9122" w14:textId="2630E38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6" w:history="1">
        <w:r w:rsidRPr="001B63F5">
          <w:rPr>
            <w:rStyle w:val="Hyperlink"/>
            <w:lang w:eastAsia="en-AU"/>
          </w:rPr>
          <w:t>7.1</w:t>
        </w:r>
        <w:r>
          <w:rPr>
            <w:rFonts w:asciiTheme="minorHAnsi" w:eastAsiaTheme="minorEastAsia" w:hAnsiTheme="minorHAnsi" w:cstheme="minorBidi"/>
            <w:kern w:val="2"/>
            <w:sz w:val="24"/>
            <w:szCs w:val="24"/>
            <w:lang w:eastAsia="en-AU"/>
            <w14:ligatures w14:val="standardContextual"/>
          </w:rPr>
          <w:tab/>
        </w:r>
        <w:r w:rsidRPr="001B63F5">
          <w:rPr>
            <w:rStyle w:val="Hyperlink"/>
          </w:rPr>
          <w:t>Sentinel</w:t>
        </w:r>
        <w:r w:rsidRPr="001B63F5">
          <w:rPr>
            <w:rStyle w:val="Hyperlink"/>
            <w:lang w:eastAsia="en-AU"/>
          </w:rPr>
          <w:t xml:space="preserve"> events</w:t>
        </w:r>
        <w:r>
          <w:rPr>
            <w:webHidden/>
          </w:rPr>
          <w:tab/>
        </w:r>
        <w:r>
          <w:rPr>
            <w:webHidden/>
          </w:rPr>
          <w:fldChar w:fldCharType="begin"/>
        </w:r>
        <w:r>
          <w:rPr>
            <w:webHidden/>
          </w:rPr>
          <w:instrText xml:space="preserve"> PAGEREF _Toc201148246 \h </w:instrText>
        </w:r>
        <w:r>
          <w:rPr>
            <w:webHidden/>
          </w:rPr>
        </w:r>
        <w:r>
          <w:rPr>
            <w:webHidden/>
          </w:rPr>
          <w:fldChar w:fldCharType="separate"/>
        </w:r>
        <w:r>
          <w:rPr>
            <w:webHidden/>
          </w:rPr>
          <w:t>41</w:t>
        </w:r>
        <w:r>
          <w:rPr>
            <w:webHidden/>
          </w:rPr>
          <w:fldChar w:fldCharType="end"/>
        </w:r>
      </w:hyperlink>
    </w:p>
    <w:p w14:paraId="138FA111" w14:textId="53F4CFB7"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7" w:history="1">
        <w:r w:rsidRPr="001B63F5">
          <w:rPr>
            <w:rStyle w:val="Hyperlink"/>
            <w:lang w:eastAsia="en-AU"/>
          </w:rPr>
          <w:t>7.2</w:t>
        </w:r>
        <w:r>
          <w:rPr>
            <w:rFonts w:asciiTheme="minorHAnsi" w:eastAsiaTheme="minorEastAsia" w:hAnsiTheme="minorHAnsi" w:cstheme="minorBidi"/>
            <w:kern w:val="2"/>
            <w:sz w:val="24"/>
            <w:szCs w:val="24"/>
            <w:lang w:eastAsia="en-AU"/>
            <w14:ligatures w14:val="standardContextual"/>
          </w:rPr>
          <w:tab/>
        </w:r>
        <w:r w:rsidRPr="001B63F5">
          <w:rPr>
            <w:rStyle w:val="Hyperlink"/>
            <w:lang w:eastAsia="en-AU"/>
          </w:rPr>
          <w:t xml:space="preserve">Hospital acquired </w:t>
        </w:r>
        <w:r w:rsidRPr="001B63F5">
          <w:rPr>
            <w:rStyle w:val="Hyperlink"/>
          </w:rPr>
          <w:t>complications</w:t>
        </w:r>
        <w:r>
          <w:rPr>
            <w:webHidden/>
          </w:rPr>
          <w:tab/>
        </w:r>
        <w:r>
          <w:rPr>
            <w:webHidden/>
          </w:rPr>
          <w:fldChar w:fldCharType="begin"/>
        </w:r>
        <w:r>
          <w:rPr>
            <w:webHidden/>
          </w:rPr>
          <w:instrText xml:space="preserve"> PAGEREF _Toc201148247 \h </w:instrText>
        </w:r>
        <w:r>
          <w:rPr>
            <w:webHidden/>
          </w:rPr>
        </w:r>
        <w:r>
          <w:rPr>
            <w:webHidden/>
          </w:rPr>
          <w:fldChar w:fldCharType="separate"/>
        </w:r>
        <w:r>
          <w:rPr>
            <w:webHidden/>
          </w:rPr>
          <w:t>42</w:t>
        </w:r>
        <w:r>
          <w:rPr>
            <w:webHidden/>
          </w:rPr>
          <w:fldChar w:fldCharType="end"/>
        </w:r>
      </w:hyperlink>
    </w:p>
    <w:p w14:paraId="0822C93E" w14:textId="5622B8D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8" w:history="1">
        <w:r w:rsidRPr="001B63F5">
          <w:rPr>
            <w:rStyle w:val="Hyperlink"/>
            <w:lang w:eastAsia="en-AU"/>
          </w:rPr>
          <w:t>7.3</w:t>
        </w:r>
        <w:r>
          <w:rPr>
            <w:rFonts w:asciiTheme="minorHAnsi" w:eastAsiaTheme="minorEastAsia" w:hAnsiTheme="minorHAnsi" w:cstheme="minorBidi"/>
            <w:kern w:val="2"/>
            <w:sz w:val="24"/>
            <w:szCs w:val="24"/>
            <w:lang w:eastAsia="en-AU"/>
            <w14:ligatures w14:val="standardContextual"/>
          </w:rPr>
          <w:tab/>
        </w:r>
        <w:r w:rsidRPr="001B63F5">
          <w:rPr>
            <w:rStyle w:val="Hyperlink"/>
            <w:lang w:eastAsia="en-AU"/>
          </w:rPr>
          <w:t>Avoidable hospital readmissions</w:t>
        </w:r>
        <w:r>
          <w:rPr>
            <w:webHidden/>
          </w:rPr>
          <w:tab/>
        </w:r>
        <w:r>
          <w:rPr>
            <w:webHidden/>
          </w:rPr>
          <w:fldChar w:fldCharType="begin"/>
        </w:r>
        <w:r>
          <w:rPr>
            <w:webHidden/>
          </w:rPr>
          <w:instrText xml:space="preserve"> PAGEREF _Toc201148248 \h </w:instrText>
        </w:r>
        <w:r>
          <w:rPr>
            <w:webHidden/>
          </w:rPr>
        </w:r>
        <w:r>
          <w:rPr>
            <w:webHidden/>
          </w:rPr>
          <w:fldChar w:fldCharType="separate"/>
        </w:r>
        <w:r>
          <w:rPr>
            <w:webHidden/>
          </w:rPr>
          <w:t>42</w:t>
        </w:r>
        <w:r>
          <w:rPr>
            <w:webHidden/>
          </w:rPr>
          <w:fldChar w:fldCharType="end"/>
        </w:r>
      </w:hyperlink>
    </w:p>
    <w:p w14:paraId="398F0E9D" w14:textId="417CB353"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9" w:history="1">
        <w:r w:rsidRPr="001B63F5">
          <w:rPr>
            <w:rStyle w:val="Hyperlink"/>
          </w:rPr>
          <w:t>8</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Health service requirements</w:t>
        </w:r>
        <w:r>
          <w:rPr>
            <w:webHidden/>
          </w:rPr>
          <w:tab/>
        </w:r>
        <w:r>
          <w:rPr>
            <w:webHidden/>
          </w:rPr>
          <w:fldChar w:fldCharType="begin"/>
        </w:r>
        <w:r>
          <w:rPr>
            <w:webHidden/>
          </w:rPr>
          <w:instrText xml:space="preserve"> PAGEREF _Toc201148249 \h </w:instrText>
        </w:r>
        <w:r>
          <w:rPr>
            <w:webHidden/>
          </w:rPr>
        </w:r>
        <w:r>
          <w:rPr>
            <w:webHidden/>
          </w:rPr>
          <w:fldChar w:fldCharType="separate"/>
        </w:r>
        <w:r>
          <w:rPr>
            <w:webHidden/>
          </w:rPr>
          <w:t>45</w:t>
        </w:r>
        <w:r>
          <w:rPr>
            <w:webHidden/>
          </w:rPr>
          <w:fldChar w:fldCharType="end"/>
        </w:r>
      </w:hyperlink>
    </w:p>
    <w:p w14:paraId="403074A0" w14:textId="0449280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0" w:history="1">
        <w:r w:rsidRPr="001B63F5">
          <w:rPr>
            <w:rStyle w:val="Hyperlink"/>
          </w:rPr>
          <w:t>8.1</w:t>
        </w:r>
        <w:r>
          <w:rPr>
            <w:rFonts w:asciiTheme="minorHAnsi" w:eastAsiaTheme="minorEastAsia" w:hAnsiTheme="minorHAnsi" w:cstheme="minorBidi"/>
            <w:kern w:val="2"/>
            <w:sz w:val="24"/>
            <w:szCs w:val="24"/>
            <w:lang w:eastAsia="en-AU"/>
            <w14:ligatures w14:val="standardContextual"/>
          </w:rPr>
          <w:tab/>
        </w:r>
        <w:r w:rsidRPr="001B63F5">
          <w:rPr>
            <w:rStyle w:val="Hyperlink"/>
          </w:rPr>
          <w:t>Patient costing</w:t>
        </w:r>
        <w:r>
          <w:rPr>
            <w:webHidden/>
          </w:rPr>
          <w:tab/>
        </w:r>
        <w:r>
          <w:rPr>
            <w:webHidden/>
          </w:rPr>
          <w:fldChar w:fldCharType="begin"/>
        </w:r>
        <w:r>
          <w:rPr>
            <w:webHidden/>
          </w:rPr>
          <w:instrText xml:space="preserve"> PAGEREF _Toc201148250 \h </w:instrText>
        </w:r>
        <w:r>
          <w:rPr>
            <w:webHidden/>
          </w:rPr>
        </w:r>
        <w:r>
          <w:rPr>
            <w:webHidden/>
          </w:rPr>
          <w:fldChar w:fldCharType="separate"/>
        </w:r>
        <w:r>
          <w:rPr>
            <w:webHidden/>
          </w:rPr>
          <w:t>45</w:t>
        </w:r>
        <w:r>
          <w:rPr>
            <w:webHidden/>
          </w:rPr>
          <w:fldChar w:fldCharType="end"/>
        </w:r>
      </w:hyperlink>
    </w:p>
    <w:p w14:paraId="1DF704EE" w14:textId="17B6619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1" w:history="1">
        <w:r w:rsidRPr="001B63F5">
          <w:rPr>
            <w:rStyle w:val="Hyperlink"/>
          </w:rPr>
          <w:t>8.2</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 reporting</w:t>
        </w:r>
        <w:r>
          <w:rPr>
            <w:webHidden/>
          </w:rPr>
          <w:tab/>
        </w:r>
        <w:r>
          <w:rPr>
            <w:webHidden/>
          </w:rPr>
          <w:fldChar w:fldCharType="begin"/>
        </w:r>
        <w:r>
          <w:rPr>
            <w:webHidden/>
          </w:rPr>
          <w:instrText xml:space="preserve"> PAGEREF _Toc201148251 \h </w:instrText>
        </w:r>
        <w:r>
          <w:rPr>
            <w:webHidden/>
          </w:rPr>
        </w:r>
        <w:r>
          <w:rPr>
            <w:webHidden/>
          </w:rPr>
          <w:fldChar w:fldCharType="separate"/>
        </w:r>
        <w:r>
          <w:rPr>
            <w:webHidden/>
          </w:rPr>
          <w:t>46</w:t>
        </w:r>
        <w:r>
          <w:rPr>
            <w:webHidden/>
          </w:rPr>
          <w:fldChar w:fldCharType="end"/>
        </w:r>
      </w:hyperlink>
    </w:p>
    <w:p w14:paraId="2884DA08" w14:textId="5D25DB28"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52" w:history="1">
        <w:r w:rsidRPr="001B63F5">
          <w:rPr>
            <w:rStyle w:val="Hyperlink"/>
          </w:rPr>
          <w:t>9</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National funding model arrangements</w:t>
        </w:r>
        <w:r>
          <w:rPr>
            <w:webHidden/>
          </w:rPr>
          <w:tab/>
        </w:r>
        <w:r>
          <w:rPr>
            <w:webHidden/>
          </w:rPr>
          <w:fldChar w:fldCharType="begin"/>
        </w:r>
        <w:r>
          <w:rPr>
            <w:webHidden/>
          </w:rPr>
          <w:instrText xml:space="preserve"> PAGEREF _Toc201148252 \h </w:instrText>
        </w:r>
        <w:r>
          <w:rPr>
            <w:webHidden/>
          </w:rPr>
        </w:r>
        <w:r>
          <w:rPr>
            <w:webHidden/>
          </w:rPr>
          <w:fldChar w:fldCharType="separate"/>
        </w:r>
        <w:r>
          <w:rPr>
            <w:webHidden/>
          </w:rPr>
          <w:t>49</w:t>
        </w:r>
        <w:r>
          <w:rPr>
            <w:webHidden/>
          </w:rPr>
          <w:fldChar w:fldCharType="end"/>
        </w:r>
      </w:hyperlink>
    </w:p>
    <w:p w14:paraId="0BAD27E5" w14:textId="36C985A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3" w:history="1">
        <w:r w:rsidRPr="001B63F5">
          <w:rPr>
            <w:rStyle w:val="Hyperlink"/>
          </w:rPr>
          <w:t>9.1</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classifications</w:t>
        </w:r>
        <w:r>
          <w:rPr>
            <w:webHidden/>
          </w:rPr>
          <w:tab/>
        </w:r>
        <w:r>
          <w:rPr>
            <w:webHidden/>
          </w:rPr>
          <w:fldChar w:fldCharType="begin"/>
        </w:r>
        <w:r>
          <w:rPr>
            <w:webHidden/>
          </w:rPr>
          <w:instrText xml:space="preserve"> PAGEREF _Toc201148253 \h </w:instrText>
        </w:r>
        <w:r>
          <w:rPr>
            <w:webHidden/>
          </w:rPr>
        </w:r>
        <w:r>
          <w:rPr>
            <w:webHidden/>
          </w:rPr>
          <w:fldChar w:fldCharType="separate"/>
        </w:r>
        <w:r>
          <w:rPr>
            <w:webHidden/>
          </w:rPr>
          <w:t>49</w:t>
        </w:r>
        <w:r>
          <w:rPr>
            <w:webHidden/>
          </w:rPr>
          <w:fldChar w:fldCharType="end"/>
        </w:r>
      </w:hyperlink>
    </w:p>
    <w:p w14:paraId="0CE03E82" w14:textId="210CA5ED"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4" w:history="1">
        <w:r w:rsidRPr="001B63F5">
          <w:rPr>
            <w:rStyle w:val="Hyperlink"/>
          </w:rPr>
          <w:t>9.2</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price weights</w:t>
        </w:r>
        <w:r>
          <w:rPr>
            <w:webHidden/>
          </w:rPr>
          <w:tab/>
        </w:r>
        <w:r>
          <w:rPr>
            <w:webHidden/>
          </w:rPr>
          <w:fldChar w:fldCharType="begin"/>
        </w:r>
        <w:r>
          <w:rPr>
            <w:webHidden/>
          </w:rPr>
          <w:instrText xml:space="preserve"> PAGEREF _Toc201148254 \h </w:instrText>
        </w:r>
        <w:r>
          <w:rPr>
            <w:webHidden/>
          </w:rPr>
        </w:r>
        <w:r>
          <w:rPr>
            <w:webHidden/>
          </w:rPr>
          <w:fldChar w:fldCharType="separate"/>
        </w:r>
        <w:r>
          <w:rPr>
            <w:webHidden/>
          </w:rPr>
          <w:t>49</w:t>
        </w:r>
        <w:r>
          <w:rPr>
            <w:webHidden/>
          </w:rPr>
          <w:fldChar w:fldCharType="end"/>
        </w:r>
      </w:hyperlink>
    </w:p>
    <w:p w14:paraId="11CAAB31" w14:textId="7E7D319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5" w:history="1">
        <w:r w:rsidRPr="001B63F5">
          <w:rPr>
            <w:rStyle w:val="Hyperlink"/>
          </w:rPr>
          <w:t>9.3</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efficient price</w:t>
        </w:r>
        <w:r>
          <w:rPr>
            <w:webHidden/>
          </w:rPr>
          <w:tab/>
        </w:r>
        <w:r>
          <w:rPr>
            <w:webHidden/>
          </w:rPr>
          <w:fldChar w:fldCharType="begin"/>
        </w:r>
        <w:r>
          <w:rPr>
            <w:webHidden/>
          </w:rPr>
          <w:instrText xml:space="preserve"> PAGEREF _Toc201148255 \h </w:instrText>
        </w:r>
        <w:r>
          <w:rPr>
            <w:webHidden/>
          </w:rPr>
        </w:r>
        <w:r>
          <w:rPr>
            <w:webHidden/>
          </w:rPr>
          <w:fldChar w:fldCharType="separate"/>
        </w:r>
        <w:r>
          <w:rPr>
            <w:webHidden/>
          </w:rPr>
          <w:t>49</w:t>
        </w:r>
        <w:r>
          <w:rPr>
            <w:webHidden/>
          </w:rPr>
          <w:fldChar w:fldCharType="end"/>
        </w:r>
      </w:hyperlink>
    </w:p>
    <w:p w14:paraId="27161F7D" w14:textId="41F13FB4"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6" w:history="1">
        <w:r w:rsidRPr="001B63F5">
          <w:rPr>
            <w:rStyle w:val="Hyperlink"/>
          </w:rPr>
          <w:t>9.4</w:t>
        </w:r>
        <w:r>
          <w:rPr>
            <w:rFonts w:asciiTheme="minorHAnsi" w:eastAsiaTheme="minorEastAsia" w:hAnsiTheme="minorHAnsi" w:cstheme="minorBidi"/>
            <w:kern w:val="2"/>
            <w:sz w:val="24"/>
            <w:szCs w:val="24"/>
            <w:lang w:eastAsia="en-AU"/>
            <w14:ligatures w14:val="standardContextual"/>
          </w:rPr>
          <w:tab/>
        </w:r>
        <w:r w:rsidRPr="001B63F5">
          <w:rPr>
            <w:rStyle w:val="Hyperlink"/>
          </w:rPr>
          <w:t>Adjustments to the national efficient price</w:t>
        </w:r>
        <w:r>
          <w:rPr>
            <w:webHidden/>
          </w:rPr>
          <w:tab/>
        </w:r>
        <w:r>
          <w:rPr>
            <w:webHidden/>
          </w:rPr>
          <w:fldChar w:fldCharType="begin"/>
        </w:r>
        <w:r>
          <w:rPr>
            <w:webHidden/>
          </w:rPr>
          <w:instrText xml:space="preserve"> PAGEREF _Toc201148256 \h </w:instrText>
        </w:r>
        <w:r>
          <w:rPr>
            <w:webHidden/>
          </w:rPr>
        </w:r>
        <w:r>
          <w:rPr>
            <w:webHidden/>
          </w:rPr>
          <w:fldChar w:fldCharType="separate"/>
        </w:r>
        <w:r>
          <w:rPr>
            <w:webHidden/>
          </w:rPr>
          <w:t>50</w:t>
        </w:r>
        <w:r>
          <w:rPr>
            <w:webHidden/>
          </w:rPr>
          <w:fldChar w:fldCharType="end"/>
        </w:r>
      </w:hyperlink>
    </w:p>
    <w:p w14:paraId="16C2CA17" w14:textId="6B3F98EA"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7" w:history="1">
        <w:r w:rsidRPr="001B63F5">
          <w:rPr>
            <w:rStyle w:val="Hyperlink"/>
          </w:rPr>
          <w:t>9.5</w:t>
        </w:r>
        <w:r>
          <w:rPr>
            <w:rFonts w:asciiTheme="minorHAnsi" w:eastAsiaTheme="minorEastAsia" w:hAnsiTheme="minorHAnsi" w:cstheme="minorBidi"/>
            <w:kern w:val="2"/>
            <w:sz w:val="24"/>
            <w:szCs w:val="24"/>
            <w:lang w:eastAsia="en-AU"/>
            <w14:ligatures w14:val="standardContextual"/>
          </w:rPr>
          <w:tab/>
        </w:r>
        <w:r w:rsidRPr="001B63F5">
          <w:rPr>
            <w:rStyle w:val="Hyperlink"/>
          </w:rPr>
          <w:t>Payment flows under the national funding approach</w:t>
        </w:r>
        <w:r>
          <w:rPr>
            <w:webHidden/>
          </w:rPr>
          <w:tab/>
        </w:r>
        <w:r>
          <w:rPr>
            <w:webHidden/>
          </w:rPr>
          <w:fldChar w:fldCharType="begin"/>
        </w:r>
        <w:r>
          <w:rPr>
            <w:webHidden/>
          </w:rPr>
          <w:instrText xml:space="preserve"> PAGEREF _Toc201148257 \h </w:instrText>
        </w:r>
        <w:r>
          <w:rPr>
            <w:webHidden/>
          </w:rPr>
        </w:r>
        <w:r>
          <w:rPr>
            <w:webHidden/>
          </w:rPr>
          <w:fldChar w:fldCharType="separate"/>
        </w:r>
        <w:r>
          <w:rPr>
            <w:webHidden/>
          </w:rPr>
          <w:t>50</w:t>
        </w:r>
        <w:r>
          <w:rPr>
            <w:webHidden/>
          </w:rPr>
          <w:fldChar w:fldCharType="end"/>
        </w:r>
      </w:hyperlink>
    </w:p>
    <w:p w14:paraId="49CF995D" w14:textId="7834948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58" w:history="1">
        <w:r w:rsidRPr="001B63F5">
          <w:rPr>
            <w:rStyle w:val="Hyperlink"/>
          </w:rPr>
          <w:t>10</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Prior-year adjustment: activity-based funding reconciliation</w:t>
        </w:r>
        <w:r>
          <w:rPr>
            <w:webHidden/>
          </w:rPr>
          <w:tab/>
        </w:r>
        <w:r>
          <w:rPr>
            <w:webHidden/>
          </w:rPr>
          <w:fldChar w:fldCharType="begin"/>
        </w:r>
        <w:r>
          <w:rPr>
            <w:webHidden/>
          </w:rPr>
          <w:instrText xml:space="preserve"> PAGEREF _Toc201148258 \h </w:instrText>
        </w:r>
        <w:r>
          <w:rPr>
            <w:webHidden/>
          </w:rPr>
        </w:r>
        <w:r>
          <w:rPr>
            <w:webHidden/>
          </w:rPr>
          <w:fldChar w:fldCharType="separate"/>
        </w:r>
        <w:r>
          <w:rPr>
            <w:webHidden/>
          </w:rPr>
          <w:t>51</w:t>
        </w:r>
        <w:r>
          <w:rPr>
            <w:webHidden/>
          </w:rPr>
          <w:fldChar w:fldCharType="end"/>
        </w:r>
      </w:hyperlink>
    </w:p>
    <w:p w14:paraId="3C3B69CA" w14:textId="3C9CC0A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59" w:history="1">
        <w:r w:rsidRPr="001B63F5">
          <w:rPr>
            <w:rStyle w:val="Hyperlink"/>
          </w:rPr>
          <w:t>10.1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funding recall policy</w:t>
        </w:r>
        <w:r>
          <w:rPr>
            <w:webHidden/>
          </w:rPr>
          <w:tab/>
        </w:r>
        <w:r>
          <w:rPr>
            <w:webHidden/>
          </w:rPr>
          <w:fldChar w:fldCharType="begin"/>
        </w:r>
        <w:r>
          <w:rPr>
            <w:webHidden/>
          </w:rPr>
          <w:instrText xml:space="preserve"> PAGEREF _Toc201148259 \h </w:instrText>
        </w:r>
        <w:r>
          <w:rPr>
            <w:webHidden/>
          </w:rPr>
        </w:r>
        <w:r>
          <w:rPr>
            <w:webHidden/>
          </w:rPr>
          <w:fldChar w:fldCharType="separate"/>
        </w:r>
        <w:r>
          <w:rPr>
            <w:webHidden/>
          </w:rPr>
          <w:t>51</w:t>
        </w:r>
        <w:r>
          <w:rPr>
            <w:webHidden/>
          </w:rPr>
          <w:fldChar w:fldCharType="end"/>
        </w:r>
      </w:hyperlink>
    </w:p>
    <w:p w14:paraId="4E563E87" w14:textId="32CF788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0" w:history="1">
        <w:r w:rsidRPr="001B63F5">
          <w:rPr>
            <w:rStyle w:val="Hyperlink"/>
          </w:rPr>
          <w:t>10.2</w:t>
        </w:r>
        <w:r>
          <w:rPr>
            <w:rFonts w:asciiTheme="minorHAnsi" w:eastAsiaTheme="minorEastAsia" w:hAnsiTheme="minorHAnsi" w:cstheme="minorBidi"/>
            <w:kern w:val="2"/>
            <w:sz w:val="24"/>
            <w:szCs w:val="24"/>
            <w:lang w:eastAsia="en-AU"/>
            <w14:ligatures w14:val="standardContextual"/>
          </w:rPr>
          <w:tab/>
        </w:r>
        <w:r w:rsidRPr="001B63F5">
          <w:rPr>
            <w:rStyle w:val="Hyperlink"/>
          </w:rPr>
          <w:t>Funding for throughput above target</w:t>
        </w:r>
        <w:r>
          <w:rPr>
            <w:webHidden/>
          </w:rPr>
          <w:tab/>
        </w:r>
        <w:r>
          <w:rPr>
            <w:webHidden/>
          </w:rPr>
          <w:fldChar w:fldCharType="begin"/>
        </w:r>
        <w:r>
          <w:rPr>
            <w:webHidden/>
          </w:rPr>
          <w:instrText xml:space="preserve"> PAGEREF _Toc201148260 \h </w:instrText>
        </w:r>
        <w:r>
          <w:rPr>
            <w:webHidden/>
          </w:rPr>
        </w:r>
        <w:r>
          <w:rPr>
            <w:webHidden/>
          </w:rPr>
          <w:fldChar w:fldCharType="separate"/>
        </w:r>
        <w:r>
          <w:rPr>
            <w:webHidden/>
          </w:rPr>
          <w:t>54</w:t>
        </w:r>
        <w:r>
          <w:rPr>
            <w:webHidden/>
          </w:rPr>
          <w:fldChar w:fldCharType="end"/>
        </w:r>
      </w:hyperlink>
    </w:p>
    <w:p w14:paraId="5DA99A35" w14:textId="73E9798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1" w:history="1">
        <w:r w:rsidRPr="001B63F5">
          <w:rPr>
            <w:rStyle w:val="Hyperlink"/>
          </w:rPr>
          <w:t>10.3</w:t>
        </w:r>
        <w:r>
          <w:rPr>
            <w:rFonts w:asciiTheme="minorHAnsi" w:eastAsiaTheme="minorEastAsia" w:hAnsiTheme="minorHAnsi" w:cstheme="minorBidi"/>
            <w:kern w:val="2"/>
            <w:sz w:val="24"/>
            <w:szCs w:val="24"/>
            <w:lang w:eastAsia="en-AU"/>
            <w14:ligatures w14:val="standardContextual"/>
          </w:rPr>
          <w:tab/>
        </w:r>
        <w:r w:rsidRPr="001B63F5">
          <w:rPr>
            <w:rStyle w:val="Hyperlink"/>
          </w:rPr>
          <w:t>Recall with respect to public and private activity mix changes</w:t>
        </w:r>
        <w:r>
          <w:rPr>
            <w:webHidden/>
          </w:rPr>
          <w:tab/>
        </w:r>
        <w:r>
          <w:rPr>
            <w:webHidden/>
          </w:rPr>
          <w:fldChar w:fldCharType="begin"/>
        </w:r>
        <w:r>
          <w:rPr>
            <w:webHidden/>
          </w:rPr>
          <w:instrText xml:space="preserve"> PAGEREF _Toc201148261 \h </w:instrText>
        </w:r>
        <w:r>
          <w:rPr>
            <w:webHidden/>
          </w:rPr>
        </w:r>
        <w:r>
          <w:rPr>
            <w:webHidden/>
          </w:rPr>
          <w:fldChar w:fldCharType="separate"/>
        </w:r>
        <w:r>
          <w:rPr>
            <w:webHidden/>
          </w:rPr>
          <w:t>55</w:t>
        </w:r>
        <w:r>
          <w:rPr>
            <w:webHidden/>
          </w:rPr>
          <w:fldChar w:fldCharType="end"/>
        </w:r>
      </w:hyperlink>
    </w:p>
    <w:p w14:paraId="4E8DC2F0" w14:textId="1B740E41"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2" w:history="1">
        <w:r w:rsidRPr="001B63F5">
          <w:rPr>
            <w:rStyle w:val="Hyperlink"/>
          </w:rPr>
          <w:t>10.4</w:t>
        </w:r>
        <w:r>
          <w:rPr>
            <w:rFonts w:asciiTheme="minorHAnsi" w:eastAsiaTheme="minorEastAsia" w:hAnsiTheme="minorHAnsi" w:cstheme="minorBidi"/>
            <w:kern w:val="2"/>
            <w:sz w:val="24"/>
            <w:szCs w:val="24"/>
            <w:lang w:eastAsia="en-AU"/>
            <w14:ligatures w14:val="standardContextual"/>
          </w:rPr>
          <w:tab/>
        </w:r>
        <w:r w:rsidRPr="001B63F5">
          <w:rPr>
            <w:rStyle w:val="Hyperlink"/>
          </w:rPr>
          <w:t>Reconciliation of National Health Reform Commonwealth contributions</w:t>
        </w:r>
        <w:r>
          <w:rPr>
            <w:webHidden/>
          </w:rPr>
          <w:tab/>
        </w:r>
        <w:r>
          <w:rPr>
            <w:webHidden/>
          </w:rPr>
          <w:fldChar w:fldCharType="begin"/>
        </w:r>
        <w:r>
          <w:rPr>
            <w:webHidden/>
          </w:rPr>
          <w:instrText xml:space="preserve"> PAGEREF _Toc201148262 \h </w:instrText>
        </w:r>
        <w:r>
          <w:rPr>
            <w:webHidden/>
          </w:rPr>
        </w:r>
        <w:r>
          <w:rPr>
            <w:webHidden/>
          </w:rPr>
          <w:fldChar w:fldCharType="separate"/>
        </w:r>
        <w:r>
          <w:rPr>
            <w:webHidden/>
          </w:rPr>
          <w:t>55</w:t>
        </w:r>
        <w:r>
          <w:rPr>
            <w:webHidden/>
          </w:rPr>
          <w:fldChar w:fldCharType="end"/>
        </w:r>
      </w:hyperlink>
    </w:p>
    <w:p w14:paraId="2F7C494E" w14:textId="48B7F151"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3" w:history="1">
        <w:r w:rsidRPr="001B63F5">
          <w:rPr>
            <w:rStyle w:val="Hyperlink"/>
          </w:rPr>
          <w:t>10.5</w:t>
        </w:r>
        <w:r>
          <w:rPr>
            <w:rFonts w:asciiTheme="minorHAnsi" w:eastAsiaTheme="minorEastAsia" w:hAnsiTheme="minorHAnsi" w:cstheme="minorBidi"/>
            <w:kern w:val="2"/>
            <w:sz w:val="24"/>
            <w:szCs w:val="24"/>
            <w:lang w:eastAsia="en-AU"/>
            <w14:ligatures w14:val="standardContextual"/>
          </w:rPr>
          <w:tab/>
        </w:r>
        <w:r w:rsidRPr="001B63F5">
          <w:rPr>
            <w:rStyle w:val="Hyperlink"/>
          </w:rPr>
          <w:t>Reconciliation of pricing for safety and quality adjustments</w:t>
        </w:r>
        <w:r>
          <w:rPr>
            <w:webHidden/>
          </w:rPr>
          <w:tab/>
        </w:r>
        <w:r>
          <w:rPr>
            <w:webHidden/>
          </w:rPr>
          <w:fldChar w:fldCharType="begin"/>
        </w:r>
        <w:r>
          <w:rPr>
            <w:webHidden/>
          </w:rPr>
          <w:instrText xml:space="preserve"> PAGEREF _Toc201148263 \h </w:instrText>
        </w:r>
        <w:r>
          <w:rPr>
            <w:webHidden/>
          </w:rPr>
        </w:r>
        <w:r>
          <w:rPr>
            <w:webHidden/>
          </w:rPr>
          <w:fldChar w:fldCharType="separate"/>
        </w:r>
        <w:r>
          <w:rPr>
            <w:webHidden/>
          </w:rPr>
          <w:t>55</w:t>
        </w:r>
        <w:r>
          <w:rPr>
            <w:webHidden/>
          </w:rPr>
          <w:fldChar w:fldCharType="end"/>
        </w:r>
      </w:hyperlink>
    </w:p>
    <w:p w14:paraId="4E150030" w14:textId="6515C6F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4" w:history="1">
        <w:r w:rsidRPr="001B63F5">
          <w:rPr>
            <w:rStyle w:val="Hyperlink"/>
          </w:rPr>
          <w:t>10.6</w:t>
        </w:r>
        <w:r>
          <w:rPr>
            <w:rFonts w:asciiTheme="minorHAnsi" w:eastAsiaTheme="minorEastAsia" w:hAnsiTheme="minorHAnsi" w:cstheme="minorBidi"/>
            <w:kern w:val="2"/>
            <w:sz w:val="24"/>
            <w:szCs w:val="24"/>
            <w:lang w:eastAsia="en-AU"/>
            <w14:ligatures w14:val="standardContextual"/>
          </w:rPr>
          <w:tab/>
        </w:r>
        <w:r w:rsidRPr="001B63F5">
          <w:rPr>
            <w:rStyle w:val="Hyperlink"/>
          </w:rPr>
          <w:t>NWAU reports</w:t>
        </w:r>
        <w:r>
          <w:rPr>
            <w:webHidden/>
          </w:rPr>
          <w:tab/>
        </w:r>
        <w:r>
          <w:rPr>
            <w:webHidden/>
          </w:rPr>
          <w:fldChar w:fldCharType="begin"/>
        </w:r>
        <w:r>
          <w:rPr>
            <w:webHidden/>
          </w:rPr>
          <w:instrText xml:space="preserve"> PAGEREF _Toc201148264 \h </w:instrText>
        </w:r>
        <w:r>
          <w:rPr>
            <w:webHidden/>
          </w:rPr>
        </w:r>
        <w:r>
          <w:rPr>
            <w:webHidden/>
          </w:rPr>
          <w:fldChar w:fldCharType="separate"/>
        </w:r>
        <w:r>
          <w:rPr>
            <w:webHidden/>
          </w:rPr>
          <w:t>55</w:t>
        </w:r>
        <w:r>
          <w:rPr>
            <w:webHidden/>
          </w:rPr>
          <w:fldChar w:fldCharType="end"/>
        </w:r>
      </w:hyperlink>
    </w:p>
    <w:p w14:paraId="16B51CE3" w14:textId="41554920"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65" w:history="1">
        <w:r w:rsidRPr="001B63F5">
          <w:rPr>
            <w:rStyle w:val="Hyperlink"/>
          </w:rPr>
          <w:t>11</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Calculating funding recall and adjustment</w:t>
        </w:r>
        <w:r>
          <w:rPr>
            <w:webHidden/>
          </w:rPr>
          <w:tab/>
        </w:r>
        <w:r>
          <w:rPr>
            <w:webHidden/>
          </w:rPr>
          <w:fldChar w:fldCharType="begin"/>
        </w:r>
        <w:r>
          <w:rPr>
            <w:webHidden/>
          </w:rPr>
          <w:instrText xml:space="preserve"> PAGEREF _Toc201148265 \h </w:instrText>
        </w:r>
        <w:r>
          <w:rPr>
            <w:webHidden/>
          </w:rPr>
        </w:r>
        <w:r>
          <w:rPr>
            <w:webHidden/>
          </w:rPr>
          <w:fldChar w:fldCharType="separate"/>
        </w:r>
        <w:r>
          <w:rPr>
            <w:webHidden/>
          </w:rPr>
          <w:t>57</w:t>
        </w:r>
        <w:r>
          <w:rPr>
            <w:webHidden/>
          </w:rPr>
          <w:fldChar w:fldCharType="end"/>
        </w:r>
      </w:hyperlink>
    </w:p>
    <w:p w14:paraId="3D21F613" w14:textId="5770212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6" w:history="1">
        <w:r w:rsidRPr="001B63F5">
          <w:rPr>
            <w:rStyle w:val="Hyperlink"/>
          </w:rPr>
          <w:t>11.1</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NWAU funding recall</w:t>
        </w:r>
        <w:r>
          <w:rPr>
            <w:webHidden/>
          </w:rPr>
          <w:tab/>
        </w:r>
        <w:r>
          <w:rPr>
            <w:webHidden/>
          </w:rPr>
          <w:fldChar w:fldCharType="begin"/>
        </w:r>
        <w:r>
          <w:rPr>
            <w:webHidden/>
          </w:rPr>
          <w:instrText xml:space="preserve"> PAGEREF _Toc201148266 \h </w:instrText>
        </w:r>
        <w:r>
          <w:rPr>
            <w:webHidden/>
          </w:rPr>
        </w:r>
        <w:r>
          <w:rPr>
            <w:webHidden/>
          </w:rPr>
          <w:fldChar w:fldCharType="separate"/>
        </w:r>
        <w:r>
          <w:rPr>
            <w:webHidden/>
          </w:rPr>
          <w:t>57</w:t>
        </w:r>
        <w:r>
          <w:rPr>
            <w:webHidden/>
          </w:rPr>
          <w:fldChar w:fldCharType="end"/>
        </w:r>
      </w:hyperlink>
    </w:p>
    <w:p w14:paraId="5AEA06ED" w14:textId="61D19A7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7" w:history="1">
        <w:r w:rsidRPr="001B63F5">
          <w:rPr>
            <w:rStyle w:val="Hyperlink"/>
          </w:rPr>
          <w:t>11.2</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HAC NWAU growth-funding adjustment</w:t>
        </w:r>
        <w:r>
          <w:rPr>
            <w:webHidden/>
          </w:rPr>
          <w:tab/>
        </w:r>
        <w:r>
          <w:rPr>
            <w:webHidden/>
          </w:rPr>
          <w:fldChar w:fldCharType="begin"/>
        </w:r>
        <w:r>
          <w:rPr>
            <w:webHidden/>
          </w:rPr>
          <w:instrText xml:space="preserve"> PAGEREF _Toc201148267 \h </w:instrText>
        </w:r>
        <w:r>
          <w:rPr>
            <w:webHidden/>
          </w:rPr>
        </w:r>
        <w:r>
          <w:rPr>
            <w:webHidden/>
          </w:rPr>
          <w:fldChar w:fldCharType="separate"/>
        </w:r>
        <w:r>
          <w:rPr>
            <w:webHidden/>
          </w:rPr>
          <w:t>57</w:t>
        </w:r>
        <w:r>
          <w:rPr>
            <w:webHidden/>
          </w:rPr>
          <w:fldChar w:fldCharType="end"/>
        </w:r>
      </w:hyperlink>
    </w:p>
    <w:p w14:paraId="5F188BA3" w14:textId="144C805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8" w:history="1">
        <w:r w:rsidRPr="001B63F5">
          <w:rPr>
            <w:rStyle w:val="Hyperlink"/>
          </w:rPr>
          <w:t>11.3</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AHR NWAU growth-funding adjustment</w:t>
        </w:r>
        <w:r>
          <w:rPr>
            <w:webHidden/>
          </w:rPr>
          <w:tab/>
        </w:r>
        <w:r>
          <w:rPr>
            <w:webHidden/>
          </w:rPr>
          <w:fldChar w:fldCharType="begin"/>
        </w:r>
        <w:r>
          <w:rPr>
            <w:webHidden/>
          </w:rPr>
          <w:instrText xml:space="preserve"> PAGEREF _Toc201148268 \h </w:instrText>
        </w:r>
        <w:r>
          <w:rPr>
            <w:webHidden/>
          </w:rPr>
        </w:r>
        <w:r>
          <w:rPr>
            <w:webHidden/>
          </w:rPr>
          <w:fldChar w:fldCharType="separate"/>
        </w:r>
        <w:r>
          <w:rPr>
            <w:webHidden/>
          </w:rPr>
          <w:t>57</w:t>
        </w:r>
        <w:r>
          <w:rPr>
            <w:webHidden/>
          </w:rPr>
          <w:fldChar w:fldCharType="end"/>
        </w:r>
      </w:hyperlink>
    </w:p>
    <w:p w14:paraId="4BB1C860" w14:textId="5DD4C13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9" w:history="1">
        <w:r w:rsidRPr="001B63F5">
          <w:rPr>
            <w:rStyle w:val="Hyperlink"/>
          </w:rPr>
          <w:t>11.4</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TAC, WorkSafe or Department of Veterans’ Affairs NWAU funding recall</w:t>
        </w:r>
        <w:r>
          <w:rPr>
            <w:webHidden/>
          </w:rPr>
          <w:tab/>
        </w:r>
        <w:r>
          <w:rPr>
            <w:webHidden/>
          </w:rPr>
          <w:fldChar w:fldCharType="begin"/>
        </w:r>
        <w:r>
          <w:rPr>
            <w:webHidden/>
          </w:rPr>
          <w:instrText xml:space="preserve"> PAGEREF _Toc201148269 \h </w:instrText>
        </w:r>
        <w:r>
          <w:rPr>
            <w:webHidden/>
          </w:rPr>
        </w:r>
        <w:r>
          <w:rPr>
            <w:webHidden/>
          </w:rPr>
          <w:fldChar w:fldCharType="separate"/>
        </w:r>
        <w:r>
          <w:rPr>
            <w:webHidden/>
          </w:rPr>
          <w:t>57</w:t>
        </w:r>
        <w:r>
          <w:rPr>
            <w:webHidden/>
          </w:rPr>
          <w:fldChar w:fldCharType="end"/>
        </w:r>
      </w:hyperlink>
    </w:p>
    <w:p w14:paraId="7E60F4BF" w14:textId="6D677834"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70" w:history="1">
        <w:r w:rsidRPr="001B63F5">
          <w:rPr>
            <w:rStyle w:val="Hyperlink"/>
          </w:rPr>
          <w:t>12</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Payments and cash flow</w:t>
        </w:r>
        <w:r>
          <w:rPr>
            <w:webHidden/>
          </w:rPr>
          <w:tab/>
        </w:r>
        <w:r>
          <w:rPr>
            <w:webHidden/>
          </w:rPr>
          <w:fldChar w:fldCharType="begin"/>
        </w:r>
        <w:r>
          <w:rPr>
            <w:webHidden/>
          </w:rPr>
          <w:instrText xml:space="preserve"> PAGEREF _Toc201148270 \h </w:instrText>
        </w:r>
        <w:r>
          <w:rPr>
            <w:webHidden/>
          </w:rPr>
        </w:r>
        <w:r>
          <w:rPr>
            <w:webHidden/>
          </w:rPr>
          <w:fldChar w:fldCharType="separate"/>
        </w:r>
        <w:r>
          <w:rPr>
            <w:webHidden/>
          </w:rPr>
          <w:t>59</w:t>
        </w:r>
        <w:r>
          <w:rPr>
            <w:webHidden/>
          </w:rPr>
          <w:fldChar w:fldCharType="end"/>
        </w:r>
      </w:hyperlink>
    </w:p>
    <w:p w14:paraId="689A3679" w14:textId="4F1D2770"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1" w:history="1">
        <w:r w:rsidRPr="001B63F5">
          <w:rPr>
            <w:rStyle w:val="Hyperlink"/>
          </w:rPr>
          <w:t>12.1</w:t>
        </w:r>
        <w:r>
          <w:rPr>
            <w:rFonts w:asciiTheme="minorHAnsi" w:eastAsiaTheme="minorEastAsia" w:hAnsiTheme="minorHAnsi" w:cstheme="minorBidi"/>
            <w:kern w:val="2"/>
            <w:sz w:val="24"/>
            <w:szCs w:val="24"/>
            <w:lang w:eastAsia="en-AU"/>
            <w14:ligatures w14:val="standardContextual"/>
          </w:rPr>
          <w:tab/>
        </w:r>
        <w:r w:rsidRPr="001B63F5">
          <w:rPr>
            <w:rStyle w:val="Hyperlink"/>
          </w:rPr>
          <w:t>Use of contracts</w:t>
        </w:r>
        <w:r>
          <w:rPr>
            <w:webHidden/>
          </w:rPr>
          <w:tab/>
        </w:r>
        <w:r>
          <w:rPr>
            <w:webHidden/>
          </w:rPr>
          <w:fldChar w:fldCharType="begin"/>
        </w:r>
        <w:r>
          <w:rPr>
            <w:webHidden/>
          </w:rPr>
          <w:instrText xml:space="preserve"> PAGEREF _Toc201148271 \h </w:instrText>
        </w:r>
        <w:r>
          <w:rPr>
            <w:webHidden/>
          </w:rPr>
        </w:r>
        <w:r>
          <w:rPr>
            <w:webHidden/>
          </w:rPr>
          <w:fldChar w:fldCharType="separate"/>
        </w:r>
        <w:r>
          <w:rPr>
            <w:webHidden/>
          </w:rPr>
          <w:t>59</w:t>
        </w:r>
        <w:r>
          <w:rPr>
            <w:webHidden/>
          </w:rPr>
          <w:fldChar w:fldCharType="end"/>
        </w:r>
      </w:hyperlink>
    </w:p>
    <w:p w14:paraId="7F28C028" w14:textId="3E3432C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2" w:history="1">
        <w:r w:rsidRPr="001B63F5">
          <w:rPr>
            <w:rStyle w:val="Hyperlink"/>
          </w:rPr>
          <w:t>12.2</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service fees and charges</w:t>
        </w:r>
        <w:r>
          <w:rPr>
            <w:webHidden/>
          </w:rPr>
          <w:tab/>
        </w:r>
        <w:r>
          <w:rPr>
            <w:webHidden/>
          </w:rPr>
          <w:fldChar w:fldCharType="begin"/>
        </w:r>
        <w:r>
          <w:rPr>
            <w:webHidden/>
          </w:rPr>
          <w:instrText xml:space="preserve"> PAGEREF _Toc201148272 \h </w:instrText>
        </w:r>
        <w:r>
          <w:rPr>
            <w:webHidden/>
          </w:rPr>
        </w:r>
        <w:r>
          <w:rPr>
            <w:webHidden/>
          </w:rPr>
          <w:fldChar w:fldCharType="separate"/>
        </w:r>
        <w:r>
          <w:rPr>
            <w:webHidden/>
          </w:rPr>
          <w:t>59</w:t>
        </w:r>
        <w:r>
          <w:rPr>
            <w:webHidden/>
          </w:rPr>
          <w:fldChar w:fldCharType="end"/>
        </w:r>
      </w:hyperlink>
    </w:p>
    <w:p w14:paraId="5960B691" w14:textId="1400B624"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3" w:history="1">
        <w:r w:rsidRPr="001B63F5">
          <w:rPr>
            <w:rStyle w:val="Hyperlink"/>
          </w:rPr>
          <w:t>12.3</w:t>
        </w:r>
        <w:r>
          <w:rPr>
            <w:rFonts w:asciiTheme="minorHAnsi" w:eastAsiaTheme="minorEastAsia" w:hAnsiTheme="minorHAnsi" w:cstheme="minorBidi"/>
            <w:kern w:val="2"/>
            <w:sz w:val="24"/>
            <w:szCs w:val="24"/>
            <w:lang w:eastAsia="en-AU"/>
            <w14:ligatures w14:val="standardContextual"/>
          </w:rPr>
          <w:tab/>
        </w:r>
        <w:r w:rsidRPr="001B63F5">
          <w:rPr>
            <w:rStyle w:val="Hyperlink"/>
          </w:rPr>
          <w:t>Facility-based renal dialysis</w:t>
        </w:r>
        <w:r>
          <w:rPr>
            <w:webHidden/>
          </w:rPr>
          <w:tab/>
        </w:r>
        <w:r>
          <w:rPr>
            <w:webHidden/>
          </w:rPr>
          <w:fldChar w:fldCharType="begin"/>
        </w:r>
        <w:r>
          <w:rPr>
            <w:webHidden/>
          </w:rPr>
          <w:instrText xml:space="preserve"> PAGEREF _Toc201148273 \h </w:instrText>
        </w:r>
        <w:r>
          <w:rPr>
            <w:webHidden/>
          </w:rPr>
        </w:r>
        <w:r>
          <w:rPr>
            <w:webHidden/>
          </w:rPr>
          <w:fldChar w:fldCharType="separate"/>
        </w:r>
        <w:r>
          <w:rPr>
            <w:webHidden/>
          </w:rPr>
          <w:t>59</w:t>
        </w:r>
        <w:r>
          <w:rPr>
            <w:webHidden/>
          </w:rPr>
          <w:fldChar w:fldCharType="end"/>
        </w:r>
      </w:hyperlink>
    </w:p>
    <w:p w14:paraId="6E48B236" w14:textId="3090157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4" w:history="1">
        <w:r w:rsidRPr="001B63F5">
          <w:rPr>
            <w:rStyle w:val="Hyperlink"/>
          </w:rPr>
          <w:t>12.4</w:t>
        </w:r>
        <w:r>
          <w:rPr>
            <w:rFonts w:asciiTheme="minorHAnsi" w:eastAsiaTheme="minorEastAsia" w:hAnsiTheme="minorHAnsi" w:cstheme="minorBidi"/>
            <w:kern w:val="2"/>
            <w:sz w:val="24"/>
            <w:szCs w:val="24"/>
            <w:lang w:eastAsia="en-AU"/>
            <w14:ligatures w14:val="standardContextual"/>
          </w:rPr>
          <w:tab/>
        </w:r>
        <w:r w:rsidRPr="001B63F5">
          <w:rPr>
            <w:rStyle w:val="Hyperlink"/>
          </w:rPr>
          <w:t>Private patient accommodation charges</w:t>
        </w:r>
        <w:r>
          <w:rPr>
            <w:webHidden/>
          </w:rPr>
          <w:tab/>
        </w:r>
        <w:r>
          <w:rPr>
            <w:webHidden/>
          </w:rPr>
          <w:fldChar w:fldCharType="begin"/>
        </w:r>
        <w:r>
          <w:rPr>
            <w:webHidden/>
          </w:rPr>
          <w:instrText xml:space="preserve"> PAGEREF _Toc201148274 \h </w:instrText>
        </w:r>
        <w:r>
          <w:rPr>
            <w:webHidden/>
          </w:rPr>
        </w:r>
        <w:r>
          <w:rPr>
            <w:webHidden/>
          </w:rPr>
          <w:fldChar w:fldCharType="separate"/>
        </w:r>
        <w:r>
          <w:rPr>
            <w:webHidden/>
          </w:rPr>
          <w:t>60</w:t>
        </w:r>
        <w:r>
          <w:rPr>
            <w:webHidden/>
          </w:rPr>
          <w:fldChar w:fldCharType="end"/>
        </w:r>
      </w:hyperlink>
    </w:p>
    <w:p w14:paraId="75E9C424" w14:textId="379C216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5" w:history="1">
        <w:r w:rsidRPr="001B63F5">
          <w:rPr>
            <w:rStyle w:val="Hyperlink"/>
          </w:rPr>
          <w:t>12.5</w:t>
        </w:r>
        <w:r>
          <w:rPr>
            <w:rFonts w:asciiTheme="minorHAnsi" w:eastAsiaTheme="minorEastAsia" w:hAnsiTheme="minorHAnsi" w:cstheme="minorBidi"/>
            <w:kern w:val="2"/>
            <w:sz w:val="24"/>
            <w:szCs w:val="24"/>
            <w:lang w:eastAsia="en-AU"/>
            <w14:ligatures w14:val="standardContextual"/>
          </w:rPr>
          <w:tab/>
        </w:r>
        <w:r w:rsidRPr="001B63F5">
          <w:rPr>
            <w:rStyle w:val="Hyperlink"/>
          </w:rPr>
          <w:t>Doctors in training secondment arrangements</w:t>
        </w:r>
        <w:r>
          <w:rPr>
            <w:webHidden/>
          </w:rPr>
          <w:tab/>
        </w:r>
        <w:r>
          <w:rPr>
            <w:webHidden/>
          </w:rPr>
          <w:fldChar w:fldCharType="begin"/>
        </w:r>
        <w:r>
          <w:rPr>
            <w:webHidden/>
          </w:rPr>
          <w:instrText xml:space="preserve"> PAGEREF _Toc201148275 \h </w:instrText>
        </w:r>
        <w:r>
          <w:rPr>
            <w:webHidden/>
          </w:rPr>
        </w:r>
        <w:r>
          <w:rPr>
            <w:webHidden/>
          </w:rPr>
          <w:fldChar w:fldCharType="separate"/>
        </w:r>
        <w:r>
          <w:rPr>
            <w:webHidden/>
          </w:rPr>
          <w:t>60</w:t>
        </w:r>
        <w:r>
          <w:rPr>
            <w:webHidden/>
          </w:rPr>
          <w:fldChar w:fldCharType="end"/>
        </w:r>
      </w:hyperlink>
    </w:p>
    <w:p w14:paraId="2416831B" w14:textId="0349E9E8"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76" w:history="1">
        <w:r w:rsidRPr="001B63F5">
          <w:rPr>
            <w:rStyle w:val="Hyperlink"/>
          </w:rPr>
          <w:t>13</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Price tables</w:t>
        </w:r>
        <w:r>
          <w:rPr>
            <w:webHidden/>
          </w:rPr>
          <w:tab/>
        </w:r>
        <w:r>
          <w:rPr>
            <w:webHidden/>
          </w:rPr>
          <w:fldChar w:fldCharType="begin"/>
        </w:r>
        <w:r>
          <w:rPr>
            <w:webHidden/>
          </w:rPr>
          <w:instrText xml:space="preserve"> PAGEREF _Toc201148276 \h </w:instrText>
        </w:r>
        <w:r>
          <w:rPr>
            <w:webHidden/>
          </w:rPr>
        </w:r>
        <w:r>
          <w:rPr>
            <w:webHidden/>
          </w:rPr>
          <w:fldChar w:fldCharType="separate"/>
        </w:r>
        <w:r>
          <w:rPr>
            <w:webHidden/>
          </w:rPr>
          <w:t>61</w:t>
        </w:r>
        <w:r>
          <w:rPr>
            <w:webHidden/>
          </w:rPr>
          <w:fldChar w:fldCharType="end"/>
        </w:r>
      </w:hyperlink>
    </w:p>
    <w:p w14:paraId="0EB05730" w14:textId="1F8B6A1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7" w:history="1">
        <w:r w:rsidRPr="001B63F5">
          <w:rPr>
            <w:rStyle w:val="Hyperlink"/>
          </w:rPr>
          <w:t>13.1</w:t>
        </w:r>
        <w:r>
          <w:rPr>
            <w:rFonts w:asciiTheme="minorHAnsi" w:eastAsiaTheme="minorEastAsia" w:hAnsiTheme="minorHAnsi" w:cstheme="minorBidi"/>
            <w:kern w:val="2"/>
            <w:sz w:val="24"/>
            <w:szCs w:val="24"/>
            <w:lang w:eastAsia="en-AU"/>
            <w14:ligatures w14:val="standardContextual"/>
          </w:rPr>
          <w:tab/>
        </w:r>
        <w:r w:rsidRPr="001B63F5">
          <w:rPr>
            <w:rStyle w:val="Hyperlink"/>
          </w:rPr>
          <w:t>NWAU 2025–26</w:t>
        </w:r>
        <w:r>
          <w:rPr>
            <w:webHidden/>
          </w:rPr>
          <w:tab/>
        </w:r>
        <w:r>
          <w:rPr>
            <w:webHidden/>
          </w:rPr>
          <w:fldChar w:fldCharType="begin"/>
        </w:r>
        <w:r>
          <w:rPr>
            <w:webHidden/>
          </w:rPr>
          <w:instrText xml:space="preserve"> PAGEREF _Toc201148277 \h </w:instrText>
        </w:r>
        <w:r>
          <w:rPr>
            <w:webHidden/>
          </w:rPr>
        </w:r>
        <w:r>
          <w:rPr>
            <w:webHidden/>
          </w:rPr>
          <w:fldChar w:fldCharType="separate"/>
        </w:r>
        <w:r>
          <w:rPr>
            <w:webHidden/>
          </w:rPr>
          <w:t>61</w:t>
        </w:r>
        <w:r>
          <w:rPr>
            <w:webHidden/>
          </w:rPr>
          <w:fldChar w:fldCharType="end"/>
        </w:r>
      </w:hyperlink>
    </w:p>
    <w:p w14:paraId="1E0D7EA4" w14:textId="6835863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8" w:history="1">
        <w:r w:rsidRPr="001B63F5">
          <w:rPr>
            <w:rStyle w:val="Hyperlink"/>
          </w:rPr>
          <w:t>13.2</w:t>
        </w:r>
        <w:r>
          <w:rPr>
            <w:rFonts w:asciiTheme="minorHAnsi" w:eastAsiaTheme="minorEastAsia" w:hAnsiTheme="minorHAnsi" w:cstheme="minorBidi"/>
            <w:kern w:val="2"/>
            <w:sz w:val="24"/>
            <w:szCs w:val="24"/>
            <w:lang w:eastAsia="en-AU"/>
            <w14:ligatures w14:val="standardContextual"/>
          </w:rPr>
          <w:tab/>
        </w:r>
        <w:r w:rsidRPr="001B63F5">
          <w:rPr>
            <w:rStyle w:val="Hyperlink"/>
          </w:rPr>
          <w:t>Other price-based activity</w:t>
        </w:r>
        <w:r>
          <w:rPr>
            <w:webHidden/>
          </w:rPr>
          <w:tab/>
        </w:r>
        <w:r>
          <w:rPr>
            <w:webHidden/>
          </w:rPr>
          <w:fldChar w:fldCharType="begin"/>
        </w:r>
        <w:r>
          <w:rPr>
            <w:webHidden/>
          </w:rPr>
          <w:instrText xml:space="preserve"> PAGEREF _Toc201148278 \h </w:instrText>
        </w:r>
        <w:r>
          <w:rPr>
            <w:webHidden/>
          </w:rPr>
        </w:r>
        <w:r>
          <w:rPr>
            <w:webHidden/>
          </w:rPr>
          <w:fldChar w:fldCharType="separate"/>
        </w:r>
        <w:r>
          <w:rPr>
            <w:webHidden/>
          </w:rPr>
          <w:t>61</w:t>
        </w:r>
        <w:r>
          <w:rPr>
            <w:webHidden/>
          </w:rPr>
          <w:fldChar w:fldCharType="end"/>
        </w:r>
      </w:hyperlink>
    </w:p>
    <w:p w14:paraId="06C027E2" w14:textId="3BCA870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9" w:history="1">
        <w:r w:rsidRPr="001B63F5">
          <w:rPr>
            <w:rStyle w:val="Hyperlink"/>
          </w:rPr>
          <w:t>13.3</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services</w:t>
        </w:r>
        <w:r>
          <w:rPr>
            <w:webHidden/>
          </w:rPr>
          <w:tab/>
        </w:r>
        <w:r>
          <w:rPr>
            <w:webHidden/>
          </w:rPr>
          <w:fldChar w:fldCharType="begin"/>
        </w:r>
        <w:r>
          <w:rPr>
            <w:webHidden/>
          </w:rPr>
          <w:instrText xml:space="preserve"> PAGEREF _Toc201148279 \h </w:instrText>
        </w:r>
        <w:r>
          <w:rPr>
            <w:webHidden/>
          </w:rPr>
        </w:r>
        <w:r>
          <w:rPr>
            <w:webHidden/>
          </w:rPr>
          <w:fldChar w:fldCharType="separate"/>
        </w:r>
        <w:r>
          <w:rPr>
            <w:webHidden/>
          </w:rPr>
          <w:t>62</w:t>
        </w:r>
        <w:r>
          <w:rPr>
            <w:webHidden/>
          </w:rPr>
          <w:fldChar w:fldCharType="end"/>
        </w:r>
      </w:hyperlink>
    </w:p>
    <w:p w14:paraId="14C6B576" w14:textId="3E9B7EE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0" w:history="1">
        <w:r w:rsidRPr="001B63F5">
          <w:rPr>
            <w:rStyle w:val="Hyperlink"/>
          </w:rPr>
          <w:t>13.4</w:t>
        </w:r>
        <w:r>
          <w:rPr>
            <w:rFonts w:asciiTheme="minorHAnsi" w:eastAsiaTheme="minorEastAsia" w:hAnsiTheme="minorHAnsi" w:cstheme="minorBidi"/>
            <w:kern w:val="2"/>
            <w:sz w:val="24"/>
            <w:szCs w:val="24"/>
            <w:lang w:eastAsia="en-AU"/>
            <w14:ligatures w14:val="standardContextual"/>
          </w:rPr>
          <w:tab/>
        </w:r>
        <w:r w:rsidRPr="001B63F5">
          <w:rPr>
            <w:rStyle w:val="Hyperlink"/>
          </w:rPr>
          <w:t>Early Parenting Centres</w:t>
        </w:r>
        <w:r>
          <w:rPr>
            <w:webHidden/>
          </w:rPr>
          <w:tab/>
        </w:r>
        <w:r>
          <w:rPr>
            <w:webHidden/>
          </w:rPr>
          <w:fldChar w:fldCharType="begin"/>
        </w:r>
        <w:r>
          <w:rPr>
            <w:webHidden/>
          </w:rPr>
          <w:instrText xml:space="preserve"> PAGEREF _Toc201148280 \h </w:instrText>
        </w:r>
        <w:r>
          <w:rPr>
            <w:webHidden/>
          </w:rPr>
        </w:r>
        <w:r>
          <w:rPr>
            <w:webHidden/>
          </w:rPr>
          <w:fldChar w:fldCharType="separate"/>
        </w:r>
        <w:r>
          <w:rPr>
            <w:webHidden/>
          </w:rPr>
          <w:t>64</w:t>
        </w:r>
        <w:r>
          <w:rPr>
            <w:webHidden/>
          </w:rPr>
          <w:fldChar w:fldCharType="end"/>
        </w:r>
      </w:hyperlink>
    </w:p>
    <w:p w14:paraId="262C37BA" w14:textId="69EABA4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1" w:history="1">
        <w:r w:rsidRPr="001B63F5">
          <w:rPr>
            <w:rStyle w:val="Hyperlink"/>
          </w:rPr>
          <w:t>13.5</w:t>
        </w:r>
        <w:r>
          <w:rPr>
            <w:rFonts w:asciiTheme="minorHAnsi" w:eastAsiaTheme="minorEastAsia" w:hAnsiTheme="minorHAnsi" w:cstheme="minorBidi"/>
            <w:kern w:val="2"/>
            <w:sz w:val="24"/>
            <w:szCs w:val="24"/>
            <w:lang w:eastAsia="en-AU"/>
            <w14:ligatures w14:val="standardContextual"/>
          </w:rPr>
          <w:tab/>
        </w:r>
        <w:r w:rsidRPr="001B63F5">
          <w:rPr>
            <w:rStyle w:val="Hyperlink"/>
          </w:rPr>
          <w:t>Ageing, aged and home care</w:t>
        </w:r>
        <w:r>
          <w:rPr>
            <w:webHidden/>
          </w:rPr>
          <w:tab/>
        </w:r>
        <w:r>
          <w:rPr>
            <w:webHidden/>
          </w:rPr>
          <w:fldChar w:fldCharType="begin"/>
        </w:r>
        <w:r>
          <w:rPr>
            <w:webHidden/>
          </w:rPr>
          <w:instrText xml:space="preserve"> PAGEREF _Toc201148281 \h </w:instrText>
        </w:r>
        <w:r>
          <w:rPr>
            <w:webHidden/>
          </w:rPr>
        </w:r>
        <w:r>
          <w:rPr>
            <w:webHidden/>
          </w:rPr>
          <w:fldChar w:fldCharType="separate"/>
        </w:r>
        <w:r>
          <w:rPr>
            <w:webHidden/>
          </w:rPr>
          <w:t>64</w:t>
        </w:r>
        <w:r>
          <w:rPr>
            <w:webHidden/>
          </w:rPr>
          <w:fldChar w:fldCharType="end"/>
        </w:r>
      </w:hyperlink>
    </w:p>
    <w:p w14:paraId="09629578" w14:textId="5D17F5D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2" w:history="1">
        <w:r w:rsidRPr="001B63F5">
          <w:rPr>
            <w:rStyle w:val="Hyperlink"/>
          </w:rPr>
          <w:t>13.6</w:t>
        </w:r>
        <w:r>
          <w:rPr>
            <w:rFonts w:asciiTheme="minorHAnsi" w:eastAsiaTheme="minorEastAsia" w:hAnsiTheme="minorHAnsi" w:cstheme="minorBidi"/>
            <w:kern w:val="2"/>
            <w:sz w:val="24"/>
            <w:szCs w:val="24"/>
            <w:lang w:eastAsia="en-AU"/>
            <w14:ligatures w14:val="standardContextual"/>
          </w:rPr>
          <w:tab/>
        </w:r>
        <w:r w:rsidRPr="001B63F5">
          <w:rPr>
            <w:rStyle w:val="Hyperlink"/>
          </w:rPr>
          <w:t>Small rural health services – ageing, aged and home care</w:t>
        </w:r>
        <w:r>
          <w:rPr>
            <w:webHidden/>
          </w:rPr>
          <w:tab/>
        </w:r>
        <w:r>
          <w:rPr>
            <w:webHidden/>
          </w:rPr>
          <w:fldChar w:fldCharType="begin"/>
        </w:r>
        <w:r>
          <w:rPr>
            <w:webHidden/>
          </w:rPr>
          <w:instrText xml:space="preserve"> PAGEREF _Toc201148282 \h </w:instrText>
        </w:r>
        <w:r>
          <w:rPr>
            <w:webHidden/>
          </w:rPr>
        </w:r>
        <w:r>
          <w:rPr>
            <w:webHidden/>
          </w:rPr>
          <w:fldChar w:fldCharType="separate"/>
        </w:r>
        <w:r>
          <w:rPr>
            <w:webHidden/>
          </w:rPr>
          <w:t>65</w:t>
        </w:r>
        <w:r>
          <w:rPr>
            <w:webHidden/>
          </w:rPr>
          <w:fldChar w:fldCharType="end"/>
        </w:r>
      </w:hyperlink>
    </w:p>
    <w:p w14:paraId="260CC73B" w14:textId="70DD6DC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3" w:history="1">
        <w:r w:rsidRPr="001B63F5">
          <w:rPr>
            <w:rStyle w:val="Hyperlink"/>
          </w:rPr>
          <w:t>13.7</w:t>
        </w:r>
        <w:r>
          <w:rPr>
            <w:rFonts w:asciiTheme="minorHAnsi" w:eastAsiaTheme="minorEastAsia" w:hAnsiTheme="minorHAnsi" w:cstheme="minorBidi"/>
            <w:kern w:val="2"/>
            <w:sz w:val="24"/>
            <w:szCs w:val="24"/>
            <w:lang w:eastAsia="en-AU"/>
            <w14:ligatures w14:val="standardContextual"/>
          </w:rPr>
          <w:tab/>
        </w:r>
        <w:r w:rsidRPr="001B63F5">
          <w:rPr>
            <w:rStyle w:val="Hyperlink"/>
          </w:rPr>
          <w:t>Primary, community and dental health output group</w:t>
        </w:r>
        <w:r>
          <w:rPr>
            <w:webHidden/>
          </w:rPr>
          <w:tab/>
        </w:r>
        <w:r>
          <w:rPr>
            <w:webHidden/>
          </w:rPr>
          <w:fldChar w:fldCharType="begin"/>
        </w:r>
        <w:r>
          <w:rPr>
            <w:webHidden/>
          </w:rPr>
          <w:instrText xml:space="preserve"> PAGEREF _Toc201148283 \h </w:instrText>
        </w:r>
        <w:r>
          <w:rPr>
            <w:webHidden/>
          </w:rPr>
        </w:r>
        <w:r>
          <w:rPr>
            <w:webHidden/>
          </w:rPr>
          <w:fldChar w:fldCharType="separate"/>
        </w:r>
        <w:r>
          <w:rPr>
            <w:webHidden/>
          </w:rPr>
          <w:t>66</w:t>
        </w:r>
        <w:r>
          <w:rPr>
            <w:webHidden/>
          </w:rPr>
          <w:fldChar w:fldCharType="end"/>
        </w:r>
      </w:hyperlink>
    </w:p>
    <w:p w14:paraId="5343E378" w14:textId="6F80CB0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4" w:history="1">
        <w:r w:rsidRPr="001B63F5">
          <w:rPr>
            <w:rStyle w:val="Hyperlink"/>
          </w:rPr>
          <w:t>13.8</w:t>
        </w:r>
        <w:r>
          <w:rPr>
            <w:rFonts w:asciiTheme="minorHAnsi" w:eastAsiaTheme="minorEastAsia" w:hAnsiTheme="minorHAnsi" w:cstheme="minorBidi"/>
            <w:kern w:val="2"/>
            <w:sz w:val="24"/>
            <w:szCs w:val="24"/>
            <w:lang w:eastAsia="en-AU"/>
            <w14:ligatures w14:val="standardContextual"/>
          </w:rPr>
          <w:tab/>
        </w:r>
        <w:r w:rsidRPr="001B63F5">
          <w:rPr>
            <w:rStyle w:val="Hyperlink"/>
          </w:rPr>
          <w:t>Training and development</w:t>
        </w:r>
        <w:r>
          <w:rPr>
            <w:webHidden/>
          </w:rPr>
          <w:tab/>
        </w:r>
        <w:r>
          <w:rPr>
            <w:webHidden/>
          </w:rPr>
          <w:fldChar w:fldCharType="begin"/>
        </w:r>
        <w:r>
          <w:rPr>
            <w:webHidden/>
          </w:rPr>
          <w:instrText xml:space="preserve"> PAGEREF _Toc201148284 \h </w:instrText>
        </w:r>
        <w:r>
          <w:rPr>
            <w:webHidden/>
          </w:rPr>
        </w:r>
        <w:r>
          <w:rPr>
            <w:webHidden/>
          </w:rPr>
          <w:fldChar w:fldCharType="separate"/>
        </w:r>
        <w:r>
          <w:rPr>
            <w:webHidden/>
          </w:rPr>
          <w:t>67</w:t>
        </w:r>
        <w:r>
          <w:rPr>
            <w:webHidden/>
          </w:rPr>
          <w:fldChar w:fldCharType="end"/>
        </w:r>
      </w:hyperlink>
    </w:p>
    <w:p w14:paraId="6E7A65E8" w14:textId="783AAA94"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5" w:history="1">
        <w:r w:rsidRPr="001B63F5">
          <w:rPr>
            <w:rStyle w:val="Hyperlink"/>
          </w:rPr>
          <w:t>14</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Price groups for NWAU purposes</w:t>
        </w:r>
        <w:r>
          <w:rPr>
            <w:webHidden/>
          </w:rPr>
          <w:tab/>
        </w:r>
        <w:r>
          <w:rPr>
            <w:webHidden/>
          </w:rPr>
          <w:fldChar w:fldCharType="begin"/>
        </w:r>
        <w:r>
          <w:rPr>
            <w:webHidden/>
          </w:rPr>
          <w:instrText xml:space="preserve"> PAGEREF _Toc201148285 \h </w:instrText>
        </w:r>
        <w:r>
          <w:rPr>
            <w:webHidden/>
          </w:rPr>
        </w:r>
        <w:r>
          <w:rPr>
            <w:webHidden/>
          </w:rPr>
          <w:fldChar w:fldCharType="separate"/>
        </w:r>
        <w:r>
          <w:rPr>
            <w:webHidden/>
          </w:rPr>
          <w:t>68</w:t>
        </w:r>
        <w:r>
          <w:rPr>
            <w:webHidden/>
          </w:rPr>
          <w:fldChar w:fldCharType="end"/>
        </w:r>
      </w:hyperlink>
    </w:p>
    <w:p w14:paraId="68A46406" w14:textId="6C541AC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6" w:history="1">
        <w:r w:rsidRPr="001B63F5">
          <w:rPr>
            <w:rStyle w:val="Hyperlink"/>
          </w:rPr>
          <w:t>15</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Output and activity tables</w:t>
        </w:r>
        <w:r>
          <w:rPr>
            <w:webHidden/>
          </w:rPr>
          <w:tab/>
        </w:r>
        <w:r>
          <w:rPr>
            <w:webHidden/>
          </w:rPr>
          <w:fldChar w:fldCharType="begin"/>
        </w:r>
        <w:r>
          <w:rPr>
            <w:webHidden/>
          </w:rPr>
          <w:instrText xml:space="preserve"> PAGEREF _Toc201148286 \h </w:instrText>
        </w:r>
        <w:r>
          <w:rPr>
            <w:webHidden/>
          </w:rPr>
        </w:r>
        <w:r>
          <w:rPr>
            <w:webHidden/>
          </w:rPr>
          <w:fldChar w:fldCharType="separate"/>
        </w:r>
        <w:r>
          <w:rPr>
            <w:webHidden/>
          </w:rPr>
          <w:t>70</w:t>
        </w:r>
        <w:r>
          <w:rPr>
            <w:webHidden/>
          </w:rPr>
          <w:fldChar w:fldCharType="end"/>
        </w:r>
      </w:hyperlink>
    </w:p>
    <w:p w14:paraId="059E2601" w14:textId="04596005"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287" w:history="1">
        <w:r w:rsidRPr="001B63F5">
          <w:rPr>
            <w:rStyle w:val="Hyperlink"/>
          </w:rPr>
          <w:t>Part 2: Funding and activity levels</w:t>
        </w:r>
        <w:r>
          <w:rPr>
            <w:webHidden/>
          </w:rPr>
          <w:tab/>
        </w:r>
        <w:r>
          <w:rPr>
            <w:webHidden/>
          </w:rPr>
          <w:fldChar w:fldCharType="begin"/>
        </w:r>
        <w:r>
          <w:rPr>
            <w:webHidden/>
          </w:rPr>
          <w:instrText xml:space="preserve"> PAGEREF _Toc201148287 \h </w:instrText>
        </w:r>
        <w:r>
          <w:rPr>
            <w:webHidden/>
          </w:rPr>
        </w:r>
        <w:r>
          <w:rPr>
            <w:webHidden/>
          </w:rPr>
          <w:fldChar w:fldCharType="separate"/>
        </w:r>
        <w:r>
          <w:rPr>
            <w:webHidden/>
          </w:rPr>
          <w:t>78</w:t>
        </w:r>
        <w:r>
          <w:rPr>
            <w:webHidden/>
          </w:rPr>
          <w:fldChar w:fldCharType="end"/>
        </w:r>
      </w:hyperlink>
    </w:p>
    <w:p w14:paraId="1F24B674" w14:textId="31A265A2"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8" w:history="1">
        <w:r w:rsidRPr="001B63F5">
          <w:rPr>
            <w:rStyle w:val="Hyperlink"/>
          </w:rPr>
          <w:t>16</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Budget tables</w:t>
        </w:r>
        <w:r>
          <w:rPr>
            <w:webHidden/>
          </w:rPr>
          <w:tab/>
        </w:r>
        <w:r>
          <w:rPr>
            <w:webHidden/>
          </w:rPr>
          <w:fldChar w:fldCharType="begin"/>
        </w:r>
        <w:r>
          <w:rPr>
            <w:webHidden/>
          </w:rPr>
          <w:instrText xml:space="preserve"> PAGEREF _Toc201148288 \h </w:instrText>
        </w:r>
        <w:r>
          <w:rPr>
            <w:webHidden/>
          </w:rPr>
        </w:r>
        <w:r>
          <w:rPr>
            <w:webHidden/>
          </w:rPr>
          <w:fldChar w:fldCharType="separate"/>
        </w:r>
        <w:r>
          <w:rPr>
            <w:webHidden/>
          </w:rPr>
          <w:t>79</w:t>
        </w:r>
        <w:r>
          <w:rPr>
            <w:webHidden/>
          </w:rPr>
          <w:fldChar w:fldCharType="end"/>
        </w:r>
      </w:hyperlink>
    </w:p>
    <w:p w14:paraId="5E783B8F" w14:textId="1096057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9" w:history="1">
        <w:r w:rsidRPr="001B63F5">
          <w:rPr>
            <w:rStyle w:val="Hyperlink"/>
          </w:rPr>
          <w:t>16.1</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service modelled budgets 2025–26</w:t>
        </w:r>
        <w:r>
          <w:rPr>
            <w:webHidden/>
          </w:rPr>
          <w:tab/>
        </w:r>
        <w:r>
          <w:rPr>
            <w:webHidden/>
          </w:rPr>
          <w:fldChar w:fldCharType="begin"/>
        </w:r>
        <w:r>
          <w:rPr>
            <w:webHidden/>
          </w:rPr>
          <w:instrText xml:space="preserve"> PAGEREF _Toc201148289 \h </w:instrText>
        </w:r>
        <w:r>
          <w:rPr>
            <w:webHidden/>
          </w:rPr>
        </w:r>
        <w:r>
          <w:rPr>
            <w:webHidden/>
          </w:rPr>
          <w:fldChar w:fldCharType="separate"/>
        </w:r>
        <w:r>
          <w:rPr>
            <w:webHidden/>
          </w:rPr>
          <w:t>79</w:t>
        </w:r>
        <w:r>
          <w:rPr>
            <w:webHidden/>
          </w:rPr>
          <w:fldChar w:fldCharType="end"/>
        </w:r>
      </w:hyperlink>
    </w:p>
    <w:p w14:paraId="4591B85D" w14:textId="7DBDDE5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0" w:history="1">
        <w:r w:rsidRPr="001B63F5">
          <w:rPr>
            <w:rStyle w:val="Hyperlink"/>
          </w:rPr>
          <w:t>16.2</w:t>
        </w:r>
        <w:r>
          <w:rPr>
            <w:rFonts w:asciiTheme="minorHAnsi" w:eastAsiaTheme="minorEastAsia" w:hAnsiTheme="minorHAnsi" w:cstheme="minorBidi"/>
            <w:kern w:val="2"/>
            <w:sz w:val="24"/>
            <w:szCs w:val="24"/>
            <w:lang w:eastAsia="en-AU"/>
            <w14:ligatures w14:val="standardContextual"/>
          </w:rPr>
          <w:tab/>
        </w:r>
        <w:r w:rsidRPr="001B63F5">
          <w:rPr>
            <w:rStyle w:val="Hyperlink"/>
          </w:rPr>
          <w:t>Small rural health services expenditure budgets 2025–26</w:t>
        </w:r>
        <w:r>
          <w:rPr>
            <w:webHidden/>
          </w:rPr>
          <w:tab/>
        </w:r>
        <w:r>
          <w:rPr>
            <w:webHidden/>
          </w:rPr>
          <w:fldChar w:fldCharType="begin"/>
        </w:r>
        <w:r>
          <w:rPr>
            <w:webHidden/>
          </w:rPr>
          <w:instrText xml:space="preserve"> PAGEREF _Toc201148290 \h </w:instrText>
        </w:r>
        <w:r>
          <w:rPr>
            <w:webHidden/>
          </w:rPr>
        </w:r>
        <w:r>
          <w:rPr>
            <w:webHidden/>
          </w:rPr>
          <w:fldChar w:fldCharType="separate"/>
        </w:r>
        <w:r>
          <w:rPr>
            <w:webHidden/>
          </w:rPr>
          <w:t>81</w:t>
        </w:r>
        <w:r>
          <w:rPr>
            <w:webHidden/>
          </w:rPr>
          <w:fldChar w:fldCharType="end"/>
        </w:r>
      </w:hyperlink>
    </w:p>
    <w:p w14:paraId="025A9258" w14:textId="597C3A9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1" w:history="1">
        <w:r w:rsidRPr="001B63F5">
          <w:rPr>
            <w:rStyle w:val="Hyperlink"/>
          </w:rPr>
          <w:t>16.3</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Activity-based funding: health service expenditure budgets 2025–26 by service category</w:t>
        </w:r>
        <w:r>
          <w:rPr>
            <w:webHidden/>
          </w:rPr>
          <w:tab/>
        </w:r>
        <w:r>
          <w:rPr>
            <w:webHidden/>
          </w:rPr>
          <w:fldChar w:fldCharType="begin"/>
        </w:r>
        <w:r>
          <w:rPr>
            <w:webHidden/>
          </w:rPr>
          <w:instrText xml:space="preserve"> PAGEREF _Toc201148291 \h </w:instrText>
        </w:r>
        <w:r>
          <w:rPr>
            <w:webHidden/>
          </w:rPr>
        </w:r>
        <w:r>
          <w:rPr>
            <w:webHidden/>
          </w:rPr>
          <w:fldChar w:fldCharType="separate"/>
        </w:r>
        <w:r>
          <w:rPr>
            <w:webHidden/>
          </w:rPr>
          <w:t>83</w:t>
        </w:r>
        <w:r>
          <w:rPr>
            <w:webHidden/>
          </w:rPr>
          <w:fldChar w:fldCharType="end"/>
        </w:r>
      </w:hyperlink>
    </w:p>
    <w:p w14:paraId="67ACE32D" w14:textId="68F1B8F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2" w:history="1">
        <w:r w:rsidRPr="001B63F5">
          <w:rPr>
            <w:rStyle w:val="Hyperlink"/>
          </w:rPr>
          <w:t>16.4</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expenditure budgets 2025–26 by service type</w:t>
        </w:r>
        <w:r>
          <w:rPr>
            <w:webHidden/>
          </w:rPr>
          <w:tab/>
        </w:r>
        <w:r>
          <w:rPr>
            <w:webHidden/>
          </w:rPr>
          <w:fldChar w:fldCharType="begin"/>
        </w:r>
        <w:r>
          <w:rPr>
            <w:webHidden/>
          </w:rPr>
          <w:instrText xml:space="preserve"> PAGEREF _Toc201148292 \h </w:instrText>
        </w:r>
        <w:r>
          <w:rPr>
            <w:webHidden/>
          </w:rPr>
        </w:r>
        <w:r>
          <w:rPr>
            <w:webHidden/>
          </w:rPr>
          <w:fldChar w:fldCharType="separate"/>
        </w:r>
        <w:r>
          <w:rPr>
            <w:webHidden/>
          </w:rPr>
          <w:t>87</w:t>
        </w:r>
        <w:r>
          <w:rPr>
            <w:webHidden/>
          </w:rPr>
          <w:fldChar w:fldCharType="end"/>
        </w:r>
      </w:hyperlink>
    </w:p>
    <w:p w14:paraId="6E9431CE" w14:textId="7390213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3" w:history="1">
        <w:r w:rsidRPr="001B63F5">
          <w:rPr>
            <w:rStyle w:val="Hyperlink"/>
          </w:rPr>
          <w:t>16.5</w:t>
        </w:r>
        <w:r>
          <w:rPr>
            <w:rFonts w:asciiTheme="minorHAnsi" w:eastAsiaTheme="minorEastAsia" w:hAnsiTheme="minorHAnsi" w:cstheme="minorBidi"/>
            <w:kern w:val="2"/>
            <w:sz w:val="24"/>
            <w:szCs w:val="24"/>
            <w:lang w:eastAsia="en-AU"/>
            <w14:ligatures w14:val="standardContextual"/>
          </w:rPr>
          <w:tab/>
        </w:r>
        <w:r w:rsidRPr="001B63F5">
          <w:rPr>
            <w:rStyle w:val="Hyperlink"/>
          </w:rPr>
          <w:t>Registered Community Health Centres  Budgets 2025–26</w:t>
        </w:r>
        <w:r>
          <w:rPr>
            <w:webHidden/>
          </w:rPr>
          <w:tab/>
        </w:r>
        <w:r>
          <w:rPr>
            <w:webHidden/>
          </w:rPr>
          <w:fldChar w:fldCharType="begin"/>
        </w:r>
        <w:r>
          <w:rPr>
            <w:webHidden/>
          </w:rPr>
          <w:instrText xml:space="preserve"> PAGEREF _Toc201148293 \h </w:instrText>
        </w:r>
        <w:r>
          <w:rPr>
            <w:webHidden/>
          </w:rPr>
        </w:r>
        <w:r>
          <w:rPr>
            <w:webHidden/>
          </w:rPr>
          <w:fldChar w:fldCharType="separate"/>
        </w:r>
        <w:r>
          <w:rPr>
            <w:webHidden/>
          </w:rPr>
          <w:t>92</w:t>
        </w:r>
        <w:r>
          <w:rPr>
            <w:webHidden/>
          </w:rPr>
          <w:fldChar w:fldCharType="end"/>
        </w:r>
      </w:hyperlink>
    </w:p>
    <w:p w14:paraId="4647915D" w14:textId="39AC2D9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4" w:history="1">
        <w:r w:rsidRPr="001B63F5">
          <w:rPr>
            <w:rStyle w:val="Hyperlink"/>
          </w:rPr>
          <w:t>16.6</w:t>
        </w:r>
        <w:r>
          <w:rPr>
            <w:rFonts w:asciiTheme="minorHAnsi" w:eastAsiaTheme="minorEastAsia" w:hAnsiTheme="minorHAnsi" w:cstheme="minorBidi"/>
            <w:kern w:val="2"/>
            <w:sz w:val="24"/>
            <w:szCs w:val="24"/>
            <w:lang w:eastAsia="en-AU"/>
            <w14:ligatures w14:val="standardContextual"/>
          </w:rPr>
          <w:tab/>
        </w:r>
        <w:r w:rsidRPr="001B63F5">
          <w:rPr>
            <w:rStyle w:val="Hyperlink"/>
          </w:rPr>
          <w:t>Local government authorities 2025–26</w:t>
        </w:r>
        <w:r>
          <w:rPr>
            <w:webHidden/>
          </w:rPr>
          <w:tab/>
        </w:r>
        <w:r>
          <w:rPr>
            <w:webHidden/>
          </w:rPr>
          <w:fldChar w:fldCharType="begin"/>
        </w:r>
        <w:r>
          <w:rPr>
            <w:webHidden/>
          </w:rPr>
          <w:instrText xml:space="preserve"> PAGEREF _Toc201148294 \h </w:instrText>
        </w:r>
        <w:r>
          <w:rPr>
            <w:webHidden/>
          </w:rPr>
        </w:r>
        <w:r>
          <w:rPr>
            <w:webHidden/>
          </w:rPr>
          <w:fldChar w:fldCharType="separate"/>
        </w:r>
        <w:r>
          <w:rPr>
            <w:webHidden/>
          </w:rPr>
          <w:t>93</w:t>
        </w:r>
        <w:r>
          <w:rPr>
            <w:webHidden/>
          </w:rPr>
          <w:fldChar w:fldCharType="end"/>
        </w:r>
      </w:hyperlink>
    </w:p>
    <w:p w14:paraId="42A07B6B" w14:textId="55B0281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5" w:history="1">
        <w:r w:rsidRPr="001B63F5">
          <w:rPr>
            <w:rStyle w:val="Hyperlink"/>
          </w:rPr>
          <w:t>16.7</w:t>
        </w:r>
        <w:r>
          <w:rPr>
            <w:rFonts w:asciiTheme="minorHAnsi" w:eastAsiaTheme="minorEastAsia" w:hAnsiTheme="minorHAnsi" w:cstheme="minorBidi"/>
            <w:kern w:val="2"/>
            <w:sz w:val="24"/>
            <w:szCs w:val="24"/>
            <w:lang w:eastAsia="en-AU"/>
            <w14:ligatures w14:val="standardContextual"/>
          </w:rPr>
          <w:tab/>
        </w:r>
        <w:r w:rsidRPr="001B63F5">
          <w:rPr>
            <w:rStyle w:val="Hyperlink"/>
          </w:rPr>
          <w:t>Non-government providers 2025–26</w:t>
        </w:r>
        <w:r>
          <w:rPr>
            <w:webHidden/>
          </w:rPr>
          <w:tab/>
        </w:r>
        <w:r>
          <w:rPr>
            <w:webHidden/>
          </w:rPr>
          <w:fldChar w:fldCharType="begin"/>
        </w:r>
        <w:r>
          <w:rPr>
            <w:webHidden/>
          </w:rPr>
          <w:instrText xml:space="preserve"> PAGEREF _Toc201148295 \h </w:instrText>
        </w:r>
        <w:r>
          <w:rPr>
            <w:webHidden/>
          </w:rPr>
        </w:r>
        <w:r>
          <w:rPr>
            <w:webHidden/>
          </w:rPr>
          <w:fldChar w:fldCharType="separate"/>
        </w:r>
        <w:r>
          <w:rPr>
            <w:webHidden/>
          </w:rPr>
          <w:t>95</w:t>
        </w:r>
        <w:r>
          <w:rPr>
            <w:webHidden/>
          </w:rPr>
          <w:fldChar w:fldCharType="end"/>
        </w:r>
      </w:hyperlink>
    </w:p>
    <w:p w14:paraId="21ABA186" w14:textId="5619F09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6" w:history="1">
        <w:r w:rsidRPr="001B63F5">
          <w:rPr>
            <w:rStyle w:val="Hyperlink"/>
          </w:rPr>
          <w:t>16.8</w:t>
        </w:r>
        <w:r>
          <w:rPr>
            <w:rFonts w:asciiTheme="minorHAnsi" w:eastAsiaTheme="minorEastAsia" w:hAnsiTheme="minorHAnsi" w:cstheme="minorBidi"/>
            <w:kern w:val="2"/>
            <w:sz w:val="24"/>
            <w:szCs w:val="24"/>
            <w:lang w:eastAsia="en-AU"/>
            <w14:ligatures w14:val="standardContextual"/>
          </w:rPr>
          <w:tab/>
        </w:r>
        <w:r w:rsidRPr="001B63F5">
          <w:rPr>
            <w:rStyle w:val="Hyperlink"/>
          </w:rPr>
          <w:t>Other funded organisations 2025–26</w:t>
        </w:r>
        <w:r>
          <w:rPr>
            <w:webHidden/>
          </w:rPr>
          <w:tab/>
        </w:r>
        <w:r>
          <w:rPr>
            <w:webHidden/>
          </w:rPr>
          <w:fldChar w:fldCharType="begin"/>
        </w:r>
        <w:r>
          <w:rPr>
            <w:webHidden/>
          </w:rPr>
          <w:instrText xml:space="preserve"> PAGEREF _Toc201148296 \h </w:instrText>
        </w:r>
        <w:r>
          <w:rPr>
            <w:webHidden/>
          </w:rPr>
        </w:r>
        <w:r>
          <w:rPr>
            <w:webHidden/>
          </w:rPr>
          <w:fldChar w:fldCharType="separate"/>
        </w:r>
        <w:r>
          <w:rPr>
            <w:webHidden/>
          </w:rPr>
          <w:t>98</w:t>
        </w:r>
        <w:r>
          <w:rPr>
            <w:webHidden/>
          </w:rPr>
          <w:fldChar w:fldCharType="end"/>
        </w:r>
      </w:hyperlink>
    </w:p>
    <w:p w14:paraId="50604980" w14:textId="1B89C40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7" w:history="1">
        <w:r w:rsidRPr="001B63F5">
          <w:rPr>
            <w:rStyle w:val="Hyperlink"/>
          </w:rPr>
          <w:t>16.9</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operations 2025–26</w:t>
        </w:r>
        <w:r>
          <w:rPr>
            <w:webHidden/>
          </w:rPr>
          <w:tab/>
        </w:r>
        <w:r>
          <w:rPr>
            <w:webHidden/>
          </w:rPr>
          <w:fldChar w:fldCharType="begin"/>
        </w:r>
        <w:r>
          <w:rPr>
            <w:webHidden/>
          </w:rPr>
          <w:instrText xml:space="preserve"> PAGEREF _Toc201148297 \h </w:instrText>
        </w:r>
        <w:r>
          <w:rPr>
            <w:webHidden/>
          </w:rPr>
        </w:r>
        <w:r>
          <w:rPr>
            <w:webHidden/>
          </w:rPr>
          <w:fldChar w:fldCharType="separate"/>
        </w:r>
        <w:r>
          <w:rPr>
            <w:webHidden/>
          </w:rPr>
          <w:t>99</w:t>
        </w:r>
        <w:r>
          <w:rPr>
            <w:webHidden/>
          </w:rPr>
          <w:fldChar w:fldCharType="end"/>
        </w:r>
      </w:hyperlink>
    </w:p>
    <w:p w14:paraId="18F099B4" w14:textId="0109FD7B"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98" w:history="1">
        <w:r w:rsidRPr="001B63F5">
          <w:rPr>
            <w:rStyle w:val="Hyperlink"/>
          </w:rPr>
          <w:t>17</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Activity target tables</w:t>
        </w:r>
        <w:r>
          <w:rPr>
            <w:webHidden/>
          </w:rPr>
          <w:tab/>
        </w:r>
        <w:r>
          <w:rPr>
            <w:webHidden/>
          </w:rPr>
          <w:fldChar w:fldCharType="begin"/>
        </w:r>
        <w:r>
          <w:rPr>
            <w:webHidden/>
          </w:rPr>
          <w:instrText xml:space="preserve"> PAGEREF _Toc201148298 \h </w:instrText>
        </w:r>
        <w:r>
          <w:rPr>
            <w:webHidden/>
          </w:rPr>
        </w:r>
        <w:r>
          <w:rPr>
            <w:webHidden/>
          </w:rPr>
          <w:fldChar w:fldCharType="separate"/>
        </w:r>
        <w:r>
          <w:rPr>
            <w:webHidden/>
          </w:rPr>
          <w:t>100</w:t>
        </w:r>
        <w:r>
          <w:rPr>
            <w:webHidden/>
          </w:rPr>
          <w:fldChar w:fldCharType="end"/>
        </w:r>
      </w:hyperlink>
    </w:p>
    <w:p w14:paraId="61455EF0" w14:textId="6DE54124"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9" w:history="1">
        <w:r w:rsidRPr="001B63F5">
          <w:rPr>
            <w:rStyle w:val="Hyperlink"/>
          </w:rPr>
          <w:t>17.1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activity targets (NWAU) 2025–26</w:t>
        </w:r>
        <w:r>
          <w:rPr>
            <w:webHidden/>
          </w:rPr>
          <w:tab/>
        </w:r>
        <w:r>
          <w:rPr>
            <w:webHidden/>
          </w:rPr>
          <w:fldChar w:fldCharType="begin"/>
        </w:r>
        <w:r>
          <w:rPr>
            <w:webHidden/>
          </w:rPr>
          <w:instrText xml:space="preserve"> PAGEREF _Toc201148299 \h </w:instrText>
        </w:r>
        <w:r>
          <w:rPr>
            <w:webHidden/>
          </w:rPr>
        </w:r>
        <w:r>
          <w:rPr>
            <w:webHidden/>
          </w:rPr>
          <w:fldChar w:fldCharType="separate"/>
        </w:r>
        <w:r>
          <w:rPr>
            <w:webHidden/>
          </w:rPr>
          <w:t>100</w:t>
        </w:r>
        <w:r>
          <w:rPr>
            <w:webHidden/>
          </w:rPr>
          <w:fldChar w:fldCharType="end"/>
        </w:r>
      </w:hyperlink>
    </w:p>
    <w:p w14:paraId="3D580124" w14:textId="72AF2A8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0" w:history="1">
        <w:r w:rsidRPr="001B63F5">
          <w:rPr>
            <w:rStyle w:val="Hyperlink"/>
          </w:rPr>
          <w:t>17.2</w:t>
        </w:r>
        <w:r>
          <w:rPr>
            <w:rFonts w:asciiTheme="minorHAnsi" w:eastAsiaTheme="minorEastAsia" w:hAnsiTheme="minorHAnsi" w:cstheme="minorBidi"/>
            <w:kern w:val="2"/>
            <w:sz w:val="24"/>
            <w:szCs w:val="24"/>
            <w:lang w:eastAsia="en-AU"/>
            <w14:ligatures w14:val="standardContextual"/>
          </w:rPr>
          <w:tab/>
        </w:r>
        <w:r w:rsidRPr="001B63F5">
          <w:rPr>
            <w:rStyle w:val="Hyperlink"/>
          </w:rPr>
          <w:t>Indicative NWAU adjustments for safety and quality</w:t>
        </w:r>
        <w:r>
          <w:rPr>
            <w:webHidden/>
          </w:rPr>
          <w:tab/>
        </w:r>
        <w:r>
          <w:rPr>
            <w:webHidden/>
          </w:rPr>
          <w:fldChar w:fldCharType="begin"/>
        </w:r>
        <w:r>
          <w:rPr>
            <w:webHidden/>
          </w:rPr>
          <w:instrText xml:space="preserve"> PAGEREF _Toc201148300 \h </w:instrText>
        </w:r>
        <w:r>
          <w:rPr>
            <w:webHidden/>
          </w:rPr>
        </w:r>
        <w:r>
          <w:rPr>
            <w:webHidden/>
          </w:rPr>
          <w:fldChar w:fldCharType="separate"/>
        </w:r>
        <w:r>
          <w:rPr>
            <w:webHidden/>
          </w:rPr>
          <w:t>102</w:t>
        </w:r>
        <w:r>
          <w:rPr>
            <w:webHidden/>
          </w:rPr>
          <w:fldChar w:fldCharType="end"/>
        </w:r>
      </w:hyperlink>
    </w:p>
    <w:p w14:paraId="7430A7C1" w14:textId="22E1A0E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1" w:history="1">
        <w:r w:rsidRPr="001B63F5">
          <w:rPr>
            <w:rStyle w:val="Hyperlink"/>
          </w:rPr>
          <w:t>17.3</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small rural health service activity targets 2025–26</w:t>
        </w:r>
        <w:r>
          <w:rPr>
            <w:webHidden/>
          </w:rPr>
          <w:tab/>
        </w:r>
        <w:r>
          <w:rPr>
            <w:webHidden/>
          </w:rPr>
          <w:fldChar w:fldCharType="begin"/>
        </w:r>
        <w:r>
          <w:rPr>
            <w:webHidden/>
          </w:rPr>
          <w:instrText xml:space="preserve"> PAGEREF _Toc201148301 \h </w:instrText>
        </w:r>
        <w:r>
          <w:rPr>
            <w:webHidden/>
          </w:rPr>
        </w:r>
        <w:r>
          <w:rPr>
            <w:webHidden/>
          </w:rPr>
          <w:fldChar w:fldCharType="separate"/>
        </w:r>
        <w:r>
          <w:rPr>
            <w:webHidden/>
          </w:rPr>
          <w:t>105</w:t>
        </w:r>
        <w:r>
          <w:rPr>
            <w:webHidden/>
          </w:rPr>
          <w:fldChar w:fldCharType="end"/>
        </w:r>
      </w:hyperlink>
    </w:p>
    <w:p w14:paraId="09A0839D" w14:textId="6B4ECE5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2" w:history="1">
        <w:r w:rsidRPr="001B63F5">
          <w:rPr>
            <w:rStyle w:val="Hyperlink"/>
          </w:rPr>
          <w:t>17.4</w:t>
        </w:r>
        <w:r>
          <w:rPr>
            <w:rFonts w:asciiTheme="minorHAnsi" w:eastAsiaTheme="minorEastAsia" w:hAnsiTheme="minorHAnsi" w:cstheme="minorBidi"/>
            <w:kern w:val="2"/>
            <w:sz w:val="24"/>
            <w:szCs w:val="24"/>
            <w:lang w:eastAsia="en-AU"/>
            <w14:ligatures w14:val="standardContextual"/>
          </w:rPr>
          <w:tab/>
        </w:r>
        <w:r w:rsidRPr="001B63F5">
          <w:rPr>
            <w:rStyle w:val="Hyperlink"/>
          </w:rPr>
          <w:t>Non-admitted radiotherapy activity (WAU) targets 2025–26</w:t>
        </w:r>
        <w:r>
          <w:rPr>
            <w:webHidden/>
          </w:rPr>
          <w:tab/>
        </w:r>
        <w:r>
          <w:rPr>
            <w:webHidden/>
          </w:rPr>
          <w:fldChar w:fldCharType="begin"/>
        </w:r>
        <w:r>
          <w:rPr>
            <w:webHidden/>
          </w:rPr>
          <w:instrText xml:space="preserve"> PAGEREF _Toc201148302 \h </w:instrText>
        </w:r>
        <w:r>
          <w:rPr>
            <w:webHidden/>
          </w:rPr>
        </w:r>
        <w:r>
          <w:rPr>
            <w:webHidden/>
          </w:rPr>
          <w:fldChar w:fldCharType="separate"/>
        </w:r>
        <w:r>
          <w:rPr>
            <w:webHidden/>
          </w:rPr>
          <w:t>106</w:t>
        </w:r>
        <w:r>
          <w:rPr>
            <w:webHidden/>
          </w:rPr>
          <w:fldChar w:fldCharType="end"/>
        </w:r>
      </w:hyperlink>
    </w:p>
    <w:p w14:paraId="6DE5D21C" w14:textId="5487AD8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3" w:history="1">
        <w:r w:rsidRPr="001B63F5">
          <w:rPr>
            <w:rStyle w:val="Hyperlink"/>
          </w:rPr>
          <w:t>17.5</w:t>
        </w:r>
        <w:r>
          <w:rPr>
            <w:rFonts w:asciiTheme="minorHAnsi" w:eastAsiaTheme="minorEastAsia" w:hAnsiTheme="minorHAnsi" w:cstheme="minorBidi"/>
            <w:kern w:val="2"/>
            <w:sz w:val="24"/>
            <w:szCs w:val="24"/>
            <w:lang w:eastAsia="en-AU"/>
            <w14:ligatures w14:val="standardContextual"/>
          </w:rPr>
          <w:tab/>
        </w:r>
        <w:r w:rsidRPr="001B63F5">
          <w:rPr>
            <w:rStyle w:val="Hyperlink"/>
          </w:rPr>
          <w:t>Transition Care Program targets 2025–26</w:t>
        </w:r>
        <w:r>
          <w:rPr>
            <w:webHidden/>
          </w:rPr>
          <w:tab/>
        </w:r>
        <w:r>
          <w:rPr>
            <w:webHidden/>
          </w:rPr>
          <w:fldChar w:fldCharType="begin"/>
        </w:r>
        <w:r>
          <w:rPr>
            <w:webHidden/>
          </w:rPr>
          <w:instrText xml:space="preserve"> PAGEREF _Toc201148303 \h </w:instrText>
        </w:r>
        <w:r>
          <w:rPr>
            <w:webHidden/>
          </w:rPr>
        </w:r>
        <w:r>
          <w:rPr>
            <w:webHidden/>
          </w:rPr>
          <w:fldChar w:fldCharType="separate"/>
        </w:r>
        <w:r>
          <w:rPr>
            <w:webHidden/>
          </w:rPr>
          <w:t>107</w:t>
        </w:r>
        <w:r>
          <w:rPr>
            <w:webHidden/>
          </w:rPr>
          <w:fldChar w:fldCharType="end"/>
        </w:r>
      </w:hyperlink>
    </w:p>
    <w:p w14:paraId="24BA5F3B" w14:textId="6D09956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4" w:history="1">
        <w:r w:rsidRPr="001B63F5">
          <w:rPr>
            <w:rStyle w:val="Hyperlink"/>
          </w:rPr>
          <w:t>17.6</w:t>
        </w:r>
        <w:r>
          <w:rPr>
            <w:rFonts w:asciiTheme="minorHAnsi" w:eastAsiaTheme="minorEastAsia" w:hAnsiTheme="minorHAnsi" w:cstheme="minorBidi"/>
            <w:kern w:val="2"/>
            <w:sz w:val="24"/>
            <w:szCs w:val="24"/>
            <w:lang w:eastAsia="en-AU"/>
            <w14:ligatures w14:val="standardContextual"/>
          </w:rPr>
          <w:tab/>
        </w:r>
        <w:r w:rsidRPr="001B63F5">
          <w:rPr>
            <w:rStyle w:val="Hyperlink"/>
          </w:rPr>
          <w:t>Non-admitted episode targets – community palliative care</w:t>
        </w:r>
        <w:r>
          <w:rPr>
            <w:webHidden/>
          </w:rPr>
          <w:tab/>
        </w:r>
        <w:r>
          <w:rPr>
            <w:webHidden/>
          </w:rPr>
          <w:fldChar w:fldCharType="begin"/>
        </w:r>
        <w:r>
          <w:rPr>
            <w:webHidden/>
          </w:rPr>
          <w:instrText xml:space="preserve"> PAGEREF _Toc201148304 \h </w:instrText>
        </w:r>
        <w:r>
          <w:rPr>
            <w:webHidden/>
          </w:rPr>
        </w:r>
        <w:r>
          <w:rPr>
            <w:webHidden/>
          </w:rPr>
          <w:fldChar w:fldCharType="separate"/>
        </w:r>
        <w:r>
          <w:rPr>
            <w:webHidden/>
          </w:rPr>
          <w:t>108</w:t>
        </w:r>
        <w:r>
          <w:rPr>
            <w:webHidden/>
          </w:rPr>
          <w:fldChar w:fldCharType="end"/>
        </w:r>
      </w:hyperlink>
    </w:p>
    <w:p w14:paraId="1CE41302" w14:textId="5351B72B"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5" w:history="1">
        <w:r w:rsidRPr="001B63F5">
          <w:rPr>
            <w:rStyle w:val="Hyperlink"/>
          </w:rPr>
          <w:t>17.7</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Nationally Funded Centres Program 2025–26</w:t>
        </w:r>
        <w:r>
          <w:rPr>
            <w:webHidden/>
          </w:rPr>
          <w:tab/>
        </w:r>
        <w:r>
          <w:rPr>
            <w:webHidden/>
          </w:rPr>
          <w:fldChar w:fldCharType="begin"/>
        </w:r>
        <w:r>
          <w:rPr>
            <w:webHidden/>
          </w:rPr>
          <w:instrText xml:space="preserve"> PAGEREF _Toc201148305 \h </w:instrText>
        </w:r>
        <w:r>
          <w:rPr>
            <w:webHidden/>
          </w:rPr>
        </w:r>
        <w:r>
          <w:rPr>
            <w:webHidden/>
          </w:rPr>
          <w:fldChar w:fldCharType="separate"/>
        </w:r>
        <w:r>
          <w:rPr>
            <w:webHidden/>
          </w:rPr>
          <w:t>109</w:t>
        </w:r>
        <w:r>
          <w:rPr>
            <w:webHidden/>
          </w:rPr>
          <w:fldChar w:fldCharType="end"/>
        </w:r>
      </w:hyperlink>
    </w:p>
    <w:p w14:paraId="74B9EC85" w14:textId="0EB44A4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6" w:history="1">
        <w:r w:rsidRPr="001B63F5">
          <w:rPr>
            <w:rStyle w:val="Hyperlink"/>
          </w:rPr>
          <w:t>17.8</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acute, non-acute, subacute, and residential operational beds 2025–26</w:t>
        </w:r>
        <w:r>
          <w:rPr>
            <w:webHidden/>
          </w:rPr>
          <w:tab/>
        </w:r>
        <w:r>
          <w:rPr>
            <w:webHidden/>
          </w:rPr>
          <w:fldChar w:fldCharType="begin"/>
        </w:r>
        <w:r>
          <w:rPr>
            <w:webHidden/>
          </w:rPr>
          <w:instrText xml:space="preserve"> PAGEREF _Toc201148306 \h </w:instrText>
        </w:r>
        <w:r>
          <w:rPr>
            <w:webHidden/>
          </w:rPr>
        </w:r>
        <w:r>
          <w:rPr>
            <w:webHidden/>
          </w:rPr>
          <w:fldChar w:fldCharType="separate"/>
        </w:r>
        <w:r>
          <w:rPr>
            <w:webHidden/>
          </w:rPr>
          <w:t>110</w:t>
        </w:r>
        <w:r>
          <w:rPr>
            <w:webHidden/>
          </w:rPr>
          <w:fldChar w:fldCharType="end"/>
        </w:r>
      </w:hyperlink>
    </w:p>
    <w:p w14:paraId="1BB39E62" w14:textId="5A08D60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7" w:history="1">
        <w:r w:rsidRPr="001B63F5">
          <w:rPr>
            <w:rStyle w:val="Hyperlink"/>
          </w:rPr>
          <w:t>17.9</w:t>
        </w:r>
        <w:r>
          <w:rPr>
            <w:rFonts w:asciiTheme="minorHAnsi" w:eastAsiaTheme="minorEastAsia" w:hAnsiTheme="minorHAnsi" w:cstheme="minorBidi"/>
            <w:kern w:val="2"/>
            <w:sz w:val="24"/>
            <w:szCs w:val="24"/>
            <w:lang w:eastAsia="en-AU"/>
            <w14:ligatures w14:val="standardContextual"/>
          </w:rPr>
          <w:tab/>
        </w:r>
        <w:r w:rsidRPr="001B63F5">
          <w:rPr>
            <w:rStyle w:val="Hyperlink"/>
          </w:rPr>
          <w:t>Alcohol and other drugs output targets 2025–26</w:t>
        </w:r>
        <w:r>
          <w:rPr>
            <w:webHidden/>
          </w:rPr>
          <w:tab/>
        </w:r>
        <w:r>
          <w:rPr>
            <w:webHidden/>
          </w:rPr>
          <w:fldChar w:fldCharType="begin"/>
        </w:r>
        <w:r>
          <w:rPr>
            <w:webHidden/>
          </w:rPr>
          <w:instrText xml:space="preserve"> PAGEREF _Toc201148307 \h </w:instrText>
        </w:r>
        <w:r>
          <w:rPr>
            <w:webHidden/>
          </w:rPr>
        </w:r>
        <w:r>
          <w:rPr>
            <w:webHidden/>
          </w:rPr>
          <w:fldChar w:fldCharType="separate"/>
        </w:r>
        <w:r>
          <w:rPr>
            <w:webHidden/>
          </w:rPr>
          <w:t>113</w:t>
        </w:r>
        <w:r>
          <w:rPr>
            <w:webHidden/>
          </w:rPr>
          <w:fldChar w:fldCharType="end"/>
        </w:r>
      </w:hyperlink>
    </w:p>
    <w:p w14:paraId="54CFD703" w14:textId="7E42674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8" w:history="1">
        <w:r w:rsidRPr="001B63F5">
          <w:rPr>
            <w:rStyle w:val="Hyperlink"/>
          </w:rPr>
          <w:t>17.10</w:t>
        </w:r>
        <w:r>
          <w:rPr>
            <w:rFonts w:asciiTheme="minorHAnsi" w:eastAsiaTheme="minorEastAsia" w:hAnsiTheme="minorHAnsi" w:cstheme="minorBidi"/>
            <w:kern w:val="2"/>
            <w:sz w:val="24"/>
            <w:szCs w:val="24"/>
            <w:lang w:eastAsia="en-AU"/>
            <w14:ligatures w14:val="standardContextual"/>
          </w:rPr>
          <w:tab/>
        </w:r>
        <w:r w:rsidRPr="001B63F5">
          <w:rPr>
            <w:rStyle w:val="Hyperlink"/>
          </w:rPr>
          <w:t>Localised pricing adjustments to the Victorian ABF Pricing Framework</w:t>
        </w:r>
        <w:r>
          <w:rPr>
            <w:webHidden/>
          </w:rPr>
          <w:tab/>
        </w:r>
        <w:r>
          <w:rPr>
            <w:webHidden/>
          </w:rPr>
          <w:fldChar w:fldCharType="begin"/>
        </w:r>
        <w:r>
          <w:rPr>
            <w:webHidden/>
          </w:rPr>
          <w:instrText xml:space="preserve"> PAGEREF _Toc201148308 \h </w:instrText>
        </w:r>
        <w:r>
          <w:rPr>
            <w:webHidden/>
          </w:rPr>
        </w:r>
        <w:r>
          <w:rPr>
            <w:webHidden/>
          </w:rPr>
          <w:fldChar w:fldCharType="separate"/>
        </w:r>
        <w:r>
          <w:rPr>
            <w:webHidden/>
          </w:rPr>
          <w:t>115</w:t>
        </w:r>
        <w:r>
          <w:rPr>
            <w:webHidden/>
          </w:rPr>
          <w:fldChar w:fldCharType="end"/>
        </w:r>
      </w:hyperlink>
    </w:p>
    <w:p w14:paraId="44787DE2" w14:textId="09EE400E"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309" w:history="1">
        <w:r w:rsidRPr="001B63F5">
          <w:rPr>
            <w:rStyle w:val="Hyperlink"/>
          </w:rPr>
          <w:t>List of tables</w:t>
        </w:r>
        <w:r>
          <w:rPr>
            <w:webHidden/>
          </w:rPr>
          <w:tab/>
        </w:r>
        <w:r>
          <w:rPr>
            <w:webHidden/>
          </w:rPr>
          <w:fldChar w:fldCharType="begin"/>
        </w:r>
        <w:r>
          <w:rPr>
            <w:webHidden/>
          </w:rPr>
          <w:instrText xml:space="preserve"> PAGEREF _Toc201148309 \h </w:instrText>
        </w:r>
        <w:r>
          <w:rPr>
            <w:webHidden/>
          </w:rPr>
        </w:r>
        <w:r>
          <w:rPr>
            <w:webHidden/>
          </w:rPr>
          <w:fldChar w:fldCharType="separate"/>
        </w:r>
        <w:r>
          <w:rPr>
            <w:webHidden/>
          </w:rPr>
          <w:t>118</w:t>
        </w:r>
        <w:r>
          <w:rPr>
            <w:webHidden/>
          </w:rPr>
          <w:fldChar w:fldCharType="end"/>
        </w:r>
      </w:hyperlink>
    </w:p>
    <w:p w14:paraId="5D82213D" w14:textId="538F170E"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310" w:history="1">
        <w:r w:rsidRPr="001B63F5">
          <w:rPr>
            <w:rStyle w:val="Hyperlink"/>
          </w:rPr>
          <w:t>Acronyms and abbreviations</w:t>
        </w:r>
        <w:r>
          <w:rPr>
            <w:webHidden/>
          </w:rPr>
          <w:tab/>
        </w:r>
        <w:r>
          <w:rPr>
            <w:webHidden/>
          </w:rPr>
          <w:fldChar w:fldCharType="begin"/>
        </w:r>
        <w:r>
          <w:rPr>
            <w:webHidden/>
          </w:rPr>
          <w:instrText xml:space="preserve"> PAGEREF _Toc201148310 \h </w:instrText>
        </w:r>
        <w:r>
          <w:rPr>
            <w:webHidden/>
          </w:rPr>
        </w:r>
        <w:r>
          <w:rPr>
            <w:webHidden/>
          </w:rPr>
          <w:fldChar w:fldCharType="separate"/>
        </w:r>
        <w:r>
          <w:rPr>
            <w:webHidden/>
          </w:rPr>
          <w:t>120</w:t>
        </w:r>
        <w:r>
          <w:rPr>
            <w:webHidden/>
          </w:rPr>
          <w:fldChar w:fldCharType="end"/>
        </w:r>
      </w:hyperlink>
    </w:p>
    <w:p w14:paraId="3879D8C5" w14:textId="64420EB4" w:rsidR="00FB1F6E" w:rsidRDefault="00481585" w:rsidP="00D079AA">
      <w:pPr>
        <w:pStyle w:val="Body"/>
      </w:pPr>
      <w:r>
        <w:rPr>
          <w:rFonts w:eastAsia="Times New Roman"/>
          <w:b/>
          <w:noProof/>
        </w:rPr>
        <w:fldChar w:fldCharType="end"/>
      </w:r>
    </w:p>
    <w:p w14:paraId="357DBE75" w14:textId="77777777" w:rsidR="00FB1F6E" w:rsidRDefault="00FB1F6E">
      <w:pPr>
        <w:spacing w:after="0" w:line="240" w:lineRule="auto"/>
        <w:rPr>
          <w:rFonts w:eastAsia="Times"/>
        </w:rPr>
      </w:pPr>
      <w:r>
        <w:br w:type="page"/>
      </w:r>
    </w:p>
    <w:p w14:paraId="04BF19B7" w14:textId="085930E5" w:rsidR="005B699B" w:rsidRPr="00674286" w:rsidRDefault="005B699B" w:rsidP="00AF18F3">
      <w:pPr>
        <w:pStyle w:val="Heading1"/>
        <w:numPr>
          <w:ilvl w:val="0"/>
          <w:numId w:val="0"/>
        </w:numPr>
      </w:pPr>
      <w:bookmarkStart w:id="2" w:name="_Toc106870423"/>
      <w:bookmarkStart w:id="3" w:name="_Toc165964624"/>
      <w:bookmarkStart w:id="4" w:name="_Toc167174486"/>
      <w:bookmarkStart w:id="5" w:name="_Toc167225998"/>
      <w:bookmarkStart w:id="6" w:name="_Toc201148197"/>
      <w:bookmarkStart w:id="7" w:name="_Toc10199536"/>
      <w:bookmarkStart w:id="8" w:name="_Toc487742003"/>
      <w:bookmarkStart w:id="9" w:name="_Toc14172232"/>
      <w:r>
        <w:lastRenderedPageBreak/>
        <w:t xml:space="preserve">Overview of the </w:t>
      </w:r>
      <w:r w:rsidRPr="00481585">
        <w:t>Policy and funding guidelines</w:t>
      </w:r>
      <w:r w:rsidRPr="00481585">
        <w:br/>
      </w:r>
      <w:bookmarkEnd w:id="2"/>
      <w:bookmarkEnd w:id="3"/>
      <w:bookmarkEnd w:id="4"/>
      <w:bookmarkEnd w:id="5"/>
      <w:r w:rsidRPr="00481585">
        <w:t>202</w:t>
      </w:r>
      <w:r w:rsidR="00013218">
        <w:t>5</w:t>
      </w:r>
      <w:r w:rsidRPr="00481585">
        <w:t>–2</w:t>
      </w:r>
      <w:r w:rsidR="00013218">
        <w:t>6</w:t>
      </w:r>
      <w:bookmarkEnd w:id="6"/>
    </w:p>
    <w:p w14:paraId="324A24B3" w14:textId="546649AA" w:rsidR="005B699B" w:rsidRDefault="005B699B" w:rsidP="00AD4C45">
      <w:pPr>
        <w:pStyle w:val="Body"/>
      </w:pPr>
      <w:r w:rsidRPr="001F40F1">
        <w:t>The Policy and funding guidelines 202</w:t>
      </w:r>
      <w:r w:rsidR="00C81D84" w:rsidRPr="001F40F1">
        <w:t>5</w:t>
      </w:r>
      <w:r w:rsidRPr="001F40F1">
        <w:t>–2</w:t>
      </w:r>
      <w:r w:rsidR="00C81D84" w:rsidRPr="001F40F1">
        <w:t>6</w:t>
      </w:r>
      <w:r w:rsidRPr="0670E279">
        <w:rPr>
          <w:i/>
          <w:iCs/>
        </w:rPr>
        <w:t xml:space="preserve"> </w:t>
      </w:r>
      <w:r>
        <w:t xml:space="preserve">(the guidelines) provide the system-wide terms and conditions for government-funded healthcare organisations (funded organisations). This includes health services and hospitals, community </w:t>
      </w:r>
      <w:r w:rsidRPr="00D65A04">
        <w:t>service</w:t>
      </w:r>
      <w:r>
        <w:t xml:space="preserve"> organisations and other organisations, such as Ambulance Victoria.</w:t>
      </w:r>
    </w:p>
    <w:p w14:paraId="616EA8BD" w14:textId="703A2A7A" w:rsidR="005B699B" w:rsidRDefault="005B699B" w:rsidP="005B699B">
      <w:pPr>
        <w:pStyle w:val="Body"/>
      </w:pPr>
      <w:r>
        <w:t>The guidelines:</w:t>
      </w:r>
    </w:p>
    <w:p w14:paraId="6D4C3FF6" w14:textId="77777777" w:rsidR="005B699B" w:rsidRPr="002A7703" w:rsidRDefault="005B699B" w:rsidP="00EA18DD">
      <w:pPr>
        <w:pStyle w:val="Bullet1"/>
      </w:pPr>
      <w:r>
        <w:t xml:space="preserve">reflect the role of the </w:t>
      </w:r>
      <w:r w:rsidRPr="00481585">
        <w:t>Department</w:t>
      </w:r>
      <w:r>
        <w:t xml:space="preserve"> of Health (the department) as the system steward</w:t>
      </w:r>
    </w:p>
    <w:p w14:paraId="213EB063" w14:textId="16000E0E" w:rsidR="005B699B" w:rsidRDefault="005B699B" w:rsidP="00EA18DD">
      <w:pPr>
        <w:pStyle w:val="Bullet1"/>
      </w:pPr>
      <w:r>
        <w:t xml:space="preserve">provide policy changes relating to operational and </w:t>
      </w:r>
      <w:r w:rsidRPr="00481585">
        <w:t>service</w:t>
      </w:r>
      <w:r>
        <w:t xml:space="preserve"> delivery</w:t>
      </w:r>
    </w:p>
    <w:p w14:paraId="7D018EB8" w14:textId="1DFEC98B" w:rsidR="005B699B" w:rsidRPr="002A7703" w:rsidRDefault="005B699B" w:rsidP="00EA18DD">
      <w:pPr>
        <w:pStyle w:val="Bullet1"/>
      </w:pPr>
      <w:r>
        <w:t xml:space="preserve">set out contractual, statutory and </w:t>
      </w:r>
      <w:r w:rsidRPr="00481585">
        <w:t>other</w:t>
      </w:r>
      <w:r>
        <w:t xml:space="preserve"> duties and requirements</w:t>
      </w:r>
    </w:p>
    <w:p w14:paraId="3FCD10FF" w14:textId="77777777" w:rsidR="005B699B" w:rsidRDefault="005B699B" w:rsidP="00EA18DD">
      <w:pPr>
        <w:pStyle w:val="Bullet1"/>
      </w:pPr>
      <w:r>
        <w:t xml:space="preserve">detail the budgetary landscape, </w:t>
      </w:r>
      <w:r w:rsidRPr="00481585">
        <w:t>including</w:t>
      </w:r>
      <w:r>
        <w:t xml:space="preserve"> funding and pricing arrangements, as well as funded activity and targets.</w:t>
      </w:r>
    </w:p>
    <w:p w14:paraId="3911CC8C" w14:textId="39009AEF" w:rsidR="005B699B" w:rsidRDefault="005B699B" w:rsidP="005B699B">
      <w:pPr>
        <w:pStyle w:val="Bodyafterbullets"/>
      </w:pPr>
      <w:r>
        <w:t>The guidelines comprise two separate but related publications:</w:t>
      </w:r>
    </w:p>
    <w:p w14:paraId="7AE0DC64" w14:textId="2F49AEFB" w:rsidR="005B699B" w:rsidRPr="001F40F1" w:rsidRDefault="005B699B" w:rsidP="00EA18DD">
      <w:pPr>
        <w:pStyle w:val="Bullet1"/>
      </w:pPr>
      <w:r w:rsidRPr="001F40F1">
        <w:t xml:space="preserve">Policy guide </w:t>
      </w:r>
    </w:p>
    <w:p w14:paraId="1F73D7C0" w14:textId="338AF180" w:rsidR="005B699B" w:rsidRPr="0005765E" w:rsidRDefault="005B699B" w:rsidP="00EA18DD">
      <w:pPr>
        <w:pStyle w:val="Bullet1"/>
      </w:pPr>
      <w:r w:rsidRPr="001F40F1">
        <w:t>Funding rules</w:t>
      </w:r>
      <w:r w:rsidR="00481585">
        <w:t xml:space="preserve"> </w:t>
      </w:r>
      <w:r w:rsidR="00481585" w:rsidRPr="0005765E">
        <w:t xml:space="preserve">(this </w:t>
      </w:r>
      <w:r w:rsidR="00481585" w:rsidRPr="00481585">
        <w:t>document</w:t>
      </w:r>
      <w:r w:rsidR="00481585" w:rsidRPr="0005765E">
        <w:t>)</w:t>
      </w:r>
      <w:r w:rsidR="00481585">
        <w:t>.</w:t>
      </w:r>
    </w:p>
    <w:p w14:paraId="4260C004" w14:textId="245FD531" w:rsidR="005B699B" w:rsidRPr="008B63F8" w:rsidRDefault="005B699B" w:rsidP="000E690D">
      <w:pPr>
        <w:pStyle w:val="Heading2"/>
        <w:numPr>
          <w:ilvl w:val="0"/>
          <w:numId w:val="0"/>
        </w:numPr>
        <w:ind w:left="1134" w:hanging="1134"/>
      </w:pPr>
      <w:bookmarkStart w:id="10" w:name="_Toc167225999"/>
      <w:bookmarkStart w:id="11" w:name="_Toc106868005"/>
      <w:bookmarkStart w:id="12" w:name="_Toc106869752"/>
      <w:bookmarkStart w:id="13" w:name="_Toc106870086"/>
      <w:bookmarkStart w:id="14" w:name="_Toc106870252"/>
      <w:bookmarkStart w:id="15" w:name="_Toc106870424"/>
      <w:bookmarkStart w:id="16" w:name="_Toc165964625"/>
      <w:bookmarkStart w:id="17" w:name="_Toc167174487"/>
      <w:bookmarkStart w:id="18" w:name="_Toc167226000"/>
      <w:bookmarkStart w:id="19" w:name="_Toc201148198"/>
      <w:bookmarkEnd w:id="10"/>
      <w:r>
        <w:t>Policy guide</w:t>
      </w:r>
      <w:bookmarkEnd w:id="11"/>
      <w:bookmarkEnd w:id="12"/>
      <w:bookmarkEnd w:id="13"/>
      <w:bookmarkEnd w:id="14"/>
      <w:bookmarkEnd w:id="15"/>
      <w:bookmarkEnd w:id="16"/>
      <w:bookmarkEnd w:id="17"/>
      <w:bookmarkEnd w:id="18"/>
      <w:bookmarkEnd w:id="19"/>
    </w:p>
    <w:p w14:paraId="36C9662A" w14:textId="77777777" w:rsidR="00C167B9" w:rsidRDefault="005B699B" w:rsidP="005B699B">
      <w:pPr>
        <w:pStyle w:val="Body"/>
      </w:pPr>
      <w:r>
        <w:t xml:space="preserve">The </w:t>
      </w:r>
      <w:r w:rsidRPr="00234E59">
        <w:t>Policy guide</w:t>
      </w:r>
      <w:r>
        <w:t xml:space="preserve"> provides detailed information regarding operational and service delivery policy. </w:t>
      </w:r>
    </w:p>
    <w:p w14:paraId="5575A99A" w14:textId="77777777" w:rsidR="00C167B9" w:rsidRDefault="005B699B" w:rsidP="005B699B">
      <w:pPr>
        <w:pStyle w:val="Body"/>
      </w:pPr>
      <w:r>
        <w:t>This includes</w:t>
      </w:r>
      <w:r w:rsidR="00C167B9">
        <w:t>:</w:t>
      </w:r>
    </w:p>
    <w:p w14:paraId="6958F116" w14:textId="58D76EAC" w:rsidR="00C167B9" w:rsidRPr="00C167B9" w:rsidRDefault="005B699B" w:rsidP="001F40F1">
      <w:pPr>
        <w:pStyle w:val="Bullet1"/>
      </w:pPr>
      <w:r w:rsidRPr="00C167B9">
        <w:t>the conditions within which funded organisations operate</w:t>
      </w:r>
    </w:p>
    <w:p w14:paraId="14B342BB" w14:textId="3C281922" w:rsidR="005B699B" w:rsidRPr="00C167B9" w:rsidRDefault="005B699B" w:rsidP="001F40F1">
      <w:pPr>
        <w:pStyle w:val="Bullet1"/>
      </w:pPr>
      <w:r w:rsidRPr="00C167B9">
        <w:t>the obligations, standards and requirements funded organisations are expected to adhere to.</w:t>
      </w:r>
    </w:p>
    <w:p w14:paraId="3C13BB47" w14:textId="77777777" w:rsidR="005B699B" w:rsidRDefault="005B699B" w:rsidP="002E0877">
      <w:pPr>
        <w:pStyle w:val="Heading3"/>
        <w:numPr>
          <w:ilvl w:val="0"/>
          <w:numId w:val="0"/>
        </w:numPr>
        <w:ind w:left="720" w:hanging="720"/>
      </w:pPr>
      <w:bookmarkStart w:id="20" w:name="_Toc106869753"/>
      <w:bookmarkStart w:id="21" w:name="_Toc106870087"/>
      <w:bookmarkStart w:id="22" w:name="_Toc106870253"/>
      <w:bookmarkStart w:id="23" w:name="_Toc106870425"/>
      <w:bookmarkStart w:id="24" w:name="_Toc167174147"/>
      <w:r>
        <w:t xml:space="preserve">Part 1: Operational and </w:t>
      </w:r>
      <w:bookmarkEnd w:id="20"/>
      <w:bookmarkEnd w:id="21"/>
      <w:bookmarkEnd w:id="22"/>
      <w:bookmarkEnd w:id="23"/>
      <w:r>
        <w:t>service delivery policy</w:t>
      </w:r>
      <w:bookmarkEnd w:id="24"/>
    </w:p>
    <w:p w14:paraId="5C04673C" w14:textId="489E2444" w:rsidR="005B699B" w:rsidRDefault="005B699B" w:rsidP="005B699B">
      <w:pPr>
        <w:pStyle w:val="Body"/>
      </w:pPr>
      <w:r>
        <w:t xml:space="preserve">Part 1 provides health services with the policy changes for the year. Note that it is not a complete, holistic guide to operational and service delivery policy in Victoria. </w:t>
      </w:r>
    </w:p>
    <w:p w14:paraId="2FF95DD6" w14:textId="77777777" w:rsidR="005B699B" w:rsidRPr="0005765E" w:rsidRDefault="005B699B" w:rsidP="002E0877">
      <w:pPr>
        <w:pStyle w:val="Heading3"/>
        <w:numPr>
          <w:ilvl w:val="0"/>
          <w:numId w:val="0"/>
        </w:numPr>
        <w:ind w:left="720" w:hanging="720"/>
      </w:pPr>
      <w:bookmarkStart w:id="25" w:name="_Toc106869754"/>
      <w:bookmarkStart w:id="26" w:name="_Toc106870088"/>
      <w:bookmarkStart w:id="27" w:name="_Toc106870254"/>
      <w:bookmarkStart w:id="28" w:name="_Toc106870426"/>
      <w:bookmarkStart w:id="29" w:name="_Toc167174148"/>
      <w:r>
        <w:t xml:space="preserve">Part 2: Obligations, standards and </w:t>
      </w:r>
      <w:bookmarkEnd w:id="25"/>
      <w:bookmarkEnd w:id="26"/>
      <w:bookmarkEnd w:id="27"/>
      <w:bookmarkEnd w:id="28"/>
      <w:r>
        <w:t>requirements</w:t>
      </w:r>
      <w:bookmarkEnd w:id="29"/>
    </w:p>
    <w:p w14:paraId="0C91A9F2" w14:textId="77777777" w:rsidR="005B699B" w:rsidRDefault="005B699B" w:rsidP="005B699B">
      <w:pPr>
        <w:pStyle w:val="Body"/>
      </w:pPr>
      <w:r>
        <w:t>Part 2 outlines the relevant standards and obligations to which funded organisations must adhere, ensuring the delivery of safe, high-quality services and responsible financial management.</w:t>
      </w:r>
    </w:p>
    <w:p w14:paraId="4B315C2A" w14:textId="030056CC" w:rsidR="005B699B" w:rsidRPr="008B63F8" w:rsidRDefault="005B699B" w:rsidP="00061545">
      <w:pPr>
        <w:pStyle w:val="Heading2"/>
        <w:numPr>
          <w:ilvl w:val="0"/>
          <w:numId w:val="0"/>
        </w:numPr>
        <w:ind w:left="1134" w:hanging="1134"/>
      </w:pPr>
      <w:bookmarkStart w:id="30" w:name="_Toc106868006"/>
      <w:bookmarkStart w:id="31" w:name="_Toc106869755"/>
      <w:bookmarkStart w:id="32" w:name="_Toc106870089"/>
      <w:bookmarkStart w:id="33" w:name="_Toc106870255"/>
      <w:bookmarkStart w:id="34" w:name="_Toc106870427"/>
      <w:bookmarkStart w:id="35" w:name="_Toc165964626"/>
      <w:bookmarkStart w:id="36" w:name="_Toc167174488"/>
      <w:bookmarkStart w:id="37" w:name="_Toc167226001"/>
      <w:bookmarkStart w:id="38" w:name="_Toc201148199"/>
      <w:r>
        <w:t xml:space="preserve">Funding </w:t>
      </w:r>
      <w:r w:rsidRPr="0005765E">
        <w:t>rules</w:t>
      </w:r>
      <w:bookmarkEnd w:id="30"/>
      <w:bookmarkEnd w:id="31"/>
      <w:bookmarkEnd w:id="32"/>
      <w:bookmarkEnd w:id="33"/>
      <w:bookmarkEnd w:id="34"/>
      <w:bookmarkEnd w:id="35"/>
      <w:bookmarkEnd w:id="36"/>
      <w:bookmarkEnd w:id="37"/>
      <w:bookmarkEnd w:id="38"/>
    </w:p>
    <w:p w14:paraId="3FA99A63" w14:textId="43DE46CC" w:rsidR="005B699B" w:rsidRDefault="005B699B" w:rsidP="005B699B">
      <w:pPr>
        <w:pStyle w:val="Body"/>
      </w:pPr>
      <w:r w:rsidRPr="00653A10">
        <w:t xml:space="preserve">The </w:t>
      </w:r>
      <w:r w:rsidRPr="00BF1323">
        <w:rPr>
          <w:iCs/>
        </w:rPr>
        <w:t>Funding rules</w:t>
      </w:r>
      <w:r w:rsidRPr="00653A10">
        <w:t xml:space="preserve"> go over the funding parameters within which funded organisations are expected to work.</w:t>
      </w:r>
    </w:p>
    <w:p w14:paraId="6894ADB7" w14:textId="414EE663" w:rsidR="005B699B" w:rsidRPr="005A38DA" w:rsidRDefault="005B699B" w:rsidP="002E0877">
      <w:pPr>
        <w:pStyle w:val="Heading3"/>
        <w:numPr>
          <w:ilvl w:val="0"/>
          <w:numId w:val="0"/>
        </w:numPr>
        <w:ind w:left="720" w:hanging="720"/>
      </w:pPr>
      <w:bookmarkStart w:id="39" w:name="_Toc106869756"/>
      <w:bookmarkStart w:id="40" w:name="_Toc106870090"/>
      <w:bookmarkStart w:id="41" w:name="_Toc106870256"/>
      <w:bookmarkStart w:id="42" w:name="_Toc106870428"/>
      <w:bookmarkStart w:id="43" w:name="_Toc167174150"/>
      <w:r>
        <w:t xml:space="preserve">Part 1: </w:t>
      </w:r>
      <w:r w:rsidR="005D2A74" w:rsidRPr="005D2A74">
        <w:t xml:space="preserve">Funding and pricing </w:t>
      </w:r>
      <w:bookmarkEnd w:id="39"/>
      <w:bookmarkEnd w:id="40"/>
      <w:bookmarkEnd w:id="41"/>
      <w:bookmarkEnd w:id="42"/>
      <w:r w:rsidDel="005D2A74">
        <w:t>arrangements</w:t>
      </w:r>
      <w:bookmarkEnd w:id="43"/>
    </w:p>
    <w:p w14:paraId="2AD938F2" w14:textId="4C752278" w:rsidR="005B699B" w:rsidRPr="005A38DA" w:rsidRDefault="005B699B" w:rsidP="005B699B">
      <w:pPr>
        <w:pStyle w:val="Body"/>
      </w:pPr>
      <w:r>
        <w:t>Part 1 details funding and pricing arrangements.</w:t>
      </w:r>
    </w:p>
    <w:p w14:paraId="6A6A723B" w14:textId="77777777" w:rsidR="005B699B" w:rsidRPr="0005765E" w:rsidRDefault="005B699B" w:rsidP="002E0877">
      <w:pPr>
        <w:pStyle w:val="Heading3"/>
        <w:numPr>
          <w:ilvl w:val="0"/>
          <w:numId w:val="0"/>
        </w:numPr>
        <w:ind w:left="720" w:hanging="720"/>
      </w:pPr>
      <w:bookmarkStart w:id="44" w:name="_Toc106869757"/>
      <w:bookmarkStart w:id="45" w:name="_Toc106870091"/>
      <w:bookmarkStart w:id="46" w:name="_Toc106870257"/>
      <w:bookmarkStart w:id="47" w:name="_Toc106870429"/>
      <w:bookmarkStart w:id="48" w:name="_Toc167174151"/>
      <w:r>
        <w:lastRenderedPageBreak/>
        <w:t xml:space="preserve">Part 2: Funding and </w:t>
      </w:r>
      <w:bookmarkEnd w:id="44"/>
      <w:bookmarkEnd w:id="45"/>
      <w:bookmarkEnd w:id="46"/>
      <w:bookmarkEnd w:id="47"/>
      <w:r>
        <w:t>activity levels</w:t>
      </w:r>
      <w:bookmarkEnd w:id="48"/>
    </w:p>
    <w:p w14:paraId="5D6C0D8C" w14:textId="37FFE673" w:rsidR="005B699B" w:rsidRDefault="005B699B" w:rsidP="005B699B">
      <w:pPr>
        <w:pStyle w:val="Body"/>
      </w:pPr>
      <w:r>
        <w:t>Part 2 provides funding and activity tables that detail the modelled budgets, as well as targets for a range of programs across the health system.</w:t>
      </w:r>
    </w:p>
    <w:p w14:paraId="155096D8" w14:textId="77777777" w:rsidR="005B699B" w:rsidRPr="00C97358" w:rsidRDefault="005B699B" w:rsidP="005B699B">
      <w:pPr>
        <w:pStyle w:val="Body"/>
      </w:pPr>
      <w:r>
        <w:t>In addition to these guidelines, funded organisations are expected to comply with all other applicable policies.</w:t>
      </w:r>
    </w:p>
    <w:p w14:paraId="4FB78DEC" w14:textId="2B950849" w:rsidR="005B699B" w:rsidRPr="00F3725E" w:rsidRDefault="005B699B" w:rsidP="005B699B">
      <w:pPr>
        <w:pStyle w:val="Body"/>
      </w:pPr>
      <w:r>
        <w:t xml:space="preserve">Ensure you are reading the most recent version of this document on the </w:t>
      </w:r>
      <w:hyperlink r:id="rId15">
        <w:r w:rsidRPr="0670E279">
          <w:rPr>
            <w:rStyle w:val="Hyperlink"/>
            <w:lang w:val="en-US"/>
          </w:rPr>
          <w:t xml:space="preserve">Policy and </w:t>
        </w:r>
        <w:r>
          <w:rPr>
            <w:rStyle w:val="Hyperlink"/>
            <w:lang w:val="en-US"/>
          </w:rPr>
          <w:t>f</w:t>
        </w:r>
        <w:r w:rsidRPr="0670E279">
          <w:rPr>
            <w:rStyle w:val="Hyperlink"/>
            <w:lang w:val="en-US"/>
          </w:rPr>
          <w:t xml:space="preserve">unding </w:t>
        </w:r>
        <w:r>
          <w:rPr>
            <w:rStyle w:val="Hyperlink"/>
            <w:lang w:val="en-US"/>
          </w:rPr>
          <w:t>g</w:t>
        </w:r>
        <w:r w:rsidRPr="0670E279">
          <w:rPr>
            <w:rStyle w:val="Hyperlink"/>
            <w:lang w:val="en-US"/>
          </w:rPr>
          <w:t>uidelines webpage</w:t>
        </w:r>
      </w:hyperlink>
      <w:r w:rsidRPr="0670E279">
        <w:rPr>
          <w:lang w:val="en-US"/>
        </w:rPr>
        <w:t xml:space="preserve"> &lt;https://www.health.vic.gov.au/policy-and-funding-guidelines-for-health-services</w:t>
      </w:r>
      <w:r>
        <w:t>&gt;, as it may be updated throughout the year.</w:t>
      </w:r>
    </w:p>
    <w:p w14:paraId="4FCC6C14" w14:textId="150C4580" w:rsidR="005B699B" w:rsidRPr="00F3725E" w:rsidRDefault="005B699B" w:rsidP="005B699B">
      <w:pPr>
        <w:pStyle w:val="Body"/>
      </w:pPr>
      <w:r>
        <w:t>References to particular statutes, regulations or contracts are descriptive only.</w:t>
      </w:r>
    </w:p>
    <w:p w14:paraId="705B10D5" w14:textId="5BBD9D4A" w:rsidR="005B699B" w:rsidRPr="00F3725E" w:rsidRDefault="005B699B" w:rsidP="005B699B">
      <w:pPr>
        <w:pStyle w:val="Body"/>
      </w:pPr>
      <w:r>
        <w:t>If there are inconsistencies or ambiguities between these guidelines and any legislation, regulations and contractual obligations with the State of Victoria (acting through the department or the Secretary of the department), the legislative, regulatory and contractual obligations take precedence.</w:t>
      </w:r>
    </w:p>
    <w:p w14:paraId="70A1A5D9" w14:textId="77777777" w:rsidR="005B699B" w:rsidRPr="00EE21CA" w:rsidRDefault="005B699B" w:rsidP="005B699B">
      <w:pPr>
        <w:pStyle w:val="Body"/>
      </w:pPr>
      <w:r>
        <w:t>Each funded organisation should refer to the relevant statute, regulation or contract to ascertain all details of its legal obligations. If any funded organisation has specific queries regarding its legal obligations, it should seek independent legal advice.</w:t>
      </w:r>
    </w:p>
    <w:p w14:paraId="04647A62" w14:textId="319505DF" w:rsidR="005B699B" w:rsidRPr="00EE21CA" w:rsidRDefault="005B699B" w:rsidP="005B699B">
      <w:pPr>
        <w:pStyle w:val="Body"/>
      </w:pPr>
      <w:r w:rsidRPr="00563FC9">
        <w:t xml:space="preserve">Service agreements are contractual arrangements between entities for the delivery of services in the community, funded by the department. </w:t>
      </w:r>
      <w:r>
        <w:t xml:space="preserve">For entities funded through a service agreement, visit the </w:t>
      </w:r>
      <w:hyperlink r:id="rId16">
        <w:r w:rsidRPr="0670E279">
          <w:rPr>
            <w:rStyle w:val="Hyperlink"/>
            <w:lang w:val="en-US"/>
          </w:rPr>
          <w:t>service agreement website</w:t>
        </w:r>
      </w:hyperlink>
      <w:r>
        <w:t xml:space="preserve"> &lt;</w:t>
      </w:r>
      <w:r w:rsidRPr="00AC1491">
        <w:t>https://fac.dffh.vic.gov.au/service-agreement</w:t>
      </w:r>
      <w:r>
        <w:t>&gt; for funding information and activity tables that underpin service agreements.</w:t>
      </w:r>
    </w:p>
    <w:p w14:paraId="1DB7C185" w14:textId="04A9B62F" w:rsidR="005B699B" w:rsidRDefault="005B699B" w:rsidP="005B699B">
      <w:pPr>
        <w:pStyle w:val="Body"/>
        <w:rPr>
          <w:lang w:val="en-US"/>
        </w:rPr>
      </w:pPr>
      <w:r>
        <w:t xml:space="preserve">Those entities funded through a service agreement can search for activity descriptions by visiting the </w:t>
      </w:r>
      <w:hyperlink r:id="rId17">
        <w:r w:rsidRPr="0670E279">
          <w:rPr>
            <w:rStyle w:val="Hyperlink"/>
          </w:rPr>
          <w:t>Department of Families, Fairness and Housing and Department of Health activity search</w:t>
        </w:r>
      </w:hyperlink>
      <w:r>
        <w:t xml:space="preserve"> &lt;https://providers.dffh.vic.gov.au/families-fairness-housing-health-activity-search&gt;.</w:t>
      </w:r>
    </w:p>
    <w:p w14:paraId="4B56276D" w14:textId="509FC51E" w:rsidR="005B699B" w:rsidRPr="002F56B3" w:rsidRDefault="005B699B" w:rsidP="00AC1491">
      <w:pPr>
        <w:pStyle w:val="Heading2"/>
        <w:numPr>
          <w:ilvl w:val="0"/>
          <w:numId w:val="0"/>
        </w:numPr>
        <w:ind w:left="1134" w:hanging="1134"/>
      </w:pPr>
      <w:bookmarkStart w:id="49" w:name="_Toc167226002"/>
      <w:bookmarkStart w:id="50" w:name="_Toc12894352"/>
      <w:bookmarkStart w:id="51" w:name="_Toc12895308"/>
      <w:bookmarkStart w:id="52" w:name="_Toc414438675"/>
      <w:bookmarkStart w:id="53" w:name="_Toc12894353"/>
      <w:bookmarkStart w:id="54" w:name="_Toc12895309"/>
      <w:bookmarkStart w:id="55" w:name="_Toc12894354"/>
      <w:bookmarkStart w:id="56" w:name="_Toc12895310"/>
      <w:bookmarkStart w:id="57" w:name="_Toc12894355"/>
      <w:bookmarkStart w:id="58" w:name="_Toc12895311"/>
      <w:bookmarkStart w:id="59" w:name="_Toc12894356"/>
      <w:bookmarkStart w:id="60" w:name="_Toc12895312"/>
      <w:bookmarkStart w:id="61" w:name="_Toc12894357"/>
      <w:bookmarkStart w:id="62" w:name="_Toc12895313"/>
      <w:bookmarkStart w:id="63" w:name="_Toc12894358"/>
      <w:bookmarkStart w:id="64" w:name="_Toc12895314"/>
      <w:bookmarkStart w:id="65" w:name="_Toc12894359"/>
      <w:bookmarkStart w:id="66" w:name="_Toc12895315"/>
      <w:bookmarkStart w:id="67" w:name="_Toc12894360"/>
      <w:bookmarkStart w:id="68" w:name="_Toc12895316"/>
      <w:bookmarkStart w:id="69" w:name="_Toc12894361"/>
      <w:bookmarkStart w:id="70" w:name="_Toc12895317"/>
      <w:bookmarkStart w:id="71" w:name="_Toc12894362"/>
      <w:bookmarkStart w:id="72" w:name="_Toc12895318"/>
      <w:bookmarkStart w:id="73" w:name="_Toc12894363"/>
      <w:bookmarkStart w:id="74" w:name="_Toc12895319"/>
      <w:bookmarkStart w:id="75" w:name="_Toc12894364"/>
      <w:bookmarkStart w:id="76" w:name="_Toc12895320"/>
      <w:bookmarkStart w:id="77" w:name="_Toc12894365"/>
      <w:bookmarkStart w:id="78" w:name="_Toc12895321"/>
      <w:bookmarkStart w:id="79" w:name="_Toc12894366"/>
      <w:bookmarkStart w:id="80" w:name="_Toc12895322"/>
      <w:bookmarkStart w:id="81" w:name="_Toc12894367"/>
      <w:bookmarkStart w:id="82" w:name="_Toc12895323"/>
      <w:bookmarkStart w:id="83" w:name="_Toc12894368"/>
      <w:bookmarkStart w:id="84" w:name="_Toc12895324"/>
      <w:bookmarkStart w:id="85" w:name="_Toc12894369"/>
      <w:bookmarkStart w:id="86" w:name="_Toc12895325"/>
      <w:bookmarkStart w:id="87" w:name="_Toc12894370"/>
      <w:bookmarkStart w:id="88" w:name="_Toc12895326"/>
      <w:bookmarkStart w:id="89" w:name="_Toc12894371"/>
      <w:bookmarkStart w:id="90" w:name="_Toc12895327"/>
      <w:bookmarkStart w:id="91" w:name="_Toc12894372"/>
      <w:bookmarkStart w:id="92" w:name="_Toc12895328"/>
      <w:bookmarkStart w:id="93" w:name="_Toc12894373"/>
      <w:bookmarkStart w:id="94" w:name="_Toc12895329"/>
      <w:bookmarkStart w:id="95" w:name="_Toc12894374"/>
      <w:bookmarkStart w:id="96" w:name="_Toc12895330"/>
      <w:bookmarkStart w:id="97" w:name="_Toc12894375"/>
      <w:bookmarkStart w:id="98" w:name="_Toc12895331"/>
      <w:bookmarkStart w:id="99" w:name="_Toc12894376"/>
      <w:bookmarkStart w:id="100" w:name="_Toc12895332"/>
      <w:bookmarkStart w:id="101" w:name="_Toc12894377"/>
      <w:bookmarkStart w:id="102" w:name="_Toc12895333"/>
      <w:bookmarkStart w:id="103" w:name="_Toc12894378"/>
      <w:bookmarkStart w:id="104" w:name="_Toc12895334"/>
      <w:bookmarkStart w:id="105" w:name="_Toc12894379"/>
      <w:bookmarkStart w:id="106" w:name="_Toc12895335"/>
      <w:bookmarkStart w:id="107" w:name="_Toc12894380"/>
      <w:bookmarkStart w:id="108" w:name="_Toc12895336"/>
      <w:bookmarkStart w:id="109" w:name="_Toc12894381"/>
      <w:bookmarkStart w:id="110" w:name="_Toc12895337"/>
      <w:bookmarkStart w:id="111" w:name="_Toc12894382"/>
      <w:bookmarkStart w:id="112" w:name="_Toc12895338"/>
      <w:bookmarkStart w:id="113" w:name="_Toc12894383"/>
      <w:bookmarkStart w:id="114" w:name="_Toc12895339"/>
      <w:bookmarkStart w:id="115" w:name="_Toc12894384"/>
      <w:bookmarkStart w:id="116" w:name="_Toc12895340"/>
      <w:bookmarkStart w:id="117" w:name="_Toc12894385"/>
      <w:bookmarkStart w:id="118" w:name="_Toc12895341"/>
      <w:bookmarkStart w:id="119" w:name="_Toc12894386"/>
      <w:bookmarkStart w:id="120" w:name="_Toc12895342"/>
      <w:bookmarkStart w:id="121" w:name="_Toc12894387"/>
      <w:bookmarkStart w:id="122" w:name="_Toc12895343"/>
      <w:bookmarkStart w:id="123" w:name="_Toc12894388"/>
      <w:bookmarkStart w:id="124" w:name="_Toc12895344"/>
      <w:bookmarkStart w:id="125" w:name="_Toc12894389"/>
      <w:bookmarkStart w:id="126" w:name="_Toc12895345"/>
      <w:bookmarkStart w:id="127" w:name="_Toc12894390"/>
      <w:bookmarkStart w:id="128" w:name="_Toc12895346"/>
      <w:bookmarkStart w:id="129" w:name="_Toc12894391"/>
      <w:bookmarkStart w:id="130" w:name="_Toc12895347"/>
      <w:bookmarkStart w:id="131" w:name="_Toc12894392"/>
      <w:bookmarkStart w:id="132" w:name="_Toc12895348"/>
      <w:bookmarkStart w:id="133" w:name="_Toc12894393"/>
      <w:bookmarkStart w:id="134" w:name="_Toc12895349"/>
      <w:bookmarkStart w:id="135" w:name="_Toc12894394"/>
      <w:bookmarkStart w:id="136" w:name="_Toc12895350"/>
      <w:bookmarkStart w:id="137" w:name="_Toc12894395"/>
      <w:bookmarkStart w:id="138" w:name="_Toc12895351"/>
      <w:bookmarkStart w:id="139" w:name="_Toc12894396"/>
      <w:bookmarkStart w:id="140" w:name="_Toc12895352"/>
      <w:bookmarkStart w:id="141" w:name="_Toc12894397"/>
      <w:bookmarkStart w:id="142" w:name="_Toc12895353"/>
      <w:bookmarkStart w:id="143" w:name="_Toc12894398"/>
      <w:bookmarkStart w:id="144" w:name="_Toc12895354"/>
      <w:bookmarkStart w:id="145" w:name="_Toc12894399"/>
      <w:bookmarkStart w:id="146" w:name="_Toc12895355"/>
      <w:bookmarkStart w:id="147" w:name="_Toc12894400"/>
      <w:bookmarkStart w:id="148" w:name="_Toc12895356"/>
      <w:bookmarkStart w:id="149" w:name="_Toc12894401"/>
      <w:bookmarkStart w:id="150" w:name="_Toc12895357"/>
      <w:bookmarkStart w:id="151" w:name="_Toc12894402"/>
      <w:bookmarkStart w:id="152" w:name="_Toc12895358"/>
      <w:bookmarkStart w:id="153" w:name="_Toc12894403"/>
      <w:bookmarkStart w:id="154" w:name="_Toc12895359"/>
      <w:bookmarkStart w:id="155" w:name="_Toc12894404"/>
      <w:bookmarkStart w:id="156" w:name="_Toc12895360"/>
      <w:bookmarkStart w:id="157" w:name="_Toc12894405"/>
      <w:bookmarkStart w:id="158" w:name="_Toc12895361"/>
      <w:bookmarkStart w:id="159" w:name="_Toc12894406"/>
      <w:bookmarkStart w:id="160" w:name="_Toc12895362"/>
      <w:bookmarkStart w:id="161" w:name="_Toc12894407"/>
      <w:bookmarkStart w:id="162" w:name="_Toc12895363"/>
      <w:bookmarkStart w:id="163" w:name="_Toc12894408"/>
      <w:bookmarkStart w:id="164" w:name="_Toc12895364"/>
      <w:bookmarkStart w:id="165" w:name="_Toc12894409"/>
      <w:bookmarkStart w:id="166" w:name="_Toc12895365"/>
      <w:bookmarkStart w:id="167" w:name="_Toc12894410"/>
      <w:bookmarkStart w:id="168" w:name="_Toc12895366"/>
      <w:bookmarkStart w:id="169" w:name="_Toc12894411"/>
      <w:bookmarkStart w:id="170" w:name="_Toc12895367"/>
      <w:bookmarkStart w:id="171" w:name="_Toc12894412"/>
      <w:bookmarkStart w:id="172" w:name="_Toc12895368"/>
      <w:bookmarkStart w:id="173" w:name="_Toc12894413"/>
      <w:bookmarkStart w:id="174" w:name="_Toc12895369"/>
      <w:bookmarkStart w:id="175" w:name="_Toc12894414"/>
      <w:bookmarkStart w:id="176" w:name="_Toc12895370"/>
      <w:bookmarkStart w:id="177" w:name="_Toc12894415"/>
      <w:bookmarkStart w:id="178" w:name="_Toc12895371"/>
      <w:bookmarkStart w:id="179" w:name="_Toc12894416"/>
      <w:bookmarkStart w:id="180" w:name="_Toc12895372"/>
      <w:bookmarkStart w:id="181" w:name="_Toc486516936"/>
      <w:bookmarkStart w:id="182" w:name="_Toc486516937"/>
      <w:bookmarkStart w:id="183" w:name="_Toc486516938"/>
      <w:bookmarkStart w:id="184" w:name="_Toc486516939"/>
      <w:bookmarkStart w:id="185" w:name="_Toc12894417"/>
      <w:bookmarkStart w:id="186" w:name="_Toc12895373"/>
      <w:bookmarkStart w:id="187" w:name="_Toc12894418"/>
      <w:bookmarkStart w:id="188" w:name="_Toc12895374"/>
      <w:bookmarkStart w:id="189" w:name="_Toc12894419"/>
      <w:bookmarkStart w:id="190" w:name="_Toc12895375"/>
      <w:bookmarkStart w:id="191" w:name="_Toc12894420"/>
      <w:bookmarkStart w:id="192" w:name="_Toc12895376"/>
      <w:bookmarkStart w:id="193" w:name="_Toc12894421"/>
      <w:bookmarkStart w:id="194" w:name="_Toc12895377"/>
      <w:bookmarkStart w:id="195" w:name="_Toc12894422"/>
      <w:bookmarkStart w:id="196" w:name="_Toc12895378"/>
      <w:bookmarkStart w:id="197" w:name="_Toc12894423"/>
      <w:bookmarkStart w:id="198" w:name="_Toc12895379"/>
      <w:bookmarkStart w:id="199" w:name="_Toc12894424"/>
      <w:bookmarkStart w:id="200" w:name="_Toc12895380"/>
      <w:bookmarkStart w:id="201" w:name="_Toc12894425"/>
      <w:bookmarkStart w:id="202" w:name="_Toc12895381"/>
      <w:bookmarkStart w:id="203" w:name="_Toc12894426"/>
      <w:bookmarkStart w:id="204" w:name="_Toc12895382"/>
      <w:bookmarkStart w:id="205" w:name="_Toc12894427"/>
      <w:bookmarkStart w:id="206" w:name="_Toc12895383"/>
      <w:bookmarkStart w:id="207" w:name="_Toc12894428"/>
      <w:bookmarkStart w:id="208" w:name="_Toc12895384"/>
      <w:bookmarkStart w:id="209" w:name="_Toc12894429"/>
      <w:bookmarkStart w:id="210" w:name="_Toc12895385"/>
      <w:bookmarkStart w:id="211" w:name="_Toc12894430"/>
      <w:bookmarkStart w:id="212" w:name="_Toc12895386"/>
      <w:bookmarkStart w:id="213" w:name="_Toc12894431"/>
      <w:bookmarkStart w:id="214" w:name="_Toc12895387"/>
      <w:bookmarkStart w:id="215" w:name="_Toc12894432"/>
      <w:bookmarkStart w:id="216" w:name="_Toc12895388"/>
      <w:bookmarkStart w:id="217" w:name="_Toc12894433"/>
      <w:bookmarkStart w:id="218" w:name="_Toc12895389"/>
      <w:bookmarkStart w:id="219" w:name="_Toc12894434"/>
      <w:bookmarkStart w:id="220" w:name="_Toc12895390"/>
      <w:bookmarkStart w:id="221" w:name="_Toc12894435"/>
      <w:bookmarkStart w:id="222" w:name="_Toc12895391"/>
      <w:bookmarkStart w:id="223" w:name="_Toc12894436"/>
      <w:bookmarkStart w:id="224" w:name="_Toc12895392"/>
      <w:bookmarkStart w:id="225" w:name="_Toc12894437"/>
      <w:bookmarkStart w:id="226" w:name="_Toc12895393"/>
      <w:bookmarkStart w:id="227" w:name="_Toc12894438"/>
      <w:bookmarkStart w:id="228" w:name="_Toc12895394"/>
      <w:bookmarkStart w:id="229" w:name="_Toc12894439"/>
      <w:bookmarkStart w:id="230" w:name="_Toc12895395"/>
      <w:bookmarkStart w:id="231" w:name="_Toc12894440"/>
      <w:bookmarkStart w:id="232" w:name="_Toc12895396"/>
      <w:bookmarkStart w:id="233" w:name="_Toc12894441"/>
      <w:bookmarkStart w:id="234" w:name="_Toc12895397"/>
      <w:bookmarkStart w:id="235" w:name="_Toc12894442"/>
      <w:bookmarkStart w:id="236" w:name="_Toc12895398"/>
      <w:bookmarkStart w:id="237" w:name="_Toc12894443"/>
      <w:bookmarkStart w:id="238" w:name="_Toc12895399"/>
      <w:bookmarkStart w:id="239" w:name="_Toc12894444"/>
      <w:bookmarkStart w:id="240" w:name="_Toc12895400"/>
      <w:bookmarkStart w:id="241" w:name="_Toc12894445"/>
      <w:bookmarkStart w:id="242" w:name="_Toc12895401"/>
      <w:bookmarkStart w:id="243" w:name="_Toc12894446"/>
      <w:bookmarkStart w:id="244" w:name="_Toc12895402"/>
      <w:bookmarkStart w:id="245" w:name="_Toc12894447"/>
      <w:bookmarkStart w:id="246" w:name="_Toc12895403"/>
      <w:bookmarkStart w:id="247" w:name="_Toc12894448"/>
      <w:bookmarkStart w:id="248" w:name="_Toc12895404"/>
      <w:bookmarkStart w:id="249" w:name="_Toc12894449"/>
      <w:bookmarkStart w:id="250" w:name="_Toc12895405"/>
      <w:bookmarkStart w:id="251" w:name="_Toc12894450"/>
      <w:bookmarkStart w:id="252" w:name="_Toc12895406"/>
      <w:bookmarkStart w:id="253" w:name="_Toc12894451"/>
      <w:bookmarkStart w:id="254" w:name="_Toc12895407"/>
      <w:bookmarkStart w:id="255" w:name="_Toc12894452"/>
      <w:bookmarkStart w:id="256" w:name="_Toc12895408"/>
      <w:bookmarkStart w:id="257" w:name="_Toc12894453"/>
      <w:bookmarkStart w:id="258" w:name="_Toc12895409"/>
      <w:bookmarkStart w:id="259" w:name="_Toc12894454"/>
      <w:bookmarkStart w:id="260" w:name="_Toc12895410"/>
      <w:bookmarkStart w:id="261" w:name="_Toc12894455"/>
      <w:bookmarkStart w:id="262" w:name="_Toc12895411"/>
      <w:bookmarkStart w:id="263" w:name="_Toc12894456"/>
      <w:bookmarkStart w:id="264" w:name="_Toc12895412"/>
      <w:bookmarkStart w:id="265" w:name="_Toc12894457"/>
      <w:bookmarkStart w:id="266" w:name="_Toc12895413"/>
      <w:bookmarkStart w:id="267" w:name="_Toc12894458"/>
      <w:bookmarkStart w:id="268" w:name="_Toc12895414"/>
      <w:bookmarkStart w:id="269" w:name="_Toc12894459"/>
      <w:bookmarkStart w:id="270" w:name="_Toc12895415"/>
      <w:bookmarkStart w:id="271" w:name="_Toc12894460"/>
      <w:bookmarkStart w:id="272" w:name="_Toc12895416"/>
      <w:bookmarkStart w:id="273" w:name="_Toc12894461"/>
      <w:bookmarkStart w:id="274" w:name="_Toc12895417"/>
      <w:bookmarkStart w:id="275" w:name="_Toc12894462"/>
      <w:bookmarkStart w:id="276" w:name="_Toc12895418"/>
      <w:bookmarkStart w:id="277" w:name="_Toc12894463"/>
      <w:bookmarkStart w:id="278" w:name="_Toc12895419"/>
      <w:bookmarkStart w:id="279" w:name="_Toc12894464"/>
      <w:bookmarkStart w:id="280" w:name="_Toc12895420"/>
      <w:bookmarkStart w:id="281" w:name="_Toc12894465"/>
      <w:bookmarkStart w:id="282" w:name="_Toc12895421"/>
      <w:bookmarkStart w:id="283" w:name="_Toc12894466"/>
      <w:bookmarkStart w:id="284" w:name="_Toc12895422"/>
      <w:bookmarkStart w:id="285" w:name="_Toc12894467"/>
      <w:bookmarkStart w:id="286" w:name="_Toc12895423"/>
      <w:bookmarkStart w:id="287" w:name="_Toc12894468"/>
      <w:bookmarkStart w:id="288" w:name="_Toc12895424"/>
      <w:bookmarkStart w:id="289" w:name="_Toc12894469"/>
      <w:bookmarkStart w:id="290" w:name="_Toc12895425"/>
      <w:bookmarkStart w:id="291" w:name="_Toc12894470"/>
      <w:bookmarkStart w:id="292" w:name="_Toc12895426"/>
      <w:bookmarkStart w:id="293" w:name="_Toc12894471"/>
      <w:bookmarkStart w:id="294" w:name="_Toc12895427"/>
      <w:bookmarkStart w:id="295" w:name="_Toc12894472"/>
      <w:bookmarkStart w:id="296" w:name="_Toc12895428"/>
      <w:bookmarkStart w:id="297" w:name="_Toc12894473"/>
      <w:bookmarkStart w:id="298" w:name="_Toc12895429"/>
      <w:bookmarkStart w:id="299" w:name="_Toc12894474"/>
      <w:bookmarkStart w:id="300" w:name="_Toc12895430"/>
      <w:bookmarkStart w:id="301" w:name="_Toc12894475"/>
      <w:bookmarkStart w:id="302" w:name="_Toc12895431"/>
      <w:bookmarkStart w:id="303" w:name="_Toc12894476"/>
      <w:bookmarkStart w:id="304" w:name="_Toc12895432"/>
      <w:bookmarkStart w:id="305" w:name="_Toc12894477"/>
      <w:bookmarkStart w:id="306" w:name="_Toc12895433"/>
      <w:bookmarkStart w:id="307" w:name="_Toc12894478"/>
      <w:bookmarkStart w:id="308" w:name="_Toc12895434"/>
      <w:bookmarkStart w:id="309" w:name="_Toc12894479"/>
      <w:bookmarkStart w:id="310" w:name="_Toc12895435"/>
      <w:bookmarkStart w:id="311" w:name="_Toc12894480"/>
      <w:bookmarkStart w:id="312" w:name="_Toc12895436"/>
      <w:bookmarkStart w:id="313" w:name="_Toc12894481"/>
      <w:bookmarkStart w:id="314" w:name="_Toc12895437"/>
      <w:bookmarkStart w:id="315" w:name="_Toc12894482"/>
      <w:bookmarkStart w:id="316" w:name="_Toc12895438"/>
      <w:bookmarkStart w:id="317" w:name="_Toc12894483"/>
      <w:bookmarkStart w:id="318" w:name="_Toc12895439"/>
      <w:bookmarkStart w:id="319" w:name="_Toc12894484"/>
      <w:bookmarkStart w:id="320" w:name="_Toc12895440"/>
      <w:bookmarkStart w:id="321" w:name="_Toc12894485"/>
      <w:bookmarkStart w:id="322" w:name="_Toc12895441"/>
      <w:bookmarkStart w:id="323" w:name="_Toc12894486"/>
      <w:bookmarkStart w:id="324" w:name="_Toc12895442"/>
      <w:bookmarkStart w:id="325" w:name="_Toc12894487"/>
      <w:bookmarkStart w:id="326" w:name="_Toc12895443"/>
      <w:bookmarkStart w:id="327" w:name="_Toc12894488"/>
      <w:bookmarkStart w:id="328" w:name="_Toc12895444"/>
      <w:bookmarkStart w:id="329" w:name="_Toc12894489"/>
      <w:bookmarkStart w:id="330" w:name="_Toc12895445"/>
      <w:bookmarkStart w:id="331" w:name="_Toc12894490"/>
      <w:bookmarkStart w:id="332" w:name="_Toc12895446"/>
      <w:bookmarkStart w:id="333" w:name="_Toc12894491"/>
      <w:bookmarkStart w:id="334" w:name="_Toc12895447"/>
      <w:bookmarkStart w:id="335" w:name="_Toc12894492"/>
      <w:bookmarkStart w:id="336" w:name="_Toc12895448"/>
      <w:bookmarkStart w:id="337" w:name="_Toc12894493"/>
      <w:bookmarkStart w:id="338" w:name="_Toc12895449"/>
      <w:bookmarkStart w:id="339" w:name="_Toc12894494"/>
      <w:bookmarkStart w:id="340" w:name="_Toc12895450"/>
      <w:bookmarkStart w:id="341" w:name="_Toc12894495"/>
      <w:bookmarkStart w:id="342" w:name="_Toc12895451"/>
      <w:bookmarkStart w:id="343" w:name="_Toc12894496"/>
      <w:bookmarkStart w:id="344" w:name="_Toc12895452"/>
      <w:bookmarkStart w:id="345" w:name="_Toc12894497"/>
      <w:bookmarkStart w:id="346" w:name="_Toc12895453"/>
      <w:bookmarkStart w:id="347" w:name="_Toc12894498"/>
      <w:bookmarkStart w:id="348" w:name="_Toc12895454"/>
      <w:bookmarkStart w:id="349" w:name="_Toc12894499"/>
      <w:bookmarkStart w:id="350" w:name="_Toc12895455"/>
      <w:bookmarkStart w:id="351" w:name="_Toc12894500"/>
      <w:bookmarkStart w:id="352" w:name="_Toc12895456"/>
      <w:bookmarkStart w:id="353" w:name="_Toc12894501"/>
      <w:bookmarkStart w:id="354" w:name="_Toc12895457"/>
      <w:bookmarkStart w:id="355" w:name="_Toc12894502"/>
      <w:bookmarkStart w:id="356" w:name="_Toc12895458"/>
      <w:bookmarkStart w:id="357" w:name="_Toc12894503"/>
      <w:bookmarkStart w:id="358" w:name="_Toc12895459"/>
      <w:bookmarkStart w:id="359" w:name="_Toc12894504"/>
      <w:bookmarkStart w:id="360" w:name="_Toc12895460"/>
      <w:bookmarkStart w:id="361" w:name="_Toc12894505"/>
      <w:bookmarkStart w:id="362" w:name="_Toc12895461"/>
      <w:bookmarkStart w:id="363" w:name="_Toc12894506"/>
      <w:bookmarkStart w:id="364" w:name="_Toc12895462"/>
      <w:bookmarkStart w:id="365" w:name="_Toc12894507"/>
      <w:bookmarkStart w:id="366" w:name="_Toc12895463"/>
      <w:bookmarkStart w:id="367" w:name="_Toc12894508"/>
      <w:bookmarkStart w:id="368" w:name="_Toc12895464"/>
      <w:bookmarkStart w:id="369" w:name="_Toc12894509"/>
      <w:bookmarkStart w:id="370" w:name="_Toc12895465"/>
      <w:bookmarkStart w:id="371" w:name="_Toc12894510"/>
      <w:bookmarkStart w:id="372" w:name="_Toc12895466"/>
      <w:bookmarkStart w:id="373" w:name="_Toc12894511"/>
      <w:bookmarkStart w:id="374" w:name="_Toc12895467"/>
      <w:bookmarkStart w:id="375" w:name="_Toc12894512"/>
      <w:bookmarkStart w:id="376" w:name="_Toc12895468"/>
      <w:bookmarkStart w:id="377" w:name="_Toc12894513"/>
      <w:bookmarkStart w:id="378" w:name="_Toc12895469"/>
      <w:bookmarkStart w:id="379" w:name="_Toc12894514"/>
      <w:bookmarkStart w:id="380" w:name="_Toc12895470"/>
      <w:bookmarkStart w:id="381" w:name="_Toc12894515"/>
      <w:bookmarkStart w:id="382" w:name="_Toc12895471"/>
      <w:bookmarkStart w:id="383" w:name="_Toc12894516"/>
      <w:bookmarkStart w:id="384" w:name="_Toc12895472"/>
      <w:bookmarkStart w:id="385" w:name="_Toc12894517"/>
      <w:bookmarkStart w:id="386" w:name="_Toc12895473"/>
      <w:bookmarkStart w:id="387" w:name="_Toc12894518"/>
      <w:bookmarkStart w:id="388" w:name="_Toc12895474"/>
      <w:bookmarkStart w:id="389" w:name="_Toc12894519"/>
      <w:bookmarkStart w:id="390" w:name="_Toc12895475"/>
      <w:bookmarkStart w:id="391" w:name="_Toc12894520"/>
      <w:bookmarkStart w:id="392" w:name="_Toc12895476"/>
      <w:bookmarkStart w:id="393" w:name="_Toc12894521"/>
      <w:bookmarkStart w:id="394" w:name="_Toc12895477"/>
      <w:bookmarkStart w:id="395" w:name="_Toc12894522"/>
      <w:bookmarkStart w:id="396" w:name="_Toc12895478"/>
      <w:bookmarkStart w:id="397" w:name="_Toc12894523"/>
      <w:bookmarkStart w:id="398" w:name="_Toc12895479"/>
      <w:bookmarkStart w:id="399" w:name="_Toc12894524"/>
      <w:bookmarkStart w:id="400" w:name="_Toc12895480"/>
      <w:bookmarkStart w:id="401" w:name="_Toc12894525"/>
      <w:bookmarkStart w:id="402" w:name="_Toc12895481"/>
      <w:bookmarkStart w:id="403" w:name="_Toc12894526"/>
      <w:bookmarkStart w:id="404" w:name="_Toc12895482"/>
      <w:bookmarkStart w:id="405" w:name="_Toc12894527"/>
      <w:bookmarkStart w:id="406" w:name="_Toc12895483"/>
      <w:bookmarkStart w:id="407" w:name="_Toc12894528"/>
      <w:bookmarkStart w:id="408" w:name="_Toc12895484"/>
      <w:bookmarkStart w:id="409" w:name="_Toc12894529"/>
      <w:bookmarkStart w:id="410" w:name="_Toc12895485"/>
      <w:bookmarkStart w:id="411" w:name="_Toc12894530"/>
      <w:bookmarkStart w:id="412" w:name="_Toc12895486"/>
      <w:bookmarkStart w:id="413" w:name="_Toc12894531"/>
      <w:bookmarkStart w:id="414" w:name="_Toc12895487"/>
      <w:bookmarkStart w:id="415" w:name="_Toc12894532"/>
      <w:bookmarkStart w:id="416" w:name="_Toc12895488"/>
      <w:bookmarkStart w:id="417" w:name="_Toc12894533"/>
      <w:bookmarkStart w:id="418" w:name="_Toc12895489"/>
      <w:bookmarkStart w:id="419" w:name="_Toc12894534"/>
      <w:bookmarkStart w:id="420" w:name="_Toc12895490"/>
      <w:bookmarkStart w:id="421" w:name="_Toc12894535"/>
      <w:bookmarkStart w:id="422" w:name="_Toc12895491"/>
      <w:bookmarkStart w:id="423" w:name="_Toc12894536"/>
      <w:bookmarkStart w:id="424" w:name="_Toc12895492"/>
      <w:bookmarkStart w:id="425" w:name="_Toc12894537"/>
      <w:bookmarkStart w:id="426" w:name="_Toc12895493"/>
      <w:bookmarkStart w:id="427" w:name="_Toc12894538"/>
      <w:bookmarkStart w:id="428" w:name="_Toc12895494"/>
      <w:bookmarkStart w:id="429" w:name="_Toc12894539"/>
      <w:bookmarkStart w:id="430" w:name="_Toc12895495"/>
      <w:bookmarkStart w:id="431" w:name="_Toc12894540"/>
      <w:bookmarkStart w:id="432" w:name="_Toc12895496"/>
      <w:bookmarkStart w:id="433" w:name="_Toc12894541"/>
      <w:bookmarkStart w:id="434" w:name="_Toc12895497"/>
      <w:bookmarkStart w:id="435" w:name="_Toc12894542"/>
      <w:bookmarkStart w:id="436" w:name="_Toc12895498"/>
      <w:bookmarkStart w:id="437" w:name="_Toc12894543"/>
      <w:bookmarkStart w:id="438" w:name="_Toc12895499"/>
      <w:bookmarkStart w:id="439" w:name="_Toc12894544"/>
      <w:bookmarkStart w:id="440" w:name="_Toc12895500"/>
      <w:bookmarkStart w:id="441" w:name="_Toc12894545"/>
      <w:bookmarkStart w:id="442" w:name="_Toc12895501"/>
      <w:bookmarkStart w:id="443" w:name="_Toc12894546"/>
      <w:bookmarkStart w:id="444" w:name="_Toc12895502"/>
      <w:bookmarkStart w:id="445" w:name="_Toc12894547"/>
      <w:bookmarkStart w:id="446" w:name="_Toc12895503"/>
      <w:bookmarkStart w:id="447" w:name="_Toc12894548"/>
      <w:bookmarkStart w:id="448" w:name="_Toc12895504"/>
      <w:bookmarkStart w:id="449" w:name="_Toc12894549"/>
      <w:bookmarkStart w:id="450" w:name="_Toc12895505"/>
      <w:bookmarkStart w:id="451" w:name="_Toc12894550"/>
      <w:bookmarkStart w:id="452" w:name="_Toc12895506"/>
      <w:bookmarkStart w:id="453" w:name="_Toc12894551"/>
      <w:bookmarkStart w:id="454" w:name="_Toc12895507"/>
      <w:bookmarkStart w:id="455" w:name="_Toc12894552"/>
      <w:bookmarkStart w:id="456" w:name="_Toc12895508"/>
      <w:bookmarkStart w:id="457" w:name="_Toc12894553"/>
      <w:bookmarkStart w:id="458" w:name="_Toc12895509"/>
      <w:bookmarkStart w:id="459" w:name="_Toc12894554"/>
      <w:bookmarkStart w:id="460" w:name="_Toc12895510"/>
      <w:bookmarkStart w:id="461" w:name="_Toc12894555"/>
      <w:bookmarkStart w:id="462" w:name="_Toc12895511"/>
      <w:bookmarkStart w:id="463" w:name="_Toc12894556"/>
      <w:bookmarkStart w:id="464" w:name="_Toc12895512"/>
      <w:bookmarkStart w:id="465" w:name="_Toc12894557"/>
      <w:bookmarkStart w:id="466" w:name="_Toc12895513"/>
      <w:bookmarkStart w:id="467" w:name="_Toc12894558"/>
      <w:bookmarkStart w:id="468" w:name="_Toc12895514"/>
      <w:bookmarkStart w:id="469" w:name="_Toc12894559"/>
      <w:bookmarkStart w:id="470" w:name="_Toc12895515"/>
      <w:bookmarkStart w:id="471" w:name="_Toc12894560"/>
      <w:bookmarkStart w:id="472" w:name="_Toc12895516"/>
      <w:bookmarkStart w:id="473" w:name="_Toc12894561"/>
      <w:bookmarkStart w:id="474" w:name="_Toc12895517"/>
      <w:bookmarkStart w:id="475" w:name="_Toc12894562"/>
      <w:bookmarkStart w:id="476" w:name="_Toc12895518"/>
      <w:bookmarkStart w:id="477" w:name="_Toc452726694"/>
      <w:bookmarkStart w:id="478" w:name="_Toc452726765"/>
      <w:bookmarkStart w:id="479" w:name="_Toc452726700"/>
      <w:bookmarkStart w:id="480" w:name="_Toc452726771"/>
      <w:bookmarkStart w:id="481" w:name="_Toc452726701"/>
      <w:bookmarkStart w:id="482" w:name="_Toc452726772"/>
      <w:bookmarkStart w:id="483" w:name="_Toc12894563"/>
      <w:bookmarkStart w:id="484" w:name="_Toc12895519"/>
      <w:bookmarkStart w:id="485" w:name="_Toc12894564"/>
      <w:bookmarkStart w:id="486" w:name="_Toc12895520"/>
      <w:bookmarkStart w:id="487" w:name="_Toc12894565"/>
      <w:bookmarkStart w:id="488" w:name="_Toc12895521"/>
      <w:bookmarkStart w:id="489" w:name="_Toc12894566"/>
      <w:bookmarkStart w:id="490" w:name="_Toc12895522"/>
      <w:bookmarkStart w:id="491" w:name="_Toc12894567"/>
      <w:bookmarkStart w:id="492" w:name="_Toc12895523"/>
      <w:bookmarkStart w:id="493" w:name="_Toc12894568"/>
      <w:bookmarkStart w:id="494" w:name="_Toc12895524"/>
      <w:bookmarkStart w:id="495" w:name="_Toc12894569"/>
      <w:bookmarkStart w:id="496" w:name="_Toc12895525"/>
      <w:bookmarkStart w:id="497" w:name="_Toc12894570"/>
      <w:bookmarkStart w:id="498" w:name="_Toc12895526"/>
      <w:bookmarkStart w:id="499" w:name="_Toc12894571"/>
      <w:bookmarkStart w:id="500" w:name="_Toc12895527"/>
      <w:bookmarkStart w:id="501" w:name="_Toc12894572"/>
      <w:bookmarkStart w:id="502" w:name="_Toc12895528"/>
      <w:bookmarkStart w:id="503" w:name="_Toc12894573"/>
      <w:bookmarkStart w:id="504" w:name="_Toc12895529"/>
      <w:bookmarkStart w:id="505" w:name="_Toc12894574"/>
      <w:bookmarkStart w:id="506" w:name="_Toc12895530"/>
      <w:bookmarkStart w:id="507" w:name="_Toc12894575"/>
      <w:bookmarkStart w:id="508" w:name="_Toc12895531"/>
      <w:bookmarkStart w:id="509" w:name="_Toc12894576"/>
      <w:bookmarkStart w:id="510" w:name="_Toc12895532"/>
      <w:bookmarkStart w:id="511" w:name="_Toc12894577"/>
      <w:bookmarkStart w:id="512" w:name="_Toc12895533"/>
      <w:bookmarkStart w:id="513" w:name="_Toc12894578"/>
      <w:bookmarkStart w:id="514" w:name="_Toc12895534"/>
      <w:bookmarkStart w:id="515" w:name="_Toc12894579"/>
      <w:bookmarkStart w:id="516" w:name="_Toc12895535"/>
      <w:bookmarkStart w:id="517" w:name="_Toc12894580"/>
      <w:bookmarkStart w:id="518" w:name="_Toc12895536"/>
      <w:bookmarkStart w:id="519" w:name="_Toc12894581"/>
      <w:bookmarkStart w:id="520" w:name="_Toc12895537"/>
      <w:bookmarkStart w:id="521" w:name="_Toc12894582"/>
      <w:bookmarkStart w:id="522" w:name="_Toc12895538"/>
      <w:bookmarkStart w:id="523" w:name="_Toc12894583"/>
      <w:bookmarkStart w:id="524" w:name="_Toc12895539"/>
      <w:bookmarkStart w:id="525" w:name="_Toc12894584"/>
      <w:bookmarkStart w:id="526" w:name="_Toc12895540"/>
      <w:bookmarkStart w:id="527" w:name="_Toc12894585"/>
      <w:bookmarkStart w:id="528" w:name="_Toc12895541"/>
      <w:bookmarkStart w:id="529" w:name="_Toc12894586"/>
      <w:bookmarkStart w:id="530" w:name="_Toc12895542"/>
      <w:bookmarkStart w:id="531" w:name="_Toc12894587"/>
      <w:bookmarkStart w:id="532" w:name="_Toc12895543"/>
      <w:bookmarkStart w:id="533" w:name="_Toc12894588"/>
      <w:bookmarkStart w:id="534" w:name="_Toc12895544"/>
      <w:bookmarkStart w:id="535" w:name="_Toc452726706"/>
      <w:bookmarkStart w:id="536" w:name="_Toc452726777"/>
      <w:bookmarkStart w:id="537" w:name="_Toc12894589"/>
      <w:bookmarkStart w:id="538" w:name="_Toc12895545"/>
      <w:bookmarkStart w:id="539" w:name="_Toc12894590"/>
      <w:bookmarkStart w:id="540" w:name="_Toc12895546"/>
      <w:bookmarkStart w:id="541" w:name="_Toc12894591"/>
      <w:bookmarkStart w:id="542" w:name="_Toc12895547"/>
      <w:bookmarkStart w:id="543" w:name="_Toc12894592"/>
      <w:bookmarkStart w:id="544" w:name="_Toc12895548"/>
      <w:bookmarkStart w:id="545" w:name="_Toc12894593"/>
      <w:bookmarkStart w:id="546" w:name="_Toc12895549"/>
      <w:bookmarkStart w:id="547" w:name="_Toc12894594"/>
      <w:bookmarkStart w:id="548" w:name="_Toc12895550"/>
      <w:bookmarkStart w:id="549" w:name="_Toc12894595"/>
      <w:bookmarkStart w:id="550" w:name="_Toc12895551"/>
      <w:bookmarkStart w:id="551" w:name="_Toc12894596"/>
      <w:bookmarkStart w:id="552" w:name="_Toc12895552"/>
      <w:bookmarkStart w:id="553" w:name="_Toc12894597"/>
      <w:bookmarkStart w:id="554" w:name="_Toc12895553"/>
      <w:bookmarkStart w:id="555" w:name="_Toc12894598"/>
      <w:bookmarkStart w:id="556" w:name="_Toc12895554"/>
      <w:bookmarkStart w:id="557" w:name="_Toc12894599"/>
      <w:bookmarkStart w:id="558" w:name="_Toc12895555"/>
      <w:bookmarkStart w:id="559" w:name="_Toc12894600"/>
      <w:bookmarkStart w:id="560" w:name="_Toc12895556"/>
      <w:bookmarkStart w:id="561" w:name="_Toc12894601"/>
      <w:bookmarkStart w:id="562" w:name="_Toc12895557"/>
      <w:bookmarkStart w:id="563" w:name="_Toc12894602"/>
      <w:bookmarkStart w:id="564" w:name="_Toc12895558"/>
      <w:bookmarkStart w:id="565" w:name="_Toc12894603"/>
      <w:bookmarkStart w:id="566" w:name="_Toc12895559"/>
      <w:bookmarkStart w:id="567" w:name="_Toc12894604"/>
      <w:bookmarkStart w:id="568" w:name="_Toc12895560"/>
      <w:bookmarkStart w:id="569" w:name="_Toc12894605"/>
      <w:bookmarkStart w:id="570" w:name="_Toc12895561"/>
      <w:bookmarkStart w:id="571" w:name="_Toc12894606"/>
      <w:bookmarkStart w:id="572" w:name="_Toc12895562"/>
      <w:bookmarkStart w:id="573" w:name="_Toc12894607"/>
      <w:bookmarkStart w:id="574" w:name="_Toc12895563"/>
      <w:bookmarkStart w:id="575" w:name="_Toc12894608"/>
      <w:bookmarkStart w:id="576" w:name="_Toc12895564"/>
      <w:bookmarkStart w:id="577" w:name="_Toc12894609"/>
      <w:bookmarkStart w:id="578" w:name="_Toc12895565"/>
      <w:bookmarkStart w:id="579" w:name="_Toc12894610"/>
      <w:bookmarkStart w:id="580" w:name="_Toc12895566"/>
      <w:bookmarkStart w:id="581" w:name="_Toc12894611"/>
      <w:bookmarkStart w:id="582" w:name="_Toc12895567"/>
      <w:bookmarkStart w:id="583" w:name="_Toc12894612"/>
      <w:bookmarkStart w:id="584" w:name="_Toc12895568"/>
      <w:bookmarkStart w:id="585" w:name="_Toc12894613"/>
      <w:bookmarkStart w:id="586" w:name="_Toc12895569"/>
      <w:bookmarkStart w:id="587" w:name="_Toc12894614"/>
      <w:bookmarkStart w:id="588" w:name="_Toc12895570"/>
      <w:bookmarkStart w:id="589" w:name="_Toc12894615"/>
      <w:bookmarkStart w:id="590" w:name="_Toc12895571"/>
      <w:bookmarkStart w:id="591" w:name="_Toc12894616"/>
      <w:bookmarkStart w:id="592" w:name="_Toc12895572"/>
      <w:bookmarkStart w:id="593" w:name="_Toc12894617"/>
      <w:bookmarkStart w:id="594" w:name="_Toc12895573"/>
      <w:bookmarkStart w:id="595" w:name="_Toc12894618"/>
      <w:bookmarkStart w:id="596" w:name="_Toc12895574"/>
      <w:bookmarkStart w:id="597" w:name="_Toc12894619"/>
      <w:bookmarkStart w:id="598" w:name="_Toc12895575"/>
      <w:bookmarkStart w:id="599" w:name="_Toc12894620"/>
      <w:bookmarkStart w:id="600" w:name="_Toc12895576"/>
      <w:bookmarkStart w:id="601" w:name="_Toc12894621"/>
      <w:bookmarkStart w:id="602" w:name="_Toc12895577"/>
      <w:bookmarkStart w:id="603" w:name="_Toc12894622"/>
      <w:bookmarkStart w:id="604" w:name="_Toc12895578"/>
      <w:bookmarkStart w:id="605" w:name="_Toc12894623"/>
      <w:bookmarkStart w:id="606" w:name="_Toc12895579"/>
      <w:bookmarkStart w:id="607" w:name="_Toc12894624"/>
      <w:bookmarkStart w:id="608" w:name="_Toc12895580"/>
      <w:bookmarkStart w:id="609" w:name="_Toc12894625"/>
      <w:bookmarkStart w:id="610" w:name="_Toc12895581"/>
      <w:bookmarkStart w:id="611" w:name="_Toc12894626"/>
      <w:bookmarkStart w:id="612" w:name="_Toc12895582"/>
      <w:bookmarkStart w:id="613" w:name="_Toc12894627"/>
      <w:bookmarkStart w:id="614" w:name="_Toc12895583"/>
      <w:bookmarkStart w:id="615" w:name="_Toc12894628"/>
      <w:bookmarkStart w:id="616" w:name="_Toc12895584"/>
      <w:bookmarkStart w:id="617" w:name="_Toc12894629"/>
      <w:bookmarkStart w:id="618" w:name="_Toc12895585"/>
      <w:bookmarkStart w:id="619" w:name="_Toc12894630"/>
      <w:bookmarkStart w:id="620" w:name="_Toc12895586"/>
      <w:bookmarkStart w:id="621" w:name="_Toc12894631"/>
      <w:bookmarkStart w:id="622" w:name="_Toc12895587"/>
      <w:bookmarkStart w:id="623" w:name="_Toc12894632"/>
      <w:bookmarkStart w:id="624" w:name="_Toc12895588"/>
      <w:bookmarkStart w:id="625" w:name="_Toc12894633"/>
      <w:bookmarkStart w:id="626" w:name="_Toc12895589"/>
      <w:bookmarkStart w:id="627" w:name="_Toc12894634"/>
      <w:bookmarkStart w:id="628" w:name="_Toc12895590"/>
      <w:bookmarkStart w:id="629" w:name="_Toc12894635"/>
      <w:bookmarkStart w:id="630" w:name="_Toc12895591"/>
      <w:bookmarkStart w:id="631" w:name="_Toc12894636"/>
      <w:bookmarkStart w:id="632" w:name="_Toc12895592"/>
      <w:bookmarkStart w:id="633" w:name="_Toc12894637"/>
      <w:bookmarkStart w:id="634" w:name="_Toc12895593"/>
      <w:bookmarkStart w:id="635" w:name="_Toc12894638"/>
      <w:bookmarkStart w:id="636" w:name="_Toc12895594"/>
      <w:bookmarkStart w:id="637" w:name="_Toc12894639"/>
      <w:bookmarkStart w:id="638" w:name="_Toc12895595"/>
      <w:bookmarkStart w:id="639" w:name="_Toc12894640"/>
      <w:bookmarkStart w:id="640" w:name="_Toc12895596"/>
      <w:bookmarkStart w:id="641" w:name="_Toc12894641"/>
      <w:bookmarkStart w:id="642" w:name="_Toc12895597"/>
      <w:bookmarkStart w:id="643" w:name="_Toc12894642"/>
      <w:bookmarkStart w:id="644" w:name="_Toc12895598"/>
      <w:bookmarkStart w:id="645" w:name="_Toc12894643"/>
      <w:bookmarkStart w:id="646" w:name="_Toc12895599"/>
      <w:bookmarkStart w:id="647" w:name="_Toc12894644"/>
      <w:bookmarkStart w:id="648" w:name="_Toc12895600"/>
      <w:bookmarkStart w:id="649" w:name="_Toc12894645"/>
      <w:bookmarkStart w:id="650" w:name="_Toc12895601"/>
      <w:bookmarkStart w:id="651" w:name="_Toc12894646"/>
      <w:bookmarkStart w:id="652" w:name="_Toc12895602"/>
      <w:bookmarkStart w:id="653" w:name="_Toc12894647"/>
      <w:bookmarkStart w:id="654" w:name="_Toc12895603"/>
      <w:bookmarkStart w:id="655" w:name="_Toc12894648"/>
      <w:bookmarkStart w:id="656" w:name="_Toc12895604"/>
      <w:bookmarkStart w:id="657" w:name="_Toc12894649"/>
      <w:bookmarkStart w:id="658" w:name="_Toc12895605"/>
      <w:bookmarkStart w:id="659" w:name="_Toc12894650"/>
      <w:bookmarkStart w:id="660" w:name="_Toc12895606"/>
      <w:bookmarkStart w:id="661" w:name="_Toc12894651"/>
      <w:bookmarkStart w:id="662" w:name="_Toc12895607"/>
      <w:bookmarkStart w:id="663" w:name="_Toc12894652"/>
      <w:bookmarkStart w:id="664" w:name="_Toc12895608"/>
      <w:bookmarkStart w:id="665" w:name="_Toc12894653"/>
      <w:bookmarkStart w:id="666" w:name="_Toc12895609"/>
      <w:bookmarkStart w:id="667" w:name="_Toc12894654"/>
      <w:bookmarkStart w:id="668" w:name="_Toc12895610"/>
      <w:bookmarkStart w:id="669" w:name="_Toc12894655"/>
      <w:bookmarkStart w:id="670" w:name="_Toc12895611"/>
      <w:bookmarkStart w:id="671" w:name="_Toc12894656"/>
      <w:bookmarkStart w:id="672" w:name="_Toc12895612"/>
      <w:bookmarkStart w:id="673" w:name="_Hlk1655213"/>
      <w:bookmarkStart w:id="674" w:name="_Toc486516956"/>
      <w:bookmarkStart w:id="675" w:name="_Toc486516957"/>
      <w:bookmarkStart w:id="676" w:name="_Toc486516958"/>
      <w:bookmarkStart w:id="677" w:name="_Toc486516959"/>
      <w:bookmarkStart w:id="678" w:name="_Toc486516960"/>
      <w:bookmarkStart w:id="679" w:name="_Toc486516961"/>
      <w:bookmarkStart w:id="680" w:name="_Toc486516962"/>
      <w:bookmarkStart w:id="681" w:name="_Toc486516963"/>
      <w:bookmarkStart w:id="682" w:name="_Toc486516964"/>
      <w:bookmarkStart w:id="683" w:name="_Toc486516965"/>
      <w:bookmarkStart w:id="684" w:name="_Toc486516966"/>
      <w:bookmarkStart w:id="685" w:name="_Toc486516967"/>
      <w:bookmarkStart w:id="686" w:name="_Toc486516968"/>
      <w:bookmarkStart w:id="687" w:name="_Toc486516969"/>
      <w:bookmarkStart w:id="688" w:name="_Toc452726713"/>
      <w:bookmarkStart w:id="689" w:name="_Toc452726784"/>
      <w:bookmarkStart w:id="690" w:name="_Toc452726714"/>
      <w:bookmarkStart w:id="691" w:name="_Toc452726785"/>
      <w:bookmarkStart w:id="692" w:name="_Toc12894657"/>
      <w:bookmarkStart w:id="693" w:name="_Toc12895613"/>
      <w:bookmarkStart w:id="694" w:name="_Health_service_performance"/>
      <w:bookmarkStart w:id="695" w:name="_Toc12894658"/>
      <w:bookmarkStart w:id="696" w:name="_Toc12895614"/>
      <w:bookmarkStart w:id="697" w:name="_Toc12894659"/>
      <w:bookmarkStart w:id="698" w:name="_Toc12895615"/>
      <w:bookmarkStart w:id="699" w:name="_Toc12894660"/>
      <w:bookmarkStart w:id="700" w:name="_Toc12895616"/>
      <w:bookmarkStart w:id="701" w:name="_Toc12894661"/>
      <w:bookmarkStart w:id="702" w:name="_Toc12895617"/>
      <w:bookmarkStart w:id="703" w:name="_Toc12894662"/>
      <w:bookmarkStart w:id="704" w:name="_Toc12895618"/>
      <w:bookmarkStart w:id="705" w:name="_Toc12894663"/>
      <w:bookmarkStart w:id="706" w:name="_Toc12895619"/>
      <w:bookmarkStart w:id="707" w:name="_Toc12894664"/>
      <w:bookmarkStart w:id="708" w:name="_Toc12895620"/>
      <w:bookmarkStart w:id="709" w:name="_Toc12894665"/>
      <w:bookmarkStart w:id="710" w:name="_Toc12895621"/>
      <w:bookmarkStart w:id="711" w:name="_Toc12894666"/>
      <w:bookmarkStart w:id="712" w:name="_Toc12895622"/>
      <w:bookmarkStart w:id="713" w:name="_Toc10144476"/>
      <w:bookmarkStart w:id="714" w:name="_Toc10144746"/>
      <w:bookmarkStart w:id="715" w:name="_Toc10145016"/>
      <w:bookmarkStart w:id="716" w:name="_Toc10199034"/>
      <w:bookmarkStart w:id="717" w:name="_Toc10199572"/>
      <w:bookmarkStart w:id="718" w:name="_Toc10459827"/>
      <w:bookmarkStart w:id="719" w:name="_Toc10144477"/>
      <w:bookmarkStart w:id="720" w:name="_Toc10144747"/>
      <w:bookmarkStart w:id="721" w:name="_Toc10145017"/>
      <w:bookmarkStart w:id="722" w:name="_Toc10199035"/>
      <w:bookmarkStart w:id="723" w:name="_Toc10199304"/>
      <w:bookmarkStart w:id="724" w:name="_Toc10199573"/>
      <w:bookmarkStart w:id="725" w:name="_Toc10459828"/>
      <w:bookmarkStart w:id="726" w:name="_Toc10144478"/>
      <w:bookmarkStart w:id="727" w:name="_Toc10144748"/>
      <w:bookmarkStart w:id="728" w:name="_Toc10145018"/>
      <w:bookmarkStart w:id="729" w:name="_Toc10199036"/>
      <w:bookmarkStart w:id="730" w:name="_Toc10199305"/>
      <w:bookmarkStart w:id="731" w:name="_Toc10199574"/>
      <w:bookmarkStart w:id="732" w:name="_Toc10459829"/>
      <w:bookmarkStart w:id="733" w:name="_Toc10144479"/>
      <w:bookmarkStart w:id="734" w:name="_Toc10144749"/>
      <w:bookmarkStart w:id="735" w:name="_Toc10145019"/>
      <w:bookmarkStart w:id="736" w:name="_Toc10199037"/>
      <w:bookmarkStart w:id="737" w:name="_Toc10199306"/>
      <w:bookmarkStart w:id="738" w:name="_Toc10199575"/>
      <w:bookmarkStart w:id="739" w:name="_Toc10459830"/>
      <w:bookmarkStart w:id="740" w:name="_Toc12894667"/>
      <w:bookmarkStart w:id="741" w:name="_Toc12895623"/>
      <w:bookmarkStart w:id="742" w:name="_Toc12894668"/>
      <w:bookmarkStart w:id="743" w:name="_Toc12895624"/>
      <w:bookmarkStart w:id="744" w:name="_Toc12894669"/>
      <w:bookmarkStart w:id="745" w:name="_Toc12895625"/>
      <w:bookmarkStart w:id="746" w:name="_Toc12894670"/>
      <w:bookmarkStart w:id="747" w:name="_Toc12895626"/>
      <w:bookmarkStart w:id="748" w:name="_Toc12894671"/>
      <w:bookmarkStart w:id="749" w:name="_Toc12895627"/>
      <w:bookmarkStart w:id="750" w:name="_Toc12894672"/>
      <w:bookmarkStart w:id="751" w:name="_Toc12895628"/>
      <w:bookmarkStart w:id="752" w:name="_Toc12894673"/>
      <w:bookmarkStart w:id="753" w:name="_Toc12895629"/>
      <w:bookmarkStart w:id="754" w:name="_Toc12894674"/>
      <w:bookmarkStart w:id="755" w:name="_Toc12895630"/>
      <w:bookmarkStart w:id="756" w:name="_Toc12894675"/>
      <w:bookmarkStart w:id="757" w:name="_Toc12895631"/>
      <w:bookmarkStart w:id="758" w:name="_Toc12894676"/>
      <w:bookmarkStart w:id="759" w:name="_Toc12895632"/>
      <w:bookmarkStart w:id="760" w:name="_Toc12894677"/>
      <w:bookmarkStart w:id="761" w:name="_Toc12895633"/>
      <w:bookmarkStart w:id="762" w:name="_Toc12894678"/>
      <w:bookmarkStart w:id="763" w:name="_Toc12895634"/>
      <w:bookmarkStart w:id="764" w:name="_Toc12894679"/>
      <w:bookmarkStart w:id="765" w:name="_Toc12895635"/>
      <w:bookmarkStart w:id="766" w:name="_Toc12894680"/>
      <w:bookmarkStart w:id="767" w:name="_Toc12895636"/>
      <w:bookmarkStart w:id="768" w:name="_Toc12894681"/>
      <w:bookmarkStart w:id="769" w:name="_Toc12895637"/>
      <w:bookmarkStart w:id="770" w:name="_Toc12894682"/>
      <w:bookmarkStart w:id="771" w:name="_Toc12895638"/>
      <w:bookmarkStart w:id="772" w:name="_Toc12894683"/>
      <w:bookmarkStart w:id="773" w:name="_Toc12895639"/>
      <w:bookmarkStart w:id="774" w:name="_Toc12894684"/>
      <w:bookmarkStart w:id="775" w:name="_Toc12895640"/>
      <w:bookmarkStart w:id="776" w:name="_Toc12894685"/>
      <w:bookmarkStart w:id="777" w:name="_Toc12895641"/>
      <w:bookmarkStart w:id="778" w:name="_Toc12894686"/>
      <w:bookmarkStart w:id="779" w:name="_Toc12895642"/>
      <w:bookmarkStart w:id="780" w:name="_Toc12894687"/>
      <w:bookmarkStart w:id="781" w:name="_Toc12895643"/>
      <w:bookmarkStart w:id="782" w:name="_Toc12894688"/>
      <w:bookmarkStart w:id="783" w:name="_Toc12895644"/>
      <w:bookmarkStart w:id="784" w:name="_Toc12894689"/>
      <w:bookmarkStart w:id="785" w:name="_Toc12895645"/>
      <w:bookmarkStart w:id="786" w:name="_Toc12894690"/>
      <w:bookmarkStart w:id="787" w:name="_Toc12895646"/>
      <w:bookmarkStart w:id="788" w:name="_Toc12894691"/>
      <w:bookmarkStart w:id="789" w:name="_Toc12895647"/>
      <w:bookmarkStart w:id="790" w:name="_Toc12894692"/>
      <w:bookmarkStart w:id="791" w:name="_Toc12895648"/>
      <w:bookmarkStart w:id="792" w:name="_Toc12894693"/>
      <w:bookmarkStart w:id="793" w:name="_Toc12895649"/>
      <w:bookmarkStart w:id="794" w:name="_Toc12894694"/>
      <w:bookmarkStart w:id="795" w:name="_Toc12895650"/>
      <w:bookmarkStart w:id="796" w:name="_Toc12894695"/>
      <w:bookmarkStart w:id="797" w:name="_Toc12895651"/>
      <w:bookmarkStart w:id="798" w:name="_Toc12894696"/>
      <w:bookmarkStart w:id="799" w:name="_Toc12895652"/>
      <w:bookmarkStart w:id="800" w:name="_Toc12894697"/>
      <w:bookmarkStart w:id="801" w:name="_Toc12895653"/>
      <w:bookmarkStart w:id="802" w:name="_Toc12894698"/>
      <w:bookmarkStart w:id="803" w:name="_Toc12895654"/>
      <w:bookmarkStart w:id="804" w:name="_Toc12894699"/>
      <w:bookmarkStart w:id="805" w:name="_Toc12895655"/>
      <w:bookmarkStart w:id="806" w:name="_Toc12894700"/>
      <w:bookmarkStart w:id="807" w:name="_Toc12895656"/>
      <w:bookmarkStart w:id="808" w:name="_Toc12894701"/>
      <w:bookmarkStart w:id="809" w:name="_Toc12895657"/>
      <w:bookmarkStart w:id="810" w:name="_Toc12894702"/>
      <w:bookmarkStart w:id="811" w:name="_Toc12895658"/>
      <w:bookmarkStart w:id="812" w:name="_Toc12894703"/>
      <w:bookmarkStart w:id="813" w:name="_Toc12895659"/>
      <w:bookmarkStart w:id="814" w:name="_Toc12894704"/>
      <w:bookmarkStart w:id="815" w:name="_Toc12895660"/>
      <w:bookmarkStart w:id="816" w:name="_Toc12894705"/>
      <w:bookmarkStart w:id="817" w:name="_Toc12895661"/>
      <w:bookmarkStart w:id="818" w:name="_Toc12894706"/>
      <w:bookmarkStart w:id="819" w:name="_Toc12895662"/>
      <w:bookmarkStart w:id="820" w:name="_Toc12894707"/>
      <w:bookmarkStart w:id="821" w:name="_Toc12895663"/>
      <w:bookmarkStart w:id="822" w:name="_Toc12894708"/>
      <w:bookmarkStart w:id="823" w:name="_Toc12895664"/>
      <w:bookmarkStart w:id="824" w:name="_Toc12894709"/>
      <w:bookmarkStart w:id="825" w:name="_Toc12895665"/>
      <w:bookmarkStart w:id="826" w:name="_Toc12894710"/>
      <w:bookmarkStart w:id="827" w:name="_Toc12895666"/>
      <w:bookmarkStart w:id="828" w:name="_Toc12894711"/>
      <w:bookmarkStart w:id="829" w:name="_Toc12895667"/>
      <w:bookmarkStart w:id="830" w:name="_Toc12894712"/>
      <w:bookmarkStart w:id="831" w:name="_Toc12895668"/>
      <w:bookmarkStart w:id="832" w:name="_Toc12894713"/>
      <w:bookmarkStart w:id="833" w:name="_Toc12895669"/>
      <w:bookmarkStart w:id="834" w:name="_Toc12894714"/>
      <w:bookmarkStart w:id="835" w:name="_Toc12895670"/>
      <w:bookmarkStart w:id="836" w:name="_Toc12894715"/>
      <w:bookmarkStart w:id="837" w:name="_Toc12895671"/>
      <w:bookmarkStart w:id="838" w:name="_Toc12894716"/>
      <w:bookmarkStart w:id="839" w:name="_Toc12895672"/>
      <w:bookmarkStart w:id="840" w:name="_Toc12894717"/>
      <w:bookmarkStart w:id="841" w:name="_Toc12895673"/>
      <w:bookmarkStart w:id="842" w:name="_Toc12894718"/>
      <w:bookmarkStart w:id="843" w:name="_Toc12895674"/>
      <w:bookmarkStart w:id="844" w:name="_Toc12894719"/>
      <w:bookmarkStart w:id="845" w:name="_Toc12895675"/>
      <w:bookmarkStart w:id="846" w:name="_Toc12894720"/>
      <w:bookmarkStart w:id="847" w:name="_Toc12895676"/>
      <w:bookmarkStart w:id="848" w:name="_Toc12894721"/>
      <w:bookmarkStart w:id="849" w:name="_Toc12895677"/>
      <w:bookmarkStart w:id="850" w:name="_Toc12894722"/>
      <w:bookmarkStart w:id="851" w:name="_Toc12895678"/>
      <w:bookmarkStart w:id="852" w:name="_Toc12894723"/>
      <w:bookmarkStart w:id="853" w:name="_Toc12895679"/>
      <w:bookmarkStart w:id="854" w:name="_Toc12894724"/>
      <w:bookmarkStart w:id="855" w:name="_Toc12895680"/>
      <w:bookmarkStart w:id="856" w:name="_Toc12894725"/>
      <w:bookmarkStart w:id="857" w:name="_Toc12895681"/>
      <w:bookmarkStart w:id="858" w:name="_Toc12894726"/>
      <w:bookmarkStart w:id="859" w:name="_Toc12895682"/>
      <w:bookmarkStart w:id="860" w:name="_Toc12894727"/>
      <w:bookmarkStart w:id="861" w:name="_Toc12895683"/>
      <w:bookmarkStart w:id="862" w:name="_Toc12894728"/>
      <w:bookmarkStart w:id="863" w:name="_Toc12895684"/>
      <w:bookmarkStart w:id="864" w:name="_Toc12894729"/>
      <w:bookmarkStart w:id="865" w:name="_Toc12895685"/>
      <w:bookmarkStart w:id="866" w:name="_Toc12894730"/>
      <w:bookmarkStart w:id="867" w:name="_Toc12895686"/>
      <w:bookmarkStart w:id="868" w:name="_Toc12894731"/>
      <w:bookmarkStart w:id="869" w:name="_Toc12895687"/>
      <w:bookmarkStart w:id="870" w:name="_Toc12894732"/>
      <w:bookmarkStart w:id="871" w:name="_Toc12895688"/>
      <w:bookmarkStart w:id="872" w:name="_Toc12894733"/>
      <w:bookmarkStart w:id="873" w:name="_Toc12895689"/>
      <w:bookmarkStart w:id="874" w:name="_Toc12894734"/>
      <w:bookmarkStart w:id="875" w:name="_Toc12895690"/>
      <w:bookmarkStart w:id="876" w:name="_Toc12894735"/>
      <w:bookmarkStart w:id="877" w:name="_Toc12895691"/>
      <w:bookmarkStart w:id="878" w:name="_Toc12894736"/>
      <w:bookmarkStart w:id="879" w:name="_Toc12895692"/>
      <w:bookmarkStart w:id="880" w:name="_Toc12894737"/>
      <w:bookmarkStart w:id="881" w:name="_Toc12895693"/>
      <w:bookmarkStart w:id="882" w:name="_Toc12894738"/>
      <w:bookmarkStart w:id="883" w:name="_Toc12895694"/>
      <w:bookmarkStart w:id="884" w:name="_Toc12894739"/>
      <w:bookmarkStart w:id="885" w:name="_Toc12895695"/>
      <w:bookmarkStart w:id="886" w:name="_Toc12894740"/>
      <w:bookmarkStart w:id="887" w:name="_Toc12895696"/>
      <w:bookmarkStart w:id="888" w:name="_Toc12894741"/>
      <w:bookmarkStart w:id="889" w:name="_Toc12895697"/>
      <w:bookmarkStart w:id="890" w:name="_Toc12894742"/>
      <w:bookmarkStart w:id="891" w:name="_Toc12895698"/>
      <w:bookmarkStart w:id="892" w:name="_Toc12894743"/>
      <w:bookmarkStart w:id="893" w:name="_Toc12895699"/>
      <w:bookmarkStart w:id="894" w:name="_Toc12894744"/>
      <w:bookmarkStart w:id="895" w:name="_Toc12895700"/>
      <w:bookmarkStart w:id="896" w:name="_Toc12894745"/>
      <w:bookmarkStart w:id="897" w:name="_Toc12895701"/>
      <w:bookmarkStart w:id="898" w:name="_Toc12894746"/>
      <w:bookmarkStart w:id="899" w:name="_Toc12895702"/>
      <w:bookmarkStart w:id="900" w:name="_Toc12894747"/>
      <w:bookmarkStart w:id="901" w:name="_Toc12895703"/>
      <w:bookmarkStart w:id="902" w:name="_Toc12894748"/>
      <w:bookmarkStart w:id="903" w:name="_Toc12895704"/>
      <w:bookmarkStart w:id="904" w:name="_Toc12894749"/>
      <w:bookmarkStart w:id="905" w:name="_Toc12895705"/>
      <w:bookmarkStart w:id="906" w:name="_Toc12894750"/>
      <w:bookmarkStart w:id="907" w:name="_Toc12895706"/>
      <w:bookmarkStart w:id="908" w:name="_Toc12894751"/>
      <w:bookmarkStart w:id="909" w:name="_Toc12895707"/>
      <w:bookmarkStart w:id="910" w:name="_Toc12894752"/>
      <w:bookmarkStart w:id="911" w:name="_Toc12895708"/>
      <w:bookmarkStart w:id="912" w:name="_Toc12894753"/>
      <w:bookmarkStart w:id="913" w:name="_Toc12895709"/>
      <w:bookmarkStart w:id="914" w:name="_Toc12894754"/>
      <w:bookmarkStart w:id="915" w:name="_Toc12895710"/>
      <w:bookmarkStart w:id="916" w:name="_Toc12894755"/>
      <w:bookmarkStart w:id="917" w:name="_Toc12895711"/>
      <w:bookmarkStart w:id="918" w:name="_Toc12894756"/>
      <w:bookmarkStart w:id="919" w:name="_Toc12895712"/>
      <w:bookmarkStart w:id="920" w:name="_Toc12894757"/>
      <w:bookmarkStart w:id="921" w:name="_Toc12895713"/>
      <w:bookmarkStart w:id="922" w:name="_Toc12894758"/>
      <w:bookmarkStart w:id="923" w:name="_Toc12895714"/>
      <w:bookmarkStart w:id="924" w:name="_Toc12894759"/>
      <w:bookmarkStart w:id="925" w:name="_Toc12895715"/>
      <w:bookmarkStart w:id="926" w:name="_Toc12894760"/>
      <w:bookmarkStart w:id="927" w:name="_Toc12895716"/>
      <w:bookmarkStart w:id="928" w:name="_Toc12894761"/>
      <w:bookmarkStart w:id="929" w:name="_Toc12895717"/>
      <w:bookmarkStart w:id="930" w:name="_Toc12894762"/>
      <w:bookmarkStart w:id="931" w:name="_Toc12895718"/>
      <w:bookmarkStart w:id="932" w:name="_Toc12894763"/>
      <w:bookmarkStart w:id="933" w:name="_Toc12895719"/>
      <w:bookmarkStart w:id="934" w:name="_Toc12894764"/>
      <w:bookmarkStart w:id="935" w:name="_Toc12895720"/>
      <w:bookmarkStart w:id="936" w:name="_Toc12894765"/>
      <w:bookmarkStart w:id="937" w:name="_Toc12895721"/>
      <w:bookmarkStart w:id="938" w:name="_Toc12894766"/>
      <w:bookmarkStart w:id="939" w:name="_Toc12895722"/>
      <w:bookmarkStart w:id="940" w:name="_Toc12894767"/>
      <w:bookmarkStart w:id="941" w:name="_Toc12895723"/>
      <w:bookmarkStart w:id="942" w:name="_Toc12894768"/>
      <w:bookmarkStart w:id="943" w:name="_Toc12895724"/>
      <w:bookmarkStart w:id="944" w:name="_Toc12894769"/>
      <w:bookmarkStart w:id="945" w:name="_Toc12895725"/>
      <w:bookmarkStart w:id="946" w:name="_Toc12894770"/>
      <w:bookmarkStart w:id="947" w:name="_Toc12895726"/>
      <w:bookmarkStart w:id="948" w:name="_Toc12894771"/>
      <w:bookmarkStart w:id="949" w:name="_Toc12895727"/>
      <w:bookmarkStart w:id="950" w:name="_Toc12894772"/>
      <w:bookmarkStart w:id="951" w:name="_Toc12895728"/>
      <w:bookmarkStart w:id="952" w:name="_Toc12894773"/>
      <w:bookmarkStart w:id="953" w:name="_Toc12895729"/>
      <w:bookmarkStart w:id="954" w:name="_Toc12894774"/>
      <w:bookmarkStart w:id="955" w:name="_Toc12895730"/>
      <w:bookmarkStart w:id="956" w:name="_Toc12894775"/>
      <w:bookmarkStart w:id="957" w:name="_Toc12895731"/>
      <w:bookmarkStart w:id="958" w:name="_Toc12894776"/>
      <w:bookmarkStart w:id="959" w:name="_Toc12895732"/>
      <w:bookmarkStart w:id="960" w:name="_Toc12894777"/>
      <w:bookmarkStart w:id="961" w:name="_Toc12895733"/>
      <w:bookmarkStart w:id="962" w:name="_Toc12894778"/>
      <w:bookmarkStart w:id="963" w:name="_Toc12895734"/>
      <w:bookmarkStart w:id="964" w:name="_Toc12894779"/>
      <w:bookmarkStart w:id="965" w:name="_Toc12895735"/>
      <w:bookmarkStart w:id="966" w:name="_Toc12894780"/>
      <w:bookmarkStart w:id="967" w:name="_Toc12895736"/>
      <w:bookmarkStart w:id="968" w:name="_Toc12894781"/>
      <w:bookmarkStart w:id="969" w:name="_Toc12895737"/>
      <w:bookmarkStart w:id="970" w:name="_Toc12894782"/>
      <w:bookmarkStart w:id="971" w:name="_Toc12895738"/>
      <w:bookmarkStart w:id="972" w:name="_Toc12894783"/>
      <w:bookmarkStart w:id="973" w:name="_Toc12895739"/>
      <w:bookmarkStart w:id="974" w:name="_Toc12894784"/>
      <w:bookmarkStart w:id="975" w:name="_Toc12895740"/>
      <w:bookmarkStart w:id="976" w:name="_Toc12894785"/>
      <w:bookmarkStart w:id="977" w:name="_Toc12895741"/>
      <w:bookmarkStart w:id="978" w:name="_Toc12894786"/>
      <w:bookmarkStart w:id="979" w:name="_Toc12895742"/>
      <w:bookmarkStart w:id="980" w:name="_Toc12894787"/>
      <w:bookmarkStart w:id="981" w:name="_Toc12895743"/>
      <w:bookmarkStart w:id="982" w:name="_Toc12894788"/>
      <w:bookmarkStart w:id="983" w:name="_Toc12895744"/>
      <w:bookmarkStart w:id="984" w:name="_Toc12894789"/>
      <w:bookmarkStart w:id="985" w:name="_Toc12895745"/>
      <w:bookmarkStart w:id="986" w:name="_Toc12894790"/>
      <w:bookmarkStart w:id="987" w:name="_Toc12895746"/>
      <w:bookmarkStart w:id="988" w:name="_Toc12894791"/>
      <w:bookmarkStart w:id="989" w:name="_Toc12895747"/>
      <w:bookmarkStart w:id="990" w:name="_Toc12894792"/>
      <w:bookmarkStart w:id="991" w:name="_Toc12895748"/>
      <w:bookmarkStart w:id="992" w:name="_Toc12894793"/>
      <w:bookmarkStart w:id="993" w:name="_Toc12895749"/>
      <w:bookmarkStart w:id="994" w:name="_Toc12894794"/>
      <w:bookmarkStart w:id="995" w:name="_Toc12895750"/>
      <w:bookmarkStart w:id="996" w:name="_Toc12894795"/>
      <w:bookmarkStart w:id="997" w:name="_Toc12895751"/>
      <w:bookmarkStart w:id="998" w:name="_Toc12894796"/>
      <w:bookmarkStart w:id="999" w:name="_Toc12895752"/>
      <w:bookmarkStart w:id="1000" w:name="_Toc12894797"/>
      <w:bookmarkStart w:id="1001" w:name="_Toc12895753"/>
      <w:bookmarkStart w:id="1002" w:name="_Toc12894798"/>
      <w:bookmarkStart w:id="1003" w:name="_Toc12895754"/>
      <w:bookmarkStart w:id="1004" w:name="_Toc12894799"/>
      <w:bookmarkStart w:id="1005" w:name="_Toc12895755"/>
      <w:bookmarkStart w:id="1006" w:name="_Toc12894800"/>
      <w:bookmarkStart w:id="1007" w:name="_Toc12895756"/>
      <w:bookmarkStart w:id="1008" w:name="_Toc12894801"/>
      <w:bookmarkStart w:id="1009" w:name="_Toc12895757"/>
      <w:bookmarkStart w:id="1010" w:name="_Toc12894802"/>
      <w:bookmarkStart w:id="1011" w:name="_Toc12895758"/>
      <w:bookmarkStart w:id="1012" w:name="_Toc12894803"/>
      <w:bookmarkStart w:id="1013" w:name="_Toc12895759"/>
      <w:bookmarkStart w:id="1014" w:name="_Toc12894804"/>
      <w:bookmarkStart w:id="1015" w:name="_Toc12895760"/>
      <w:bookmarkStart w:id="1016" w:name="_Toc12894805"/>
      <w:bookmarkStart w:id="1017" w:name="_Toc12895761"/>
      <w:bookmarkStart w:id="1018" w:name="_Toc12894806"/>
      <w:bookmarkStart w:id="1019" w:name="_Toc12895762"/>
      <w:bookmarkStart w:id="1020" w:name="_Toc12894807"/>
      <w:bookmarkStart w:id="1021" w:name="_Toc12895763"/>
      <w:bookmarkStart w:id="1022" w:name="_Toc12894808"/>
      <w:bookmarkStart w:id="1023" w:name="_Toc12895764"/>
      <w:bookmarkStart w:id="1024" w:name="_Toc12894809"/>
      <w:bookmarkStart w:id="1025" w:name="_Toc12895765"/>
      <w:bookmarkStart w:id="1026" w:name="_Toc12894810"/>
      <w:bookmarkStart w:id="1027" w:name="_Toc12895766"/>
      <w:bookmarkStart w:id="1028" w:name="_Toc12894811"/>
      <w:bookmarkStart w:id="1029" w:name="_Toc12895767"/>
      <w:bookmarkStart w:id="1030" w:name="_Toc12894812"/>
      <w:bookmarkStart w:id="1031" w:name="_Toc12895768"/>
      <w:bookmarkStart w:id="1032" w:name="_Toc12894813"/>
      <w:bookmarkStart w:id="1033" w:name="_Toc12895769"/>
      <w:bookmarkStart w:id="1034" w:name="_Toc12894814"/>
      <w:bookmarkStart w:id="1035" w:name="_Toc12895770"/>
      <w:bookmarkStart w:id="1036" w:name="_Toc12894815"/>
      <w:bookmarkStart w:id="1037" w:name="_Toc12895771"/>
      <w:bookmarkStart w:id="1038" w:name="_Toc12894816"/>
      <w:bookmarkStart w:id="1039" w:name="_Toc12895772"/>
      <w:bookmarkStart w:id="1040" w:name="_Toc12894817"/>
      <w:bookmarkStart w:id="1041" w:name="_Toc12895773"/>
      <w:bookmarkStart w:id="1042" w:name="_Toc12894818"/>
      <w:bookmarkStart w:id="1043" w:name="_Toc12895774"/>
      <w:bookmarkStart w:id="1044" w:name="_Toc12894819"/>
      <w:bookmarkStart w:id="1045" w:name="_Toc12895775"/>
      <w:bookmarkStart w:id="1046" w:name="_Toc12894820"/>
      <w:bookmarkStart w:id="1047" w:name="_Toc12895776"/>
      <w:bookmarkStart w:id="1048" w:name="_Toc12894821"/>
      <w:bookmarkStart w:id="1049" w:name="_Toc12895777"/>
      <w:bookmarkStart w:id="1050" w:name="_Toc12894822"/>
      <w:bookmarkStart w:id="1051" w:name="_Toc12895778"/>
      <w:bookmarkStart w:id="1052" w:name="_Toc12894823"/>
      <w:bookmarkStart w:id="1053" w:name="_Toc12895779"/>
      <w:bookmarkStart w:id="1054" w:name="_Toc12894824"/>
      <w:bookmarkStart w:id="1055" w:name="_Toc12895780"/>
      <w:bookmarkStart w:id="1056" w:name="_Toc12894825"/>
      <w:bookmarkStart w:id="1057" w:name="_Toc12895781"/>
      <w:bookmarkStart w:id="1058" w:name="_Toc12894826"/>
      <w:bookmarkStart w:id="1059" w:name="_Toc12895782"/>
      <w:bookmarkStart w:id="1060" w:name="_Toc12894827"/>
      <w:bookmarkStart w:id="1061" w:name="_Toc12895783"/>
      <w:bookmarkStart w:id="1062" w:name="_Toc12894828"/>
      <w:bookmarkStart w:id="1063" w:name="_Toc12895784"/>
      <w:bookmarkStart w:id="1064" w:name="_Toc12894829"/>
      <w:bookmarkStart w:id="1065" w:name="_Toc12895785"/>
      <w:bookmarkStart w:id="1066" w:name="_Toc12894830"/>
      <w:bookmarkStart w:id="1067" w:name="_Toc12895786"/>
      <w:bookmarkStart w:id="1068" w:name="_Toc12894903"/>
      <w:bookmarkStart w:id="1069" w:name="_Toc12895859"/>
      <w:bookmarkStart w:id="1070" w:name="_Toc12894904"/>
      <w:bookmarkStart w:id="1071" w:name="_Toc12895860"/>
      <w:bookmarkStart w:id="1072" w:name="_Toc12894905"/>
      <w:bookmarkStart w:id="1073" w:name="_Toc12895861"/>
      <w:bookmarkStart w:id="1074" w:name="_Toc12894906"/>
      <w:bookmarkStart w:id="1075" w:name="_Toc12895862"/>
      <w:bookmarkStart w:id="1076" w:name="_Toc12894907"/>
      <w:bookmarkStart w:id="1077" w:name="_Toc12895863"/>
      <w:bookmarkStart w:id="1078" w:name="_Toc12894908"/>
      <w:bookmarkStart w:id="1079" w:name="_Toc12895864"/>
      <w:bookmarkStart w:id="1080" w:name="_Toc12894909"/>
      <w:bookmarkStart w:id="1081" w:name="_Toc12895865"/>
      <w:bookmarkStart w:id="1082" w:name="_Toc12894910"/>
      <w:bookmarkStart w:id="1083" w:name="_Toc12895866"/>
      <w:bookmarkStart w:id="1084" w:name="_Toc12894911"/>
      <w:bookmarkStart w:id="1085" w:name="_Toc12895867"/>
      <w:bookmarkStart w:id="1086" w:name="_Toc12894912"/>
      <w:bookmarkStart w:id="1087" w:name="_Toc12895868"/>
      <w:bookmarkStart w:id="1088" w:name="_Toc12894913"/>
      <w:bookmarkStart w:id="1089" w:name="_Toc12895869"/>
      <w:bookmarkStart w:id="1090" w:name="_Toc12894914"/>
      <w:bookmarkStart w:id="1091" w:name="_Toc12895870"/>
      <w:bookmarkStart w:id="1092" w:name="_Toc12894915"/>
      <w:bookmarkStart w:id="1093" w:name="_Toc12895871"/>
      <w:bookmarkStart w:id="1094" w:name="_Toc12894916"/>
      <w:bookmarkStart w:id="1095" w:name="_Toc12895872"/>
      <w:bookmarkStart w:id="1096" w:name="_Toc12894917"/>
      <w:bookmarkStart w:id="1097" w:name="_Toc12895873"/>
      <w:bookmarkStart w:id="1098" w:name="_Toc12894918"/>
      <w:bookmarkStart w:id="1099" w:name="_Toc12895874"/>
      <w:bookmarkStart w:id="1100" w:name="_Toc12894919"/>
      <w:bookmarkStart w:id="1101" w:name="_Toc12895875"/>
      <w:bookmarkStart w:id="1102" w:name="_Toc12894920"/>
      <w:bookmarkStart w:id="1103" w:name="_Toc12895876"/>
      <w:bookmarkStart w:id="1104" w:name="_Toc12894921"/>
      <w:bookmarkStart w:id="1105" w:name="_Toc12895877"/>
      <w:bookmarkStart w:id="1106" w:name="_Toc12894922"/>
      <w:bookmarkStart w:id="1107" w:name="_Toc12895878"/>
      <w:bookmarkStart w:id="1108" w:name="_Toc12894923"/>
      <w:bookmarkStart w:id="1109" w:name="_Toc12895879"/>
      <w:bookmarkStart w:id="1110" w:name="_Toc12894924"/>
      <w:bookmarkStart w:id="1111" w:name="_Toc12895880"/>
      <w:bookmarkStart w:id="1112" w:name="_Toc12894925"/>
      <w:bookmarkStart w:id="1113" w:name="_Toc12895881"/>
      <w:bookmarkStart w:id="1114" w:name="_Toc12894926"/>
      <w:bookmarkStart w:id="1115" w:name="_Toc12895882"/>
      <w:bookmarkStart w:id="1116" w:name="_Toc12894927"/>
      <w:bookmarkStart w:id="1117" w:name="_Toc12895883"/>
      <w:bookmarkStart w:id="1118" w:name="_Toc12894928"/>
      <w:bookmarkStart w:id="1119" w:name="_Toc12895884"/>
      <w:bookmarkStart w:id="1120" w:name="_Toc12894929"/>
      <w:bookmarkStart w:id="1121" w:name="_Toc12895885"/>
      <w:bookmarkStart w:id="1122" w:name="_Toc12894930"/>
      <w:bookmarkStart w:id="1123" w:name="_Toc12895886"/>
      <w:bookmarkStart w:id="1124" w:name="_Toc12894931"/>
      <w:bookmarkStart w:id="1125" w:name="_Toc12895887"/>
      <w:bookmarkStart w:id="1126" w:name="_Toc12894932"/>
      <w:bookmarkStart w:id="1127" w:name="_Toc12895888"/>
      <w:bookmarkStart w:id="1128" w:name="_Toc12894933"/>
      <w:bookmarkStart w:id="1129" w:name="_Toc12895889"/>
      <w:bookmarkStart w:id="1130" w:name="_Toc12894934"/>
      <w:bookmarkStart w:id="1131" w:name="_Toc12895890"/>
      <w:bookmarkStart w:id="1132" w:name="_Toc12894935"/>
      <w:bookmarkStart w:id="1133" w:name="_Toc12895891"/>
      <w:bookmarkStart w:id="1134" w:name="_Toc12894936"/>
      <w:bookmarkStart w:id="1135" w:name="_Toc12895892"/>
      <w:bookmarkStart w:id="1136" w:name="_Toc12894937"/>
      <w:bookmarkStart w:id="1137" w:name="_Toc12895893"/>
      <w:bookmarkStart w:id="1138" w:name="_Toc12894938"/>
      <w:bookmarkStart w:id="1139" w:name="_Toc12895894"/>
      <w:bookmarkStart w:id="1140" w:name="_Toc12894939"/>
      <w:bookmarkStart w:id="1141" w:name="_Toc12895895"/>
      <w:bookmarkStart w:id="1142" w:name="_Toc12894940"/>
      <w:bookmarkStart w:id="1143" w:name="_Toc12895896"/>
      <w:bookmarkStart w:id="1144" w:name="_Toc12894941"/>
      <w:bookmarkStart w:id="1145" w:name="_Toc12895897"/>
      <w:bookmarkStart w:id="1146" w:name="_Toc12894942"/>
      <w:bookmarkStart w:id="1147" w:name="_Toc12895898"/>
      <w:bookmarkStart w:id="1148" w:name="_Toc12894943"/>
      <w:bookmarkStart w:id="1149" w:name="_Toc12895899"/>
      <w:bookmarkStart w:id="1150" w:name="_Toc12894944"/>
      <w:bookmarkStart w:id="1151" w:name="_Toc12895900"/>
      <w:bookmarkStart w:id="1152" w:name="_Toc12894945"/>
      <w:bookmarkStart w:id="1153" w:name="_Toc12895901"/>
      <w:bookmarkStart w:id="1154" w:name="_Toc12894946"/>
      <w:bookmarkStart w:id="1155" w:name="_Toc12895902"/>
      <w:bookmarkStart w:id="1156" w:name="_Toc12894947"/>
      <w:bookmarkStart w:id="1157" w:name="_Toc12895903"/>
      <w:bookmarkStart w:id="1158" w:name="_Toc12894948"/>
      <w:bookmarkStart w:id="1159" w:name="_Toc12895904"/>
      <w:bookmarkStart w:id="1160" w:name="_Toc12894949"/>
      <w:bookmarkStart w:id="1161" w:name="_Toc12895905"/>
      <w:bookmarkStart w:id="1162" w:name="_Toc12894950"/>
      <w:bookmarkStart w:id="1163" w:name="_Toc12895906"/>
      <w:bookmarkStart w:id="1164" w:name="_Toc12894951"/>
      <w:bookmarkStart w:id="1165" w:name="_Toc12895907"/>
      <w:bookmarkStart w:id="1166" w:name="_Toc452726733"/>
      <w:bookmarkStart w:id="1167" w:name="_Toc452726804"/>
      <w:bookmarkStart w:id="1168" w:name="_Toc12894952"/>
      <w:bookmarkStart w:id="1169" w:name="_Toc12895908"/>
      <w:bookmarkStart w:id="1170" w:name="_Toc12894953"/>
      <w:bookmarkStart w:id="1171" w:name="_Toc12895909"/>
      <w:bookmarkStart w:id="1172" w:name="_Toc12894954"/>
      <w:bookmarkStart w:id="1173" w:name="_Toc12895910"/>
      <w:bookmarkStart w:id="1174" w:name="_Toc12894955"/>
      <w:bookmarkStart w:id="1175" w:name="_Toc12895911"/>
      <w:bookmarkStart w:id="1176" w:name="_Toc12894956"/>
      <w:bookmarkStart w:id="1177" w:name="_Toc12895912"/>
      <w:bookmarkStart w:id="1178" w:name="_Toc12894957"/>
      <w:bookmarkStart w:id="1179" w:name="_Toc12895913"/>
      <w:bookmarkStart w:id="1180" w:name="_Toc12894958"/>
      <w:bookmarkStart w:id="1181" w:name="_Toc12895914"/>
      <w:bookmarkStart w:id="1182" w:name="_Toc12894959"/>
      <w:bookmarkStart w:id="1183" w:name="_Toc12895915"/>
      <w:bookmarkStart w:id="1184" w:name="_Toc12894960"/>
      <w:bookmarkStart w:id="1185" w:name="_Toc12895916"/>
      <w:bookmarkStart w:id="1186" w:name="_Toc12894961"/>
      <w:bookmarkStart w:id="1187" w:name="_Toc12895917"/>
      <w:bookmarkStart w:id="1188" w:name="_Toc12894962"/>
      <w:bookmarkStart w:id="1189" w:name="_Toc12895918"/>
      <w:bookmarkStart w:id="1190" w:name="_Toc12894963"/>
      <w:bookmarkStart w:id="1191" w:name="_Toc12895919"/>
      <w:bookmarkStart w:id="1192" w:name="_Toc12894964"/>
      <w:bookmarkStart w:id="1193" w:name="_Toc12895920"/>
      <w:bookmarkStart w:id="1194" w:name="_Toc12894965"/>
      <w:bookmarkStart w:id="1195" w:name="_Toc12895921"/>
      <w:bookmarkStart w:id="1196" w:name="_Toc12894966"/>
      <w:bookmarkStart w:id="1197" w:name="_Toc12895922"/>
      <w:bookmarkStart w:id="1198" w:name="_Toc12894967"/>
      <w:bookmarkStart w:id="1199" w:name="_Toc12895923"/>
      <w:bookmarkStart w:id="1200" w:name="_Toc12894968"/>
      <w:bookmarkStart w:id="1201" w:name="_Toc12895924"/>
      <w:bookmarkStart w:id="1202" w:name="_Toc12894969"/>
      <w:bookmarkStart w:id="1203" w:name="_Toc12895925"/>
      <w:bookmarkStart w:id="1204" w:name="_Toc12894970"/>
      <w:bookmarkStart w:id="1205" w:name="_Toc12895926"/>
      <w:bookmarkStart w:id="1206" w:name="_Toc12894971"/>
      <w:bookmarkStart w:id="1207" w:name="_Toc12895927"/>
      <w:bookmarkStart w:id="1208" w:name="_Toc12894972"/>
      <w:bookmarkStart w:id="1209" w:name="_Toc12895928"/>
      <w:bookmarkStart w:id="1210" w:name="_Toc12894973"/>
      <w:bookmarkStart w:id="1211" w:name="_Toc12895929"/>
      <w:bookmarkStart w:id="1212" w:name="_Toc12894974"/>
      <w:bookmarkStart w:id="1213" w:name="_Toc12895930"/>
      <w:bookmarkStart w:id="1214" w:name="_Toc12894975"/>
      <w:bookmarkStart w:id="1215" w:name="_Toc12895931"/>
      <w:bookmarkStart w:id="1216" w:name="_Toc12894976"/>
      <w:bookmarkStart w:id="1217" w:name="_Toc12895932"/>
      <w:bookmarkStart w:id="1218" w:name="_Toc12894977"/>
      <w:bookmarkStart w:id="1219" w:name="_Toc12895933"/>
      <w:bookmarkStart w:id="1220" w:name="_Toc12894978"/>
      <w:bookmarkStart w:id="1221" w:name="_Toc12895934"/>
      <w:bookmarkStart w:id="1222" w:name="_Toc12894979"/>
      <w:bookmarkStart w:id="1223" w:name="_Toc12895935"/>
      <w:bookmarkStart w:id="1224" w:name="_Toc12894980"/>
      <w:bookmarkStart w:id="1225" w:name="_Toc12895936"/>
      <w:bookmarkStart w:id="1226" w:name="_Toc12894981"/>
      <w:bookmarkStart w:id="1227" w:name="_Toc12895937"/>
      <w:bookmarkStart w:id="1228" w:name="_Toc12894982"/>
      <w:bookmarkStart w:id="1229" w:name="_Toc12895938"/>
      <w:bookmarkStart w:id="1230" w:name="_Toc12894983"/>
      <w:bookmarkStart w:id="1231" w:name="_Toc12895939"/>
      <w:bookmarkStart w:id="1232" w:name="_Toc12894984"/>
      <w:bookmarkStart w:id="1233" w:name="_Toc12895940"/>
      <w:bookmarkStart w:id="1234" w:name="_Toc12894985"/>
      <w:bookmarkStart w:id="1235" w:name="_Toc12895941"/>
      <w:bookmarkStart w:id="1236" w:name="_Toc12894986"/>
      <w:bookmarkStart w:id="1237" w:name="_Toc12895942"/>
      <w:bookmarkStart w:id="1238" w:name="_Toc12894987"/>
      <w:bookmarkStart w:id="1239" w:name="_Toc12895943"/>
      <w:bookmarkStart w:id="1240" w:name="_Toc12894988"/>
      <w:bookmarkStart w:id="1241" w:name="_Toc12895944"/>
      <w:bookmarkStart w:id="1242" w:name="_Toc12894989"/>
      <w:bookmarkStart w:id="1243" w:name="_Toc12895945"/>
      <w:bookmarkStart w:id="1244" w:name="_Toc12894990"/>
      <w:bookmarkStart w:id="1245" w:name="_Toc12895946"/>
      <w:bookmarkStart w:id="1246" w:name="_Toc12894991"/>
      <w:bookmarkStart w:id="1247" w:name="_Toc12895947"/>
      <w:bookmarkStart w:id="1248" w:name="_Toc12894992"/>
      <w:bookmarkStart w:id="1249" w:name="_Toc12895948"/>
      <w:bookmarkStart w:id="1250" w:name="_Toc12894993"/>
      <w:bookmarkStart w:id="1251" w:name="_Toc12895949"/>
      <w:bookmarkStart w:id="1252" w:name="_Toc12894994"/>
      <w:bookmarkStart w:id="1253" w:name="_Toc12895950"/>
      <w:bookmarkStart w:id="1254" w:name="_Toc12894995"/>
      <w:bookmarkStart w:id="1255" w:name="_Toc12895951"/>
      <w:bookmarkStart w:id="1256" w:name="_Toc12894996"/>
      <w:bookmarkStart w:id="1257" w:name="_Toc12895952"/>
      <w:bookmarkStart w:id="1258" w:name="_Toc12894997"/>
      <w:bookmarkStart w:id="1259" w:name="_Toc12895953"/>
      <w:bookmarkStart w:id="1260" w:name="_Toc12894998"/>
      <w:bookmarkStart w:id="1261" w:name="_Toc12895954"/>
      <w:bookmarkStart w:id="1262" w:name="_Toc12894999"/>
      <w:bookmarkStart w:id="1263" w:name="_Toc12895955"/>
      <w:bookmarkStart w:id="1264" w:name="_Toc12895000"/>
      <w:bookmarkStart w:id="1265" w:name="_Toc12895956"/>
      <w:bookmarkStart w:id="1266" w:name="_Toc12895001"/>
      <w:bookmarkStart w:id="1267" w:name="_Toc12895957"/>
      <w:bookmarkStart w:id="1268" w:name="_Toc12895002"/>
      <w:bookmarkStart w:id="1269" w:name="_Toc12895958"/>
      <w:bookmarkStart w:id="1270" w:name="_Toc12895003"/>
      <w:bookmarkStart w:id="1271" w:name="_Toc12895959"/>
      <w:bookmarkStart w:id="1272" w:name="_Toc12895004"/>
      <w:bookmarkStart w:id="1273" w:name="_Toc12895960"/>
      <w:bookmarkStart w:id="1274" w:name="_Toc12895005"/>
      <w:bookmarkStart w:id="1275" w:name="_Toc12895961"/>
      <w:bookmarkStart w:id="1276" w:name="_Toc12895006"/>
      <w:bookmarkStart w:id="1277" w:name="_Toc12895962"/>
      <w:bookmarkStart w:id="1278" w:name="_Toc12895007"/>
      <w:bookmarkStart w:id="1279" w:name="_Toc12895963"/>
      <w:bookmarkStart w:id="1280" w:name="_Toc12895008"/>
      <w:bookmarkStart w:id="1281" w:name="_Toc12895964"/>
      <w:bookmarkStart w:id="1282" w:name="_Toc12895009"/>
      <w:bookmarkStart w:id="1283" w:name="_Toc12895965"/>
      <w:bookmarkStart w:id="1284" w:name="_Toc12895010"/>
      <w:bookmarkStart w:id="1285" w:name="_Toc12895966"/>
      <w:bookmarkStart w:id="1286" w:name="_Toc12895011"/>
      <w:bookmarkStart w:id="1287" w:name="_Toc12895967"/>
      <w:bookmarkStart w:id="1288" w:name="_Toc12895012"/>
      <w:bookmarkStart w:id="1289" w:name="_Toc12895968"/>
      <w:bookmarkStart w:id="1290" w:name="_Toc12895013"/>
      <w:bookmarkStart w:id="1291" w:name="_Toc12895969"/>
      <w:bookmarkStart w:id="1292" w:name="_Toc12895014"/>
      <w:bookmarkStart w:id="1293" w:name="_Toc12895970"/>
      <w:bookmarkStart w:id="1294" w:name="_Toc12895015"/>
      <w:bookmarkStart w:id="1295" w:name="_Toc12895971"/>
      <w:bookmarkStart w:id="1296" w:name="_Toc12895016"/>
      <w:bookmarkStart w:id="1297" w:name="_Toc12895972"/>
      <w:bookmarkStart w:id="1298" w:name="_Toc12895017"/>
      <w:bookmarkStart w:id="1299" w:name="_Toc12895973"/>
      <w:bookmarkStart w:id="1300" w:name="_Toc12895018"/>
      <w:bookmarkStart w:id="1301" w:name="_Toc12895974"/>
      <w:bookmarkStart w:id="1302" w:name="_Toc12895019"/>
      <w:bookmarkStart w:id="1303" w:name="_Toc12895975"/>
      <w:bookmarkStart w:id="1304" w:name="_Toc12895020"/>
      <w:bookmarkStart w:id="1305" w:name="_Toc12895976"/>
      <w:bookmarkStart w:id="1306" w:name="_Toc12895021"/>
      <w:bookmarkStart w:id="1307" w:name="_Toc12895977"/>
      <w:bookmarkStart w:id="1308" w:name="_Toc12895022"/>
      <w:bookmarkStart w:id="1309" w:name="_Toc12895978"/>
      <w:bookmarkStart w:id="1310" w:name="_Toc12895023"/>
      <w:bookmarkStart w:id="1311" w:name="_Toc12895979"/>
      <w:bookmarkStart w:id="1312" w:name="_Toc12895024"/>
      <w:bookmarkStart w:id="1313" w:name="_Toc12895980"/>
      <w:bookmarkStart w:id="1314" w:name="_Toc12895025"/>
      <w:bookmarkStart w:id="1315" w:name="_Toc12895981"/>
      <w:bookmarkStart w:id="1316" w:name="_Toc12895026"/>
      <w:bookmarkStart w:id="1317" w:name="_Toc12895982"/>
      <w:bookmarkStart w:id="1318" w:name="_Toc12895027"/>
      <w:bookmarkStart w:id="1319" w:name="_Toc12895983"/>
      <w:bookmarkStart w:id="1320" w:name="_Toc12895028"/>
      <w:bookmarkStart w:id="1321" w:name="_Toc12895984"/>
      <w:bookmarkStart w:id="1322" w:name="_Toc12895029"/>
      <w:bookmarkStart w:id="1323" w:name="_Toc12895985"/>
      <w:bookmarkStart w:id="1324" w:name="_Toc12895030"/>
      <w:bookmarkStart w:id="1325" w:name="_Toc12895986"/>
      <w:bookmarkStart w:id="1326" w:name="_Toc12895031"/>
      <w:bookmarkStart w:id="1327" w:name="_Toc12895987"/>
      <w:bookmarkStart w:id="1328" w:name="_Toc12895032"/>
      <w:bookmarkStart w:id="1329" w:name="_Toc12895988"/>
      <w:bookmarkStart w:id="1330" w:name="_Toc12895033"/>
      <w:bookmarkStart w:id="1331" w:name="_Toc12895989"/>
      <w:bookmarkStart w:id="1332" w:name="_Toc12895034"/>
      <w:bookmarkStart w:id="1333" w:name="_Toc12895990"/>
      <w:bookmarkStart w:id="1334" w:name="_Toc12895035"/>
      <w:bookmarkStart w:id="1335" w:name="_Toc12895991"/>
      <w:bookmarkStart w:id="1336" w:name="_Toc12895036"/>
      <w:bookmarkStart w:id="1337" w:name="_Toc12895992"/>
      <w:bookmarkStart w:id="1338" w:name="_Toc12895037"/>
      <w:bookmarkStart w:id="1339" w:name="_Toc12895993"/>
      <w:bookmarkStart w:id="1340" w:name="_Toc12895038"/>
      <w:bookmarkStart w:id="1341" w:name="_Toc12895994"/>
      <w:bookmarkStart w:id="1342" w:name="_Toc12895039"/>
      <w:bookmarkStart w:id="1343" w:name="_Toc12895995"/>
      <w:bookmarkStart w:id="1344" w:name="_Toc12895040"/>
      <w:bookmarkStart w:id="1345" w:name="_Toc12895996"/>
      <w:bookmarkStart w:id="1346" w:name="_Toc12895041"/>
      <w:bookmarkStart w:id="1347" w:name="_Toc12895997"/>
      <w:bookmarkStart w:id="1348" w:name="_Toc12895042"/>
      <w:bookmarkStart w:id="1349" w:name="_Toc12895998"/>
      <w:bookmarkStart w:id="1350" w:name="_Toc12895043"/>
      <w:bookmarkStart w:id="1351" w:name="_Toc12895999"/>
      <w:bookmarkStart w:id="1352" w:name="_Toc12895044"/>
      <w:bookmarkStart w:id="1353" w:name="_Toc12896000"/>
      <w:bookmarkStart w:id="1354" w:name="_Toc12895045"/>
      <w:bookmarkStart w:id="1355" w:name="_Toc12896001"/>
      <w:bookmarkStart w:id="1356" w:name="_Toc12895046"/>
      <w:bookmarkStart w:id="1357" w:name="_Toc12896002"/>
      <w:bookmarkStart w:id="1358" w:name="_Toc12895047"/>
      <w:bookmarkStart w:id="1359" w:name="_Toc12896003"/>
      <w:bookmarkStart w:id="1360" w:name="_Toc12895048"/>
      <w:bookmarkStart w:id="1361" w:name="_Toc12896004"/>
      <w:bookmarkStart w:id="1362" w:name="_Toc12895049"/>
      <w:bookmarkStart w:id="1363" w:name="_Toc12896005"/>
      <w:bookmarkStart w:id="1364" w:name="_Toc12895050"/>
      <w:bookmarkStart w:id="1365" w:name="_Toc12896006"/>
      <w:bookmarkStart w:id="1366" w:name="_Toc12895051"/>
      <w:bookmarkStart w:id="1367" w:name="_Toc12896007"/>
      <w:bookmarkStart w:id="1368" w:name="_Toc12895052"/>
      <w:bookmarkStart w:id="1369" w:name="_Toc12896008"/>
      <w:bookmarkStart w:id="1370" w:name="_Toc12895053"/>
      <w:bookmarkStart w:id="1371" w:name="_Toc12896009"/>
      <w:bookmarkStart w:id="1372" w:name="_Toc12895054"/>
      <w:bookmarkStart w:id="1373" w:name="_Toc12896010"/>
      <w:bookmarkStart w:id="1374" w:name="_Toc12895055"/>
      <w:bookmarkStart w:id="1375" w:name="_Toc12896011"/>
      <w:bookmarkStart w:id="1376" w:name="_Toc12895056"/>
      <w:bookmarkStart w:id="1377" w:name="_Toc12896012"/>
      <w:bookmarkStart w:id="1378" w:name="_Toc12895057"/>
      <w:bookmarkStart w:id="1379" w:name="_Toc12896013"/>
      <w:bookmarkStart w:id="1380" w:name="_Toc12895058"/>
      <w:bookmarkStart w:id="1381" w:name="_Toc12896014"/>
      <w:bookmarkStart w:id="1382" w:name="_Toc12895059"/>
      <w:bookmarkStart w:id="1383" w:name="_Toc12896015"/>
      <w:bookmarkStart w:id="1384" w:name="_Toc12895060"/>
      <w:bookmarkStart w:id="1385" w:name="_Toc12896016"/>
      <w:bookmarkStart w:id="1386" w:name="_Toc12895061"/>
      <w:bookmarkStart w:id="1387" w:name="_Toc12896017"/>
      <w:bookmarkStart w:id="1388" w:name="_Toc12895062"/>
      <w:bookmarkStart w:id="1389" w:name="_Toc12896018"/>
      <w:bookmarkStart w:id="1390" w:name="_Toc12895063"/>
      <w:bookmarkStart w:id="1391" w:name="_Toc12896019"/>
      <w:bookmarkStart w:id="1392" w:name="_Toc12895064"/>
      <w:bookmarkStart w:id="1393" w:name="_Toc12896020"/>
      <w:bookmarkStart w:id="1394" w:name="_Toc12895065"/>
      <w:bookmarkStart w:id="1395" w:name="_Toc12896021"/>
      <w:bookmarkStart w:id="1396" w:name="_Toc12895066"/>
      <w:bookmarkStart w:id="1397" w:name="_Toc12896022"/>
      <w:bookmarkStart w:id="1398" w:name="_Toc12895067"/>
      <w:bookmarkStart w:id="1399" w:name="_Toc12896023"/>
      <w:bookmarkStart w:id="1400" w:name="_Toc12895068"/>
      <w:bookmarkStart w:id="1401" w:name="_Toc12896024"/>
      <w:bookmarkStart w:id="1402" w:name="_Toc12895069"/>
      <w:bookmarkStart w:id="1403" w:name="_Toc12896025"/>
      <w:bookmarkStart w:id="1404" w:name="_Toc12895070"/>
      <w:bookmarkStart w:id="1405" w:name="_Toc12896026"/>
      <w:bookmarkStart w:id="1406" w:name="_Toc12895071"/>
      <w:bookmarkStart w:id="1407" w:name="_Toc12896027"/>
      <w:bookmarkStart w:id="1408" w:name="_Toc12895072"/>
      <w:bookmarkStart w:id="1409" w:name="_Toc12896028"/>
      <w:bookmarkStart w:id="1410" w:name="_Toc12895073"/>
      <w:bookmarkStart w:id="1411" w:name="_Toc12896029"/>
      <w:bookmarkStart w:id="1412" w:name="_Toc12895074"/>
      <w:bookmarkStart w:id="1413" w:name="_Toc12896030"/>
      <w:bookmarkStart w:id="1414" w:name="_Toc12895075"/>
      <w:bookmarkStart w:id="1415" w:name="_Toc12896031"/>
      <w:bookmarkStart w:id="1416" w:name="_Toc12895076"/>
      <w:bookmarkStart w:id="1417" w:name="_Toc12896032"/>
      <w:bookmarkStart w:id="1418" w:name="_Toc12895077"/>
      <w:bookmarkStart w:id="1419" w:name="_Toc12896033"/>
      <w:bookmarkStart w:id="1420" w:name="_Toc12895078"/>
      <w:bookmarkStart w:id="1421" w:name="_Toc12896034"/>
      <w:bookmarkStart w:id="1422" w:name="_Toc12895079"/>
      <w:bookmarkStart w:id="1423" w:name="_Toc12896035"/>
      <w:bookmarkStart w:id="1424" w:name="_Toc12895080"/>
      <w:bookmarkStart w:id="1425" w:name="_Toc12896036"/>
      <w:bookmarkStart w:id="1426" w:name="_Toc12895081"/>
      <w:bookmarkStart w:id="1427" w:name="_Toc12896037"/>
      <w:bookmarkStart w:id="1428" w:name="_Toc12895082"/>
      <w:bookmarkStart w:id="1429" w:name="_Toc12896038"/>
      <w:bookmarkStart w:id="1430" w:name="_Toc12895083"/>
      <w:bookmarkStart w:id="1431" w:name="_Toc12896039"/>
      <w:bookmarkStart w:id="1432" w:name="_Toc12895084"/>
      <w:bookmarkStart w:id="1433" w:name="_Toc12896040"/>
      <w:bookmarkStart w:id="1434" w:name="_Toc12895085"/>
      <w:bookmarkStart w:id="1435" w:name="_Toc12896041"/>
      <w:bookmarkStart w:id="1436" w:name="_Toc12895086"/>
      <w:bookmarkStart w:id="1437" w:name="_Toc12896042"/>
      <w:bookmarkStart w:id="1438" w:name="_Toc12895087"/>
      <w:bookmarkStart w:id="1439" w:name="_Toc12896043"/>
      <w:bookmarkStart w:id="1440" w:name="_Toc12895088"/>
      <w:bookmarkStart w:id="1441" w:name="_Toc12896044"/>
      <w:bookmarkStart w:id="1442" w:name="_Toc12895089"/>
      <w:bookmarkStart w:id="1443" w:name="_Toc12896045"/>
      <w:bookmarkStart w:id="1444" w:name="_Toc12895090"/>
      <w:bookmarkStart w:id="1445" w:name="_Toc12896046"/>
      <w:bookmarkStart w:id="1446" w:name="_Toc12895091"/>
      <w:bookmarkStart w:id="1447" w:name="_Toc12896047"/>
      <w:bookmarkStart w:id="1448" w:name="_Toc12895092"/>
      <w:bookmarkStart w:id="1449" w:name="_Toc12896048"/>
      <w:bookmarkStart w:id="1450" w:name="_Toc12895093"/>
      <w:bookmarkStart w:id="1451" w:name="_Toc12896049"/>
      <w:bookmarkStart w:id="1452" w:name="_Toc12895094"/>
      <w:bookmarkStart w:id="1453" w:name="_Toc12896050"/>
      <w:bookmarkStart w:id="1454" w:name="_Toc10144498"/>
      <w:bookmarkStart w:id="1455" w:name="_Toc10144768"/>
      <w:bookmarkStart w:id="1456" w:name="_Toc10145038"/>
      <w:bookmarkStart w:id="1457" w:name="_Toc10199061"/>
      <w:bookmarkStart w:id="1458" w:name="_Toc10199330"/>
      <w:bookmarkStart w:id="1459" w:name="_Toc10199599"/>
      <w:bookmarkStart w:id="1460" w:name="_Toc10459854"/>
      <w:bookmarkStart w:id="1461" w:name="_Toc10144499"/>
      <w:bookmarkStart w:id="1462" w:name="_Toc10144769"/>
      <w:bookmarkStart w:id="1463" w:name="_Toc10145039"/>
      <w:bookmarkStart w:id="1464" w:name="_Toc10199062"/>
      <w:bookmarkStart w:id="1465" w:name="_Toc10199331"/>
      <w:bookmarkStart w:id="1466" w:name="_Toc10199600"/>
      <w:bookmarkStart w:id="1467" w:name="_Toc10459855"/>
      <w:bookmarkStart w:id="1468" w:name="_Toc10144500"/>
      <w:bookmarkStart w:id="1469" w:name="_Toc10144770"/>
      <w:bookmarkStart w:id="1470" w:name="_Toc10145040"/>
      <w:bookmarkStart w:id="1471" w:name="_Toc10199063"/>
      <w:bookmarkStart w:id="1472" w:name="_Toc10199332"/>
      <w:bookmarkStart w:id="1473" w:name="_Toc10199601"/>
      <w:bookmarkStart w:id="1474" w:name="_Toc10459856"/>
      <w:bookmarkStart w:id="1475" w:name="_Toc12895095"/>
      <w:bookmarkStart w:id="1476" w:name="_Toc12896051"/>
      <w:bookmarkStart w:id="1477" w:name="_Toc12895096"/>
      <w:bookmarkStart w:id="1478" w:name="_Toc12896052"/>
      <w:bookmarkStart w:id="1479" w:name="_Toc12895097"/>
      <w:bookmarkStart w:id="1480" w:name="_Toc12896053"/>
      <w:bookmarkStart w:id="1481" w:name="_Toc12895098"/>
      <w:bookmarkStart w:id="1482" w:name="_Toc12896054"/>
      <w:bookmarkStart w:id="1483" w:name="_Toc12895099"/>
      <w:bookmarkStart w:id="1484" w:name="_Toc12896055"/>
      <w:bookmarkStart w:id="1485" w:name="_Toc12895100"/>
      <w:bookmarkStart w:id="1486" w:name="_Toc12896056"/>
      <w:bookmarkStart w:id="1487" w:name="_Toc12895101"/>
      <w:bookmarkStart w:id="1488" w:name="_Toc12896057"/>
      <w:bookmarkStart w:id="1489" w:name="_Toc12895102"/>
      <w:bookmarkStart w:id="1490" w:name="_Toc12896058"/>
      <w:bookmarkStart w:id="1491" w:name="_Toc12895103"/>
      <w:bookmarkStart w:id="1492" w:name="_Toc12896059"/>
      <w:bookmarkStart w:id="1493" w:name="_Toc12895104"/>
      <w:bookmarkStart w:id="1494" w:name="_Toc12896060"/>
      <w:bookmarkStart w:id="1495" w:name="_Toc12895105"/>
      <w:bookmarkStart w:id="1496" w:name="_Toc12896061"/>
      <w:bookmarkStart w:id="1497" w:name="_Toc12895106"/>
      <w:bookmarkStart w:id="1498" w:name="_Toc12896062"/>
      <w:bookmarkStart w:id="1499" w:name="_Toc12895107"/>
      <w:bookmarkStart w:id="1500" w:name="_Toc12896063"/>
      <w:bookmarkStart w:id="1501" w:name="_Toc12895108"/>
      <w:bookmarkStart w:id="1502" w:name="_Toc12896064"/>
      <w:bookmarkStart w:id="1503" w:name="_Toc106868007"/>
      <w:bookmarkStart w:id="1504" w:name="_Toc106869758"/>
      <w:bookmarkStart w:id="1505" w:name="_Toc106870092"/>
      <w:bookmarkStart w:id="1506" w:name="_Toc106870258"/>
      <w:bookmarkStart w:id="1507" w:name="_Toc106870430"/>
      <w:bookmarkStart w:id="1508" w:name="_Toc165964627"/>
      <w:bookmarkStart w:id="1509" w:name="_Toc167174489"/>
      <w:bookmarkStart w:id="1510" w:name="_Toc167226003"/>
      <w:bookmarkStart w:id="1511" w:name="_Toc201148200"/>
      <w:bookmarkEnd w:id="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t>Terminology</w:t>
      </w:r>
      <w:bookmarkEnd w:id="1503"/>
      <w:bookmarkEnd w:id="1504"/>
      <w:bookmarkEnd w:id="1505"/>
      <w:bookmarkEnd w:id="1506"/>
      <w:bookmarkEnd w:id="1507"/>
      <w:bookmarkEnd w:id="1508"/>
      <w:bookmarkEnd w:id="1509"/>
      <w:bookmarkEnd w:id="1510"/>
      <w:bookmarkEnd w:id="1511"/>
    </w:p>
    <w:p w14:paraId="433366A6" w14:textId="77777777" w:rsidR="005B699B" w:rsidRDefault="005B699B" w:rsidP="005B699B">
      <w:pPr>
        <w:pStyle w:val="Body"/>
      </w:pPr>
      <w:r>
        <w:t>The term ‘funded organisations’ relates to all entities that receive departmental funding to deliver services, unless specified otherwise.</w:t>
      </w:r>
    </w:p>
    <w:p w14:paraId="25F5D748" w14:textId="5AF73817" w:rsidR="005B699B" w:rsidRDefault="005B699B" w:rsidP="005B699B">
      <w:pPr>
        <w:pStyle w:val="Body"/>
      </w:pPr>
      <w:r>
        <w:t xml:space="preserve">For the purposes of the </w:t>
      </w:r>
      <w:r w:rsidRPr="00AC1491">
        <w:rPr>
          <w:i/>
          <w:iCs/>
        </w:rPr>
        <w:t xml:space="preserve">Policy </w:t>
      </w:r>
      <w:r>
        <w:rPr>
          <w:i/>
          <w:iCs/>
        </w:rPr>
        <w:t>g</w:t>
      </w:r>
      <w:r w:rsidRPr="00AC1491">
        <w:rPr>
          <w:i/>
          <w:iCs/>
        </w:rPr>
        <w:t>uide</w:t>
      </w:r>
      <w:r>
        <w:t>, the term ‘health services’ relates to public health services, denominational hospitals, public hospitals and multipurpose services, as defined by the</w:t>
      </w:r>
      <w:r w:rsidRPr="0670E279">
        <w:rPr>
          <w:i/>
          <w:iCs/>
        </w:rPr>
        <w:t xml:space="preserve"> Health Services Act 1988</w:t>
      </w:r>
      <w:r>
        <w:t>, regarding services provided within a hospital or a hospital-equivalent setting, unless otherwise specified.</w:t>
      </w:r>
    </w:p>
    <w:p w14:paraId="6350AAFD" w14:textId="77777777" w:rsidR="005B699B" w:rsidRDefault="005B699B" w:rsidP="005B699B">
      <w:pPr>
        <w:pStyle w:val="Body"/>
      </w:pPr>
      <w:r>
        <w:t>The term ‘community service organisations’ refers to registered community health centres, local government authorities and non-government organisations that are not health services.</w:t>
      </w:r>
    </w:p>
    <w:p w14:paraId="28BC90D7" w14:textId="6E6C74A1" w:rsidR="005B699B" w:rsidRDefault="005B699B" w:rsidP="005B699B">
      <w:pPr>
        <w:pStyle w:val="Body"/>
      </w:pPr>
      <w:r>
        <w:t xml:space="preserve">The </w:t>
      </w:r>
      <w:r w:rsidRPr="0670E279">
        <w:rPr>
          <w:i/>
          <w:iCs/>
        </w:rPr>
        <w:t xml:space="preserve">Policy </w:t>
      </w:r>
      <w:r>
        <w:rPr>
          <w:i/>
          <w:iCs/>
        </w:rPr>
        <w:t>g</w:t>
      </w:r>
      <w:r w:rsidRPr="0670E279">
        <w:rPr>
          <w:i/>
          <w:iCs/>
        </w:rPr>
        <w:t>uide</w:t>
      </w:r>
      <w:r>
        <w:t xml:space="preserve"> is also relevant for Ambulance Victoria, Health Purchasing Victoria trading as HealthShare Victoria (HealthShare), the Victorian Institute of Forensic Mental Health (known as Forensicare) and the </w:t>
      </w:r>
      <w:r w:rsidR="00E277CD" w:rsidRPr="00DF60B7">
        <w:t xml:space="preserve">Parkville </w:t>
      </w:r>
      <w:r w:rsidR="001571E9" w:rsidRPr="00DF60B7">
        <w:t>Youth Mental Health and Wellbeing Service</w:t>
      </w:r>
      <w:r w:rsidRPr="00DF60B7">
        <w:t>.</w:t>
      </w:r>
      <w:r>
        <w:t xml:space="preserve"> The </w:t>
      </w:r>
      <w:r w:rsidRPr="001F40F1">
        <w:t>Policy guide</w:t>
      </w:r>
      <w:r>
        <w:t xml:space="preserve"> specifies where aspects are relevant for these organisations.</w:t>
      </w:r>
    </w:p>
    <w:p w14:paraId="7E993177" w14:textId="77777777" w:rsidR="005B699B" w:rsidRDefault="005B699B" w:rsidP="005B699B">
      <w:pPr>
        <w:pStyle w:val="Body"/>
      </w:pPr>
      <w:r>
        <w:t>Where the term ‘department’ is used, it refers to the Department of Health, unless otherwise specified.</w:t>
      </w:r>
    </w:p>
    <w:p w14:paraId="2E750918" w14:textId="77777777" w:rsidR="0013085B" w:rsidRDefault="0013085B" w:rsidP="005B699B">
      <w:pPr>
        <w:pStyle w:val="Body"/>
      </w:pPr>
    </w:p>
    <w:p w14:paraId="4B8D8871" w14:textId="1D2E61F6" w:rsidR="005B699B" w:rsidRDefault="005B699B" w:rsidP="005B699B">
      <w:pPr>
        <w:pStyle w:val="Body"/>
        <w:sectPr w:rsidR="005B699B" w:rsidSect="005B699B">
          <w:footerReference w:type="even" r:id="rId18"/>
          <w:footerReference w:type="default" r:id="rId19"/>
          <w:headerReference w:type="first" r:id="rId20"/>
          <w:footerReference w:type="first" r:id="rId21"/>
          <w:pgSz w:w="11906" w:h="16838" w:code="9"/>
          <w:pgMar w:top="1135" w:right="1304" w:bottom="993" w:left="1304" w:header="680" w:footer="567" w:gutter="0"/>
          <w:pgNumType w:start="1"/>
          <w:cols w:space="340"/>
          <w:titlePg/>
          <w:docGrid w:linePitch="360"/>
        </w:sectPr>
      </w:pPr>
    </w:p>
    <w:p w14:paraId="0FB8365D" w14:textId="7033D8FB" w:rsidR="005B699B" w:rsidRPr="0026034E" w:rsidRDefault="005B699B" w:rsidP="002929BD">
      <w:pPr>
        <w:pStyle w:val="Heading1partopener"/>
        <w:ind w:left="0"/>
      </w:pPr>
      <w:bookmarkStart w:id="1512" w:name="_Toc165961788"/>
      <w:bookmarkStart w:id="1513" w:name="_Toc201148201"/>
      <w:bookmarkEnd w:id="8"/>
      <w:bookmarkEnd w:id="9"/>
      <w:r>
        <w:lastRenderedPageBreak/>
        <w:t>Part 1</w:t>
      </w:r>
      <w:r w:rsidR="006E3CDF">
        <w:fldChar w:fldCharType="begin"/>
      </w:r>
      <w:r w:rsidR="006E3CDF">
        <w:instrText xml:space="preserve"> SET Part 1 </w:instrText>
      </w:r>
      <w:r w:rsidR="006E3CDF">
        <w:fldChar w:fldCharType="separate"/>
      </w:r>
      <w:bookmarkStart w:id="1514" w:name="Part"/>
      <w:r w:rsidR="007D262B">
        <w:rPr>
          <w:noProof/>
        </w:rPr>
        <w:t>1</w:t>
      </w:r>
      <w:bookmarkEnd w:id="1514"/>
      <w:r w:rsidR="006E3CDF">
        <w:fldChar w:fldCharType="end"/>
      </w:r>
      <w:r>
        <w:t>: Funding and p</w:t>
      </w:r>
      <w:r w:rsidRPr="0026034E">
        <w:t xml:space="preserve">ricing </w:t>
      </w:r>
      <w:r>
        <w:t>arrangements</w:t>
      </w:r>
      <w:bookmarkEnd w:id="1512"/>
      <w:bookmarkEnd w:id="1513"/>
    </w:p>
    <w:p w14:paraId="290A4310" w14:textId="77777777" w:rsidR="005B699B" w:rsidRDefault="005B699B" w:rsidP="005B699B">
      <w:pPr>
        <w:pStyle w:val="Body"/>
      </w:pPr>
      <w:bookmarkStart w:id="1515" w:name="_Toc52892548"/>
      <w:bookmarkStart w:id="1516" w:name="_Ref54258664"/>
      <w:bookmarkStart w:id="1517" w:name="_Ref54258668"/>
      <w:bookmarkStart w:id="1518" w:name="_Ref54258679"/>
      <w:bookmarkStart w:id="1519" w:name="_Toc418694901"/>
      <w:bookmarkStart w:id="1520" w:name="_Toc6215538"/>
      <w:bookmarkStart w:id="1521" w:name="_Toc10199614"/>
      <w:bookmarkStart w:id="1522" w:name="_Toc418694900"/>
      <w:bookmarkStart w:id="1523" w:name="_Toc487742004"/>
      <w:bookmarkStart w:id="1524" w:name="_Toc14172233"/>
    </w:p>
    <w:p w14:paraId="09BB75E9" w14:textId="77777777" w:rsidR="005B699B" w:rsidRDefault="005B699B" w:rsidP="005B699B">
      <w:pPr>
        <w:pStyle w:val="Body"/>
        <w:sectPr w:rsidR="005B699B" w:rsidSect="005B699B">
          <w:footerReference w:type="even" r:id="rId22"/>
          <w:footerReference w:type="default" r:id="rId23"/>
          <w:headerReference w:type="first" r:id="rId24"/>
          <w:footerReference w:type="first" r:id="rId25"/>
          <w:pgSz w:w="11906" w:h="16838" w:code="9"/>
          <w:pgMar w:top="4253" w:right="1304" w:bottom="993" w:left="1304" w:header="680" w:footer="567" w:gutter="0"/>
          <w:cols w:space="340"/>
          <w:titlePg/>
          <w:docGrid w:linePitch="360"/>
        </w:sectPr>
      </w:pPr>
    </w:p>
    <w:p w14:paraId="1F763456" w14:textId="7EAE34B4" w:rsidR="004A25FE" w:rsidRPr="000D54D9" w:rsidRDefault="00180DC5" w:rsidP="00B718DB">
      <w:pPr>
        <w:pStyle w:val="Heading1"/>
        <w:numPr>
          <w:ilvl w:val="0"/>
          <w:numId w:val="34"/>
        </w:numPr>
        <w:ind w:left="709" w:hanging="709"/>
      </w:pPr>
      <w:bookmarkStart w:id="1525" w:name="_Toc201148202"/>
      <w:bookmarkStart w:id="1526" w:name="_Toc165961789"/>
      <w:bookmarkEnd w:id="1515"/>
      <w:bookmarkEnd w:id="1516"/>
      <w:bookmarkEnd w:id="1517"/>
      <w:bookmarkEnd w:id="1518"/>
      <w:r w:rsidRPr="000D54D9">
        <w:lastRenderedPageBreak/>
        <w:t xml:space="preserve">National </w:t>
      </w:r>
      <w:r w:rsidR="007E5F5F" w:rsidRPr="000D54D9">
        <w:t xml:space="preserve">funding </w:t>
      </w:r>
      <w:r w:rsidR="0031250B" w:rsidRPr="000D54D9">
        <w:t>and pri</w:t>
      </w:r>
      <w:r w:rsidR="007E05CD" w:rsidRPr="000D54D9">
        <w:t>cing of public hospitals</w:t>
      </w:r>
      <w:bookmarkEnd w:id="1525"/>
    </w:p>
    <w:p w14:paraId="0EECA130" w14:textId="6696CAC8" w:rsidR="004C0C98" w:rsidRDefault="004C0C98" w:rsidP="00B448AC">
      <w:pPr>
        <w:pStyle w:val="Heading2"/>
        <w:ind w:left="709" w:hanging="709"/>
      </w:pPr>
      <w:bookmarkStart w:id="1527" w:name="_Toc201148203"/>
      <w:r w:rsidRPr="00D02EC2">
        <w:t xml:space="preserve">National </w:t>
      </w:r>
      <w:r w:rsidR="00B96154">
        <w:t>health reform agreement</w:t>
      </w:r>
      <w:bookmarkEnd w:id="1527"/>
    </w:p>
    <w:p w14:paraId="26F066B6" w14:textId="48E35F41" w:rsidR="004C0C98" w:rsidRDefault="00D57AC2" w:rsidP="004C0C98">
      <w:pPr>
        <w:pStyle w:val="Body"/>
      </w:pPr>
      <w:r>
        <w:t xml:space="preserve">Victoria is a signatory to the </w:t>
      </w:r>
      <w:r w:rsidR="004C0C98">
        <w:t>National Health Reform Agreement (NHRA</w:t>
      </w:r>
      <w:r>
        <w:t xml:space="preserve">). The NHRA </w:t>
      </w:r>
      <w:r w:rsidR="004C0C98" w:rsidRPr="00CA48D9">
        <w:t>sets out the shared intention of the Commonwealth, state and territory governments to improve health outcomes for all Australians</w:t>
      </w:r>
      <w:r>
        <w:t>. It aims to ensure the</w:t>
      </w:r>
      <w:r w:rsidR="004C0C98" w:rsidRPr="00CA48D9">
        <w:t xml:space="preserve"> </w:t>
      </w:r>
      <w:r>
        <w:t>long-term strength</w:t>
      </w:r>
      <w:r w:rsidRPr="00CA48D9">
        <w:t xml:space="preserve"> </w:t>
      </w:r>
      <w:r w:rsidR="004C0C98" w:rsidRPr="00CA48D9">
        <w:t>of the Australian health system through sustainable funding arrangements for public hospitals.</w:t>
      </w:r>
    </w:p>
    <w:p w14:paraId="2F71B2ED" w14:textId="55546149" w:rsidR="00154E87" w:rsidRPr="002D362C" w:rsidRDefault="004C0C98" w:rsidP="002D362C">
      <w:pPr>
        <w:pStyle w:val="Body"/>
      </w:pPr>
      <w:r w:rsidRPr="0025494B">
        <w:t xml:space="preserve">The </w:t>
      </w:r>
      <w:r>
        <w:t xml:space="preserve">NHRA </w:t>
      </w:r>
      <w:r w:rsidRPr="0025494B">
        <w:t>establish</w:t>
      </w:r>
      <w:r>
        <w:t xml:space="preserve">es </w:t>
      </w:r>
      <w:r w:rsidRPr="0025494B">
        <w:t xml:space="preserve">a framework for </w:t>
      </w:r>
      <w:r>
        <w:t xml:space="preserve">accurately and transparently allocating </w:t>
      </w:r>
      <w:r w:rsidRPr="0025494B">
        <w:t xml:space="preserve">funding </w:t>
      </w:r>
      <w:r>
        <w:t xml:space="preserve">for </w:t>
      </w:r>
      <w:r w:rsidRPr="002D362C">
        <w:t>Australian public hospital services</w:t>
      </w:r>
      <w:r w:rsidR="008424A3">
        <w:t>. Section</w:t>
      </w:r>
      <w:r w:rsidR="00D57AC2" w:rsidRPr="002D362C">
        <w:t xml:space="preserve"> </w:t>
      </w:r>
      <w:r w:rsidR="00154E87" w:rsidRPr="002D362C">
        <w:t xml:space="preserve">131(1)(f) of </w:t>
      </w:r>
      <w:r w:rsidR="00154E87" w:rsidRPr="00D57AC2">
        <w:t xml:space="preserve">the </w:t>
      </w:r>
      <w:r w:rsidR="00154E87" w:rsidRPr="008E23F7">
        <w:rPr>
          <w:i/>
          <w:iCs/>
        </w:rPr>
        <w:t xml:space="preserve">National Health Reform Act 2011 </w:t>
      </w:r>
      <w:r w:rsidR="00154E87" w:rsidRPr="002D362C">
        <w:t>(Cth) (the NHR Act)</w:t>
      </w:r>
      <w:r w:rsidR="0018232A" w:rsidRPr="002D362C">
        <w:t xml:space="preserve"> </w:t>
      </w:r>
      <w:r w:rsidR="00154E87" w:rsidRPr="002D362C">
        <w:t>and clauses A16–A24 of the Addendum to the National Health Reform Agreement 2020–26</w:t>
      </w:r>
      <w:r w:rsidR="008424A3">
        <w:t xml:space="preserve"> set out</w:t>
      </w:r>
      <w:r w:rsidR="008424A3" w:rsidRPr="002D362C">
        <w:t xml:space="preserve"> </w:t>
      </w:r>
      <w:r w:rsidR="00154E87" w:rsidRPr="002D362C">
        <w:t>the</w:t>
      </w:r>
      <w:r w:rsidR="0018232A" w:rsidRPr="002D362C">
        <w:t xml:space="preserve"> </w:t>
      </w:r>
      <w:r w:rsidR="00154E87" w:rsidRPr="002D362C">
        <w:t>scope of public hospital services eligible for Commonwealth funding:</w:t>
      </w:r>
    </w:p>
    <w:p w14:paraId="28257506" w14:textId="55CA2132" w:rsidR="00154E87" w:rsidRPr="002D362C" w:rsidRDefault="00154E87" w:rsidP="00C15D52">
      <w:pPr>
        <w:pStyle w:val="Bullet1"/>
      </w:pPr>
      <w:r w:rsidRPr="002D362C">
        <w:t xml:space="preserve">all admitted services, including </w:t>
      </w:r>
      <w:r w:rsidR="00BC1E7E">
        <w:t>h</w:t>
      </w:r>
      <w:r w:rsidR="00FF590E">
        <w:t>ospital</w:t>
      </w:r>
      <w:r w:rsidR="00BC1E7E">
        <w:t>-</w:t>
      </w:r>
      <w:r w:rsidR="00FF590E">
        <w:t>in</w:t>
      </w:r>
      <w:r w:rsidR="00BC1E7E">
        <w:t>-</w:t>
      </w:r>
      <w:r w:rsidR="00FF590E">
        <w:t>the</w:t>
      </w:r>
      <w:r w:rsidR="00BC1E7E">
        <w:t>-h</w:t>
      </w:r>
      <w:r w:rsidR="00FF590E">
        <w:t xml:space="preserve">ome </w:t>
      </w:r>
      <w:r w:rsidRPr="002D362C">
        <w:t>programs and forensic mental health inpatient services</w:t>
      </w:r>
    </w:p>
    <w:p w14:paraId="71141176" w14:textId="173DB4D1" w:rsidR="00154E87" w:rsidRPr="002D362C" w:rsidRDefault="00154E87" w:rsidP="00C15D52">
      <w:pPr>
        <w:pStyle w:val="Bullet1"/>
      </w:pPr>
      <w:r w:rsidRPr="002D362C">
        <w:t>all emergency department services provided by a recognised emergency department service</w:t>
      </w:r>
    </w:p>
    <w:p w14:paraId="27031143" w14:textId="44FA341C" w:rsidR="00331EFD" w:rsidRPr="002D362C" w:rsidRDefault="00154E87" w:rsidP="00C15D52">
      <w:pPr>
        <w:pStyle w:val="Bullet1"/>
      </w:pPr>
      <w:r w:rsidRPr="002D362C">
        <w:t>non-admitted patient services and non-admitted mental health care services, including community and residential mental health care services, that could reasonably be considered a public hospital service in accordance with clauses A18–A24 of the</w:t>
      </w:r>
      <w:r w:rsidR="002005B0" w:rsidRPr="002D362C">
        <w:t xml:space="preserve"> </w:t>
      </w:r>
      <w:r w:rsidRPr="002D362C">
        <w:t>Addendum.</w:t>
      </w:r>
    </w:p>
    <w:p w14:paraId="67E91242" w14:textId="54F078A9" w:rsidR="004C0C98" w:rsidRDefault="004C0C98" w:rsidP="004C0C98">
      <w:pPr>
        <w:pStyle w:val="Bodyafterbullets"/>
      </w:pPr>
      <w:r>
        <w:t>The NHRA establishes national bodies with which Victoria works closely to deliver the goals of the NHRA. The national bodies are:</w:t>
      </w:r>
    </w:p>
    <w:p w14:paraId="736E5DFE" w14:textId="77777777" w:rsidR="004C0C98" w:rsidRDefault="004C0C98" w:rsidP="00C15D52">
      <w:pPr>
        <w:pStyle w:val="Bullet1"/>
      </w:pPr>
      <w:r>
        <w:t>Independent Health and Aged Care Pricing Authority (IHACPA) (formerly the Independent Hospital Pricing Authority)</w:t>
      </w:r>
    </w:p>
    <w:p w14:paraId="6C18C851" w14:textId="77777777" w:rsidR="004C0C98" w:rsidRDefault="004C0C98" w:rsidP="00C15D52">
      <w:pPr>
        <w:pStyle w:val="Bullet1"/>
      </w:pPr>
      <w:r>
        <w:t>The Administrator of the National Health Funding Pool</w:t>
      </w:r>
    </w:p>
    <w:p w14:paraId="0DC9ACC3" w14:textId="77777777" w:rsidR="004C0C98" w:rsidRDefault="004C0C98" w:rsidP="00C15D52">
      <w:pPr>
        <w:pStyle w:val="Bullet1"/>
      </w:pPr>
      <w:r>
        <w:t>National Health Funding Body</w:t>
      </w:r>
    </w:p>
    <w:p w14:paraId="0CF56685" w14:textId="77777777" w:rsidR="004C0C98" w:rsidRDefault="004C0C98" w:rsidP="00C15D52">
      <w:pPr>
        <w:pStyle w:val="Bullet1"/>
      </w:pPr>
      <w:r>
        <w:t>Australian Commission on Safety and Quality in Health Care</w:t>
      </w:r>
    </w:p>
    <w:p w14:paraId="3D6AC034" w14:textId="77777777" w:rsidR="004C0C98" w:rsidRDefault="004C0C98" w:rsidP="00C15D52">
      <w:pPr>
        <w:pStyle w:val="Bullet1"/>
      </w:pPr>
      <w:r>
        <w:t>Australian Institute of Health and Welfare.</w:t>
      </w:r>
    </w:p>
    <w:p w14:paraId="435C5418" w14:textId="5E85C03F" w:rsidR="004C0C98" w:rsidRPr="006646FC" w:rsidRDefault="004C0C98" w:rsidP="004C0C98">
      <w:pPr>
        <w:pStyle w:val="Bodyafterbullets"/>
      </w:pPr>
      <w:r>
        <w:t>For further information of the NHRA s</w:t>
      </w:r>
      <w:r w:rsidRPr="004A7294">
        <w:t>ee</w:t>
      </w:r>
      <w:r w:rsidRPr="006646FC">
        <w:t xml:space="preserve"> the </w:t>
      </w:r>
      <w:hyperlink r:id="rId26" w:history="1">
        <w:r w:rsidRPr="009F4B94">
          <w:rPr>
            <w:rStyle w:val="Hyperlink"/>
          </w:rPr>
          <w:t>NHRA webpage</w:t>
        </w:r>
      </w:hyperlink>
      <w:r w:rsidRPr="006646FC">
        <w:t xml:space="preserve"> &lt;</w:t>
      </w:r>
      <w:hyperlink r:id="rId27" w:history="1">
        <w:r w:rsidRPr="006646FC">
          <w:t>https://www.health.gov.au/our-work/2020-25-national-health-reform-agreement-nhra</w:t>
        </w:r>
      </w:hyperlink>
      <w:r w:rsidRPr="006646FC">
        <w:t>&gt;</w:t>
      </w:r>
      <w:r>
        <w:t>.</w:t>
      </w:r>
    </w:p>
    <w:p w14:paraId="48130851" w14:textId="3C08ED91" w:rsidR="004C0C98" w:rsidRDefault="004C0C98" w:rsidP="00B448AC">
      <w:pPr>
        <w:pStyle w:val="Heading2"/>
        <w:ind w:left="709" w:hanging="709"/>
      </w:pPr>
      <w:bookmarkStart w:id="1528" w:name="_Toc201148204"/>
      <w:r>
        <w:t>Pricing framework for Australian public hospitals</w:t>
      </w:r>
      <w:bookmarkEnd w:id="1528"/>
    </w:p>
    <w:p w14:paraId="484B7834" w14:textId="77777777" w:rsidR="005C42CA" w:rsidRDefault="004C0C98" w:rsidP="004C0C98">
      <w:pPr>
        <w:pStyle w:val="Body"/>
      </w:pPr>
      <w:r>
        <w:t xml:space="preserve">The annual </w:t>
      </w:r>
      <w:r w:rsidRPr="00287747">
        <w:rPr>
          <w:i/>
        </w:rPr>
        <w:t xml:space="preserve">Pricing </w:t>
      </w:r>
      <w:r>
        <w:rPr>
          <w:i/>
          <w:iCs/>
        </w:rPr>
        <w:t>f</w:t>
      </w:r>
      <w:r w:rsidRPr="00AE6427">
        <w:rPr>
          <w:i/>
          <w:iCs/>
        </w:rPr>
        <w:t>ramework</w:t>
      </w:r>
      <w:r w:rsidRPr="00287747">
        <w:rPr>
          <w:i/>
        </w:rPr>
        <w:t xml:space="preserve"> for Australian </w:t>
      </w:r>
      <w:r>
        <w:rPr>
          <w:i/>
          <w:iCs/>
        </w:rPr>
        <w:t>p</w:t>
      </w:r>
      <w:r w:rsidRPr="00AE6427">
        <w:rPr>
          <w:i/>
          <w:iCs/>
        </w:rPr>
        <w:t xml:space="preserve">ublic </w:t>
      </w:r>
      <w:r>
        <w:rPr>
          <w:i/>
          <w:iCs/>
        </w:rPr>
        <w:t>h</w:t>
      </w:r>
      <w:r w:rsidRPr="00AE6427">
        <w:rPr>
          <w:i/>
          <w:iCs/>
        </w:rPr>
        <w:t xml:space="preserve">ospital </w:t>
      </w:r>
      <w:r>
        <w:rPr>
          <w:i/>
          <w:iCs/>
        </w:rPr>
        <w:t>s</w:t>
      </w:r>
      <w:r w:rsidRPr="00AE6427">
        <w:rPr>
          <w:i/>
          <w:iCs/>
        </w:rPr>
        <w:t>ervices</w:t>
      </w:r>
      <w:r>
        <w:t xml:space="preserve"> (the framework) outlines the principles, scope and methodology adopted by the IHACPA to determine funding of in-scope public hospital services under the NHRA. </w:t>
      </w:r>
    </w:p>
    <w:p w14:paraId="4193C582" w14:textId="1D3C99F0" w:rsidR="005C42CA" w:rsidRDefault="004C0C98" w:rsidP="004C0C98">
      <w:pPr>
        <w:pStyle w:val="Body"/>
      </w:pPr>
      <w:r>
        <w:t>The</w:t>
      </w:r>
      <w:r w:rsidDel="004A7294">
        <w:t xml:space="preserve"> </w:t>
      </w:r>
      <w:r>
        <w:t xml:space="preserve">framework </w:t>
      </w:r>
      <w:r w:rsidR="005C42CA">
        <w:t xml:space="preserve">sets out </w:t>
      </w:r>
      <w:r>
        <w:t>activity-based fund</w:t>
      </w:r>
      <w:r w:rsidR="00C13D27">
        <w:t>ing</w:t>
      </w:r>
      <w:r>
        <w:t xml:space="preserve"> and block funding approaches. </w:t>
      </w:r>
    </w:p>
    <w:p w14:paraId="48C9273C" w14:textId="38EA3B78" w:rsidR="005C42CA" w:rsidRDefault="004C0C98" w:rsidP="004C0C98">
      <w:pPr>
        <w:pStyle w:val="Body"/>
      </w:pPr>
      <w:r>
        <w:t xml:space="preserve">The key difference between the two approaches is that the activity-based funding model calculates an efficient price per episode of care, while the block-funded model calculates an efficient cost for the hospital. </w:t>
      </w:r>
    </w:p>
    <w:p w14:paraId="1D32DEF9" w14:textId="79F2715B" w:rsidR="004C0C98" w:rsidRDefault="005C42CA" w:rsidP="004C0C98">
      <w:pPr>
        <w:pStyle w:val="Body"/>
      </w:pPr>
      <w:r>
        <w:t xml:space="preserve">Find out more about </w:t>
      </w:r>
      <w:r w:rsidR="004C0C98">
        <w:t xml:space="preserve">the </w:t>
      </w:r>
      <w:r w:rsidRPr="004F776C">
        <w:t>framework</w:t>
      </w:r>
      <w:r w:rsidR="004C0C98">
        <w:t xml:space="preserve"> </w:t>
      </w:r>
      <w:r>
        <w:t xml:space="preserve">on </w:t>
      </w:r>
      <w:r w:rsidR="004C0C98">
        <w:t xml:space="preserve">the </w:t>
      </w:r>
      <w:hyperlink r:id="rId28" w:history="1">
        <w:r w:rsidR="004C0C98" w:rsidRPr="005C42CA">
          <w:rPr>
            <w:rStyle w:val="Hyperlink"/>
          </w:rPr>
          <w:t>IHACPA website</w:t>
        </w:r>
      </w:hyperlink>
      <w:r w:rsidR="004C0C98">
        <w:t xml:space="preserve"> &lt;</w:t>
      </w:r>
      <w:r w:rsidR="004C0C98" w:rsidRPr="004C0CC5">
        <w:t>https://www.ihacpa.gov.au/health-care/pricing/pricing-framework-australian-public-hospital-services</w:t>
      </w:r>
      <w:r w:rsidR="004C0C98">
        <w:t>&gt;.</w:t>
      </w:r>
    </w:p>
    <w:p w14:paraId="0FA1FF70" w14:textId="4A0D4D17" w:rsidR="00A4422F" w:rsidRDefault="00A4422F" w:rsidP="00B448AC">
      <w:pPr>
        <w:pStyle w:val="Heading2"/>
        <w:ind w:left="709" w:hanging="709"/>
      </w:pPr>
      <w:bookmarkStart w:id="1529" w:name="_Toc201148205"/>
      <w:r>
        <w:lastRenderedPageBreak/>
        <w:t>Activity-based funding</w:t>
      </w:r>
      <w:bookmarkEnd w:id="1529"/>
    </w:p>
    <w:p w14:paraId="54D11845" w14:textId="769B0E58" w:rsidR="00A4422F" w:rsidRDefault="00A4422F" w:rsidP="00A4422F">
      <w:pPr>
        <w:pStyle w:val="Body"/>
      </w:pPr>
      <w:r w:rsidRPr="006B6384">
        <w:t>In 2025–26,</w:t>
      </w:r>
      <w:r w:rsidRPr="006B6384">
        <w:rPr>
          <w:lang w:val="en-US"/>
        </w:rPr>
        <w:t xml:space="preserve"> </w:t>
      </w:r>
      <w:r w:rsidR="004F776C" w:rsidRPr="006B6384">
        <w:rPr>
          <w:lang w:val="en-US"/>
        </w:rPr>
        <w:t xml:space="preserve">under the national funding model (NFM), </w:t>
      </w:r>
      <w:r w:rsidRPr="006B6384">
        <w:t xml:space="preserve">public </w:t>
      </w:r>
      <w:r w:rsidR="00C7556D" w:rsidRPr="006B6384">
        <w:t>health service entities</w:t>
      </w:r>
      <w:r w:rsidRPr="006B6384">
        <w:t xml:space="preserve"> that </w:t>
      </w:r>
      <w:r w:rsidR="00C7556D" w:rsidRPr="006B6384">
        <w:t>are in</w:t>
      </w:r>
      <w:r w:rsidR="00BC1E7E" w:rsidRPr="006B6384">
        <w:t xml:space="preserve"> </w:t>
      </w:r>
      <w:r w:rsidR="00C7556D" w:rsidRPr="006B6384">
        <w:t>scope for activity-based funding, as defined by the NHRA</w:t>
      </w:r>
      <w:r w:rsidR="00B72CE1" w:rsidRPr="006B6384">
        <w:t xml:space="preserve">, </w:t>
      </w:r>
      <w:r w:rsidR="004F776C" w:rsidRPr="006B6384">
        <w:t xml:space="preserve">are </w:t>
      </w:r>
      <w:r w:rsidRPr="006B6384">
        <w:t xml:space="preserve">funded through activity-based funding </w:t>
      </w:r>
      <w:r w:rsidR="00A33A40" w:rsidRPr="006B6384">
        <w:t>for the following services</w:t>
      </w:r>
      <w:r w:rsidRPr="006B6384">
        <w:t>:</w:t>
      </w:r>
    </w:p>
    <w:p w14:paraId="4E3A7557" w14:textId="7594AC48" w:rsidR="00A4422F" w:rsidRPr="00C15D52" w:rsidRDefault="00A4422F" w:rsidP="00C15D52">
      <w:pPr>
        <w:pStyle w:val="Bullet1"/>
      </w:pPr>
      <w:r w:rsidRPr="00C15D52">
        <w:t>all admitted services, including hospital-in-the-home programs and forensic mental health inpatient services</w:t>
      </w:r>
    </w:p>
    <w:p w14:paraId="33B4644C" w14:textId="77777777" w:rsidR="00A4422F" w:rsidRPr="00C15D52" w:rsidRDefault="00A4422F" w:rsidP="00C15D52">
      <w:pPr>
        <w:pStyle w:val="Bullet1"/>
      </w:pPr>
      <w:r w:rsidRPr="00C15D52">
        <w:t>all emergency department services provided by a recognised emergency department service</w:t>
      </w:r>
    </w:p>
    <w:p w14:paraId="2F33F5B6" w14:textId="77777777" w:rsidR="004F776C" w:rsidRPr="002B6DD7" w:rsidRDefault="004F776C" w:rsidP="004F776C">
      <w:pPr>
        <w:pStyle w:val="Bullet1"/>
      </w:pPr>
      <w:r w:rsidRPr="002B6DD7">
        <w:t>non-admitted patient services and non-admitted mental health care services.</w:t>
      </w:r>
    </w:p>
    <w:p w14:paraId="3562E50A" w14:textId="67F57106" w:rsidR="00A4422F" w:rsidRDefault="00A4422F" w:rsidP="00B448AC">
      <w:pPr>
        <w:pStyle w:val="Heading2"/>
        <w:ind w:left="709" w:hanging="709"/>
      </w:pPr>
      <w:bookmarkStart w:id="1530" w:name="_Toc201148206"/>
      <w:r>
        <w:t>Block funding</w:t>
      </w:r>
      <w:bookmarkEnd w:id="1530"/>
    </w:p>
    <w:p w14:paraId="2DF988FA" w14:textId="3774112F" w:rsidR="00A4422F" w:rsidRDefault="00A4422F" w:rsidP="00A4422F">
      <w:pPr>
        <w:pStyle w:val="Body"/>
      </w:pPr>
      <w:r>
        <w:t xml:space="preserve">The national funding model recognises that activity-based funding </w:t>
      </w:r>
      <w:r w:rsidR="005C42CA">
        <w:t>is not always</w:t>
      </w:r>
      <w:r>
        <w:t xml:space="preserve"> practicable</w:t>
      </w:r>
      <w:r w:rsidR="005C42CA">
        <w:t>.</w:t>
      </w:r>
      <w:r>
        <w:t xml:space="preserve"> </w:t>
      </w:r>
      <w:r w:rsidR="005C42CA">
        <w:t>S</w:t>
      </w:r>
      <w:r>
        <w:t xml:space="preserve">ome services need to be </w:t>
      </w:r>
      <w:r w:rsidRPr="004A7294">
        <w:t>funded</w:t>
      </w:r>
      <w:r>
        <w:t xml:space="preserve"> on a block-grant basis. </w:t>
      </w:r>
    </w:p>
    <w:p w14:paraId="59089837" w14:textId="4C946AD6" w:rsidR="00A4422F" w:rsidRDefault="00A4422F" w:rsidP="00A4422F">
      <w:pPr>
        <w:pStyle w:val="Body"/>
      </w:pPr>
      <w:r>
        <w:t>In 2025–26, IHACPA has determined that small rural health services and the following services in activity-based funded health services hospitals are eligible for block funding</w:t>
      </w:r>
      <w:r w:rsidR="005C42CA">
        <w:t>. This is because</w:t>
      </w:r>
      <w:r>
        <w:t xml:space="preserve"> the technical requirements for applying activity-based funding </w:t>
      </w:r>
      <w:r w:rsidR="005C42CA">
        <w:t>cannot</w:t>
      </w:r>
      <w:r>
        <w:t xml:space="preserve"> be satisfied</w:t>
      </w:r>
      <w:r w:rsidR="005C42CA">
        <w:t xml:space="preserve"> for these services</w:t>
      </w:r>
      <w:r>
        <w:t>:</w:t>
      </w:r>
    </w:p>
    <w:p w14:paraId="39C45511" w14:textId="77777777" w:rsidR="00A4422F" w:rsidRPr="00100A8D" w:rsidRDefault="00A4422F" w:rsidP="00A4422F">
      <w:pPr>
        <w:pStyle w:val="Bullet1"/>
      </w:pPr>
      <w:r w:rsidRPr="00C14635">
        <w:t>teaching, training and research</w:t>
      </w:r>
    </w:p>
    <w:p w14:paraId="3C0033E9" w14:textId="5F97F1C4" w:rsidR="00A4422F" w:rsidRPr="00031F33" w:rsidRDefault="00691C7B" w:rsidP="00A4422F">
      <w:pPr>
        <w:pStyle w:val="Bullet1"/>
      </w:pPr>
      <w:r>
        <w:t xml:space="preserve">low volume rural/regional </w:t>
      </w:r>
      <w:r w:rsidR="00A4422F" w:rsidRPr="00031F33">
        <w:t>community mental health services in specified local hospital networks (LHNs)</w:t>
      </w:r>
    </w:p>
    <w:p w14:paraId="6ED4371A" w14:textId="43A92A9C" w:rsidR="00A4422F" w:rsidRPr="00A248C1" w:rsidRDefault="00A4422F" w:rsidP="00A4422F">
      <w:pPr>
        <w:pStyle w:val="Bullet1"/>
      </w:pPr>
      <w:r w:rsidRPr="00A248C1">
        <w:t>residential mental health services</w:t>
      </w:r>
      <w:r w:rsidR="00626EB7" w:rsidRPr="00A248C1">
        <w:rPr>
          <w:rStyle w:val="FootnoteReference"/>
        </w:rPr>
        <w:footnoteReference w:id="2"/>
      </w:r>
    </w:p>
    <w:p w14:paraId="5E52C8E5" w14:textId="2E6A2591" w:rsidR="00A4422F" w:rsidRPr="00100A8D" w:rsidRDefault="00A4422F" w:rsidP="00A4422F">
      <w:pPr>
        <w:pStyle w:val="Bullet1"/>
      </w:pPr>
      <w:r w:rsidRPr="00C14635">
        <w:t xml:space="preserve">non-admitted home ventilation services (as defined by the </w:t>
      </w:r>
      <w:r>
        <w:t>Tier</w:t>
      </w:r>
      <w:r w:rsidRPr="00C14635">
        <w:t xml:space="preserve"> 2 non-admitted services classification version 9.</w:t>
      </w:r>
      <w:r>
        <w:t>1</w:t>
      </w:r>
      <w:r w:rsidRPr="00C14635">
        <w:t xml:space="preserve"> class 10.19)</w:t>
      </w:r>
    </w:p>
    <w:p w14:paraId="28F1DB20" w14:textId="77777777" w:rsidR="00A4422F" w:rsidRPr="00100A8D" w:rsidRDefault="00A4422F" w:rsidP="00A4422F">
      <w:pPr>
        <w:pStyle w:val="Bullet1"/>
      </w:pPr>
      <w:r w:rsidRPr="00C14635">
        <w:t>high-cost, highly specialised therapies</w:t>
      </w:r>
    </w:p>
    <w:p w14:paraId="61701D9C" w14:textId="77777777" w:rsidR="00A4422F" w:rsidRPr="00100A8D" w:rsidRDefault="00A4422F" w:rsidP="00A4422F">
      <w:pPr>
        <w:pStyle w:val="Bullet1"/>
      </w:pPr>
      <w:r w:rsidRPr="00C14635">
        <w:t xml:space="preserve">services not otherwise priced under </w:t>
      </w:r>
      <w:r>
        <w:t>c</w:t>
      </w:r>
      <w:r w:rsidRPr="00C14635">
        <w:t>lause A17 of the NHRA</w:t>
      </w:r>
    </w:p>
    <w:p w14:paraId="252CD259" w14:textId="3F8BB3A6" w:rsidR="00A4422F" w:rsidRDefault="00A4422F" w:rsidP="00A4422F">
      <w:pPr>
        <w:pStyle w:val="Bullet1"/>
      </w:pPr>
      <w:r w:rsidRPr="00C14635">
        <w:t>other public hospital programs approved by IHACPA for inclusion on the general list of in-scope public hospital services for 202</w:t>
      </w:r>
      <w:r>
        <w:t>5</w:t>
      </w:r>
      <w:r w:rsidRPr="00C14635">
        <w:t>–2</w:t>
      </w:r>
      <w:r>
        <w:t>6</w:t>
      </w:r>
      <w:r w:rsidRPr="00C14635">
        <w:t>.</w:t>
      </w:r>
    </w:p>
    <w:p w14:paraId="0461DC10" w14:textId="77777777" w:rsidR="0076412B" w:rsidRDefault="00DE4CCB">
      <w:pPr>
        <w:spacing w:after="0" w:line="240" w:lineRule="auto"/>
        <w:sectPr w:rsidR="0076412B" w:rsidSect="00AC52D2">
          <w:headerReference w:type="even" r:id="rId29"/>
          <w:footerReference w:type="even" r:id="rId30"/>
          <w:footerReference w:type="default" r:id="rId31"/>
          <w:headerReference w:type="first" r:id="rId32"/>
          <w:footerReference w:type="first" r:id="rId33"/>
          <w:pgSz w:w="11906" w:h="16838" w:code="9"/>
          <w:pgMar w:top="1418" w:right="1304" w:bottom="1134" w:left="1304" w:header="680" w:footer="567" w:gutter="0"/>
          <w:cols w:space="340"/>
          <w:docGrid w:linePitch="360"/>
        </w:sectPr>
      </w:pPr>
      <w:r>
        <w:br w:type="page"/>
      </w:r>
    </w:p>
    <w:p w14:paraId="3DEF7B32" w14:textId="2960651C" w:rsidR="00F42CD0" w:rsidRPr="00696029" w:rsidRDefault="00F42CD0" w:rsidP="00B448AC">
      <w:pPr>
        <w:pStyle w:val="Heading2"/>
        <w:ind w:left="709" w:hanging="709"/>
      </w:pPr>
      <w:bookmarkStart w:id="1531" w:name="_Toc201148207"/>
      <w:r w:rsidRPr="00696029">
        <w:lastRenderedPageBreak/>
        <w:t>Victorian alignment with the national funding model</w:t>
      </w:r>
      <w:bookmarkEnd w:id="1531"/>
    </w:p>
    <w:p w14:paraId="38E3A754" w14:textId="3537401A" w:rsidR="00AA6D6E" w:rsidRPr="00696029" w:rsidRDefault="00F42CD0" w:rsidP="007C2E5B">
      <w:pPr>
        <w:pStyle w:val="Body"/>
      </w:pPr>
      <w:r w:rsidRPr="00696029">
        <w:t xml:space="preserve">Victoria </w:t>
      </w:r>
      <w:r w:rsidR="001016A2" w:rsidRPr="00696029">
        <w:t xml:space="preserve">started </w:t>
      </w:r>
      <w:r w:rsidRPr="00696029">
        <w:t>align</w:t>
      </w:r>
      <w:r w:rsidR="0013547D" w:rsidRPr="00696029">
        <w:t>ing</w:t>
      </w:r>
      <w:r w:rsidRPr="00696029">
        <w:t xml:space="preserve"> with the national funding model from 1 July 2021</w:t>
      </w:r>
      <w:r w:rsidR="001016A2" w:rsidRPr="00696029">
        <w:t xml:space="preserve"> when it adopted</w:t>
      </w:r>
      <w:r w:rsidRPr="00696029">
        <w:t xml:space="preserve"> the national weighted activity unit </w:t>
      </w:r>
      <w:r w:rsidR="00AC3326" w:rsidRPr="00696029">
        <w:t xml:space="preserve">(NWAU) </w:t>
      </w:r>
      <w:r w:rsidRPr="00696029">
        <w:t xml:space="preserve">as the mechanism </w:t>
      </w:r>
      <w:r w:rsidR="00AA6D6E" w:rsidRPr="00696029">
        <w:t xml:space="preserve">to fund </w:t>
      </w:r>
      <w:r w:rsidR="00F242CE" w:rsidRPr="00696029">
        <w:t>public health services and entities that are in</w:t>
      </w:r>
      <w:r w:rsidR="00BC1E7E" w:rsidRPr="00696029">
        <w:t xml:space="preserve"> </w:t>
      </w:r>
      <w:r w:rsidR="00F242CE" w:rsidRPr="00696029">
        <w:t>scope for activity-based funding, as defined by the NHRA.</w:t>
      </w:r>
    </w:p>
    <w:p w14:paraId="3F8B52D3" w14:textId="79C616EA" w:rsidR="00503C6F" w:rsidRPr="00696029" w:rsidRDefault="00AF4D10" w:rsidP="007C2E5B">
      <w:pPr>
        <w:pStyle w:val="Body"/>
      </w:pPr>
      <w:r w:rsidRPr="00696029">
        <w:t xml:space="preserve">While the majority of funding to public health services </w:t>
      </w:r>
      <w:r w:rsidR="00651B44" w:rsidRPr="00696029">
        <w:t>is provided under t</w:t>
      </w:r>
      <w:r w:rsidRPr="00696029">
        <w:t>he NHRA</w:t>
      </w:r>
      <w:r w:rsidR="00651B44" w:rsidRPr="00696029">
        <w:t>, n</w:t>
      </w:r>
      <w:r w:rsidR="007B04A7" w:rsidRPr="00696029">
        <w:t xml:space="preserve">ot all </w:t>
      </w:r>
      <w:r w:rsidR="003145C8" w:rsidRPr="00696029">
        <w:t xml:space="preserve">services delivered by public </w:t>
      </w:r>
      <w:r w:rsidR="007D1113" w:rsidRPr="00696029">
        <w:t xml:space="preserve">health </w:t>
      </w:r>
      <w:r w:rsidR="003145C8" w:rsidRPr="00696029">
        <w:t xml:space="preserve">services are </w:t>
      </w:r>
      <w:r w:rsidR="00BC1E7E" w:rsidRPr="00696029">
        <w:t xml:space="preserve">in </w:t>
      </w:r>
      <w:r w:rsidR="003145C8" w:rsidRPr="00696029">
        <w:t xml:space="preserve">scope </w:t>
      </w:r>
      <w:r w:rsidR="00477337" w:rsidRPr="00696029">
        <w:t xml:space="preserve">for funding </w:t>
      </w:r>
      <w:r w:rsidR="00BC1E7E" w:rsidRPr="00696029">
        <w:t xml:space="preserve">under </w:t>
      </w:r>
      <w:r w:rsidR="003145C8" w:rsidRPr="00696029">
        <w:t>the NHRA</w:t>
      </w:r>
      <w:r w:rsidR="00651B44" w:rsidRPr="00696029">
        <w:t xml:space="preserve">. Furthermore, </w:t>
      </w:r>
      <w:r w:rsidR="003145C8" w:rsidRPr="00696029">
        <w:t xml:space="preserve">not all services that are </w:t>
      </w:r>
      <w:r w:rsidR="00F41BA2" w:rsidRPr="00696029">
        <w:t>with</w:t>
      </w:r>
      <w:r w:rsidR="003145C8" w:rsidRPr="00696029">
        <w:t>in</w:t>
      </w:r>
      <w:r w:rsidR="00BC1E7E" w:rsidRPr="00696029">
        <w:t xml:space="preserve"> </w:t>
      </w:r>
      <w:r w:rsidR="003145C8" w:rsidRPr="00696029">
        <w:t xml:space="preserve">scope </w:t>
      </w:r>
      <w:r w:rsidR="00F41BA2" w:rsidRPr="00696029">
        <w:t>of</w:t>
      </w:r>
      <w:r w:rsidR="00BC1E7E" w:rsidRPr="00696029">
        <w:t xml:space="preserve"> </w:t>
      </w:r>
      <w:r w:rsidR="003145C8" w:rsidRPr="00696029">
        <w:t>the NHRA</w:t>
      </w:r>
      <w:r w:rsidR="00707ABC" w:rsidRPr="00696029">
        <w:t xml:space="preserve"> are funded </w:t>
      </w:r>
      <w:r w:rsidR="003735B6" w:rsidRPr="00696029">
        <w:t>in keeping with the national funding model.</w:t>
      </w:r>
    </w:p>
    <w:p w14:paraId="1B48F86C" w14:textId="728CAFAE" w:rsidR="008F6DD0" w:rsidRDefault="008F12B1" w:rsidP="00A5202E">
      <w:pPr>
        <w:pStyle w:val="Body"/>
      </w:pPr>
      <w:r>
        <w:rPr>
          <w:highlight w:val="yellow"/>
        </w:rPr>
        <w:fldChar w:fldCharType="begin"/>
      </w:r>
      <w:r>
        <w:instrText xml:space="preserve"> REF _Ref200441010 \h </w:instrText>
      </w:r>
      <w:r>
        <w:rPr>
          <w:highlight w:val="yellow"/>
        </w:rPr>
      </w:r>
      <w:r>
        <w:rPr>
          <w:highlight w:val="yellow"/>
        </w:rPr>
        <w:fldChar w:fldCharType="separate"/>
      </w:r>
      <w:r>
        <w:t xml:space="preserve">Table </w:t>
      </w:r>
      <w:r>
        <w:rPr>
          <w:noProof/>
        </w:rPr>
        <w:t>1</w:t>
      </w:r>
      <w:r>
        <w:t>.</w:t>
      </w:r>
      <w:r>
        <w:rPr>
          <w:noProof/>
        </w:rPr>
        <w:t>1</w:t>
      </w:r>
      <w:r>
        <w:rPr>
          <w:highlight w:val="yellow"/>
        </w:rPr>
        <w:fldChar w:fldCharType="end"/>
      </w:r>
      <w:r>
        <w:t xml:space="preserve"> </w:t>
      </w:r>
      <w:r w:rsidR="001041F4" w:rsidRPr="00790742">
        <w:t>shows the treatment of the national funding model of various services, and Victoria’s treatment of these services. Note</w:t>
      </w:r>
      <w:r w:rsidR="00A5202E" w:rsidRPr="00790742">
        <w:t xml:space="preserve"> </w:t>
      </w:r>
      <w:r w:rsidR="003E2688" w:rsidRPr="00790742">
        <w:t>it</w:t>
      </w:r>
      <w:r w:rsidR="00BD3685" w:rsidRPr="00790742">
        <w:t xml:space="preserve"> </w:t>
      </w:r>
      <w:r w:rsidR="001041F4" w:rsidRPr="00790742">
        <w:t>is a general guide only</w:t>
      </w:r>
      <w:r w:rsidR="00790742" w:rsidRPr="00790742">
        <w:t>.</w:t>
      </w:r>
    </w:p>
    <w:p w14:paraId="46C052C4" w14:textId="2216B88B" w:rsidR="00B35DD2" w:rsidRDefault="005F29D1" w:rsidP="000730A8">
      <w:pPr>
        <w:pStyle w:val="Tablecaption"/>
      </w:pPr>
      <w:bookmarkStart w:id="1532" w:name="_Ref200441010"/>
      <w:bookmarkStart w:id="1533" w:name="_Toc201148563"/>
      <w:r>
        <w:t xml:space="preserve">Table </w:t>
      </w:r>
      <w:fldSimple w:instr="REF Part \* MERGEFORMAT">
        <w:r w:rsidR="007D262B">
          <w:rPr>
            <w:noProof/>
          </w:rPr>
          <w:t>1</w:t>
        </w:r>
      </w:fldSimple>
      <w:r>
        <w:t>.</w:t>
      </w:r>
      <w:r>
        <w:fldChar w:fldCharType="begin"/>
      </w:r>
      <w:r>
        <w:instrText xml:space="preserve"> SEQ Table \* ARABIC </w:instrText>
      </w:r>
      <w:r>
        <w:fldChar w:fldCharType="separate"/>
      </w:r>
      <w:r w:rsidR="007D262B">
        <w:rPr>
          <w:noProof/>
        </w:rPr>
        <w:t>1</w:t>
      </w:r>
      <w:r>
        <w:rPr>
          <w:noProof/>
        </w:rPr>
        <w:fldChar w:fldCharType="end"/>
      </w:r>
      <w:bookmarkEnd w:id="1532"/>
      <w:r>
        <w:t>:</w:t>
      </w:r>
      <w:r w:rsidR="0049518B" w:rsidRPr="0049518B">
        <w:t>Victorian alignment with the national funding model</w:t>
      </w:r>
      <w:bookmarkEnd w:id="1533"/>
    </w:p>
    <w:tbl>
      <w:tblPr>
        <w:tblStyle w:val="GridTable4-Accent1"/>
        <w:tblW w:w="5188" w:type="pct"/>
        <w:tblInd w:w="-147" w:type="dxa"/>
        <w:tblLayout w:type="fixed"/>
        <w:tblLook w:val="06A0" w:firstRow="1" w:lastRow="0" w:firstColumn="1" w:lastColumn="0" w:noHBand="1" w:noVBand="1"/>
      </w:tblPr>
      <w:tblGrid>
        <w:gridCol w:w="1417"/>
        <w:gridCol w:w="2839"/>
        <w:gridCol w:w="1758"/>
        <w:gridCol w:w="1761"/>
        <w:gridCol w:w="1761"/>
        <w:gridCol w:w="1760"/>
        <w:gridCol w:w="1760"/>
        <w:gridCol w:w="1757"/>
      </w:tblGrid>
      <w:tr w:rsidR="00601846" w:rsidRPr="005373F7" w14:paraId="4D1CB269" w14:textId="77777777" w:rsidTr="006018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 w:type="pct"/>
          </w:tcPr>
          <w:p w14:paraId="6FDDEC49" w14:textId="77777777" w:rsidR="00601846" w:rsidRPr="005373F7" w:rsidRDefault="00601846" w:rsidP="003A4CF3">
            <w:pPr>
              <w:rPr>
                <w:sz w:val="18"/>
                <w:szCs w:val="18"/>
              </w:rPr>
            </w:pPr>
          </w:p>
        </w:tc>
        <w:tc>
          <w:tcPr>
            <w:tcW w:w="958" w:type="pct"/>
          </w:tcPr>
          <w:p w14:paraId="2FBE9F9C"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In-scope to VIC ABF Framework</w:t>
            </w:r>
          </w:p>
        </w:tc>
        <w:tc>
          <w:tcPr>
            <w:tcW w:w="593" w:type="pct"/>
          </w:tcPr>
          <w:p w14:paraId="3EFDFD83"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In-scope to VIC ABF Framework</w:t>
            </w:r>
          </w:p>
        </w:tc>
        <w:tc>
          <w:tcPr>
            <w:tcW w:w="594" w:type="pct"/>
          </w:tcPr>
          <w:p w14:paraId="30F35C43"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94" w:type="pct"/>
          </w:tcPr>
          <w:p w14:paraId="03274FBC"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 xml:space="preserve">Vic ABF Framework </w:t>
            </w:r>
          </w:p>
        </w:tc>
        <w:tc>
          <w:tcPr>
            <w:tcW w:w="594" w:type="pct"/>
          </w:tcPr>
          <w:p w14:paraId="162A8729"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94" w:type="pct"/>
          </w:tcPr>
          <w:p w14:paraId="788FFBA5"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93" w:type="pct"/>
          </w:tcPr>
          <w:p w14:paraId="46B5F249"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r>
      <w:tr w:rsidR="00601846" w:rsidRPr="00601846" w14:paraId="2B20AB21"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60F54274" w14:textId="77777777" w:rsidR="00601846" w:rsidRPr="00601846" w:rsidRDefault="00601846" w:rsidP="003A4CF3">
            <w:pPr>
              <w:rPr>
                <w:rFonts w:cs="Arial"/>
                <w:sz w:val="18"/>
                <w:szCs w:val="18"/>
              </w:rPr>
            </w:pPr>
            <w:r w:rsidRPr="00601846">
              <w:rPr>
                <w:rFonts w:cs="Arial"/>
                <w:sz w:val="18"/>
                <w:szCs w:val="18"/>
              </w:rPr>
              <w:t>Funding mechanism</w:t>
            </w:r>
          </w:p>
        </w:tc>
        <w:tc>
          <w:tcPr>
            <w:tcW w:w="958" w:type="pct"/>
          </w:tcPr>
          <w:p w14:paraId="3C0353F4"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NWAU grant</w:t>
            </w:r>
          </w:p>
        </w:tc>
        <w:tc>
          <w:tcPr>
            <w:tcW w:w="593" w:type="pct"/>
          </w:tcPr>
          <w:p w14:paraId="66B87C20"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Pricing adjustments to NWAU</w:t>
            </w:r>
          </w:p>
        </w:tc>
        <w:tc>
          <w:tcPr>
            <w:tcW w:w="594" w:type="pct"/>
          </w:tcPr>
          <w:p w14:paraId="4E7EB236"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Block grant (to support activity)</w:t>
            </w:r>
          </w:p>
        </w:tc>
        <w:tc>
          <w:tcPr>
            <w:tcW w:w="594" w:type="pct"/>
          </w:tcPr>
          <w:p w14:paraId="6D87B29B"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Block grant</w:t>
            </w:r>
          </w:p>
        </w:tc>
        <w:tc>
          <w:tcPr>
            <w:tcW w:w="594" w:type="pct"/>
          </w:tcPr>
          <w:p w14:paraId="09DBE138"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Activity funded</w:t>
            </w:r>
          </w:p>
        </w:tc>
        <w:tc>
          <w:tcPr>
            <w:tcW w:w="594" w:type="pct"/>
          </w:tcPr>
          <w:p w14:paraId="535BCD07"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Bespoke funding</w:t>
            </w:r>
          </w:p>
        </w:tc>
        <w:tc>
          <w:tcPr>
            <w:tcW w:w="593" w:type="pct"/>
          </w:tcPr>
          <w:p w14:paraId="03D55B6A"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Block grant</w:t>
            </w:r>
          </w:p>
        </w:tc>
      </w:tr>
      <w:tr w:rsidR="00601846" w:rsidRPr="00601846" w14:paraId="0B4002B6"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1F51DE9E" w14:textId="77777777" w:rsidR="00601846" w:rsidRPr="00601846" w:rsidRDefault="00601846" w:rsidP="003A4CF3">
            <w:pPr>
              <w:rPr>
                <w:rFonts w:cs="Arial"/>
                <w:sz w:val="18"/>
                <w:szCs w:val="18"/>
              </w:rPr>
            </w:pPr>
            <w:r w:rsidRPr="00601846">
              <w:rPr>
                <w:rFonts w:cs="Arial"/>
                <w:sz w:val="18"/>
                <w:szCs w:val="18"/>
              </w:rPr>
              <w:t>NHRA status</w:t>
            </w:r>
          </w:p>
        </w:tc>
        <w:tc>
          <w:tcPr>
            <w:tcW w:w="958" w:type="pct"/>
          </w:tcPr>
          <w:p w14:paraId="22D60DC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NEP</w:t>
            </w:r>
          </w:p>
        </w:tc>
        <w:tc>
          <w:tcPr>
            <w:tcW w:w="593" w:type="pct"/>
          </w:tcPr>
          <w:p w14:paraId="08DB0527"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NEP</w:t>
            </w:r>
          </w:p>
        </w:tc>
        <w:tc>
          <w:tcPr>
            <w:tcW w:w="594" w:type="pct"/>
          </w:tcPr>
          <w:p w14:paraId="556160B0"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NEP</w:t>
            </w:r>
          </w:p>
        </w:tc>
        <w:tc>
          <w:tcPr>
            <w:tcW w:w="594" w:type="pct"/>
          </w:tcPr>
          <w:p w14:paraId="13C730A2"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NEC</w:t>
            </w:r>
          </w:p>
        </w:tc>
        <w:tc>
          <w:tcPr>
            <w:tcW w:w="594" w:type="pct"/>
          </w:tcPr>
          <w:p w14:paraId="5BA1718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Out-of-scope</w:t>
            </w:r>
          </w:p>
        </w:tc>
        <w:tc>
          <w:tcPr>
            <w:tcW w:w="594" w:type="pct"/>
          </w:tcPr>
          <w:p w14:paraId="5B8CDDC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Out-of-scope</w:t>
            </w:r>
          </w:p>
        </w:tc>
        <w:tc>
          <w:tcPr>
            <w:tcW w:w="593" w:type="pct"/>
          </w:tcPr>
          <w:p w14:paraId="4624C25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Out-of-scope</w:t>
            </w:r>
          </w:p>
        </w:tc>
      </w:tr>
      <w:tr w:rsidR="00601846" w:rsidRPr="00601846" w14:paraId="31101835"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31B4ACB3" w14:textId="77777777" w:rsidR="00601846" w:rsidRPr="00601846" w:rsidRDefault="00601846" w:rsidP="003A4CF3">
            <w:pPr>
              <w:spacing w:after="0"/>
              <w:rPr>
                <w:rFonts w:cs="Arial"/>
                <w:sz w:val="18"/>
                <w:szCs w:val="18"/>
              </w:rPr>
            </w:pPr>
            <w:r w:rsidRPr="00601846">
              <w:rPr>
                <w:rFonts w:cs="Arial"/>
                <w:sz w:val="18"/>
                <w:szCs w:val="18"/>
              </w:rPr>
              <w:t>Summary of inclusions</w:t>
            </w:r>
          </w:p>
        </w:tc>
        <w:tc>
          <w:tcPr>
            <w:tcW w:w="958" w:type="pct"/>
          </w:tcPr>
          <w:p w14:paraId="7B522BC9" w14:textId="77777777" w:rsidR="00601846" w:rsidRPr="00601846" w:rsidRDefault="00601846" w:rsidP="003A4CF3">
            <w:p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All in-scope public hospital services with valid end classes as defined in sections 3 and 4 of the National Efficient Price Determination unless otherwise specified in this table.</w:t>
            </w:r>
          </w:p>
        </w:tc>
        <w:tc>
          <w:tcPr>
            <w:tcW w:w="593" w:type="pct"/>
          </w:tcPr>
          <w:p w14:paraId="1A66B94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Commissioning</w:t>
            </w:r>
          </w:p>
          <w:p w14:paraId="71DEAAFD"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Classification and loading</w:t>
            </w:r>
          </w:p>
          <w:p w14:paraId="06528FB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Statewide service</w:t>
            </w:r>
          </w:p>
          <w:p w14:paraId="2860373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Entity</w:t>
            </w:r>
          </w:p>
          <w:p w14:paraId="0E335416" w14:textId="77777777" w:rsidR="00601846" w:rsidRPr="00601846" w:rsidRDefault="00601846" w:rsidP="003A4CF3">
            <w:p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622D835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Forensic admitted mental health</w:t>
            </w:r>
          </w:p>
          <w:p w14:paraId="0713A48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Early parenting centres</w:t>
            </w:r>
          </w:p>
          <w:p w14:paraId="179B8A50"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Palliative care - community and consultancy</w:t>
            </w:r>
          </w:p>
          <w:p w14:paraId="4515EC8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Specified cancer supports </w:t>
            </w:r>
          </w:p>
          <w:p w14:paraId="75203CED"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Planned surgery supplements</w:t>
            </w:r>
          </w:p>
          <w:p w14:paraId="70CE454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Mental health specific community (non-admitted) services See section 3.9.</w:t>
            </w:r>
          </w:p>
          <w:p w14:paraId="3444DEA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 xml:space="preserve">System reform </w:t>
            </w:r>
          </w:p>
          <w:p w14:paraId="511EA47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Broader patient care supports</w:t>
            </w:r>
          </w:p>
          <w:p w14:paraId="1F98C72C"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Legacy Grants (Table 2.24)</w:t>
            </w:r>
          </w:p>
        </w:tc>
        <w:tc>
          <w:tcPr>
            <w:tcW w:w="594" w:type="pct"/>
          </w:tcPr>
          <w:p w14:paraId="431D9736"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Small rural hospitals</w:t>
            </w:r>
          </w:p>
          <w:p w14:paraId="613EBD3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Teaching, training &amp; research</w:t>
            </w:r>
          </w:p>
          <w:p w14:paraId="3EEEF06E" w14:textId="77777777" w:rsidR="00601846" w:rsidRPr="00601846" w:rsidRDefault="00601846" w:rsidP="00601846">
            <w:pPr>
              <w:pStyle w:val="ListParagraph"/>
              <w:numPr>
                <w:ilvl w:val="0"/>
                <w:numId w:val="4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Low-volume rural/regional community mental health</w:t>
            </w:r>
          </w:p>
          <w:p w14:paraId="6F8A7DE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Residential mental health</w:t>
            </w:r>
          </w:p>
          <w:p w14:paraId="2F0E08B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Forensic community mental health</w:t>
            </w:r>
          </w:p>
          <w:p w14:paraId="48718563"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High-cost specialised therapies</w:t>
            </w:r>
          </w:p>
          <w:p w14:paraId="4616FB2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Non-admitted home ventilation</w:t>
            </w:r>
          </w:p>
          <w:p w14:paraId="7AAF1A3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NHRA Clause A17 services (e.g. family planning, AOD adult continuing care)</w:t>
            </w:r>
          </w:p>
          <w:p w14:paraId="2A8D3ED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Victorian Respiratory Support Service</w:t>
            </w:r>
          </w:p>
          <w:p w14:paraId="07AFB092"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Victorian Virtual Emergency Department (in scope portion)</w:t>
            </w:r>
          </w:p>
          <w:p w14:paraId="7A157FF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Families where a Parent has a Mental illness statewide program</w:t>
            </w:r>
          </w:p>
        </w:tc>
        <w:tc>
          <w:tcPr>
            <w:tcW w:w="594" w:type="pct"/>
          </w:tcPr>
          <w:p w14:paraId="25DA358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Ineligible patients (Medicare ineligible, or non-residents not exempt from fees)</w:t>
            </w:r>
          </w:p>
          <w:p w14:paraId="3F43D142" w14:textId="77777777" w:rsidR="00601846" w:rsidRPr="00601846" w:rsidRDefault="00601846" w:rsidP="003A4CF3">
            <w:pPr>
              <w:pStyle w:val="ListParagraph"/>
              <w:ind w:left="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7BFB5A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Compensable patients (TAC, WorkSafe, DVA, Seamen, Armed Services, Common Law, Other)</w:t>
            </w:r>
          </w:p>
        </w:tc>
        <w:tc>
          <w:tcPr>
            <w:tcW w:w="594" w:type="pct"/>
          </w:tcPr>
          <w:p w14:paraId="00A9B2D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Community setting alcohol and other drug services</w:t>
            </w:r>
          </w:p>
          <w:p w14:paraId="093EF21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Community health</w:t>
            </w:r>
          </w:p>
          <w:p w14:paraId="4EDB471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Nationally Funded Centres</w:t>
            </w:r>
          </w:p>
          <w:p w14:paraId="4D42E25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MBS billed activity</w:t>
            </w:r>
          </w:p>
          <w:p w14:paraId="19F1B60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Co-located GP services</w:t>
            </w:r>
          </w:p>
          <w:p w14:paraId="68E16B5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Non-admitted radiotherapy</w:t>
            </w:r>
          </w:p>
          <w:p w14:paraId="2ADF839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Public sector residential aged care services</w:t>
            </w:r>
          </w:p>
          <w:p w14:paraId="5BC7AD9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Home and Community Care Program for Younger People</w:t>
            </w:r>
          </w:p>
          <w:p w14:paraId="165B581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Aged care assessments</w:t>
            </w:r>
          </w:p>
          <w:p w14:paraId="49503DB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Transition Care Program</w:t>
            </w:r>
          </w:p>
        </w:tc>
        <w:tc>
          <w:tcPr>
            <w:tcW w:w="593" w:type="pct"/>
          </w:tcPr>
          <w:p w14:paraId="265C152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Campuses not designated nationally as ABF or block funded hospitals</w:t>
            </w:r>
          </w:p>
          <w:p w14:paraId="35A56A0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Contracted activities reported by the service provider, where payment is made to the purchasing hospital</w:t>
            </w:r>
          </w:p>
          <w:p w14:paraId="25E1E3C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Emergency presentation reported during admission</w:t>
            </w:r>
          </w:p>
          <w:p w14:paraId="65EC9446"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 xml:space="preserve">Telehealth services funded by other sources </w:t>
            </w:r>
          </w:p>
          <w:p w14:paraId="40011DB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Residential drug services</w:t>
            </w:r>
          </w:p>
          <w:p w14:paraId="05DED37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Home and community care</w:t>
            </w:r>
          </w:p>
          <w:p w14:paraId="50638D7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Primary health care</w:t>
            </w:r>
          </w:p>
          <w:p w14:paraId="163602A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Specified mental health community support services</w:t>
            </w:r>
          </w:p>
        </w:tc>
      </w:tr>
      <w:tr w:rsidR="00601846" w:rsidRPr="00601846" w14:paraId="40C6EFCE"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517D7FCC" w14:textId="77777777" w:rsidR="00601846" w:rsidRPr="00601846" w:rsidRDefault="00601846" w:rsidP="003A4CF3">
            <w:pPr>
              <w:rPr>
                <w:rFonts w:cs="Arial"/>
                <w:sz w:val="18"/>
                <w:szCs w:val="18"/>
              </w:rPr>
            </w:pPr>
            <w:r w:rsidRPr="00601846">
              <w:rPr>
                <w:rFonts w:cs="Arial"/>
                <w:sz w:val="18"/>
                <w:szCs w:val="18"/>
              </w:rPr>
              <w:lastRenderedPageBreak/>
              <w:t>Summary of exclusions</w:t>
            </w:r>
          </w:p>
        </w:tc>
        <w:tc>
          <w:tcPr>
            <w:tcW w:w="958" w:type="pct"/>
          </w:tcPr>
          <w:p w14:paraId="569C871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Lithotripsy not delivered by specified health services</w:t>
            </w:r>
          </w:p>
          <w:p w14:paraId="4DF6FF8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Block funded activity</w:t>
            </w:r>
          </w:p>
          <w:p w14:paraId="17B5C226"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Palliative care - community and consultancy</w:t>
            </w:r>
          </w:p>
          <w:p w14:paraId="32E5F90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Compensable activity (i.e. TAC, WorkSafe, DVA) </w:t>
            </w:r>
          </w:p>
          <w:p w14:paraId="3B90725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Virtual Emergency Department services</w:t>
            </w:r>
          </w:p>
          <w:p w14:paraId="2F7F4EC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Posthumous organ retrieval (bundled in transplant DRGs)</w:t>
            </w:r>
          </w:p>
          <w:p w14:paraId="41FE9DC2"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Nationally Funded Centres activity</w:t>
            </w:r>
          </w:p>
          <w:p w14:paraId="5FF6F76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Early Parenting Centre activity</w:t>
            </w:r>
          </w:p>
          <w:p w14:paraId="207E727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Nursing home type admission</w:t>
            </w:r>
          </w:p>
          <w:p w14:paraId="2DFA8B6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ECT at Royal Melbourne (hub &amp; spoke model)</w:t>
            </w:r>
          </w:p>
          <w:p w14:paraId="7FC313D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Unqualified newborns (bundled with mother’s care)</w:t>
            </w:r>
          </w:p>
          <w:p w14:paraId="79DDBB2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Family Choice</w:t>
            </w:r>
          </w:p>
          <w:p w14:paraId="4A61DE73"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Genetics Melbourne </w:t>
            </w:r>
          </w:p>
          <w:p w14:paraId="279FB16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Non-admitted palliative care &amp; consultancy</w:t>
            </w:r>
          </w:p>
          <w:p w14:paraId="34667FA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Transition care program</w:t>
            </w:r>
          </w:p>
          <w:p w14:paraId="5B3C40CC"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Victorian Respiratory Support Service</w:t>
            </w:r>
          </w:p>
        </w:tc>
        <w:tc>
          <w:tcPr>
            <w:tcW w:w="593" w:type="pct"/>
          </w:tcPr>
          <w:p w14:paraId="318EBA1C"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4B86A282"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07152302"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Services funded by MBS, PBS</w:t>
            </w:r>
          </w:p>
          <w:p w14:paraId="50ECA5A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Nursing home type care </w:t>
            </w:r>
          </w:p>
        </w:tc>
        <w:tc>
          <w:tcPr>
            <w:tcW w:w="594" w:type="pct"/>
          </w:tcPr>
          <w:p w14:paraId="219C75D4"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0A60FE4A"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3" w:type="pct"/>
          </w:tcPr>
          <w:p w14:paraId="4608202B"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799D653" w14:textId="77777777" w:rsidR="0076412B" w:rsidRDefault="00B77B5A">
      <w:pPr>
        <w:spacing w:after="0" w:line="240" w:lineRule="auto"/>
        <w:rPr>
          <w:highlight w:val="yellow"/>
        </w:rPr>
        <w:sectPr w:rsidR="0076412B" w:rsidSect="0076412B">
          <w:pgSz w:w="16838" w:h="11906" w:orient="landscape" w:code="9"/>
          <w:pgMar w:top="1304" w:right="1418" w:bottom="1304" w:left="1134" w:header="680" w:footer="567" w:gutter="0"/>
          <w:cols w:space="340"/>
          <w:docGrid w:linePitch="360"/>
        </w:sectPr>
      </w:pPr>
      <w:r>
        <w:rPr>
          <w:highlight w:val="yellow"/>
        </w:rPr>
        <w:br w:type="page"/>
      </w:r>
    </w:p>
    <w:p w14:paraId="77A72EDA" w14:textId="124C78B7" w:rsidR="005B699B" w:rsidRDefault="00B34B9B" w:rsidP="00B718DB">
      <w:pPr>
        <w:pStyle w:val="Heading1"/>
        <w:numPr>
          <w:ilvl w:val="0"/>
          <w:numId w:val="12"/>
        </w:numPr>
        <w:ind w:left="709" w:hanging="709"/>
      </w:pPr>
      <w:bookmarkStart w:id="1534" w:name="_Ref199409125"/>
      <w:bookmarkStart w:id="1535" w:name="_Ref199409143"/>
      <w:bookmarkStart w:id="1536" w:name="_Ref199409157"/>
      <w:bookmarkStart w:id="1537" w:name="_Toc201148208"/>
      <w:r>
        <w:lastRenderedPageBreak/>
        <w:t>Victorian p</w:t>
      </w:r>
      <w:r w:rsidR="005B699B" w:rsidRPr="00354BBB">
        <w:t>ricing</w:t>
      </w:r>
      <w:r w:rsidR="005B699B">
        <w:t xml:space="preserve"> </w:t>
      </w:r>
      <w:r w:rsidR="005B699B" w:rsidRPr="005F1F48">
        <w:t>framework</w:t>
      </w:r>
      <w:r w:rsidR="005B699B">
        <w:t xml:space="preserve"> for activity-based funded health services</w:t>
      </w:r>
      <w:bookmarkEnd w:id="1526"/>
      <w:bookmarkEnd w:id="1534"/>
      <w:bookmarkEnd w:id="1535"/>
      <w:bookmarkEnd w:id="1536"/>
      <w:bookmarkEnd w:id="1537"/>
    </w:p>
    <w:p w14:paraId="0B680B84" w14:textId="3AE4E5E1" w:rsidR="00D64449" w:rsidRDefault="006F5546" w:rsidP="005B699B">
      <w:pPr>
        <w:pStyle w:val="Body"/>
      </w:pPr>
      <w:r w:rsidRPr="006F5546">
        <w:t xml:space="preserve">The </w:t>
      </w:r>
      <w:r w:rsidR="004E4E92">
        <w:t>Victorian p</w:t>
      </w:r>
      <w:r w:rsidRPr="006F5546">
        <w:t>ricing framework for activity-based funded (ABF) health services (the Victorian ABF pricing framework) governs the annual process for setting the Victorian efficient price (VEP)</w:t>
      </w:r>
      <w:r w:rsidR="00D64449">
        <w:t>. This includes</w:t>
      </w:r>
      <w:r w:rsidRPr="006F5546">
        <w:t xml:space="preserve"> the parameters for pricing adjustments for activity funded on the basis of the NWAU.</w:t>
      </w:r>
    </w:p>
    <w:p w14:paraId="3242D896" w14:textId="17986C97" w:rsidR="006F5546" w:rsidRPr="00A52705" w:rsidRDefault="006F5546" w:rsidP="005B699B">
      <w:pPr>
        <w:pStyle w:val="Body"/>
      </w:pPr>
      <w:r w:rsidRPr="006F5546">
        <w:t>The Victorian ABF pricing framework only applies to public health service entities that are in</w:t>
      </w:r>
      <w:r w:rsidR="00BC1E7E">
        <w:t xml:space="preserve"> </w:t>
      </w:r>
      <w:r w:rsidRPr="006F5546">
        <w:t xml:space="preserve">scope for activity-based funding, as defined by the </w:t>
      </w:r>
      <w:r w:rsidR="00F65356">
        <w:t>NHRA.</w:t>
      </w:r>
      <w:r w:rsidR="006E4744">
        <w:t xml:space="preserve"> (</w:t>
      </w:r>
      <w:r w:rsidR="008F6DD0">
        <w:rPr>
          <w:highlight w:val="yellow"/>
        </w:rPr>
        <w:fldChar w:fldCharType="begin"/>
      </w:r>
      <w:r w:rsidR="008F6DD0">
        <w:instrText xml:space="preserve"> REF _Ref170115610 \h </w:instrText>
      </w:r>
      <w:r w:rsidR="008F6DD0">
        <w:rPr>
          <w:highlight w:val="yellow"/>
        </w:rPr>
      </w:r>
      <w:r w:rsidR="008F6DD0">
        <w:rPr>
          <w:highlight w:val="yellow"/>
        </w:rPr>
        <w:fldChar w:fldCharType="separate"/>
      </w:r>
      <w:r w:rsidR="007D262B" w:rsidRPr="00A97999">
        <w:t xml:space="preserve">Table </w:t>
      </w:r>
      <w:r w:rsidR="007D262B">
        <w:t>1</w:t>
      </w:r>
      <w:r w:rsidR="007D262B" w:rsidRPr="00A97999">
        <w:t>.</w:t>
      </w:r>
      <w:r w:rsidR="007D262B">
        <w:rPr>
          <w:noProof/>
        </w:rPr>
        <w:t>22</w:t>
      </w:r>
      <w:r w:rsidR="007D262B" w:rsidRPr="00377487">
        <w:t>: Price groups for NWAU purposes</w:t>
      </w:r>
      <w:r w:rsidR="008F6DD0">
        <w:rPr>
          <w:highlight w:val="yellow"/>
        </w:rPr>
        <w:fldChar w:fldCharType="end"/>
      </w:r>
      <w:r w:rsidR="00D64449">
        <w:t>.</w:t>
      </w:r>
      <w:r w:rsidR="006E4744">
        <w:t>)</w:t>
      </w:r>
    </w:p>
    <w:p w14:paraId="0C39972B" w14:textId="79162725" w:rsidR="00E2119F" w:rsidRDefault="005B699B" w:rsidP="005B699B">
      <w:pPr>
        <w:pStyle w:val="Body"/>
      </w:pPr>
      <w:r w:rsidRPr="00A52705">
        <w:t xml:space="preserve">The </w:t>
      </w:r>
      <w:r w:rsidR="00194EBB">
        <w:t>Victorian</w:t>
      </w:r>
      <w:r w:rsidRPr="00A52705">
        <w:t xml:space="preserve"> </w:t>
      </w:r>
      <w:r w:rsidR="004A40BC">
        <w:t xml:space="preserve">ABF </w:t>
      </w:r>
      <w:r w:rsidR="00191679">
        <w:t>p</w:t>
      </w:r>
      <w:r w:rsidR="00191679" w:rsidRPr="00A52705">
        <w:t xml:space="preserve">ricing </w:t>
      </w:r>
      <w:r w:rsidR="00191679">
        <w:t>f</w:t>
      </w:r>
      <w:r w:rsidR="00191679" w:rsidRPr="00A52705">
        <w:t xml:space="preserve">ramework </w:t>
      </w:r>
      <w:r w:rsidRPr="00A52705">
        <w:t>outline</w:t>
      </w:r>
      <w:r>
        <w:t>s</w:t>
      </w:r>
      <w:r w:rsidRPr="00A52705">
        <w:t xml:space="preserve"> the policy settings </w:t>
      </w:r>
      <w:r w:rsidR="00D64449">
        <w:t>to achieve</w:t>
      </w:r>
      <w:r w:rsidRPr="00A52705">
        <w:t xml:space="preserve"> efficient and sustainable hospital care</w:t>
      </w:r>
      <w:r w:rsidR="00191679">
        <w:t>. It</w:t>
      </w:r>
      <w:r w:rsidR="00191679" w:rsidRPr="00A52705">
        <w:t xml:space="preserve"> </w:t>
      </w:r>
      <w:r w:rsidRPr="00A52705">
        <w:t>promot</w:t>
      </w:r>
      <w:r w:rsidR="00191679">
        <w:t>es</w:t>
      </w:r>
      <w:r w:rsidRPr="00A52705">
        <w:t xml:space="preserve"> </w:t>
      </w:r>
      <w:r w:rsidR="00191679">
        <w:t xml:space="preserve">simplicity, transparency and </w:t>
      </w:r>
      <w:r w:rsidRPr="00A52705">
        <w:t>cost neutrality for the state wherever</w:t>
      </w:r>
      <w:r w:rsidR="00191679">
        <w:t xml:space="preserve"> possible</w:t>
      </w:r>
      <w:r w:rsidRPr="00A52705">
        <w:t>.</w:t>
      </w:r>
    </w:p>
    <w:p w14:paraId="72E9BC40" w14:textId="25A336CD" w:rsidR="005B699B" w:rsidRPr="00A52705" w:rsidRDefault="00191679" w:rsidP="005B699B">
      <w:pPr>
        <w:pStyle w:val="Body"/>
      </w:pPr>
      <w:r>
        <w:t>It</w:t>
      </w:r>
      <w:r w:rsidRPr="00A52705">
        <w:t xml:space="preserve"> </w:t>
      </w:r>
      <w:r w:rsidR="00E2119F">
        <w:t xml:space="preserve">also </w:t>
      </w:r>
      <w:r>
        <w:t>provides</w:t>
      </w:r>
      <w:r w:rsidR="005B699B" w:rsidRPr="00A52705">
        <w:t xml:space="preserve"> a strong price signal</w:t>
      </w:r>
      <w:r>
        <w:t xml:space="preserve"> that</w:t>
      </w:r>
      <w:r w:rsidR="005B699B" w:rsidRPr="00A52705">
        <w:t xml:space="preserve"> </w:t>
      </w:r>
      <w:r w:rsidR="00E2119F">
        <w:t xml:space="preserve">allows </w:t>
      </w:r>
      <w:r w:rsidR="005B699B" w:rsidRPr="00A52705">
        <w:t xml:space="preserve">health services to align their activities with the efficient cost per NWAU as standard practice. The </w:t>
      </w:r>
      <w:r w:rsidR="00194EBB">
        <w:t>Victorian</w:t>
      </w:r>
      <w:r w:rsidR="005B699B" w:rsidRPr="00A52705">
        <w:t xml:space="preserve"> </w:t>
      </w:r>
      <w:r w:rsidR="00074D5D">
        <w:t xml:space="preserve">ABF </w:t>
      </w:r>
      <w:r>
        <w:t>p</w:t>
      </w:r>
      <w:r w:rsidRPr="00A52705">
        <w:t xml:space="preserve">ricing </w:t>
      </w:r>
      <w:r>
        <w:t>f</w:t>
      </w:r>
      <w:r w:rsidRPr="00A52705">
        <w:t xml:space="preserve">ramework </w:t>
      </w:r>
      <w:r w:rsidR="005B699B" w:rsidRPr="00A52705">
        <w:t>support</w:t>
      </w:r>
      <w:r>
        <w:t>s</w:t>
      </w:r>
      <w:r w:rsidR="005B699B" w:rsidRPr="00A52705">
        <w:t xml:space="preserve"> </w:t>
      </w:r>
      <w:r w:rsidR="005B699B" w:rsidRPr="00A52705" w:rsidDel="00191679">
        <w:t xml:space="preserve">the setting of </w:t>
      </w:r>
      <w:r w:rsidR="005B699B" w:rsidRPr="00A52705">
        <w:t xml:space="preserve">achievable </w:t>
      </w:r>
      <w:r w:rsidR="00962218">
        <w:t xml:space="preserve">NWAU </w:t>
      </w:r>
      <w:r w:rsidR="005B699B" w:rsidRPr="00A52705">
        <w:t xml:space="preserve">activity targets, as well as setting out policy expectations and norms around cost recovery for health care services. </w:t>
      </w:r>
    </w:p>
    <w:p w14:paraId="0BE7D9CA" w14:textId="6857144B" w:rsidR="005B699B" w:rsidRPr="000D7507" w:rsidRDefault="00194EBB" w:rsidP="00B448AC">
      <w:pPr>
        <w:pStyle w:val="Heading2"/>
        <w:numPr>
          <w:ilvl w:val="1"/>
          <w:numId w:val="12"/>
        </w:numPr>
        <w:ind w:left="709" w:hanging="709"/>
      </w:pPr>
      <w:bookmarkStart w:id="1538" w:name="_Toc165961790"/>
      <w:bookmarkStart w:id="1539" w:name="_Toc201148209"/>
      <w:r>
        <w:t xml:space="preserve">Victorian </w:t>
      </w:r>
      <w:r w:rsidR="009766B2">
        <w:t>ABF p</w:t>
      </w:r>
      <w:r w:rsidR="005B699B" w:rsidRPr="00481585">
        <w:t>ricing</w:t>
      </w:r>
      <w:r w:rsidR="005B699B" w:rsidRPr="000D7507">
        <w:t xml:space="preserve"> </w:t>
      </w:r>
      <w:r w:rsidR="00191679">
        <w:t>f</w:t>
      </w:r>
      <w:r w:rsidR="00191679" w:rsidRPr="00191679">
        <w:t>ramework</w:t>
      </w:r>
      <w:r w:rsidR="00191679" w:rsidRPr="000D7507">
        <w:t xml:space="preserve"> </w:t>
      </w:r>
      <w:r w:rsidR="005B699B" w:rsidRPr="00586155">
        <w:t>principles</w:t>
      </w:r>
      <w:bookmarkEnd w:id="1538"/>
      <w:bookmarkEnd w:id="1539"/>
    </w:p>
    <w:p w14:paraId="589ADB7F" w14:textId="77777777" w:rsidR="005B699B" w:rsidRPr="00A52705" w:rsidRDefault="005B699B" w:rsidP="005B699B">
      <w:pPr>
        <w:pStyle w:val="Body"/>
      </w:pPr>
      <w:r w:rsidRPr="00A52705">
        <w:t>The principles to determine the setting of the VEP are to:</w:t>
      </w:r>
    </w:p>
    <w:p w14:paraId="47E36B0E" w14:textId="26227BE9" w:rsidR="005B699B" w:rsidRPr="00A52705" w:rsidRDefault="00481585" w:rsidP="004537E5">
      <w:pPr>
        <w:pStyle w:val="Bullet1"/>
        <w:numPr>
          <w:ilvl w:val="0"/>
          <w:numId w:val="15"/>
        </w:numPr>
      </w:pPr>
      <w:r>
        <w:t>s</w:t>
      </w:r>
      <w:r w:rsidR="005B699B" w:rsidRPr="00A52705">
        <w:t>end a meaningful price signal to health services by ensuring</w:t>
      </w:r>
      <w:r w:rsidR="00D64449">
        <w:t xml:space="preserve"> –</w:t>
      </w:r>
    </w:p>
    <w:p w14:paraId="7A8EE2B5" w14:textId="77777777" w:rsidR="005B699B" w:rsidRPr="00A52705" w:rsidRDefault="005B699B" w:rsidP="001016A2">
      <w:pPr>
        <w:pStyle w:val="Bullet2"/>
      </w:pPr>
      <w:r>
        <w:t>a</w:t>
      </w:r>
      <w:r w:rsidRPr="00A52705">
        <w:t xml:space="preserve">ll health services within a peer group are funded at the same </w:t>
      </w:r>
      <w:r w:rsidRPr="001016A2">
        <w:t>price</w:t>
      </w:r>
    </w:p>
    <w:p w14:paraId="569C25CD" w14:textId="77777777" w:rsidR="005B699B" w:rsidRPr="00A52705" w:rsidRDefault="005B699B" w:rsidP="001016A2">
      <w:pPr>
        <w:pStyle w:val="Bullet2"/>
      </w:pPr>
      <w:r>
        <w:t>a</w:t>
      </w:r>
      <w:r w:rsidRPr="00A52705">
        <w:t>ll activity within a health service is funded at the same price</w:t>
      </w:r>
    </w:p>
    <w:p w14:paraId="3F630077" w14:textId="71FAB8E6" w:rsidR="005B699B" w:rsidRPr="00A52705" w:rsidRDefault="005B699B" w:rsidP="001016A2">
      <w:pPr>
        <w:pStyle w:val="Bullet2"/>
      </w:pPr>
      <w:r>
        <w:t>p</w:t>
      </w:r>
      <w:r w:rsidRPr="00A52705">
        <w:t>rice reflects a reasonable cost for service delivery</w:t>
      </w:r>
    </w:p>
    <w:p w14:paraId="5415AAA6" w14:textId="2693F3C6" w:rsidR="005B699B" w:rsidRPr="00A52705" w:rsidRDefault="005B699B" w:rsidP="001016A2">
      <w:pPr>
        <w:pStyle w:val="Bullet2"/>
      </w:pPr>
      <w:r w:rsidRPr="00A52705">
        <w:t>price takes into account health services’ capacity to raise own-source revenue</w:t>
      </w:r>
    </w:p>
    <w:p w14:paraId="5E407ED7" w14:textId="13F863C0" w:rsidR="005B699B" w:rsidRPr="00A52705" w:rsidRDefault="00481585" w:rsidP="004537E5">
      <w:pPr>
        <w:pStyle w:val="Bullet1"/>
        <w:numPr>
          <w:ilvl w:val="0"/>
          <w:numId w:val="16"/>
        </w:numPr>
      </w:pPr>
      <w:r>
        <w:t>s</w:t>
      </w:r>
      <w:r w:rsidR="005B699B" w:rsidRPr="00A52705">
        <w:t>upport activity targets that are achievable and affordable by setting</w:t>
      </w:r>
      <w:r w:rsidR="00D64449">
        <w:t xml:space="preserve"> –</w:t>
      </w:r>
    </w:p>
    <w:p w14:paraId="6B4EE475" w14:textId="77777777" w:rsidR="005B699B" w:rsidRPr="00A52705" w:rsidRDefault="005B699B" w:rsidP="001016A2">
      <w:pPr>
        <w:pStyle w:val="Bullet2"/>
      </w:pPr>
      <w:r>
        <w:t>a</w:t>
      </w:r>
      <w:r w:rsidRPr="00A52705">
        <w:t>ctivity targets that reflect an entity’s total funding, capacity to deliver and mix of service levels</w:t>
      </w:r>
    </w:p>
    <w:p w14:paraId="4C9F3AFD" w14:textId="1AE273FA" w:rsidR="005B699B" w:rsidRPr="00A52705" w:rsidRDefault="005B699B" w:rsidP="001016A2">
      <w:pPr>
        <w:pStyle w:val="Bullet2"/>
      </w:pPr>
      <w:r>
        <w:t>p</w:t>
      </w:r>
      <w:r w:rsidRPr="00A52705">
        <w:t xml:space="preserve">rovide health services with greater certainty around the VEP, by providing a clear process for annual </w:t>
      </w:r>
      <w:r>
        <w:t>change</w:t>
      </w:r>
    </w:p>
    <w:p w14:paraId="13A6D7B3" w14:textId="3B1788E1" w:rsidR="005B699B" w:rsidRPr="00A52705" w:rsidRDefault="00481585" w:rsidP="004537E5">
      <w:pPr>
        <w:pStyle w:val="Bullet1"/>
        <w:numPr>
          <w:ilvl w:val="0"/>
          <w:numId w:val="16"/>
        </w:numPr>
      </w:pPr>
      <w:r>
        <w:t>e</w:t>
      </w:r>
      <w:r w:rsidR="005B699B" w:rsidRPr="00A52705">
        <w:t>nsure transparency and administrative ease by making</w:t>
      </w:r>
      <w:r w:rsidR="00D64449">
        <w:t xml:space="preserve"> –</w:t>
      </w:r>
    </w:p>
    <w:p w14:paraId="02ADB510" w14:textId="77777777" w:rsidR="005B699B" w:rsidRPr="00A52705" w:rsidRDefault="005B699B" w:rsidP="001016A2">
      <w:pPr>
        <w:pStyle w:val="Bullet2"/>
      </w:pPr>
      <w:r>
        <w:t>p</w:t>
      </w:r>
      <w:r w:rsidRPr="00A52705">
        <w:t>rice setting transparent and easy to understand</w:t>
      </w:r>
    </w:p>
    <w:p w14:paraId="5D07E1C8" w14:textId="77777777" w:rsidR="005B699B" w:rsidRPr="00A52705" w:rsidRDefault="005B699B" w:rsidP="001016A2">
      <w:pPr>
        <w:pStyle w:val="Bullet2"/>
      </w:pPr>
      <w:r>
        <w:t>price a</w:t>
      </w:r>
      <w:r w:rsidRPr="00A52705">
        <w:t>djustments simple to understand and administer.</w:t>
      </w:r>
    </w:p>
    <w:p w14:paraId="3D3D7AD5" w14:textId="77777777" w:rsidR="006C3902" w:rsidRDefault="005B699B" w:rsidP="00481585">
      <w:pPr>
        <w:pStyle w:val="Bodyafterbullets"/>
      </w:pPr>
      <w:r>
        <w:t xml:space="preserve">Localised price </w:t>
      </w:r>
      <w:r w:rsidRPr="00481585">
        <w:t>adjustments</w:t>
      </w:r>
      <w:r>
        <w:t xml:space="preserve"> will </w:t>
      </w:r>
      <w:r w:rsidR="00E2119F">
        <w:t xml:space="preserve">complement </w:t>
      </w:r>
      <w:r w:rsidR="00106931">
        <w:t xml:space="preserve">NWAU </w:t>
      </w:r>
      <w:r w:rsidR="0086045A">
        <w:t>activity-based funding</w:t>
      </w:r>
      <w:r>
        <w:t xml:space="preserve"> where necessary</w:t>
      </w:r>
      <w:r w:rsidR="00E2119F">
        <w:t>.</w:t>
      </w:r>
    </w:p>
    <w:p w14:paraId="126D8DA1" w14:textId="10EAE832" w:rsidR="005B699B" w:rsidRPr="00A52705" w:rsidRDefault="00E2119F" w:rsidP="00481585">
      <w:pPr>
        <w:pStyle w:val="Bodyafterbullets"/>
      </w:pPr>
      <w:r>
        <w:t>This</w:t>
      </w:r>
      <w:r w:rsidR="005B699B" w:rsidRPr="00A52705">
        <w:t xml:space="preserve"> </w:t>
      </w:r>
      <w:r w:rsidR="005B699B">
        <w:t>e</w:t>
      </w:r>
      <w:r w:rsidR="005B699B" w:rsidRPr="00A52705">
        <w:t>nsure</w:t>
      </w:r>
      <w:r>
        <w:t>s</w:t>
      </w:r>
      <w:r w:rsidR="005B699B" w:rsidRPr="00A52705">
        <w:t xml:space="preserve"> the viability of health services</w:t>
      </w:r>
      <w:r>
        <w:t>’</w:t>
      </w:r>
      <w:r w:rsidR="005B699B" w:rsidRPr="00A52705">
        <w:t xml:space="preserve"> </w:t>
      </w:r>
      <w:r>
        <w:t>care delivery,</w:t>
      </w:r>
      <w:r w:rsidR="005B699B" w:rsidRPr="00A52705">
        <w:t xml:space="preserve"> in line with the policies of </w:t>
      </w:r>
      <w:r w:rsidR="00586155">
        <w:t>the g</w:t>
      </w:r>
      <w:r w:rsidR="00586155" w:rsidRPr="00A52705">
        <w:t xml:space="preserve">overnment </w:t>
      </w:r>
      <w:r w:rsidR="005B699B" w:rsidRPr="00A52705">
        <w:t>and the department. In doing this, consideration will be given to the:</w:t>
      </w:r>
    </w:p>
    <w:p w14:paraId="0FDF070C" w14:textId="77777777" w:rsidR="005B699B" w:rsidRPr="00C15D52" w:rsidRDefault="005B699B" w:rsidP="00C15D52">
      <w:pPr>
        <w:pStyle w:val="Bullet1"/>
      </w:pPr>
      <w:r w:rsidRPr="00C15D52">
        <w:t>criteria used to determine price adjustments, ensuring that they reflect the design of the Victorian health system</w:t>
      </w:r>
    </w:p>
    <w:p w14:paraId="7A1E1B9E" w14:textId="77777777" w:rsidR="005B699B" w:rsidRPr="00C15D52" w:rsidRDefault="005B699B" w:rsidP="00C15D52">
      <w:pPr>
        <w:pStyle w:val="Bullet1"/>
      </w:pPr>
      <w:r w:rsidRPr="00C15D52">
        <w:t>flexibility needed to provide appropriate incentives for health services to commission new services and respond to strategic priorities</w:t>
      </w:r>
    </w:p>
    <w:p w14:paraId="70166871" w14:textId="6CF9679D" w:rsidR="005B699B" w:rsidRPr="00C15D52" w:rsidRDefault="005B699B" w:rsidP="00C15D52">
      <w:pPr>
        <w:pStyle w:val="Bullet1"/>
      </w:pPr>
      <w:r w:rsidRPr="00C15D52">
        <w:t>objective of driving health services towards an efficient cost of service delivery.</w:t>
      </w:r>
    </w:p>
    <w:p w14:paraId="26B1B468" w14:textId="1C152B13" w:rsidR="005B699B" w:rsidRPr="00586155" w:rsidRDefault="00194EBB" w:rsidP="00B448AC">
      <w:pPr>
        <w:pStyle w:val="Heading2"/>
        <w:numPr>
          <w:ilvl w:val="1"/>
          <w:numId w:val="12"/>
        </w:numPr>
        <w:ind w:left="709" w:hanging="709"/>
      </w:pPr>
      <w:bookmarkStart w:id="1540" w:name="_Toc165961791"/>
      <w:bookmarkStart w:id="1541" w:name="_Toc201148210"/>
      <w:r>
        <w:lastRenderedPageBreak/>
        <w:t xml:space="preserve">Victorian </w:t>
      </w:r>
      <w:r w:rsidR="00A20630">
        <w:t>ABF p</w:t>
      </w:r>
      <w:r w:rsidR="005B699B" w:rsidRPr="000D7507">
        <w:t xml:space="preserve">ricing </w:t>
      </w:r>
      <w:r w:rsidR="00773E5A">
        <w:t>f</w:t>
      </w:r>
      <w:r w:rsidR="00773E5A" w:rsidRPr="000D7507">
        <w:t xml:space="preserve">ramework </w:t>
      </w:r>
      <w:r w:rsidR="005B699B" w:rsidRPr="00586155">
        <w:t>scope</w:t>
      </w:r>
      <w:bookmarkEnd w:id="1540"/>
      <w:bookmarkEnd w:id="1541"/>
    </w:p>
    <w:p w14:paraId="0A62CF47" w14:textId="7F27369F" w:rsidR="005B699B" w:rsidRPr="00A52705" w:rsidRDefault="005B699B" w:rsidP="005B699B">
      <w:pPr>
        <w:pStyle w:val="Body"/>
      </w:pPr>
      <w:r w:rsidRPr="00A52705">
        <w:t xml:space="preserve">The </w:t>
      </w:r>
      <w:r w:rsidR="00194EBB">
        <w:t>Victorian</w:t>
      </w:r>
      <w:r w:rsidRPr="00A52705">
        <w:t xml:space="preserve"> </w:t>
      </w:r>
      <w:r w:rsidR="00A20630">
        <w:t xml:space="preserve">ABF </w:t>
      </w:r>
      <w:r w:rsidR="00773E5A">
        <w:t>p</w:t>
      </w:r>
      <w:r w:rsidR="00773E5A" w:rsidRPr="00A52705">
        <w:t xml:space="preserve">ricing </w:t>
      </w:r>
      <w:r w:rsidR="00773E5A">
        <w:t>f</w:t>
      </w:r>
      <w:r w:rsidR="00773E5A" w:rsidRPr="00A52705">
        <w:t xml:space="preserve">ramework </w:t>
      </w:r>
      <w:r w:rsidR="00773E5A">
        <w:t>governs</w:t>
      </w:r>
      <w:r w:rsidRPr="00A52705">
        <w:t xml:space="preserve"> the following elements of the Victorian funding model for public hospital services that are in-scope for </w:t>
      </w:r>
      <w:r w:rsidDel="00BB57CB">
        <w:t>activity-based funding</w:t>
      </w:r>
      <w:r w:rsidRPr="00A52705" w:rsidDel="00BB57CB">
        <w:t xml:space="preserve"> </w:t>
      </w:r>
      <w:r w:rsidRPr="00A52705">
        <w:t>as defined by the NHRA:</w:t>
      </w:r>
    </w:p>
    <w:p w14:paraId="0BB693F0" w14:textId="7E29DDF5" w:rsidR="005B699B" w:rsidRPr="00A52705" w:rsidRDefault="005B699B" w:rsidP="004537E5">
      <w:pPr>
        <w:pStyle w:val="Bullet1"/>
        <w:numPr>
          <w:ilvl w:val="0"/>
          <w:numId w:val="17"/>
        </w:numPr>
      </w:pPr>
      <w:r w:rsidRPr="00A52705">
        <w:t>price setting for the VEP (the price paid per NWAU by Victoria)</w:t>
      </w:r>
    </w:p>
    <w:p w14:paraId="76561A0D" w14:textId="3C3C04D8" w:rsidR="005B699B" w:rsidRPr="00A52705" w:rsidRDefault="005B699B" w:rsidP="004537E5">
      <w:pPr>
        <w:pStyle w:val="Bullet1"/>
        <w:numPr>
          <w:ilvl w:val="0"/>
          <w:numId w:val="17"/>
        </w:numPr>
      </w:pPr>
      <w:r>
        <w:t>localised price a</w:t>
      </w:r>
      <w:r w:rsidRPr="00A52705">
        <w:t xml:space="preserve">djustments to adjunct the </w:t>
      </w:r>
      <w:r w:rsidDel="00BB57CB">
        <w:t>activity-based funding</w:t>
      </w:r>
      <w:r w:rsidRPr="00A52705" w:rsidDel="00BB57CB">
        <w:t xml:space="preserve"> </w:t>
      </w:r>
      <w:r w:rsidRPr="00A52705">
        <w:t>model.</w:t>
      </w:r>
    </w:p>
    <w:p w14:paraId="59A6E95A" w14:textId="764C3B96" w:rsidR="00E2453E" w:rsidRPr="00A52705" w:rsidRDefault="005B699B" w:rsidP="006F2DFB">
      <w:pPr>
        <w:pStyle w:val="Bodyafterbullets"/>
      </w:pPr>
      <w:r w:rsidRPr="00A52705">
        <w:t xml:space="preserve">The following elements of </w:t>
      </w:r>
      <w:r w:rsidRPr="00773E5A">
        <w:t>the</w:t>
      </w:r>
      <w:r w:rsidRPr="00A52705">
        <w:t xml:space="preserve"> funding model are out</w:t>
      </w:r>
      <w:r w:rsidR="00773E5A">
        <w:t xml:space="preserve"> </w:t>
      </w:r>
      <w:r w:rsidRPr="00A52705">
        <w:t xml:space="preserve">of-scope of the </w:t>
      </w:r>
      <w:r w:rsidR="00194EBB">
        <w:t xml:space="preserve">Victorian </w:t>
      </w:r>
      <w:r w:rsidR="00DB7DF2">
        <w:t xml:space="preserve">ABF </w:t>
      </w:r>
      <w:r w:rsidR="00773E5A">
        <w:t>p</w:t>
      </w:r>
      <w:r w:rsidR="00773E5A" w:rsidRPr="00A52705">
        <w:t xml:space="preserve">ricing </w:t>
      </w:r>
      <w:r w:rsidR="00773E5A">
        <w:t>f</w:t>
      </w:r>
      <w:r w:rsidR="00773E5A" w:rsidRPr="00A52705">
        <w:t>ramework</w:t>
      </w:r>
      <w:r w:rsidRPr="00A52705">
        <w:t>:</w:t>
      </w:r>
    </w:p>
    <w:p w14:paraId="6E332C66" w14:textId="6ABD28F5" w:rsidR="001C7AEB" w:rsidRDefault="00773E5A" w:rsidP="00C15D52">
      <w:pPr>
        <w:pStyle w:val="Bullet1"/>
      </w:pPr>
      <w:r>
        <w:t>p</w:t>
      </w:r>
      <w:r w:rsidRPr="00A52705">
        <w:t xml:space="preserve">rice </w:t>
      </w:r>
      <w:r w:rsidR="005B699B" w:rsidRPr="00A52705">
        <w:t xml:space="preserve">weights – price weights are set annually </w:t>
      </w:r>
      <w:r w:rsidR="00103E62">
        <w:t xml:space="preserve">by </w:t>
      </w:r>
      <w:r w:rsidR="005B699B" w:rsidRPr="00A52705">
        <w:t>IHACPA based on national data</w:t>
      </w:r>
    </w:p>
    <w:p w14:paraId="5C297AA1" w14:textId="5E368FB0" w:rsidR="005B699B" w:rsidRPr="00A52705" w:rsidRDefault="00773E5A" w:rsidP="00C15D52">
      <w:pPr>
        <w:pStyle w:val="Bullet1"/>
      </w:pPr>
      <w:r>
        <w:t>t</w:t>
      </w:r>
      <w:r w:rsidRPr="00A52705">
        <w:t xml:space="preserve">otal </w:t>
      </w:r>
      <w:r w:rsidR="005B699B" w:rsidRPr="00A52705">
        <w:t>budget allocation – the overall budget envelope is set through the state appropriations and annual model budget</w:t>
      </w:r>
      <w:r w:rsidR="005B699B">
        <w:t xml:space="preserve"> and Statement of Priorities</w:t>
      </w:r>
      <w:r w:rsidR="005B699B" w:rsidRPr="00A52705">
        <w:t xml:space="preserve"> process</w:t>
      </w:r>
    </w:p>
    <w:p w14:paraId="3E5259D1" w14:textId="7A31104C" w:rsidR="005B699B" w:rsidRPr="00311753" w:rsidRDefault="00773E5A" w:rsidP="00C15D52">
      <w:pPr>
        <w:pStyle w:val="Bullet1"/>
      </w:pPr>
      <w:r>
        <w:t>b</w:t>
      </w:r>
      <w:r w:rsidRPr="00A52705">
        <w:t xml:space="preserve">lock </w:t>
      </w:r>
      <w:r w:rsidR="005B699B" w:rsidRPr="00A52705">
        <w:t>funding – services funded purely through block funding arrangements under the NHRA</w:t>
      </w:r>
    </w:p>
    <w:p w14:paraId="784C6CE8" w14:textId="69CAE27E" w:rsidR="005B699B" w:rsidRPr="002A5936" w:rsidRDefault="00773E5A" w:rsidP="00C15D52">
      <w:pPr>
        <w:pStyle w:val="Bullet1"/>
      </w:pPr>
      <w:r>
        <w:t>a</w:t>
      </w:r>
      <w:r w:rsidRPr="00A52705">
        <w:t xml:space="preserve">ny </w:t>
      </w:r>
      <w:r w:rsidR="005B699B" w:rsidRPr="00A52705">
        <w:t xml:space="preserve">activity </w:t>
      </w:r>
      <w:r>
        <w:t xml:space="preserve">that is </w:t>
      </w:r>
      <w:r w:rsidR="005B699B" w:rsidRPr="00A52705">
        <w:t>out</w:t>
      </w:r>
      <w:r>
        <w:t xml:space="preserve"> </w:t>
      </w:r>
      <w:r w:rsidR="005B699B" w:rsidRPr="00A52705">
        <w:t>of</w:t>
      </w:r>
      <w:r>
        <w:t xml:space="preserve"> </w:t>
      </w:r>
      <w:r w:rsidR="005B699B" w:rsidRPr="00A52705">
        <w:t xml:space="preserve">scope for </w:t>
      </w:r>
      <w:r w:rsidR="005B699B" w:rsidDel="00CE636F">
        <w:t>activity-based</w:t>
      </w:r>
      <w:r w:rsidR="005B699B" w:rsidRPr="00A52705" w:rsidDel="00CE636F">
        <w:t xml:space="preserve"> funding</w:t>
      </w:r>
      <w:r w:rsidR="005B699B" w:rsidRPr="00A52705">
        <w:t xml:space="preserve"> under the NHRA regardless of the funding arrangement in Victoria</w:t>
      </w:r>
    </w:p>
    <w:p w14:paraId="26FAF326" w14:textId="419022A3" w:rsidR="005B699B" w:rsidRDefault="00773E5A" w:rsidP="00C15D52">
      <w:pPr>
        <w:pStyle w:val="Bullet1"/>
      </w:pPr>
      <w:r>
        <w:t>a</w:t>
      </w:r>
      <w:r w:rsidRPr="00A52705">
        <w:t xml:space="preserve">ccountability </w:t>
      </w:r>
      <w:r w:rsidR="005B699B" w:rsidRPr="00A52705">
        <w:t>and performance mechanisms</w:t>
      </w:r>
    </w:p>
    <w:p w14:paraId="7ECE11D0" w14:textId="4E3B2F0C" w:rsidR="00EA66EF" w:rsidRDefault="00EA66EF" w:rsidP="00C15D52">
      <w:pPr>
        <w:pStyle w:val="Bullet1"/>
      </w:pPr>
      <w:r>
        <w:t>incentive payments made to health services to change behaviours – these payments are not governed by the cost recovery principle and therefore not governed by the Victorian ABF pricing framework</w:t>
      </w:r>
    </w:p>
    <w:p w14:paraId="2C3B8E19" w14:textId="43D91EC0" w:rsidR="00EA66EF" w:rsidRPr="00761F04" w:rsidRDefault="0041742A" w:rsidP="00C15D52">
      <w:pPr>
        <w:pStyle w:val="Bullet1"/>
      </w:pPr>
      <w:r w:rsidRPr="00761F04">
        <w:t>t</w:t>
      </w:r>
      <w:r w:rsidR="00EA66EF" w:rsidRPr="00761F04">
        <w:t>ransition grants – implemented in 2024–25, taking into consideration health services’ financial and service delivery needs with respect to a health service’s entire budget and expenditure profile, that is, beyond just ABF activities and therefore not governed by the Victorian ABF pricing framework.</w:t>
      </w:r>
    </w:p>
    <w:p w14:paraId="044EBDD1" w14:textId="036FE1A5" w:rsidR="005B699B" w:rsidRPr="00DD3464" w:rsidRDefault="005B699B" w:rsidP="00B448AC">
      <w:pPr>
        <w:pStyle w:val="Heading2"/>
        <w:numPr>
          <w:ilvl w:val="1"/>
          <w:numId w:val="12"/>
        </w:numPr>
        <w:ind w:left="709" w:hanging="709"/>
      </w:pPr>
      <w:bookmarkStart w:id="1542" w:name="_Toc165961792"/>
      <w:bookmarkStart w:id="1543" w:name="_Toc201148211"/>
      <w:r w:rsidRPr="00755AE2">
        <w:t xml:space="preserve">Victorian </w:t>
      </w:r>
      <w:r w:rsidR="00773E5A" w:rsidRPr="00DD3464">
        <w:t>efficient</w:t>
      </w:r>
      <w:r w:rsidR="00773E5A" w:rsidRPr="00755AE2">
        <w:t xml:space="preserve"> </w:t>
      </w:r>
      <w:bookmarkEnd w:id="1542"/>
      <w:r w:rsidR="00773E5A">
        <w:t>p</w:t>
      </w:r>
      <w:r w:rsidR="00773E5A" w:rsidRPr="00755AE2">
        <w:t>rice</w:t>
      </w:r>
      <w:bookmarkEnd w:id="1543"/>
    </w:p>
    <w:p w14:paraId="56DF2D33" w14:textId="77777777" w:rsidR="0041742A" w:rsidRDefault="005B699B" w:rsidP="005B699B">
      <w:pPr>
        <w:pStyle w:val="Body"/>
      </w:pPr>
      <w:r w:rsidRPr="00A52705">
        <w:t xml:space="preserve">The VEP </w:t>
      </w:r>
      <w:r w:rsidR="00773E5A">
        <w:t>is</w:t>
      </w:r>
      <w:r w:rsidR="00773E5A" w:rsidRPr="00A52705">
        <w:t xml:space="preserve"> </w:t>
      </w:r>
      <w:r w:rsidRPr="00A52705">
        <w:t>the efficient price of providing public hospital services in Victoria.</w:t>
      </w:r>
    </w:p>
    <w:p w14:paraId="5BD4B991" w14:textId="444C3A6A" w:rsidR="005B699B" w:rsidRPr="00A52705" w:rsidRDefault="005B699B" w:rsidP="005B699B">
      <w:pPr>
        <w:pStyle w:val="Body"/>
      </w:pPr>
      <w:r w:rsidRPr="00A52705">
        <w:t>In determining the VEP</w:t>
      </w:r>
      <w:r w:rsidR="00773E5A">
        <w:t>,</w:t>
      </w:r>
      <w:r w:rsidRPr="00A52705">
        <w:t xml:space="preserve"> the department </w:t>
      </w:r>
      <w:r w:rsidRPr="00A52705" w:rsidDel="00773E5A">
        <w:t>will determine</w:t>
      </w:r>
      <w:r w:rsidRPr="00A52705">
        <w:t xml:space="preserve"> a cost</w:t>
      </w:r>
      <w:r w:rsidR="00773E5A">
        <w:t>-</w:t>
      </w:r>
      <w:r w:rsidRPr="00A52705">
        <w:t xml:space="preserve">recovery rate </w:t>
      </w:r>
      <w:r w:rsidR="001E7E5C">
        <w:t>that reflects</w:t>
      </w:r>
      <w:r w:rsidRPr="00A52705">
        <w:t>:</w:t>
      </w:r>
    </w:p>
    <w:p w14:paraId="0ADFC3D3" w14:textId="77777777" w:rsidR="005B699B" w:rsidRPr="00A52705" w:rsidRDefault="005B699B" w:rsidP="004537E5">
      <w:pPr>
        <w:pStyle w:val="Bullet1"/>
        <w:numPr>
          <w:ilvl w:val="0"/>
          <w:numId w:val="18"/>
        </w:numPr>
      </w:pPr>
      <w:r w:rsidRPr="00A52705">
        <w:t>reasonable costs in the delivery of care</w:t>
      </w:r>
    </w:p>
    <w:p w14:paraId="45682874" w14:textId="77777777" w:rsidR="005B699B" w:rsidRPr="00A52705" w:rsidRDefault="005B699B" w:rsidP="004537E5">
      <w:pPr>
        <w:pStyle w:val="Bullet1"/>
        <w:numPr>
          <w:ilvl w:val="0"/>
          <w:numId w:val="18"/>
        </w:numPr>
      </w:pPr>
      <w:r w:rsidRPr="00A52705">
        <w:t xml:space="preserve">unavoidable variation in the costs resulting from </w:t>
      </w:r>
      <w:r>
        <w:t>health service</w:t>
      </w:r>
      <w:r w:rsidRPr="00A52705">
        <w:t xml:space="preserve"> size, location and service mix</w:t>
      </w:r>
    </w:p>
    <w:p w14:paraId="47E4C9D3" w14:textId="5D4C3621" w:rsidR="005B699B" w:rsidRPr="00A52705" w:rsidRDefault="00FE4F0E" w:rsidP="004537E5">
      <w:pPr>
        <w:pStyle w:val="Bullet1"/>
        <w:numPr>
          <w:ilvl w:val="0"/>
          <w:numId w:val="18"/>
        </w:numPr>
      </w:pPr>
      <w:r>
        <w:t xml:space="preserve">accounts for the </w:t>
      </w:r>
      <w:r w:rsidR="005B699B" w:rsidRPr="00A52705">
        <w:t>alternat</w:t>
      </w:r>
      <w:r w:rsidR="00773E5A">
        <w:t>iv</w:t>
      </w:r>
      <w:r w:rsidR="005B699B" w:rsidRPr="00A52705">
        <w:t xml:space="preserve">e sources of revenue that health services </w:t>
      </w:r>
      <w:r>
        <w:t xml:space="preserve">are able to </w:t>
      </w:r>
      <w:r w:rsidR="005B699B" w:rsidRPr="00A52705">
        <w:t>generate.</w:t>
      </w:r>
    </w:p>
    <w:p w14:paraId="59A3F8B5" w14:textId="6FD013E6" w:rsidR="00451EBE" w:rsidRDefault="005B699B" w:rsidP="002F5B06">
      <w:pPr>
        <w:pStyle w:val="Bodyafterbullets"/>
      </w:pPr>
      <w:r w:rsidRPr="00A52705">
        <w:t>Noting current significant variation in costs across health service</w:t>
      </w:r>
      <w:r>
        <w:t>s</w:t>
      </w:r>
      <w:r w:rsidRPr="00A52705">
        <w:t xml:space="preserve"> and health service types, </w:t>
      </w:r>
      <w:r w:rsidR="00451EBE">
        <w:t xml:space="preserve">the department will retain peer group pricing with </w:t>
      </w:r>
      <w:r w:rsidR="00F61416">
        <w:t>2</w:t>
      </w:r>
      <w:r w:rsidR="00451EBE">
        <w:t xml:space="preserve"> VEPs (</w:t>
      </w:r>
      <w:r w:rsidR="00862407">
        <w:t>‘</w:t>
      </w:r>
      <w:r w:rsidR="00F76941" w:rsidRPr="00F76941">
        <w:t>Metro</w:t>
      </w:r>
      <w:r w:rsidR="004A28A2">
        <w:t>politan</w:t>
      </w:r>
      <w:r w:rsidR="00F76941" w:rsidRPr="00F76941">
        <w:t xml:space="preserve"> </w:t>
      </w:r>
      <w:r w:rsidR="002274FC">
        <w:t>and</w:t>
      </w:r>
      <w:r w:rsidR="002274FC" w:rsidRPr="00F76941">
        <w:t xml:space="preserve"> </w:t>
      </w:r>
      <w:r w:rsidR="00F76941" w:rsidRPr="00F76941">
        <w:t xml:space="preserve">Large Regional’ </w:t>
      </w:r>
      <w:r w:rsidR="00F76941">
        <w:t>and ‘</w:t>
      </w:r>
      <w:r w:rsidR="00862407" w:rsidRPr="00862407">
        <w:t>Subregional’</w:t>
      </w:r>
      <w:r w:rsidR="00854857">
        <w:t>)</w:t>
      </w:r>
      <w:r w:rsidR="00451EBE">
        <w:t>.</w:t>
      </w:r>
    </w:p>
    <w:p w14:paraId="5FDA4B55" w14:textId="77777777" w:rsidR="00547572" w:rsidRPr="00662A37" w:rsidRDefault="00773E5A" w:rsidP="00571199">
      <w:pPr>
        <w:pStyle w:val="Body"/>
      </w:pPr>
      <w:r w:rsidRPr="00662A37">
        <w:t>The</w:t>
      </w:r>
      <w:r w:rsidR="005B699B" w:rsidRPr="00662A37">
        <w:t xml:space="preserve"> national funding model approach bases price weights on service delivery cost relative to the cost of an average admitted acute episode</w:t>
      </w:r>
      <w:r w:rsidRPr="00662A37">
        <w:t xml:space="preserve">. In line with this, </w:t>
      </w:r>
      <w:r w:rsidR="005B699B" w:rsidRPr="00662A37">
        <w:t xml:space="preserve">the </w:t>
      </w:r>
      <w:r w:rsidR="00923A3C" w:rsidRPr="00662A37">
        <w:t xml:space="preserve">Victorian </w:t>
      </w:r>
      <w:r w:rsidR="0004284B" w:rsidRPr="00662A37">
        <w:t xml:space="preserve">ABF </w:t>
      </w:r>
      <w:r w:rsidRPr="00662A37">
        <w:t xml:space="preserve">pricing framework </w:t>
      </w:r>
      <w:r w:rsidR="005B699B" w:rsidRPr="00662A37">
        <w:t>use</w:t>
      </w:r>
      <w:r w:rsidRPr="00662A37">
        <w:t>s</w:t>
      </w:r>
      <w:r w:rsidR="005B699B" w:rsidRPr="00662A37">
        <w:t xml:space="preserve"> admitted acute activity and related cost data</w:t>
      </w:r>
      <w:r w:rsidR="00571199" w:rsidRPr="00662A37">
        <w:t>, noting that the national model bases the price weights on service delivery cost relative to the cost of an average admitted acute episode.</w:t>
      </w:r>
    </w:p>
    <w:p w14:paraId="5D1B2F58" w14:textId="65739BE0" w:rsidR="00A31266" w:rsidRPr="00A52705" w:rsidDel="007677B0" w:rsidRDefault="00A31266" w:rsidP="002C19A0">
      <w:pPr>
        <w:pStyle w:val="Body"/>
      </w:pPr>
      <w:r w:rsidRPr="00662A37" w:rsidDel="002C19A0">
        <w:t xml:space="preserve">In </w:t>
      </w:r>
      <w:r w:rsidR="003C7262" w:rsidRPr="00BC64ED">
        <w:t>202</w:t>
      </w:r>
      <w:r w:rsidR="00BC64ED">
        <w:t>5</w:t>
      </w:r>
      <w:r w:rsidR="00C801EB" w:rsidRPr="00BC64ED">
        <w:t>–</w:t>
      </w:r>
      <w:r w:rsidR="003C7262" w:rsidRPr="00BC64ED">
        <w:t>2</w:t>
      </w:r>
      <w:r w:rsidR="00BC64ED">
        <w:t>6</w:t>
      </w:r>
      <w:r w:rsidR="002274FC">
        <w:t>,</w:t>
      </w:r>
      <w:r w:rsidRPr="00662A37" w:rsidDel="002C19A0">
        <w:t xml:space="preserve"> the department has set the VEP based on a </w:t>
      </w:r>
      <w:r w:rsidR="13A3F211">
        <w:t xml:space="preserve">reasonable </w:t>
      </w:r>
      <w:r w:rsidRPr="00662A37" w:rsidDel="002C19A0">
        <w:t xml:space="preserve">cost-recovery rate at 85% of the average cost reported for admitted acute activity in </w:t>
      </w:r>
      <w:r w:rsidR="005B699B" w:rsidRPr="00BC64ED">
        <w:t>202</w:t>
      </w:r>
      <w:r w:rsidR="00BC64ED">
        <w:t>3</w:t>
      </w:r>
      <w:r w:rsidR="005B699B" w:rsidRPr="00BC64ED">
        <w:t>–2</w:t>
      </w:r>
      <w:r w:rsidR="00BC64ED">
        <w:t>4</w:t>
      </w:r>
      <w:r w:rsidR="00854857">
        <w:t>, indexed</w:t>
      </w:r>
      <w:r w:rsidR="005402D7">
        <w:t xml:space="preserve"> to 2025</w:t>
      </w:r>
      <w:r w:rsidR="005402D7" w:rsidRPr="00BC64ED">
        <w:t>–</w:t>
      </w:r>
      <w:r w:rsidR="005402D7">
        <w:t>26</w:t>
      </w:r>
      <w:r w:rsidRPr="00662A37" w:rsidDel="002C19A0">
        <w:t xml:space="preserve"> as the most recent year of available cost data</w:t>
      </w:r>
      <w:r w:rsidR="006D1C50" w:rsidRPr="004A118A">
        <w:t>.</w:t>
      </w:r>
      <w:r w:rsidRPr="004A118A" w:rsidDel="002C19A0">
        <w:t xml:space="preserve"> </w:t>
      </w:r>
    </w:p>
    <w:p w14:paraId="6AD41B13" w14:textId="0115F036" w:rsidR="005B699B" w:rsidRPr="00F42CF0" w:rsidRDefault="005B699B" w:rsidP="00B448AC">
      <w:pPr>
        <w:pStyle w:val="Heading2"/>
        <w:numPr>
          <w:ilvl w:val="1"/>
          <w:numId w:val="12"/>
        </w:numPr>
        <w:ind w:left="709" w:hanging="709"/>
      </w:pPr>
      <w:bookmarkStart w:id="1544" w:name="_Toc165961793"/>
      <w:bookmarkStart w:id="1545" w:name="_Toc201148212"/>
      <w:r w:rsidRPr="0000233B">
        <w:t xml:space="preserve">Localised </w:t>
      </w:r>
      <w:r w:rsidRPr="00361A32">
        <w:t>pricing</w:t>
      </w:r>
      <w:r>
        <w:t xml:space="preserve"> </w:t>
      </w:r>
      <w:r w:rsidRPr="00DD3464">
        <w:t>adjustments</w:t>
      </w:r>
      <w:bookmarkEnd w:id="1544"/>
      <w:bookmarkEnd w:id="1545"/>
    </w:p>
    <w:p w14:paraId="7312902A" w14:textId="56FE07FE" w:rsidR="002274FC" w:rsidRDefault="005B699B" w:rsidP="005B699B">
      <w:pPr>
        <w:pStyle w:val="Body"/>
      </w:pPr>
      <w:r w:rsidRPr="00A52705">
        <w:t xml:space="preserve">The </w:t>
      </w:r>
      <w:r w:rsidRPr="00A42A2D">
        <w:t>national funding model (</w:t>
      </w:r>
      <w:r w:rsidR="00402DC5">
        <w:t xml:space="preserve">refer to </w:t>
      </w:r>
      <w:r w:rsidR="00A269A4">
        <w:t xml:space="preserve">section </w:t>
      </w:r>
      <w:r w:rsidR="00A269A4">
        <w:rPr>
          <w:highlight w:val="yellow"/>
        </w:rPr>
        <w:fldChar w:fldCharType="begin"/>
      </w:r>
      <w:r w:rsidR="00A269A4">
        <w:instrText xml:space="preserve"> REF _Ref199252060 \w \h </w:instrText>
      </w:r>
      <w:r w:rsidR="00A269A4">
        <w:rPr>
          <w:highlight w:val="yellow"/>
        </w:rPr>
      </w:r>
      <w:r w:rsidR="00A269A4">
        <w:rPr>
          <w:highlight w:val="yellow"/>
        </w:rPr>
        <w:fldChar w:fldCharType="separate"/>
      </w:r>
      <w:r w:rsidR="007D262B">
        <w:t>8.3</w:t>
      </w:r>
      <w:r w:rsidR="00A269A4">
        <w:rPr>
          <w:highlight w:val="yellow"/>
        </w:rPr>
        <w:fldChar w:fldCharType="end"/>
      </w:r>
      <w:r w:rsidRPr="00A42A2D">
        <w:t>)</w:t>
      </w:r>
      <w:r w:rsidRPr="00A52705">
        <w:t xml:space="preserve"> is premised on the efficient cost of a service nationally, based on a predetermined service classification system. </w:t>
      </w:r>
    </w:p>
    <w:p w14:paraId="780E02E3" w14:textId="03E64811" w:rsidR="002274FC" w:rsidRDefault="005B699B" w:rsidP="005B699B">
      <w:pPr>
        <w:pStyle w:val="Body"/>
      </w:pPr>
      <w:r w:rsidRPr="00A52705">
        <w:lastRenderedPageBreak/>
        <w:t>There are many reasons why a health service may have costs above or below this average</w:t>
      </w:r>
      <w:r w:rsidR="002274FC">
        <w:t>. H</w:t>
      </w:r>
      <w:r w:rsidR="001C11F9">
        <w:t>owever</w:t>
      </w:r>
      <w:r w:rsidR="002274FC">
        <w:t>,</w:t>
      </w:r>
      <w:r w:rsidR="001C11F9">
        <w:t xml:space="preserve"> for the most part</w:t>
      </w:r>
      <w:r w:rsidR="002274FC">
        <w:t>,</w:t>
      </w:r>
      <w:r w:rsidRPr="00A52705">
        <w:t xml:space="preserve"> </w:t>
      </w:r>
      <w:r>
        <w:t>health services</w:t>
      </w:r>
      <w:r w:rsidRPr="00A52705">
        <w:t xml:space="preserve"> can manage </w:t>
      </w:r>
      <w:r>
        <w:t>this variation</w:t>
      </w:r>
      <w:r w:rsidRPr="00A52705">
        <w:t xml:space="preserve"> across their entire service mix. </w:t>
      </w:r>
    </w:p>
    <w:p w14:paraId="661FA7CE" w14:textId="23D9DD5D" w:rsidR="005B699B" w:rsidRPr="00A52705" w:rsidRDefault="005B699B" w:rsidP="005B699B">
      <w:pPr>
        <w:pStyle w:val="Body"/>
      </w:pPr>
      <w:r w:rsidRPr="00A52705">
        <w:t xml:space="preserve">Where this is not the case due to specific local circumstances, Victoria may seek to </w:t>
      </w:r>
      <w:r w:rsidR="0047254D">
        <w:t>complement</w:t>
      </w:r>
      <w:r w:rsidR="0047254D" w:rsidRPr="00A52705">
        <w:t xml:space="preserve"> </w:t>
      </w:r>
      <w:r w:rsidR="00316E4A">
        <w:t xml:space="preserve">NWAU </w:t>
      </w:r>
      <w:r w:rsidDel="00F95A29">
        <w:t>activity-based funding</w:t>
      </w:r>
      <w:r>
        <w:t xml:space="preserve"> </w:t>
      </w:r>
      <w:r w:rsidRPr="00A52705">
        <w:t xml:space="preserve">with localised </w:t>
      </w:r>
      <w:r>
        <w:t>price</w:t>
      </w:r>
      <w:r w:rsidRPr="00A52705">
        <w:t xml:space="preserve"> adjustments in the following categories:</w:t>
      </w:r>
    </w:p>
    <w:p w14:paraId="67756612" w14:textId="77777777" w:rsidR="005B699B" w:rsidRPr="00A52705" w:rsidRDefault="005B699B" w:rsidP="004537E5">
      <w:pPr>
        <w:pStyle w:val="Bullet1"/>
        <w:numPr>
          <w:ilvl w:val="0"/>
          <w:numId w:val="19"/>
        </w:numPr>
      </w:pPr>
      <w:r>
        <w:t>c</w:t>
      </w:r>
      <w:r w:rsidRPr="00A52705">
        <w:t>ommissioning of new services</w:t>
      </w:r>
    </w:p>
    <w:p w14:paraId="1DD9B162" w14:textId="0D0F31BE" w:rsidR="005B699B" w:rsidRPr="00A52705" w:rsidRDefault="005B699B" w:rsidP="004537E5">
      <w:pPr>
        <w:pStyle w:val="Bullet1"/>
        <w:numPr>
          <w:ilvl w:val="0"/>
          <w:numId w:val="19"/>
        </w:numPr>
      </w:pPr>
      <w:r w:rsidRPr="00A52705">
        <w:t>classification</w:t>
      </w:r>
      <w:r w:rsidR="00A7213F">
        <w:t xml:space="preserve"> and loadings</w:t>
      </w:r>
    </w:p>
    <w:p w14:paraId="4376C535" w14:textId="77777777" w:rsidR="005B699B" w:rsidRPr="00A52705" w:rsidRDefault="005B699B" w:rsidP="004537E5">
      <w:pPr>
        <w:pStyle w:val="Bullet1"/>
        <w:numPr>
          <w:ilvl w:val="0"/>
          <w:numId w:val="19"/>
        </w:numPr>
      </w:pPr>
      <w:r w:rsidRPr="00A52705">
        <w:t>statewide services</w:t>
      </w:r>
    </w:p>
    <w:p w14:paraId="3E785C78" w14:textId="77777777" w:rsidR="005B699B" w:rsidRPr="00A52705" w:rsidRDefault="005B699B" w:rsidP="004537E5">
      <w:pPr>
        <w:pStyle w:val="Bullet1"/>
        <w:numPr>
          <w:ilvl w:val="0"/>
          <w:numId w:val="19"/>
        </w:numPr>
      </w:pPr>
      <w:r w:rsidRPr="00A52705">
        <w:t>entity</w:t>
      </w:r>
      <w:r>
        <w:t>.</w:t>
      </w:r>
    </w:p>
    <w:p w14:paraId="30BA25C2" w14:textId="77777777" w:rsidR="005B699B" w:rsidRPr="00A52705" w:rsidRDefault="005B699B" w:rsidP="002F5B06">
      <w:pPr>
        <w:pStyle w:val="Bodyafterbullets"/>
      </w:pPr>
      <w:r w:rsidRPr="00A52705">
        <w:t xml:space="preserve">Localised </w:t>
      </w:r>
      <w:r>
        <w:t xml:space="preserve">pricing </w:t>
      </w:r>
      <w:r w:rsidRPr="00A52705">
        <w:t>adjustments can take the following forms:</w:t>
      </w:r>
    </w:p>
    <w:p w14:paraId="7047476F" w14:textId="2901927E" w:rsidR="005B699B" w:rsidRPr="00A52705" w:rsidRDefault="005B699B" w:rsidP="4C364F9B">
      <w:pPr>
        <w:pStyle w:val="Bullet1"/>
      </w:pPr>
      <w:r>
        <w:t>l</w:t>
      </w:r>
      <w:r w:rsidRPr="00A52705">
        <w:t xml:space="preserve">oadings, where a fixed dollar amount or percentage of the VEP is applied per </w:t>
      </w:r>
      <w:r w:rsidR="00F76E50">
        <w:t>NWAU</w:t>
      </w:r>
    </w:p>
    <w:p w14:paraId="798C63DC" w14:textId="77777777" w:rsidR="005B699B" w:rsidRPr="00A52705" w:rsidRDefault="005B699B" w:rsidP="004537E5">
      <w:pPr>
        <w:pStyle w:val="Bullet1"/>
        <w:numPr>
          <w:ilvl w:val="0"/>
          <w:numId w:val="20"/>
        </w:numPr>
      </w:pPr>
      <w:r>
        <w:t>f</w:t>
      </w:r>
      <w:r w:rsidRPr="00A52705">
        <w:t>ixed funding, where a dollar amount is determined regardless of the volume of activity delivered.</w:t>
      </w:r>
    </w:p>
    <w:p w14:paraId="096EACC9" w14:textId="77777777" w:rsidR="002274FC" w:rsidRDefault="005B699B" w:rsidP="002F5B06">
      <w:pPr>
        <w:pStyle w:val="Bodyafterbullets"/>
      </w:pPr>
      <w:r>
        <w:t>Pric</w:t>
      </w:r>
      <w:r w:rsidR="00C5562A">
        <w:t>ing</w:t>
      </w:r>
      <w:r>
        <w:t xml:space="preserve"> a</w:t>
      </w:r>
      <w:r w:rsidRPr="00A52705">
        <w:t xml:space="preserve">djustments will be </w:t>
      </w:r>
      <w:r>
        <w:t xml:space="preserve">determined </w:t>
      </w:r>
      <w:r w:rsidRPr="00A52705">
        <w:t xml:space="preserve">on a needs basis as assessed by the department. </w:t>
      </w:r>
    </w:p>
    <w:p w14:paraId="042EA849" w14:textId="10B2BEDF" w:rsidR="002274FC" w:rsidRDefault="005B699B" w:rsidP="002F5B06">
      <w:pPr>
        <w:pStyle w:val="Bodyafterbullets"/>
      </w:pPr>
      <w:r w:rsidRPr="00A52705">
        <w:t xml:space="preserve">Where appropriate, </w:t>
      </w:r>
      <w:r w:rsidR="002274FC">
        <w:t xml:space="preserve">the department expects </w:t>
      </w:r>
      <w:r w:rsidRPr="00A52705">
        <w:t xml:space="preserve">health services to align their costs with the determined efficient price. </w:t>
      </w:r>
    </w:p>
    <w:p w14:paraId="41F1F715" w14:textId="34511F9E" w:rsidR="008E4B89" w:rsidRPr="007E29B0" w:rsidDel="00754768" w:rsidRDefault="0047254D" w:rsidP="002F5B06">
      <w:pPr>
        <w:pStyle w:val="Bodyafterbullets"/>
      </w:pPr>
      <w:r>
        <w:t>If</w:t>
      </w:r>
      <w:r w:rsidRPr="00A52705">
        <w:t xml:space="preserve"> </w:t>
      </w:r>
      <w:r w:rsidR="005B699B" w:rsidRPr="00A52705">
        <w:t xml:space="preserve">this is not possible, </w:t>
      </w:r>
      <w:r w:rsidR="002274FC">
        <w:t xml:space="preserve">services should </w:t>
      </w:r>
      <w:r w:rsidR="005B699B">
        <w:t xml:space="preserve">alternative service delivery </w:t>
      </w:r>
      <w:r w:rsidR="005B699B" w:rsidRPr="00A52705">
        <w:t>options</w:t>
      </w:r>
      <w:r>
        <w:t>,</w:t>
      </w:r>
      <w:r w:rsidR="005B699B" w:rsidRPr="002E3CB1">
        <w:t xml:space="preserve"> in keeping with service and capability planning frameworks. </w:t>
      </w:r>
      <w:r w:rsidR="005B699B">
        <w:t>A</w:t>
      </w:r>
      <w:r w:rsidR="005B699B" w:rsidRPr="00A52705">
        <w:t>djustments will only be made where all other viable options have been explored and tested.</w:t>
      </w:r>
      <w:r w:rsidR="00766BB1">
        <w:t xml:space="preserve"> </w:t>
      </w:r>
    </w:p>
    <w:p w14:paraId="5C504CF3" w14:textId="6328263E" w:rsidR="005B699B" w:rsidRPr="00C67272" w:rsidRDefault="005B699B" w:rsidP="004537E5">
      <w:pPr>
        <w:pStyle w:val="Heading3"/>
        <w:numPr>
          <w:ilvl w:val="2"/>
          <w:numId w:val="12"/>
        </w:numPr>
      </w:pPr>
      <w:r w:rsidRPr="00E62048">
        <w:t>Adjustments</w:t>
      </w:r>
      <w:r w:rsidRPr="00755AE2">
        <w:t xml:space="preserve"> for commissioning </w:t>
      </w:r>
      <w:r w:rsidRPr="00361A32">
        <w:t>new</w:t>
      </w:r>
      <w:r w:rsidRPr="00755AE2">
        <w:t xml:space="preserve"> services</w:t>
      </w:r>
    </w:p>
    <w:p w14:paraId="0FA4EE35" w14:textId="3DF2DD46" w:rsidR="005B699B" w:rsidRPr="00A52705" w:rsidRDefault="00FD5C4B" w:rsidP="005B699B">
      <w:pPr>
        <w:pStyle w:val="Body"/>
      </w:pPr>
      <w:r>
        <w:t>The c</w:t>
      </w:r>
      <w:r w:rsidR="0047254D">
        <w:t>o</w:t>
      </w:r>
      <w:r w:rsidR="005B699B">
        <w:t>mmissioning</w:t>
      </w:r>
      <w:r w:rsidR="005B699B" w:rsidRPr="00A52705">
        <w:t xml:space="preserve"> </w:t>
      </w:r>
      <w:r>
        <w:t xml:space="preserve">of </w:t>
      </w:r>
      <w:r w:rsidR="005B699B" w:rsidRPr="00A52705">
        <w:t>new services typically involves the gradual introduction of additional capacity.</w:t>
      </w:r>
    </w:p>
    <w:p w14:paraId="45531842" w14:textId="291F98DA" w:rsidR="005B699B" w:rsidRPr="008345C0" w:rsidRDefault="005B699B" w:rsidP="005B699B">
      <w:pPr>
        <w:pStyle w:val="Body"/>
      </w:pPr>
      <w:r w:rsidRPr="00A52705">
        <w:t xml:space="preserve">During phased opening of additional capacity, health services may be unable to generate adequate </w:t>
      </w:r>
      <w:r w:rsidR="00F70439">
        <w:t>ABF</w:t>
      </w:r>
      <w:r w:rsidRPr="00A52705" w:rsidDel="00150C31">
        <w:t xml:space="preserve"> </w:t>
      </w:r>
      <w:r w:rsidRPr="00A52705">
        <w:t xml:space="preserve">activity to cover the </w:t>
      </w:r>
      <w:r w:rsidRPr="008345C0">
        <w:t>fixed costs associated with operating the new service</w:t>
      </w:r>
      <w:r w:rsidR="0047254D">
        <w:t>.</w:t>
      </w:r>
      <w:r w:rsidRPr="008345C0">
        <w:t xml:space="preserve"> </w:t>
      </w:r>
      <w:r w:rsidR="0047254D">
        <w:t>They</w:t>
      </w:r>
      <w:r w:rsidR="0047254D" w:rsidRPr="008345C0">
        <w:t xml:space="preserve"> </w:t>
      </w:r>
      <w:r w:rsidRPr="008345C0">
        <w:t xml:space="preserve">may also be unable to generate own-source revenue. </w:t>
      </w:r>
    </w:p>
    <w:p w14:paraId="1FD66DE0" w14:textId="3C37B58B" w:rsidR="005B699B" w:rsidRPr="00A52705" w:rsidRDefault="005B699B" w:rsidP="005B699B">
      <w:pPr>
        <w:pStyle w:val="Body"/>
      </w:pPr>
      <w:r w:rsidRPr="008345C0">
        <w:t>Additionally, health services may incur short-term fixed costs that</w:t>
      </w:r>
      <w:r w:rsidRPr="00A52705">
        <w:t xml:space="preserve"> the </w:t>
      </w:r>
      <w:r w:rsidDel="00B33889">
        <w:t>activity-based funding</w:t>
      </w:r>
      <w:r w:rsidRPr="00A52705" w:rsidDel="00B33889">
        <w:t xml:space="preserve"> </w:t>
      </w:r>
      <w:r w:rsidRPr="00A52705">
        <w:t>model is not designed to cover</w:t>
      </w:r>
      <w:r w:rsidR="0047254D">
        <w:t>.</w:t>
      </w:r>
      <w:r w:rsidRPr="00A52705">
        <w:t xml:space="preserve"> </w:t>
      </w:r>
      <w:r w:rsidR="0047254D">
        <w:t>This includes, for example,</w:t>
      </w:r>
      <w:r w:rsidRPr="00A52705">
        <w:t xml:space="preserve"> substantial recruitment expenses and initial procurement of start-up consumables.</w:t>
      </w:r>
    </w:p>
    <w:p w14:paraId="0041F24F" w14:textId="2DD1C2DE" w:rsidR="005B699B" w:rsidRDefault="005B699B" w:rsidP="005B699B">
      <w:pPr>
        <w:pStyle w:val="Body"/>
      </w:pPr>
      <w:r w:rsidRPr="00A52705">
        <w:t xml:space="preserve">The department may allocate additional funding to facilitate the </w:t>
      </w:r>
      <w:r>
        <w:t>commissioning</w:t>
      </w:r>
      <w:r w:rsidRPr="00A52705">
        <w:t xml:space="preserve"> of new services where the price is not sufficient to fund additional </w:t>
      </w:r>
      <w:r w:rsidR="0047254D">
        <w:t xml:space="preserve">start-up </w:t>
      </w:r>
      <w:r w:rsidRPr="00A52705">
        <w:t>costs.</w:t>
      </w:r>
    </w:p>
    <w:p w14:paraId="7CF9828F" w14:textId="77777777" w:rsidR="005B699B" w:rsidRPr="0047254D" w:rsidRDefault="005B699B" w:rsidP="005538D2">
      <w:pPr>
        <w:pStyle w:val="Heading4"/>
      </w:pPr>
      <w:r w:rsidRPr="00B61A38">
        <w:t xml:space="preserve">Assessment </w:t>
      </w:r>
      <w:r>
        <w:t>c</w:t>
      </w:r>
      <w:r w:rsidRPr="00B61A38">
        <w:t>riteria</w:t>
      </w:r>
    </w:p>
    <w:p w14:paraId="0B129B32" w14:textId="260343EF" w:rsidR="005B699B" w:rsidRPr="00A52705" w:rsidRDefault="002274FC" w:rsidP="00EA18DD">
      <w:pPr>
        <w:pStyle w:val="Bullet1"/>
      </w:pPr>
      <w:r>
        <w:t>To be eligible, a service must have been</w:t>
      </w:r>
      <w:r w:rsidR="005B699B" w:rsidRPr="00A52705">
        <w:t xml:space="preserve"> established with new funding as a result of a decision of government</w:t>
      </w:r>
      <w:r>
        <w:t>. T</w:t>
      </w:r>
      <w:r w:rsidR="005B699B" w:rsidRPr="00A52705">
        <w:t xml:space="preserve">he department </w:t>
      </w:r>
      <w:r>
        <w:t>must also have</w:t>
      </w:r>
      <w:r w:rsidRPr="00A52705">
        <w:t xml:space="preserve"> </w:t>
      </w:r>
      <w:r w:rsidR="005B699B" w:rsidRPr="00A52705">
        <w:t>determined that a</w:t>
      </w:r>
      <w:r w:rsidR="005B699B">
        <w:t>n</w:t>
      </w:r>
      <w:r w:rsidR="005B699B" w:rsidRPr="00A52705">
        <w:t xml:space="preserve"> adjustment is required. </w:t>
      </w:r>
    </w:p>
    <w:p w14:paraId="63D87699" w14:textId="2425E776" w:rsidR="005B699B" w:rsidRDefault="005B699B" w:rsidP="00EA18DD">
      <w:pPr>
        <w:pStyle w:val="Bullet1"/>
      </w:pPr>
      <w:r w:rsidRPr="00FD7E2A">
        <w:t xml:space="preserve">Adjustments will not be provided for minor expansions to existing services (such as new beds in an operational ward), </w:t>
      </w:r>
      <w:r w:rsidR="0047254D">
        <w:t>n</w:t>
      </w:r>
      <w:r w:rsidRPr="00FD7E2A">
        <w:t>or for new services established with existing funding unless otherwise determined by the department.</w:t>
      </w:r>
    </w:p>
    <w:p w14:paraId="024AB695" w14:textId="0EB1B17D" w:rsidR="005B699B" w:rsidRPr="00755AE2" w:rsidRDefault="005B699B" w:rsidP="004537E5">
      <w:pPr>
        <w:pStyle w:val="Heading3"/>
        <w:numPr>
          <w:ilvl w:val="2"/>
          <w:numId w:val="12"/>
        </w:numPr>
      </w:pPr>
      <w:r w:rsidRPr="00755AE2">
        <w:t>Adjustments for classification</w:t>
      </w:r>
      <w:r w:rsidR="00055DD9">
        <w:t xml:space="preserve"> and loadings</w:t>
      </w:r>
    </w:p>
    <w:p w14:paraId="074B344B" w14:textId="0530ACE0" w:rsidR="005B699B" w:rsidRPr="00A52705" w:rsidRDefault="005B699B" w:rsidP="005B699B">
      <w:pPr>
        <w:pStyle w:val="Body"/>
      </w:pPr>
      <w:r w:rsidRPr="00A52705">
        <w:t xml:space="preserve">In certain scenarios, the national price weight for a classification may not reflect the actual or efficient cost of delivering those services in Victoria. </w:t>
      </w:r>
      <w:r w:rsidR="002274FC">
        <w:t>To</w:t>
      </w:r>
      <w:r w:rsidRPr="00A52705">
        <w:t xml:space="preserve"> </w:t>
      </w:r>
      <w:r w:rsidR="002274FC">
        <w:t>support</w:t>
      </w:r>
      <w:r w:rsidR="002274FC" w:rsidRPr="00A52705">
        <w:t xml:space="preserve"> </w:t>
      </w:r>
      <w:r w:rsidRPr="00A52705">
        <w:t xml:space="preserve">Victorian health services </w:t>
      </w:r>
      <w:r w:rsidR="0047254D">
        <w:t xml:space="preserve">to </w:t>
      </w:r>
      <w:r w:rsidR="00447E1C">
        <w:t xml:space="preserve">provide </w:t>
      </w:r>
      <w:r w:rsidR="00447E1C" w:rsidRPr="00A52705">
        <w:lastRenderedPageBreak/>
        <w:t>equitable</w:t>
      </w:r>
      <w:r w:rsidRPr="00A52705">
        <w:t xml:space="preserve"> services, the department may allocate funds for services that would otherwise not be sustainable.</w:t>
      </w:r>
    </w:p>
    <w:p w14:paraId="6B21E3A2" w14:textId="77777777" w:rsidR="005B699B" w:rsidRPr="00312F5F" w:rsidRDefault="005B699B" w:rsidP="0093188D">
      <w:pPr>
        <w:pStyle w:val="Heading4"/>
      </w:pPr>
      <w:r w:rsidRPr="0047254D">
        <w:t>Assessment</w:t>
      </w:r>
      <w:r w:rsidRPr="00312F5F">
        <w:t xml:space="preserve"> </w:t>
      </w:r>
      <w:r w:rsidRPr="00354BBB">
        <w:t>criteria</w:t>
      </w:r>
    </w:p>
    <w:p w14:paraId="6551B3A1" w14:textId="0666F7B5" w:rsidR="002274FC" w:rsidRDefault="005B699B" w:rsidP="005B699B">
      <w:pPr>
        <w:pStyle w:val="Body"/>
      </w:pPr>
      <w:r w:rsidRPr="00A52705">
        <w:t xml:space="preserve">If, at the state level, Victoria is not able to achieve a sufficient </w:t>
      </w:r>
      <w:r w:rsidR="002274FC" w:rsidRPr="00A52705">
        <w:t>cost</w:t>
      </w:r>
      <w:r w:rsidR="002274FC">
        <w:t>-</w:t>
      </w:r>
      <w:r w:rsidRPr="00A52705">
        <w:t>recovery threshold for a specific classification using the national price weight, the classification becomes eligible for consideration for a</w:t>
      </w:r>
      <w:r>
        <w:t xml:space="preserve"> price</w:t>
      </w:r>
      <w:r w:rsidRPr="00A52705">
        <w:t xml:space="preserve"> adjustment. </w:t>
      </w:r>
    </w:p>
    <w:p w14:paraId="0E26AC24" w14:textId="4BB7CD74" w:rsidR="005B699B" w:rsidRPr="00A52705" w:rsidRDefault="005B699B" w:rsidP="005B699B">
      <w:pPr>
        <w:pStyle w:val="Body"/>
      </w:pPr>
      <w:r w:rsidRPr="00A52705">
        <w:t xml:space="preserve">Adjustments for classifications will </w:t>
      </w:r>
      <w:r>
        <w:t>be</w:t>
      </w:r>
      <w:r w:rsidRPr="00A52705">
        <w:t xml:space="preserve"> assess</w:t>
      </w:r>
      <w:r>
        <w:t>ed</w:t>
      </w:r>
      <w:r w:rsidRPr="00A52705">
        <w:t xml:space="preserve"> based on the following criteria:</w:t>
      </w:r>
    </w:p>
    <w:p w14:paraId="7CA693A7" w14:textId="14861E1F" w:rsidR="005B699B" w:rsidRPr="00A52705" w:rsidRDefault="005B699B" w:rsidP="004537E5">
      <w:pPr>
        <w:pStyle w:val="Bullet1"/>
        <w:numPr>
          <w:ilvl w:val="0"/>
          <w:numId w:val="21"/>
        </w:numPr>
      </w:pPr>
      <w:r>
        <w:t>c</w:t>
      </w:r>
      <w:r w:rsidRPr="00A52705">
        <w:t xml:space="preserve">lassifications already receiving </w:t>
      </w:r>
      <w:r>
        <w:t xml:space="preserve">an </w:t>
      </w:r>
      <w:r w:rsidRPr="00A52705">
        <w:t>adjustment for classification funding</w:t>
      </w:r>
    </w:p>
    <w:p w14:paraId="1D7B5ED0" w14:textId="3AB07020" w:rsidR="005B699B" w:rsidRPr="00A52705" w:rsidRDefault="005B699B" w:rsidP="004537E5">
      <w:pPr>
        <w:pStyle w:val="Bullet1"/>
        <w:numPr>
          <w:ilvl w:val="0"/>
          <w:numId w:val="21"/>
        </w:numPr>
      </w:pPr>
      <w:r>
        <w:t>c</w:t>
      </w:r>
      <w:r w:rsidRPr="00A52705">
        <w:t xml:space="preserve">lassifications where the national price weight has </w:t>
      </w:r>
      <w:r w:rsidRPr="00037B0E">
        <w:t>decreased</w:t>
      </w:r>
      <w:r>
        <w:t xml:space="preserve"> by more than</w:t>
      </w:r>
      <w:r w:rsidRPr="00A52705">
        <w:t xml:space="preserve"> 20</w:t>
      </w:r>
      <w:r>
        <w:t>% between two</w:t>
      </w:r>
      <w:r w:rsidR="004F776C">
        <w:t xml:space="preserve"> </w:t>
      </w:r>
      <w:r>
        <w:t xml:space="preserve">consecutive </w:t>
      </w:r>
      <w:r w:rsidR="0047254D">
        <w:t>NEP</w:t>
      </w:r>
      <w:r>
        <w:t xml:space="preserve"> </w:t>
      </w:r>
      <w:r w:rsidR="002274FC">
        <w:t>determinations</w:t>
      </w:r>
    </w:p>
    <w:p w14:paraId="20F10FAE" w14:textId="6AC93DA6" w:rsidR="005B699B" w:rsidRPr="00A52705" w:rsidRDefault="005B699B" w:rsidP="004537E5">
      <w:pPr>
        <w:pStyle w:val="Bullet1"/>
        <w:numPr>
          <w:ilvl w:val="0"/>
          <w:numId w:val="21"/>
        </w:numPr>
      </w:pPr>
      <w:r>
        <w:t>u</w:t>
      </w:r>
      <w:r w:rsidRPr="00A52705">
        <w:t>pdates to the national pricing framework impacting classification, such as changes to the classification system</w:t>
      </w:r>
      <w:r w:rsidR="00CA3AFF">
        <w:t xml:space="preserve"> or value of loadings</w:t>
      </w:r>
    </w:p>
    <w:p w14:paraId="5AF34FF0" w14:textId="77777777" w:rsidR="005B699B" w:rsidRDefault="005B699B" w:rsidP="004537E5">
      <w:pPr>
        <w:pStyle w:val="Bullet1"/>
        <w:numPr>
          <w:ilvl w:val="0"/>
          <w:numId w:val="21"/>
        </w:numPr>
      </w:pPr>
      <w:r>
        <w:t>o</w:t>
      </w:r>
      <w:r w:rsidRPr="00A52705">
        <w:t>ther classifications as determined by the department.</w:t>
      </w:r>
    </w:p>
    <w:p w14:paraId="0CE3737E" w14:textId="7C4DF3EA" w:rsidR="00621AEA" w:rsidRDefault="00621AEA" w:rsidP="002F5B06">
      <w:pPr>
        <w:pStyle w:val="Bodyafterbullets"/>
      </w:pPr>
      <w:r>
        <w:t>Pricing adjustment for classification will only be considered for classifications that have a cost recovery below 70% at the state level</w:t>
      </w:r>
      <w:r w:rsidR="002274FC">
        <w:t xml:space="preserve">. At this </w:t>
      </w:r>
      <w:r>
        <w:t>point</w:t>
      </w:r>
      <w:r w:rsidR="002274FC">
        <w:t>,</w:t>
      </w:r>
      <w:r>
        <w:t xml:space="preserve"> it may be reasonable to assume that it cannot be managed within a health service’s overall budget based on the criteria below.</w:t>
      </w:r>
    </w:p>
    <w:p w14:paraId="0CD24FBD" w14:textId="77777777" w:rsidR="00621AEA" w:rsidRDefault="00621AEA" w:rsidP="00621AEA">
      <w:pPr>
        <w:pStyle w:val="Body"/>
      </w:pPr>
      <w:r>
        <w:t>The pricing adjustment would only be paid to health services where:</w:t>
      </w:r>
    </w:p>
    <w:p w14:paraId="7B49CA84" w14:textId="4D8F0289" w:rsidR="00621AEA" w:rsidRDefault="00621AEA" w:rsidP="00C15D52">
      <w:pPr>
        <w:pStyle w:val="Bullet1"/>
      </w:pPr>
      <w:r>
        <w:t>the specified grant amount would be more than $1 million</w:t>
      </w:r>
    </w:p>
    <w:p w14:paraId="58EB2762" w14:textId="0DD9C77C" w:rsidR="00621AEA" w:rsidRDefault="00621AEA" w:rsidP="00C15D52">
      <w:pPr>
        <w:pStyle w:val="Bullet1"/>
      </w:pPr>
      <w:r>
        <w:t>the health service has 50 or more encounters for that end class in the most recent year.</w:t>
      </w:r>
    </w:p>
    <w:p w14:paraId="5052B723" w14:textId="77777777" w:rsidR="00621AEA" w:rsidRDefault="00621AEA" w:rsidP="002F5B06">
      <w:pPr>
        <w:pStyle w:val="Bodyafterbullets"/>
      </w:pPr>
      <w:r>
        <w:t>Activity supported by a commissioning adjustment will not be eligible for a classification adjustment.</w:t>
      </w:r>
    </w:p>
    <w:p w14:paraId="434EA033" w14:textId="77777777" w:rsidR="005B699B" w:rsidRPr="00755AE2" w:rsidRDefault="005B699B" w:rsidP="004537E5">
      <w:pPr>
        <w:pStyle w:val="Heading3"/>
        <w:numPr>
          <w:ilvl w:val="2"/>
          <w:numId w:val="12"/>
        </w:numPr>
      </w:pPr>
      <w:r w:rsidRPr="00755AE2">
        <w:t xml:space="preserve">Adjustments for statewide </w:t>
      </w:r>
      <w:r w:rsidRPr="00361A32">
        <w:t>services</w:t>
      </w:r>
    </w:p>
    <w:p w14:paraId="1B66F6CE" w14:textId="287356BB" w:rsidR="00933E60" w:rsidRDefault="005B699B" w:rsidP="005B699B">
      <w:pPr>
        <w:pStyle w:val="Body"/>
      </w:pPr>
      <w:r>
        <w:t>Statewide services require a highly skilled or specialised workforce</w:t>
      </w:r>
      <w:r w:rsidR="002274FC">
        <w:t>.</w:t>
      </w:r>
      <w:r w:rsidR="00933E60">
        <w:t xml:space="preserve"> </w:t>
      </w:r>
      <w:r w:rsidR="002274FC">
        <w:t xml:space="preserve">They </w:t>
      </w:r>
      <w:r w:rsidR="00933E60">
        <w:t xml:space="preserve">are </w:t>
      </w:r>
      <w:r>
        <w:t xml:space="preserve">provided at a limited, if not single, number of sites </w:t>
      </w:r>
      <w:r w:rsidR="00933E60">
        <w:t>in Victoria to:</w:t>
      </w:r>
    </w:p>
    <w:p w14:paraId="4E13DBA9" w14:textId="0C73EDB7" w:rsidR="007422F5" w:rsidRPr="001A7A12" w:rsidRDefault="007422F5" w:rsidP="00C15D52">
      <w:pPr>
        <w:pStyle w:val="Bullet1"/>
      </w:pPr>
      <w:r w:rsidRPr="001A7A12">
        <w:t>provide expert clinical skills and knowledge to the health sector on a large scale</w:t>
      </w:r>
    </w:p>
    <w:p w14:paraId="6ADEB27E" w14:textId="77777777" w:rsidR="007422F5" w:rsidRPr="001A7A12" w:rsidRDefault="007422F5" w:rsidP="00C15D52">
      <w:pPr>
        <w:pStyle w:val="Bullet1"/>
      </w:pPr>
      <w:r w:rsidRPr="001A7A12">
        <w:t xml:space="preserve">build local clinical capability through education and training to support patients to receive care </w:t>
      </w:r>
      <w:r>
        <w:t>in the right place</w:t>
      </w:r>
      <w:r w:rsidRPr="001A7A12">
        <w:t>, and</w:t>
      </w:r>
      <w:r>
        <w:t>/or</w:t>
      </w:r>
    </w:p>
    <w:p w14:paraId="7C726C47" w14:textId="4FF6DC01" w:rsidR="007422F5" w:rsidRDefault="007422F5" w:rsidP="00C15D52">
      <w:pPr>
        <w:pStyle w:val="Bullet1"/>
      </w:pPr>
      <w:r>
        <w:t>support a sufficient volume of activity to ensure quality and safety.</w:t>
      </w:r>
    </w:p>
    <w:p w14:paraId="3A64A197" w14:textId="6E32AC97" w:rsidR="005B699B" w:rsidRPr="00A52705" w:rsidRDefault="00EF63F4" w:rsidP="002F5B06">
      <w:pPr>
        <w:pStyle w:val="Bodyafterbullets"/>
      </w:pPr>
      <w:r>
        <w:t>The department’s purchase of statewide services on behalf of the state is informed by analysis of Victorian demand for the specified services, including consideration of future service requirements and the annual departmental budget.</w:t>
      </w:r>
    </w:p>
    <w:p w14:paraId="4197E842" w14:textId="77777777" w:rsidR="005B699B" w:rsidRPr="00312F5F" w:rsidRDefault="005B699B" w:rsidP="00DD3D58">
      <w:pPr>
        <w:pStyle w:val="Heading4"/>
      </w:pPr>
      <w:r w:rsidRPr="00312F5F">
        <w:t xml:space="preserve">Assessment </w:t>
      </w:r>
      <w:r w:rsidRPr="0047254D">
        <w:t>criteria</w:t>
      </w:r>
    </w:p>
    <w:p w14:paraId="7BB613F9" w14:textId="77777777" w:rsidR="005B699B" w:rsidRPr="00A52705" w:rsidRDefault="005B699B" w:rsidP="005B699B">
      <w:pPr>
        <w:pStyle w:val="Body"/>
      </w:pPr>
      <w:r w:rsidRPr="00A52705">
        <w:t>The department will determine the list of designated statewide services. These services have some combination of the following characteristics:</w:t>
      </w:r>
    </w:p>
    <w:p w14:paraId="13293C28" w14:textId="3BA9CD46" w:rsidR="005B699B" w:rsidRPr="00A52705" w:rsidRDefault="005B699B" w:rsidP="004537E5">
      <w:pPr>
        <w:pStyle w:val="Bullet1"/>
        <w:numPr>
          <w:ilvl w:val="0"/>
          <w:numId w:val="22"/>
        </w:numPr>
      </w:pPr>
      <w:r w:rsidRPr="00A52705">
        <w:t>high</w:t>
      </w:r>
      <w:r w:rsidR="0047254D">
        <w:t xml:space="preserve"> </w:t>
      </w:r>
      <w:r w:rsidRPr="00A52705">
        <w:t xml:space="preserve">cost </w:t>
      </w:r>
      <w:r w:rsidR="0047254D">
        <w:t>and</w:t>
      </w:r>
      <w:r w:rsidR="0047254D" w:rsidRPr="00A52705">
        <w:t xml:space="preserve"> </w:t>
      </w:r>
      <w:r w:rsidRPr="00A52705">
        <w:t>low volume</w:t>
      </w:r>
    </w:p>
    <w:p w14:paraId="2FF59862" w14:textId="77777777" w:rsidR="005B699B" w:rsidRPr="00A52705" w:rsidRDefault="005B699B" w:rsidP="004537E5">
      <w:pPr>
        <w:pStyle w:val="Bullet1"/>
        <w:numPr>
          <w:ilvl w:val="0"/>
          <w:numId w:val="22"/>
        </w:numPr>
      </w:pPr>
      <w:r w:rsidRPr="00A52705">
        <w:t>highly specialised</w:t>
      </w:r>
    </w:p>
    <w:p w14:paraId="7BE3B6DF" w14:textId="77777777" w:rsidR="005B699B" w:rsidRPr="00A52705" w:rsidRDefault="005B699B" w:rsidP="004537E5">
      <w:pPr>
        <w:pStyle w:val="Bullet1"/>
        <w:numPr>
          <w:ilvl w:val="0"/>
          <w:numId w:val="22"/>
        </w:numPr>
      </w:pPr>
      <w:r w:rsidRPr="00A52705">
        <w:t>dependent on specialised equipment</w:t>
      </w:r>
    </w:p>
    <w:p w14:paraId="69EB8FF5" w14:textId="0BCA060A" w:rsidR="005B699B" w:rsidRDefault="005B699B" w:rsidP="004537E5">
      <w:pPr>
        <w:pStyle w:val="Bullet1"/>
        <w:numPr>
          <w:ilvl w:val="0"/>
          <w:numId w:val="22"/>
        </w:numPr>
      </w:pPr>
      <w:r w:rsidRPr="0013154B">
        <w:t>significant proportion of clients are outside of the health service’s ‘catchment’</w:t>
      </w:r>
    </w:p>
    <w:p w14:paraId="0D90C6F7" w14:textId="77777777" w:rsidR="0084422B" w:rsidRDefault="0084422B" w:rsidP="00FF3803">
      <w:pPr>
        <w:pStyle w:val="Body"/>
        <w:numPr>
          <w:ilvl w:val="0"/>
          <w:numId w:val="39"/>
        </w:numPr>
        <w:jc w:val="both"/>
      </w:pPr>
      <w:r>
        <w:t>coordination activities not sufficiently captured in the NWAU.</w:t>
      </w:r>
    </w:p>
    <w:p w14:paraId="062D9CE5" w14:textId="6C35D0EB" w:rsidR="0084422B" w:rsidRDefault="0084422B" w:rsidP="002F5B06">
      <w:pPr>
        <w:pStyle w:val="Bodyafterbullets"/>
      </w:pPr>
      <w:r>
        <w:t>For activities that are captured by NWAU, a pricing adjustment will only be considered for services that have a cost recovery below 70% at a minimum</w:t>
      </w:r>
      <w:r w:rsidR="002274FC">
        <w:t>. At this point,</w:t>
      </w:r>
      <w:r>
        <w:t xml:space="preserve"> it may be reasonable to assume that the service costs cannot be managed within a health service’s overall budget.</w:t>
      </w:r>
    </w:p>
    <w:p w14:paraId="1EE8A249" w14:textId="77777777" w:rsidR="0084422B" w:rsidRDefault="0084422B" w:rsidP="0084422B">
      <w:pPr>
        <w:pStyle w:val="Body"/>
      </w:pPr>
      <w:r>
        <w:lastRenderedPageBreak/>
        <w:t>Pricing adjustments for coordination activities not sufficiently captured in NWAU will be treated separately.</w:t>
      </w:r>
    </w:p>
    <w:p w14:paraId="0CFE8917" w14:textId="1D35FF70" w:rsidR="005B699B" w:rsidRPr="00294321" w:rsidRDefault="005B699B" w:rsidP="004537E5">
      <w:pPr>
        <w:pStyle w:val="Heading3"/>
        <w:numPr>
          <w:ilvl w:val="2"/>
          <w:numId w:val="12"/>
        </w:numPr>
      </w:pPr>
      <w:r w:rsidRPr="00294321">
        <w:t>Adjustments for entit</w:t>
      </w:r>
      <w:r w:rsidR="00F6728D">
        <w:t>y</w:t>
      </w:r>
    </w:p>
    <w:p w14:paraId="1BDDFE17" w14:textId="3710E8D8" w:rsidR="005B699B" w:rsidRPr="00A52705" w:rsidRDefault="002274FC" w:rsidP="005B699B">
      <w:pPr>
        <w:pStyle w:val="Body"/>
      </w:pPr>
      <w:r>
        <w:t>In some circumstances,</w:t>
      </w:r>
      <w:r w:rsidRPr="00A52705">
        <w:t xml:space="preserve"> </w:t>
      </w:r>
      <w:r w:rsidR="005B699B" w:rsidRPr="00A52705">
        <w:t>the entity type (as a result of size</w:t>
      </w:r>
      <w:r w:rsidR="005B699B">
        <w:t>, location and service mix</w:t>
      </w:r>
      <w:r w:rsidR="005B699B" w:rsidRPr="00A52705">
        <w:t xml:space="preserve">) is the driving factor of variance in cost profile when compared </w:t>
      </w:r>
      <w:r w:rsidR="00AF18F3">
        <w:t>with</w:t>
      </w:r>
      <w:r w:rsidR="00AF18F3" w:rsidRPr="00A52705">
        <w:t xml:space="preserve"> </w:t>
      </w:r>
      <w:r w:rsidR="005B699B" w:rsidRPr="00A52705">
        <w:t>national profiles</w:t>
      </w:r>
      <w:r w:rsidR="006E0A51">
        <w:t xml:space="preserve"> for </w:t>
      </w:r>
      <w:r w:rsidR="00F963AB">
        <w:t xml:space="preserve">NWAU </w:t>
      </w:r>
      <w:r w:rsidR="00F70439">
        <w:t>ABF</w:t>
      </w:r>
      <w:r w:rsidR="006E0A51">
        <w:t xml:space="preserve"> services</w:t>
      </w:r>
      <w:r>
        <w:t>. In these cases,</w:t>
      </w:r>
      <w:r w:rsidR="005B699B" w:rsidRPr="00A52705">
        <w:t xml:space="preserve"> Victoria will provide additional funding to support a cost-recovery rate aligned with the agreed rate used to set the VEP.</w:t>
      </w:r>
    </w:p>
    <w:p w14:paraId="2E697DD1" w14:textId="77777777" w:rsidR="005B699B" w:rsidRPr="00A52705" w:rsidRDefault="005B699B" w:rsidP="005B699B">
      <w:pPr>
        <w:pStyle w:val="Body"/>
      </w:pPr>
      <w:r w:rsidRPr="00A52705">
        <w:t>Examples of this may include</w:t>
      </w:r>
      <w:r>
        <w:t xml:space="preserve"> health services</w:t>
      </w:r>
      <w:r w:rsidRPr="00A52705">
        <w:t>:</w:t>
      </w:r>
    </w:p>
    <w:p w14:paraId="200C7D04" w14:textId="77777777" w:rsidR="005B699B" w:rsidRPr="00A52705" w:rsidRDefault="005B699B" w:rsidP="004537E5">
      <w:pPr>
        <w:pStyle w:val="Bullet1"/>
        <w:numPr>
          <w:ilvl w:val="0"/>
          <w:numId w:val="23"/>
        </w:numPr>
      </w:pPr>
      <w:r>
        <w:t>with</w:t>
      </w:r>
      <w:r w:rsidRPr="00A52705">
        <w:t xml:space="preserve"> a complex cost structure due to location and/or services provided</w:t>
      </w:r>
    </w:p>
    <w:p w14:paraId="1A24BDE0" w14:textId="3D34869A" w:rsidR="005B699B" w:rsidRPr="00A52705" w:rsidRDefault="00AF18F3" w:rsidP="004537E5">
      <w:pPr>
        <w:pStyle w:val="Bullet1"/>
        <w:numPr>
          <w:ilvl w:val="0"/>
          <w:numId w:val="23"/>
        </w:numPr>
      </w:pPr>
      <w:r>
        <w:t>affected</w:t>
      </w:r>
      <w:r w:rsidRPr="00A52705">
        <w:t xml:space="preserve"> </w:t>
      </w:r>
      <w:r w:rsidR="005B699B" w:rsidRPr="00A52705">
        <w:t>by an unprecedented event (for example natural disaster)</w:t>
      </w:r>
    </w:p>
    <w:p w14:paraId="0E94EF6D" w14:textId="6AA5F1A6" w:rsidR="005B699B" w:rsidRPr="00A52705" w:rsidRDefault="00AF18F3" w:rsidP="004537E5">
      <w:pPr>
        <w:pStyle w:val="Bullet1"/>
        <w:numPr>
          <w:ilvl w:val="0"/>
          <w:numId w:val="23"/>
        </w:numPr>
      </w:pPr>
      <w:r>
        <w:t>that cannot</w:t>
      </w:r>
      <w:r w:rsidR="005B699B" w:rsidRPr="00A52705">
        <w:t xml:space="preserve"> generate own</w:t>
      </w:r>
      <w:r w:rsidR="007022DE">
        <w:t>-</w:t>
      </w:r>
      <w:r w:rsidR="005B699B" w:rsidRPr="00A52705">
        <w:t xml:space="preserve">source revenue at the same rate as other services due to factors outside </w:t>
      </w:r>
      <w:r w:rsidR="005B699B">
        <w:t>the health service’s</w:t>
      </w:r>
      <w:r w:rsidR="005B699B" w:rsidRPr="00A52705" w:rsidDel="000379CD">
        <w:t xml:space="preserve"> </w:t>
      </w:r>
      <w:r w:rsidR="005B699B" w:rsidRPr="00A52705">
        <w:t>control</w:t>
      </w:r>
    </w:p>
    <w:p w14:paraId="02B1F328" w14:textId="278C12CD" w:rsidR="005B699B" w:rsidRPr="00A52705" w:rsidRDefault="00AF18F3" w:rsidP="004537E5">
      <w:pPr>
        <w:pStyle w:val="Bullet1"/>
        <w:numPr>
          <w:ilvl w:val="0"/>
          <w:numId w:val="23"/>
        </w:numPr>
      </w:pPr>
      <w:r>
        <w:t>o</w:t>
      </w:r>
      <w:r w:rsidRPr="00A52705">
        <w:t xml:space="preserve">ther </w:t>
      </w:r>
      <w:r w:rsidR="005B699B" w:rsidRPr="00A52705">
        <w:t>operational requirements of the health service as needed.</w:t>
      </w:r>
    </w:p>
    <w:p w14:paraId="7FC9EEBD" w14:textId="06CAEAD2" w:rsidR="005B699B" w:rsidRDefault="002274FC" w:rsidP="002F5B06">
      <w:pPr>
        <w:pStyle w:val="Bodyafterbullets"/>
      </w:pPr>
      <w:r>
        <w:t>If</w:t>
      </w:r>
      <w:r w:rsidRPr="00A52705">
        <w:t xml:space="preserve"> </w:t>
      </w:r>
      <w:r w:rsidR="005B699B" w:rsidRPr="00A52705">
        <w:t xml:space="preserve">a health service </w:t>
      </w:r>
      <w:r w:rsidR="00AF18F3">
        <w:t>receives</w:t>
      </w:r>
      <w:r w:rsidR="005B699B" w:rsidRPr="00A52705">
        <w:t xml:space="preserve"> a </w:t>
      </w:r>
      <w:r w:rsidR="00DD200E">
        <w:t xml:space="preserve">positive </w:t>
      </w:r>
      <w:r w:rsidR="005B699B" w:rsidRPr="005C49F4">
        <w:rPr>
          <w:rFonts w:eastAsia="Times New Roman"/>
        </w:rPr>
        <w:t xml:space="preserve">pricing </w:t>
      </w:r>
      <w:r w:rsidR="005B699B" w:rsidRPr="00A52705">
        <w:t>adjustment for entity, the department will work closely with the service to improve their financial position, reconfigure their service mix and improve performance against funding metrics.</w:t>
      </w:r>
    </w:p>
    <w:p w14:paraId="34E6C207" w14:textId="0B751FC8" w:rsidR="00045F89" w:rsidRDefault="00045F89" w:rsidP="00F61416">
      <w:pPr>
        <w:pStyle w:val="Body"/>
      </w:pPr>
      <w:r w:rsidRPr="002A3E41">
        <w:t>A negative pricing adjustment for entity will apply where a health service increases their cost profile through undertaking more expensive activities, supported through high own-source revenue. This ensures that health services are not double funded for these activities.</w:t>
      </w:r>
    </w:p>
    <w:p w14:paraId="00D8C51F" w14:textId="77777777" w:rsidR="005B699B" w:rsidRDefault="005B699B" w:rsidP="00143913">
      <w:pPr>
        <w:pStyle w:val="Heading4"/>
      </w:pPr>
      <w:r w:rsidRPr="00AF18F3">
        <w:t>Assessment</w:t>
      </w:r>
      <w:r w:rsidRPr="00312F5F">
        <w:t xml:space="preserve"> </w:t>
      </w:r>
      <w:r>
        <w:t>c</w:t>
      </w:r>
      <w:r w:rsidRPr="00312F5F">
        <w:t>riteria</w:t>
      </w:r>
    </w:p>
    <w:p w14:paraId="616DC6D2" w14:textId="48CB4786" w:rsidR="002A3E82" w:rsidRPr="002A3E82" w:rsidRDefault="002A3E82" w:rsidP="00F61416">
      <w:pPr>
        <w:pStyle w:val="Body"/>
      </w:pPr>
      <w:r>
        <w:t>The assessment criteria are:</w:t>
      </w:r>
    </w:p>
    <w:p w14:paraId="170EF56E" w14:textId="0CBB9480" w:rsidR="005B699B" w:rsidRPr="00A52705" w:rsidRDefault="002A3E82" w:rsidP="004537E5">
      <w:pPr>
        <w:pStyle w:val="Bullet1"/>
        <w:numPr>
          <w:ilvl w:val="0"/>
          <w:numId w:val="14"/>
        </w:numPr>
      </w:pPr>
      <w:r>
        <w:t>o</w:t>
      </w:r>
      <w:r w:rsidRPr="00A52705">
        <w:t xml:space="preserve">verall </w:t>
      </w:r>
      <w:r w:rsidR="005B699B" w:rsidRPr="00A52705">
        <w:t>cost recovery for an entity is below 85</w:t>
      </w:r>
      <w:r w:rsidR="005B699B">
        <w:t>%</w:t>
      </w:r>
      <w:r w:rsidR="00AF18F3">
        <w:t>,</w:t>
      </w:r>
      <w:r w:rsidR="005B699B" w:rsidRPr="00A52705">
        <w:t xml:space="preserve"> and costs are deemed to be reasonable based on the characteristics of the health service and patient population</w:t>
      </w:r>
      <w:r w:rsidR="00AF18F3">
        <w:t>,</w:t>
      </w:r>
      <w:r w:rsidR="00AF18F3" w:rsidRPr="00A52705">
        <w:t xml:space="preserve"> </w:t>
      </w:r>
      <w:r w:rsidR="005B699B" w:rsidRPr="00A52705">
        <w:t>or</w:t>
      </w:r>
    </w:p>
    <w:p w14:paraId="33EA3529" w14:textId="133C9F76" w:rsidR="005B699B" w:rsidRPr="00A52705" w:rsidRDefault="00BD3959" w:rsidP="004537E5">
      <w:pPr>
        <w:pStyle w:val="Bullet1"/>
        <w:numPr>
          <w:ilvl w:val="0"/>
          <w:numId w:val="14"/>
        </w:numPr>
      </w:pPr>
      <w:r>
        <w:t>t</w:t>
      </w:r>
      <w:r w:rsidR="00AF18F3">
        <w:t>he h</w:t>
      </w:r>
      <w:r w:rsidR="00AF18F3" w:rsidRPr="00A52705">
        <w:t xml:space="preserve">ealth </w:t>
      </w:r>
      <w:r w:rsidR="005B699B" w:rsidRPr="00A52705">
        <w:t>service is restricted in its ability to generate own</w:t>
      </w:r>
      <w:r w:rsidR="007022DE">
        <w:t>-</w:t>
      </w:r>
      <w:r w:rsidR="005B699B" w:rsidRPr="00A52705">
        <w:t>source revenue</w:t>
      </w:r>
      <w:r w:rsidR="00AF18F3">
        <w:t>,</w:t>
      </w:r>
      <w:r w:rsidR="00AF18F3" w:rsidRPr="00A52705">
        <w:t xml:space="preserve"> </w:t>
      </w:r>
      <w:r w:rsidR="005B699B" w:rsidRPr="00A52705">
        <w:t xml:space="preserve">and </w:t>
      </w:r>
    </w:p>
    <w:p w14:paraId="3B062DB7" w14:textId="1D53CE9B" w:rsidR="005B699B" w:rsidRPr="00A52705" w:rsidRDefault="00BD3959" w:rsidP="004537E5">
      <w:pPr>
        <w:pStyle w:val="Bullet1"/>
        <w:numPr>
          <w:ilvl w:val="0"/>
          <w:numId w:val="14"/>
        </w:numPr>
        <w:spacing w:after="120"/>
        <w:ind w:left="357" w:hanging="357"/>
      </w:pPr>
      <w:r>
        <w:t>t</w:t>
      </w:r>
      <w:r w:rsidR="005B699B" w:rsidRPr="00A52705">
        <w:t>hese factors pose a risk to health service viability</w:t>
      </w:r>
      <w:r w:rsidR="005B699B">
        <w:t>,</w:t>
      </w:r>
      <w:r w:rsidR="005B699B" w:rsidRPr="00A52705">
        <w:t xml:space="preserve"> as determined by department. </w:t>
      </w:r>
    </w:p>
    <w:p w14:paraId="6AE7E8D0" w14:textId="17BE24BF" w:rsidR="005B699B" w:rsidRDefault="005B699B" w:rsidP="002F5B06">
      <w:pPr>
        <w:pStyle w:val="Bodyafterbullets"/>
      </w:pPr>
      <w:r>
        <w:t xml:space="preserve">Where a health service does not meet one of the first </w:t>
      </w:r>
      <w:r w:rsidR="007D775F">
        <w:t>2</w:t>
      </w:r>
      <w:r>
        <w:t xml:space="preserve"> assessment criteria, but </w:t>
      </w:r>
      <w:r w:rsidR="00AF18F3">
        <w:t>its cost-</w:t>
      </w:r>
      <w:r>
        <w:t>recovery rate poses a risk to the health service’s financial sustainability, the department may determine it appropriate to apply an adjustment for entity.</w:t>
      </w:r>
    </w:p>
    <w:p w14:paraId="35F4E442" w14:textId="0D3F33CA" w:rsidR="0013123C" w:rsidRPr="002274FC" w:rsidRDefault="0013123C" w:rsidP="00601CCB">
      <w:pPr>
        <w:pStyle w:val="Body"/>
      </w:pPr>
      <w:r>
        <w:br w:type="page"/>
      </w:r>
    </w:p>
    <w:p w14:paraId="5DDB7184" w14:textId="5612E762" w:rsidR="005B699B" w:rsidRPr="004627FE" w:rsidRDefault="005B699B" w:rsidP="004537E5">
      <w:pPr>
        <w:pStyle w:val="Heading3"/>
        <w:numPr>
          <w:ilvl w:val="2"/>
          <w:numId w:val="12"/>
        </w:numPr>
      </w:pPr>
      <w:r w:rsidRPr="004627FE">
        <w:lastRenderedPageBreak/>
        <w:t>Legacy grants</w:t>
      </w:r>
    </w:p>
    <w:p w14:paraId="7E374281" w14:textId="77777777" w:rsidR="002274FC" w:rsidRDefault="005B699B" w:rsidP="005B699B">
      <w:pPr>
        <w:pStyle w:val="Body"/>
      </w:pPr>
      <w:r w:rsidDel="00B07FEE">
        <w:t xml:space="preserve">Some historical grants retained under the </w:t>
      </w:r>
      <w:r w:rsidR="00923A3C" w:rsidDel="00B07FEE">
        <w:t>Victorian</w:t>
      </w:r>
      <w:r w:rsidDel="00B07FEE">
        <w:t xml:space="preserve"> </w:t>
      </w:r>
      <w:r w:rsidR="003A4C46" w:rsidDel="00B07FEE">
        <w:t xml:space="preserve">ABF </w:t>
      </w:r>
      <w:r w:rsidR="00AF18F3" w:rsidDel="00B07FEE">
        <w:t>pricing framework</w:t>
      </w:r>
      <w:r w:rsidDel="00B07FEE">
        <w:t xml:space="preserve"> have not been recalculated for the purposes of health services</w:t>
      </w:r>
      <w:r w:rsidR="006C2D13">
        <w:t>’</w:t>
      </w:r>
      <w:r w:rsidDel="00B07FEE">
        <w:t xml:space="preserve"> </w:t>
      </w:r>
      <w:r>
        <w:t>202</w:t>
      </w:r>
      <w:r w:rsidR="006F3D86">
        <w:t>5</w:t>
      </w:r>
      <w:r>
        <w:t>–2</w:t>
      </w:r>
      <w:r w:rsidR="006F3D86">
        <w:t>6</w:t>
      </w:r>
      <w:r w:rsidDel="00B07FEE">
        <w:t xml:space="preserve"> budget allocations. </w:t>
      </w:r>
    </w:p>
    <w:p w14:paraId="469EBBD4" w14:textId="6471A8F4" w:rsidR="005B699B" w:rsidDel="00B07FEE" w:rsidRDefault="005B699B" w:rsidP="005B699B">
      <w:pPr>
        <w:pStyle w:val="Body"/>
      </w:pPr>
      <w:r w:rsidDel="00B07FEE">
        <w:t xml:space="preserve">These grants have </w:t>
      </w:r>
      <w:r w:rsidR="00E63E33">
        <w:t>a preliminary</w:t>
      </w:r>
      <w:r w:rsidDel="00B07FEE">
        <w:t xml:space="preserve"> classif</w:t>
      </w:r>
      <w:r w:rsidR="00EB37D2">
        <w:t>ication</w:t>
      </w:r>
      <w:r w:rsidDel="00B07FEE">
        <w:t xml:space="preserve"> based on </w:t>
      </w:r>
      <w:r w:rsidR="00772130">
        <w:t>adjustment</w:t>
      </w:r>
      <w:r w:rsidDel="00B07FEE">
        <w:t xml:space="preserve"> type</w:t>
      </w:r>
      <w:r w:rsidR="00772130">
        <w:t>s</w:t>
      </w:r>
      <w:r w:rsidDel="00B07FEE">
        <w:t xml:space="preserve"> as outlined above</w:t>
      </w:r>
      <w:r w:rsidR="00AF18F3" w:rsidDel="00B07FEE">
        <w:t xml:space="preserve">. </w:t>
      </w:r>
      <w:r w:rsidR="00AF18F3">
        <w:t xml:space="preserve">They </w:t>
      </w:r>
      <w:r>
        <w:t xml:space="preserve">are listed in </w:t>
      </w:r>
      <w:r w:rsidR="00C14769">
        <w:fldChar w:fldCharType="begin"/>
      </w:r>
      <w:r w:rsidR="00C14769">
        <w:instrText xml:space="preserve"> REF _Ref199252198 \h </w:instrText>
      </w:r>
      <w:r w:rsidR="00C14769">
        <w:fldChar w:fldCharType="separate"/>
      </w:r>
      <w:r w:rsidR="007D262B" w:rsidRPr="00EF3DF0">
        <w:t>Table 2.</w:t>
      </w:r>
      <w:r w:rsidR="007D262B">
        <w:rPr>
          <w:noProof/>
        </w:rPr>
        <w:t>24</w:t>
      </w:r>
      <w:r w:rsidR="007D262B" w:rsidRPr="00EF3DF0">
        <w:t>: Victorian pricing adjustments 2025–26</w:t>
      </w:r>
      <w:r w:rsidR="007D262B">
        <w:t xml:space="preserve"> – Legacy grants</w:t>
      </w:r>
      <w:r w:rsidR="00C14769">
        <w:fldChar w:fldCharType="end"/>
      </w:r>
      <w:r w:rsidR="00C14769">
        <w:t>.</w:t>
      </w:r>
    </w:p>
    <w:p w14:paraId="52989CEA" w14:textId="5C0A13E9" w:rsidR="005B699B" w:rsidDel="00B07FEE" w:rsidRDefault="005B699B" w:rsidP="005B699B">
      <w:pPr>
        <w:pStyle w:val="Body"/>
        <w:rPr>
          <w:b/>
          <w:bCs/>
        </w:rPr>
      </w:pPr>
      <w:r w:rsidDel="00B07FEE">
        <w:t>These grants will be reviewed to inform future budget allocations, including aligning their calculation to ensure equitable funding allocation.</w:t>
      </w:r>
    </w:p>
    <w:p w14:paraId="43C8A23C" w14:textId="0A113BA5" w:rsidR="005B699B" w:rsidRDefault="005B699B" w:rsidP="00B448AC">
      <w:pPr>
        <w:pStyle w:val="Heading2"/>
        <w:numPr>
          <w:ilvl w:val="1"/>
          <w:numId w:val="12"/>
        </w:numPr>
        <w:ind w:left="709" w:hanging="709"/>
      </w:pPr>
      <w:bookmarkStart w:id="1546" w:name="_Toc165961794"/>
      <w:bookmarkStart w:id="1547" w:name="_Toc201148213"/>
      <w:r w:rsidRPr="00AF18F3">
        <w:t>Funding</w:t>
      </w:r>
      <w:r w:rsidRPr="008C1B3C">
        <w:t xml:space="preserve"> reforms </w:t>
      </w:r>
      <w:bookmarkEnd w:id="1546"/>
      <w:r w:rsidRPr="008C1B3C">
        <w:t>202</w:t>
      </w:r>
      <w:r w:rsidR="002602A5">
        <w:t>5</w:t>
      </w:r>
      <w:r>
        <w:t>–</w:t>
      </w:r>
      <w:r w:rsidRPr="008C1B3C">
        <w:t>2</w:t>
      </w:r>
      <w:r w:rsidR="002602A5">
        <w:t>6</w:t>
      </w:r>
      <w:bookmarkEnd w:id="1547"/>
    </w:p>
    <w:p w14:paraId="51F2EE13" w14:textId="5DE4C69E" w:rsidR="009F6781" w:rsidRDefault="005B699B" w:rsidP="008204A1">
      <w:pPr>
        <w:pStyle w:val="Body"/>
      </w:pPr>
      <w:r w:rsidRPr="00736CC1" w:rsidDel="002602A5">
        <w:t xml:space="preserve">In </w:t>
      </w:r>
      <w:r w:rsidRPr="00736CC1">
        <w:t>202</w:t>
      </w:r>
      <w:r w:rsidR="006D4964" w:rsidRPr="00736CC1">
        <w:t>5</w:t>
      </w:r>
      <w:r w:rsidRPr="00736CC1">
        <w:t>–2</w:t>
      </w:r>
      <w:r w:rsidR="006D4964" w:rsidRPr="00736CC1">
        <w:t>6</w:t>
      </w:r>
      <w:r w:rsidRPr="00736CC1" w:rsidDel="002602A5">
        <w:t xml:space="preserve">, the department aligned </w:t>
      </w:r>
      <w:r w:rsidR="003772D5" w:rsidRPr="00736CC1">
        <w:t>funding for in-scope</w:t>
      </w:r>
      <w:r w:rsidR="0011336C" w:rsidRPr="00736CC1">
        <w:t xml:space="preserve"> </w:t>
      </w:r>
      <w:r w:rsidR="00146E72" w:rsidRPr="00736CC1">
        <w:t>non-admitted</w:t>
      </w:r>
      <w:r w:rsidR="006D4964" w:rsidRPr="00736CC1">
        <w:t xml:space="preserve"> </w:t>
      </w:r>
      <w:r w:rsidR="00192C8B" w:rsidRPr="00736CC1" w:rsidDel="002602A5">
        <w:t>mental health</w:t>
      </w:r>
      <w:r w:rsidRPr="00736CC1" w:rsidDel="002602A5">
        <w:t xml:space="preserve"> </w:t>
      </w:r>
      <w:r w:rsidR="008B603B" w:rsidRPr="00736CC1">
        <w:t xml:space="preserve">care provided </w:t>
      </w:r>
      <w:r w:rsidR="008B184B" w:rsidRPr="00736CC1">
        <w:t xml:space="preserve">by </w:t>
      </w:r>
      <w:r w:rsidR="002274FC">
        <w:t>d</w:t>
      </w:r>
      <w:r w:rsidR="002274FC" w:rsidRPr="00736CC1">
        <w:t xml:space="preserve">esignated </w:t>
      </w:r>
      <w:r w:rsidR="002274FC">
        <w:t>m</w:t>
      </w:r>
      <w:r w:rsidR="002274FC" w:rsidRPr="00736CC1">
        <w:t xml:space="preserve">ental </w:t>
      </w:r>
      <w:r w:rsidR="002274FC">
        <w:t>h</w:t>
      </w:r>
      <w:r w:rsidR="002274FC" w:rsidRPr="00736CC1">
        <w:t xml:space="preserve">ealth </w:t>
      </w:r>
      <w:r w:rsidR="002274FC">
        <w:t>s</w:t>
      </w:r>
      <w:r w:rsidR="002274FC" w:rsidRPr="00736CC1">
        <w:t xml:space="preserve">ervices </w:t>
      </w:r>
      <w:r w:rsidRPr="00736CC1" w:rsidDel="002602A5">
        <w:t>with the national funding model</w:t>
      </w:r>
      <w:r w:rsidR="008B1122" w:rsidRPr="00736CC1" w:rsidDel="002602A5">
        <w:t>.</w:t>
      </w:r>
      <w:r w:rsidR="003C53A9" w:rsidRPr="00736CC1" w:rsidDel="002602A5">
        <w:t xml:space="preserve"> T</w:t>
      </w:r>
      <w:r w:rsidR="008D5D0A" w:rsidRPr="00736CC1" w:rsidDel="002602A5">
        <w:t>his</w:t>
      </w:r>
      <w:r w:rsidRPr="00736CC1" w:rsidDel="002602A5">
        <w:t xml:space="preserve"> activity</w:t>
      </w:r>
      <w:r w:rsidR="008D5D0A" w:rsidRPr="00736CC1" w:rsidDel="002602A5">
        <w:t xml:space="preserve"> </w:t>
      </w:r>
      <w:r w:rsidR="003C53A9" w:rsidRPr="00736CC1" w:rsidDel="002602A5">
        <w:t>will</w:t>
      </w:r>
      <w:r w:rsidR="003E01EE" w:rsidRPr="00736CC1" w:rsidDel="002602A5">
        <w:t xml:space="preserve"> be</w:t>
      </w:r>
      <w:r w:rsidRPr="00736CC1" w:rsidDel="002602A5">
        <w:t xml:space="preserve"> funded based on the </w:t>
      </w:r>
      <w:r w:rsidR="00CE19B9" w:rsidRPr="00736CC1" w:rsidDel="002602A5">
        <w:t xml:space="preserve">NWAU and </w:t>
      </w:r>
      <w:r w:rsidRPr="00736CC1" w:rsidDel="002602A5">
        <w:t>VEP.</w:t>
      </w:r>
      <w:r w:rsidR="008204A1" w:rsidRPr="00736CC1" w:rsidDel="00904C79">
        <w:t xml:space="preserve"> </w:t>
      </w:r>
      <w:r w:rsidR="008204A1" w:rsidRPr="00736CC1">
        <w:t xml:space="preserve">Health services will be allocated a NWAU target consistent with their non-admitted budgets for 2024–25. </w:t>
      </w:r>
    </w:p>
    <w:p w14:paraId="063B1403" w14:textId="51AEC0C9" w:rsidR="008204A1" w:rsidRPr="00736CC1" w:rsidRDefault="008204A1" w:rsidP="008204A1">
      <w:pPr>
        <w:pStyle w:val="Body"/>
      </w:pPr>
      <w:r w:rsidRPr="00736CC1">
        <w:t xml:space="preserve">Health services must continue delivering all non-admitted mental health services delivered in previous years, regardless of funding model. Community service hour targets will be retained for the purpose of ensuring maintenance of activity delivery post transition to the </w:t>
      </w:r>
      <w:r w:rsidR="00371B08" w:rsidRPr="00736CC1">
        <w:t>n</w:t>
      </w:r>
      <w:r w:rsidRPr="00736CC1">
        <w:t xml:space="preserve">ational </w:t>
      </w:r>
      <w:r w:rsidR="00371B08" w:rsidRPr="00736CC1">
        <w:t>f</w:t>
      </w:r>
      <w:r w:rsidRPr="00736CC1">
        <w:t xml:space="preserve">unding </w:t>
      </w:r>
      <w:r w:rsidR="00371B08" w:rsidRPr="00736CC1">
        <w:t>m</w:t>
      </w:r>
      <w:r w:rsidRPr="00736CC1">
        <w:t xml:space="preserve">odel. </w:t>
      </w:r>
    </w:p>
    <w:p w14:paraId="23E9DAE5" w14:textId="39C7BDB4" w:rsidR="00684127" w:rsidRDefault="009F6781" w:rsidP="00914E95">
      <w:pPr>
        <w:pStyle w:val="Body"/>
      </w:pPr>
      <w:r>
        <w:t>‘</w:t>
      </w:r>
      <w:r w:rsidR="00F720B0" w:rsidRPr="00736CC1">
        <w:t>Subcutaneous immunoglobulin (SCIg)</w:t>
      </w:r>
      <w:r w:rsidR="00BD5502" w:rsidRPr="00736CC1">
        <w:t xml:space="preserve"> </w:t>
      </w:r>
      <w:r w:rsidR="000C5061" w:rsidRPr="00736CC1">
        <w:t>i</w:t>
      </w:r>
      <w:r w:rsidR="00BD5502" w:rsidRPr="00736CC1">
        <w:t>nfusion</w:t>
      </w:r>
      <w:r w:rsidR="00BD5502" w:rsidRPr="002411B7">
        <w:t xml:space="preserve"> </w:t>
      </w:r>
      <w:r w:rsidR="000C5061" w:rsidRPr="002411B7">
        <w:t>t</w:t>
      </w:r>
      <w:r w:rsidR="00BD5502" w:rsidRPr="002411B7">
        <w:t>herapy</w:t>
      </w:r>
      <w:r w:rsidR="00BD5502" w:rsidRPr="00BD5502">
        <w:t xml:space="preserve"> </w:t>
      </w:r>
      <w:r>
        <w:t>–</w:t>
      </w:r>
      <w:r w:rsidRPr="00F720B0">
        <w:t xml:space="preserve"> </w:t>
      </w:r>
      <w:r w:rsidR="00F720B0" w:rsidRPr="00F720B0">
        <w:t>home delivered</w:t>
      </w:r>
      <w:r>
        <w:t>’</w:t>
      </w:r>
      <w:r w:rsidR="00F720B0" w:rsidRPr="00F720B0">
        <w:t xml:space="preserve"> </w:t>
      </w:r>
      <w:r w:rsidR="006F67EE">
        <w:t xml:space="preserve">has also been aligned </w:t>
      </w:r>
      <w:r>
        <w:t xml:space="preserve">with </w:t>
      </w:r>
      <w:r w:rsidR="006F67EE">
        <w:t>the national funding model</w:t>
      </w:r>
      <w:r>
        <w:t xml:space="preserve">. This </w:t>
      </w:r>
      <w:r w:rsidR="00DF47F8">
        <w:t xml:space="preserve">is funded on the basis of NWAU and VEP </w:t>
      </w:r>
      <w:r w:rsidR="00BD5502" w:rsidRPr="00BD5502">
        <w:t>under the NHRA Tier</w:t>
      </w:r>
      <w:r w:rsidR="00F61416">
        <w:t xml:space="preserve"> </w:t>
      </w:r>
      <w:r w:rsidR="00BD5502" w:rsidRPr="00BD5502">
        <w:t>2 non-admitted services national classification system from 1 July 2025</w:t>
      </w:r>
      <w:r w:rsidR="00DF47F8">
        <w:t>.</w:t>
      </w:r>
    </w:p>
    <w:p w14:paraId="03445EC6" w14:textId="431B243D" w:rsidR="005B699B" w:rsidRPr="009D4152" w:rsidRDefault="005B699B" w:rsidP="00751EC9">
      <w:pPr>
        <w:pStyle w:val="Body"/>
      </w:pPr>
      <w:r>
        <w:br w:type="page"/>
      </w:r>
    </w:p>
    <w:p w14:paraId="70F47272" w14:textId="74819870" w:rsidR="005B699B" w:rsidRPr="00EA3A75" w:rsidRDefault="006D413C" w:rsidP="00B718DB">
      <w:pPr>
        <w:pStyle w:val="Heading1"/>
        <w:numPr>
          <w:ilvl w:val="0"/>
          <w:numId w:val="12"/>
        </w:numPr>
        <w:ind w:left="709" w:hanging="709"/>
      </w:pPr>
      <w:bookmarkStart w:id="1548" w:name="_Toc165961795"/>
      <w:bookmarkStart w:id="1549" w:name="_Toc201148214"/>
      <w:r>
        <w:lastRenderedPageBreak/>
        <w:t xml:space="preserve">NHRA </w:t>
      </w:r>
      <w:r w:rsidR="00F43135">
        <w:t>s</w:t>
      </w:r>
      <w:r w:rsidR="005B699B" w:rsidRPr="00AF18F3">
        <w:t>ervices</w:t>
      </w:r>
      <w:r w:rsidR="005B699B" w:rsidRPr="00EA3A75">
        <w:t xml:space="preserve"> funded outside the </w:t>
      </w:r>
      <w:r w:rsidR="005B699B" w:rsidRPr="00EA3A75" w:rsidDel="00FA1CF2">
        <w:t xml:space="preserve">Victorian </w:t>
      </w:r>
      <w:r w:rsidR="00FA1CF2" w:rsidRPr="00EA3A75">
        <w:t xml:space="preserve">ABF </w:t>
      </w:r>
      <w:bookmarkEnd w:id="1548"/>
      <w:r w:rsidR="00FA1CF2" w:rsidRPr="00EA3A75">
        <w:t>p</w:t>
      </w:r>
      <w:r w:rsidR="005B699B" w:rsidRPr="00EA3A75">
        <w:t xml:space="preserve">ricing </w:t>
      </w:r>
      <w:r w:rsidR="00FA1CF2" w:rsidRPr="00EA3A75">
        <w:t>f</w:t>
      </w:r>
      <w:r w:rsidR="005B699B" w:rsidRPr="00EA3A75">
        <w:t>ramework</w:t>
      </w:r>
      <w:bookmarkEnd w:id="1549"/>
    </w:p>
    <w:p w14:paraId="3B5AAA0A" w14:textId="0DFAFED8" w:rsidR="00637075" w:rsidRPr="00DA671E" w:rsidRDefault="00637075" w:rsidP="62B4C746">
      <w:pPr>
        <w:pStyle w:val="Body"/>
      </w:pPr>
      <w:r w:rsidRPr="00587ACF">
        <w:t xml:space="preserve">The following services are </w:t>
      </w:r>
      <w:r w:rsidR="00BC1E7E" w:rsidRPr="00587ACF">
        <w:t>with</w:t>
      </w:r>
      <w:r w:rsidRPr="00587ACF">
        <w:t>in</w:t>
      </w:r>
      <w:r w:rsidR="00BC1E7E" w:rsidRPr="00587ACF">
        <w:t xml:space="preserve"> </w:t>
      </w:r>
      <w:r w:rsidRPr="00587ACF">
        <w:t xml:space="preserve">scope </w:t>
      </w:r>
      <w:r w:rsidR="00BC1E7E" w:rsidRPr="00587ACF">
        <w:t xml:space="preserve">of </w:t>
      </w:r>
      <w:r w:rsidRPr="00587ACF">
        <w:t>the NHRA</w:t>
      </w:r>
      <w:r w:rsidR="00C061E6" w:rsidRPr="00587ACF">
        <w:t xml:space="preserve"> and</w:t>
      </w:r>
      <w:r w:rsidR="00AB13DF" w:rsidRPr="00587ACF">
        <w:t xml:space="preserve"> </w:t>
      </w:r>
      <w:r w:rsidRPr="00587ACF">
        <w:t xml:space="preserve">have funding arrangements that sit outside the </w:t>
      </w:r>
      <w:r w:rsidRPr="00587ACF" w:rsidDel="00E93890">
        <w:t xml:space="preserve">Victorian </w:t>
      </w:r>
      <w:r w:rsidRPr="00587ACF">
        <w:t xml:space="preserve">ABF pricing framework. </w:t>
      </w:r>
      <w:r w:rsidR="00873EDC" w:rsidRPr="00587ACF">
        <w:t xml:space="preserve">Some funding models align with the </w:t>
      </w:r>
      <w:r w:rsidR="00E6001B" w:rsidRPr="00587ACF">
        <w:t>national approach, whereas others are unique to the Victorian setting.</w:t>
      </w:r>
    </w:p>
    <w:p w14:paraId="6301AA10" w14:textId="65360202" w:rsidR="00AF4637" w:rsidRPr="007F03EF" w:rsidRDefault="005B699B" w:rsidP="00B448AC">
      <w:pPr>
        <w:pStyle w:val="Heading2"/>
        <w:numPr>
          <w:ilvl w:val="1"/>
          <w:numId w:val="12"/>
        </w:numPr>
        <w:ind w:left="709" w:hanging="709"/>
      </w:pPr>
      <w:bookmarkStart w:id="1550" w:name="_Toc164262473"/>
      <w:bookmarkStart w:id="1551" w:name="_Toc164262808"/>
      <w:bookmarkStart w:id="1552" w:name="_Toc164262474"/>
      <w:bookmarkStart w:id="1553" w:name="_Toc164262809"/>
      <w:bookmarkStart w:id="1554" w:name="_Toc164262475"/>
      <w:bookmarkStart w:id="1555" w:name="_Toc164262810"/>
      <w:bookmarkStart w:id="1556" w:name="_Toc164262476"/>
      <w:bookmarkStart w:id="1557" w:name="_Toc164262811"/>
      <w:bookmarkStart w:id="1558" w:name="_Toc165961796"/>
      <w:bookmarkStart w:id="1559" w:name="_Ref199253120"/>
      <w:bookmarkStart w:id="1560" w:name="_Ref199253135"/>
      <w:bookmarkStart w:id="1561" w:name="_Ref199253146"/>
      <w:bookmarkStart w:id="1562" w:name="_Ref199253165"/>
      <w:bookmarkStart w:id="1563" w:name="_Ref199253186"/>
      <w:bookmarkStart w:id="1564" w:name="_Ref199253207"/>
      <w:bookmarkStart w:id="1565" w:name="_Toc201148215"/>
      <w:bookmarkEnd w:id="1550"/>
      <w:bookmarkEnd w:id="1551"/>
      <w:bookmarkEnd w:id="1552"/>
      <w:bookmarkEnd w:id="1553"/>
      <w:bookmarkEnd w:id="1554"/>
      <w:bookmarkEnd w:id="1555"/>
      <w:bookmarkEnd w:id="1556"/>
      <w:bookmarkEnd w:id="1557"/>
      <w:r w:rsidRPr="00593888">
        <w:t xml:space="preserve">Community </w:t>
      </w:r>
      <w:bookmarkEnd w:id="1558"/>
      <w:r w:rsidR="00AF4637" w:rsidRPr="00AF18F3">
        <w:t>palliative</w:t>
      </w:r>
      <w:r w:rsidR="00AF4637" w:rsidRPr="007F03EF">
        <w:t xml:space="preserve"> </w:t>
      </w:r>
      <w:r w:rsidR="00AF4637">
        <w:t>c</w:t>
      </w:r>
      <w:r w:rsidR="00AF4637" w:rsidRPr="007F03EF">
        <w:t>are</w:t>
      </w:r>
      <w:bookmarkEnd w:id="1559"/>
      <w:bookmarkEnd w:id="1560"/>
      <w:bookmarkEnd w:id="1561"/>
      <w:bookmarkEnd w:id="1562"/>
      <w:bookmarkEnd w:id="1563"/>
      <w:bookmarkEnd w:id="1564"/>
      <w:bookmarkEnd w:id="1565"/>
    </w:p>
    <w:p w14:paraId="352C9E16" w14:textId="034A02CB" w:rsidR="00FF7C24" w:rsidRDefault="000C6487" w:rsidP="00AF4637">
      <w:pPr>
        <w:pStyle w:val="Body"/>
      </w:pPr>
      <w:r>
        <w:t xml:space="preserve">Under the </w:t>
      </w:r>
      <w:r w:rsidR="00B13A2B">
        <w:t>national funding model</w:t>
      </w:r>
      <w:r>
        <w:t xml:space="preserve"> </w:t>
      </w:r>
      <w:r w:rsidR="00C11FD1">
        <w:t xml:space="preserve">community palliative care services </w:t>
      </w:r>
      <w:r w:rsidR="003F0564">
        <w:t xml:space="preserve">are </w:t>
      </w:r>
      <w:r w:rsidR="00207989">
        <w:t xml:space="preserve">NWAU </w:t>
      </w:r>
      <w:r w:rsidR="003F0564">
        <w:t xml:space="preserve">activity-based funded when </w:t>
      </w:r>
      <w:r w:rsidR="00C11FD1">
        <w:t xml:space="preserve">delivered by </w:t>
      </w:r>
      <w:r w:rsidR="00CA740D">
        <w:t>health services</w:t>
      </w:r>
      <w:r w:rsidR="00556740">
        <w:t xml:space="preserve"> in</w:t>
      </w:r>
      <w:r w:rsidR="00BC1E7E">
        <w:t xml:space="preserve"> </w:t>
      </w:r>
      <w:r w:rsidR="00556740">
        <w:t xml:space="preserve">scope </w:t>
      </w:r>
      <w:r w:rsidR="0024093A">
        <w:t xml:space="preserve">for </w:t>
      </w:r>
      <w:r w:rsidR="00595DDC">
        <w:t>ABF</w:t>
      </w:r>
      <w:r w:rsidR="003F0564">
        <w:t>,</w:t>
      </w:r>
      <w:r w:rsidR="00595DDC">
        <w:t xml:space="preserve"> </w:t>
      </w:r>
      <w:r w:rsidR="009A38FE" w:rsidRPr="003C3AD6">
        <w:rPr>
          <w:rFonts w:cs="Arial"/>
          <w:szCs w:val="21"/>
        </w:rPr>
        <w:t>as defined by the NHRA</w:t>
      </w:r>
      <w:r w:rsidR="003F0564">
        <w:rPr>
          <w:rFonts w:cs="Arial"/>
          <w:szCs w:val="21"/>
        </w:rPr>
        <w:t>.</w:t>
      </w:r>
    </w:p>
    <w:p w14:paraId="71429AEC" w14:textId="55589D37" w:rsidR="00D96047" w:rsidRDefault="00AF4637" w:rsidP="00D96047">
      <w:pPr>
        <w:pStyle w:val="Body"/>
      </w:pPr>
      <w:r>
        <w:t>In Victoria, funding for community palliative care services is provided on a block</w:t>
      </w:r>
      <w:r w:rsidR="00FF590E">
        <w:t>-</w:t>
      </w:r>
      <w:r>
        <w:t>grant basis.</w:t>
      </w:r>
      <w:r w:rsidR="00D96047">
        <w:t xml:space="preserve"> The department proposes to review these funding arrangements to improve alignment with the NFM as appropriate.</w:t>
      </w:r>
    </w:p>
    <w:p w14:paraId="7EAC7D8C" w14:textId="3E232C78" w:rsidR="00AF4637" w:rsidRPr="007F03EF" w:rsidRDefault="00AF4637" w:rsidP="00AF4637">
      <w:pPr>
        <w:pStyle w:val="Body"/>
      </w:pPr>
      <w:r w:rsidRPr="007F03EF">
        <w:t xml:space="preserve">Designated community palliative care services </w:t>
      </w:r>
      <w:r>
        <w:t>further</w:t>
      </w:r>
      <w:r w:rsidRPr="007F03EF">
        <w:t xml:space="preserve"> the goals of </w:t>
      </w:r>
      <w:r w:rsidRPr="007F03EF">
        <w:rPr>
          <w:i/>
          <w:iCs/>
        </w:rPr>
        <w:t>Victoria’s end</w:t>
      </w:r>
      <w:r>
        <w:rPr>
          <w:i/>
          <w:iCs/>
        </w:rPr>
        <w:t>-</w:t>
      </w:r>
      <w:r w:rsidRPr="007F03EF">
        <w:rPr>
          <w:i/>
          <w:iCs/>
        </w:rPr>
        <w:t>of</w:t>
      </w:r>
      <w:r>
        <w:rPr>
          <w:i/>
          <w:iCs/>
        </w:rPr>
        <w:t>-</w:t>
      </w:r>
      <w:r w:rsidRPr="007F03EF">
        <w:rPr>
          <w:i/>
          <w:iCs/>
        </w:rPr>
        <w:t xml:space="preserve">life and palliative care framework </w:t>
      </w:r>
      <w:r w:rsidRPr="007F03EF">
        <w:t xml:space="preserve">(2016). Designated community palliative care services must provide care in line with the department’s </w:t>
      </w:r>
      <w:r>
        <w:t>c</w:t>
      </w:r>
      <w:r w:rsidRPr="007F03EF">
        <w:t xml:space="preserve">onditions of </w:t>
      </w:r>
      <w:r>
        <w:t>f</w:t>
      </w:r>
      <w:r w:rsidRPr="007F03EF">
        <w:t xml:space="preserve">unding for palliative care published on the </w:t>
      </w:r>
      <w:hyperlink r:id="rId34">
        <w:r w:rsidRPr="007F03EF">
          <w:rPr>
            <w:rStyle w:val="Hyperlink"/>
          </w:rPr>
          <w:t>Palliative care webpage</w:t>
        </w:r>
      </w:hyperlink>
      <w:r w:rsidRPr="007F03EF">
        <w:t xml:space="preserve"> &lt;https://www.health.vic.gov.au/patient-care/conditions-of-funding-for-palliative-care&gt;.</w:t>
      </w:r>
    </w:p>
    <w:p w14:paraId="3A5951C8" w14:textId="77777777" w:rsidR="00AF4637" w:rsidRPr="007F03EF" w:rsidRDefault="00AF4637" w:rsidP="00AF4637">
      <w:pPr>
        <w:pStyle w:val="Body"/>
      </w:pPr>
      <w:r>
        <w:t>E</w:t>
      </w:r>
      <w:r w:rsidRPr="007F03EF">
        <w:t xml:space="preserve">ach Victorian local government area </w:t>
      </w:r>
      <w:r>
        <w:t>has a</w:t>
      </w:r>
      <w:r w:rsidRPr="007F03EF">
        <w:t xml:space="preserve"> designated community palliative care service. Each service has a prescribed catchment area. Designated services are required to provide a service to clients in residential aged care facilities and disability group homes</w:t>
      </w:r>
      <w:r>
        <w:t>,</w:t>
      </w:r>
      <w:r w:rsidRPr="007F03EF">
        <w:t xml:space="preserve"> as these facilities are the client’s home.</w:t>
      </w:r>
    </w:p>
    <w:p w14:paraId="0FA3420C" w14:textId="77777777" w:rsidR="00AF4637" w:rsidRPr="007F03EF" w:rsidRDefault="00AF4637" w:rsidP="00AF4637">
      <w:pPr>
        <w:pStyle w:val="Body"/>
      </w:pPr>
      <w:r w:rsidRPr="007F03EF">
        <w:t>All community palliative care services have access to flexible funds to care for clients at home. These funds are incorporated in each service’s non-admitted (community) palliative care funding allocation.</w:t>
      </w:r>
    </w:p>
    <w:p w14:paraId="0529786A" w14:textId="77777777" w:rsidR="00AF4637" w:rsidRPr="007F03EF" w:rsidRDefault="00AF4637" w:rsidP="00AF4637">
      <w:pPr>
        <w:pStyle w:val="Body"/>
      </w:pPr>
      <w:r>
        <w:t>Reporting will be based on the</w:t>
      </w:r>
      <w:r w:rsidRPr="007F03EF">
        <w:t xml:space="preserve"> </w:t>
      </w:r>
      <w:r>
        <w:t>Victorian Integrated Non-Admitted Health (</w:t>
      </w:r>
      <w:r w:rsidRPr="007F03EF">
        <w:t>VINAH</w:t>
      </w:r>
      <w:r>
        <w:t>)</w:t>
      </w:r>
      <w:r w:rsidRPr="007F03EF">
        <w:t xml:space="preserve"> minimum dataset</w:t>
      </w:r>
      <w:r>
        <w:t>.</w:t>
      </w:r>
    </w:p>
    <w:p w14:paraId="22FD3AE0" w14:textId="77777777" w:rsidR="00AF4637" w:rsidRPr="007F03EF" w:rsidRDefault="00AF4637" w:rsidP="004537E5">
      <w:pPr>
        <w:pStyle w:val="Heading3"/>
        <w:numPr>
          <w:ilvl w:val="2"/>
          <w:numId w:val="12"/>
        </w:numPr>
      </w:pPr>
      <w:r w:rsidRPr="007F03EF">
        <w:t xml:space="preserve">Business </w:t>
      </w:r>
      <w:r>
        <w:t>r</w:t>
      </w:r>
      <w:r w:rsidRPr="007F03EF">
        <w:t>ules</w:t>
      </w:r>
    </w:p>
    <w:p w14:paraId="67C857F9" w14:textId="708C64EC" w:rsidR="00AF4637" w:rsidRPr="007F03EF" w:rsidRDefault="00AF4637" w:rsidP="00AF4637">
      <w:pPr>
        <w:pStyle w:val="Body"/>
      </w:pPr>
      <w:r w:rsidRPr="007F03EF">
        <w:t xml:space="preserve">Activity delivered through the </w:t>
      </w:r>
      <w:r w:rsidR="00533382" w:rsidRPr="007F03EF">
        <w:t xml:space="preserve">Community </w:t>
      </w:r>
      <w:r w:rsidRPr="007F03EF">
        <w:t xml:space="preserve">Palliative Care </w:t>
      </w:r>
      <w:r>
        <w:t>P</w:t>
      </w:r>
      <w:r w:rsidRPr="007F03EF">
        <w:t xml:space="preserve">rogram should be classified using the </w:t>
      </w:r>
      <w:r w:rsidRPr="007F03EF" w:rsidDel="001D2D8B">
        <w:t xml:space="preserve">Tier </w:t>
      </w:r>
      <w:r w:rsidRPr="007F03EF">
        <w:t xml:space="preserve">2 non-admitted services classification (Tier 2) non-admitted services classification. </w:t>
      </w:r>
      <w:r>
        <w:t xml:space="preserve">Refer to ‘Patient classification’ in section </w:t>
      </w:r>
      <w:r w:rsidR="00442A06" w:rsidRPr="0065205F">
        <w:fldChar w:fldCharType="begin"/>
      </w:r>
      <w:r w:rsidR="00442A06" w:rsidRPr="0065205F">
        <w:instrText xml:space="preserve"> REF _Ref199252665 \n \h  \* MERGEFORMAT </w:instrText>
      </w:r>
      <w:r w:rsidR="00442A06" w:rsidRPr="0065205F">
        <w:fldChar w:fldCharType="separate"/>
      </w:r>
      <w:r w:rsidR="007D262B">
        <w:t>8.3</w:t>
      </w:r>
      <w:r w:rsidR="00442A06" w:rsidRPr="0065205F">
        <w:fldChar w:fldCharType="end"/>
      </w:r>
      <w:r w:rsidR="00442A06">
        <w:t xml:space="preserve"> </w:t>
      </w:r>
      <w:r>
        <w:t xml:space="preserve">for further information on the Tier 2 classification. </w:t>
      </w:r>
    </w:p>
    <w:p w14:paraId="0BE3D8EE" w14:textId="29A7B7A9" w:rsidR="00AF4637" w:rsidRPr="007F03EF" w:rsidRDefault="00AF4637" w:rsidP="00AF4637">
      <w:pPr>
        <w:pStyle w:val="Body"/>
      </w:pPr>
      <w:r>
        <w:t xml:space="preserve">Designated community palliative care services have been required to report patient-level cost data to the </w:t>
      </w:r>
      <w:r w:rsidRPr="00E75F26">
        <w:t>Victorian Cost Data Collection</w:t>
      </w:r>
      <w:r>
        <w:t xml:space="preserve"> (VCDC). </w:t>
      </w:r>
      <w:r w:rsidRPr="00FB7ACB">
        <w:t>The department will continue to engage with non-government providers and community health services in 202</w:t>
      </w:r>
      <w:r>
        <w:t>5</w:t>
      </w:r>
      <w:r w:rsidRPr="00FB7ACB">
        <w:t>–2</w:t>
      </w:r>
      <w:r>
        <w:t>6</w:t>
      </w:r>
      <w:r w:rsidRPr="00FB7ACB">
        <w:rPr>
          <w:lang w:val="en-US"/>
        </w:rPr>
        <w:t xml:space="preserve"> </w:t>
      </w:r>
      <w:r w:rsidRPr="00FB7ACB">
        <w:t>to work towards this requirement throughout the financial year.</w:t>
      </w:r>
      <w:r>
        <w:t xml:space="preserve"> </w:t>
      </w:r>
    </w:p>
    <w:p w14:paraId="3F05E466" w14:textId="46CDA149" w:rsidR="00AF4637" w:rsidRPr="007F03EF" w:rsidRDefault="00AF4637" w:rsidP="00B448AC">
      <w:pPr>
        <w:pStyle w:val="Heading2"/>
        <w:numPr>
          <w:ilvl w:val="1"/>
          <w:numId w:val="12"/>
        </w:numPr>
        <w:ind w:left="709" w:hanging="709"/>
      </w:pPr>
      <w:bookmarkStart w:id="1566" w:name="_Toc201148216"/>
      <w:r w:rsidRPr="007F03EF">
        <w:t xml:space="preserve">Palliative </w:t>
      </w:r>
      <w:r>
        <w:t>c</w:t>
      </w:r>
      <w:r w:rsidRPr="007F03EF">
        <w:t xml:space="preserve">are </w:t>
      </w:r>
      <w:r w:rsidRPr="001D2D8B">
        <w:t>consultancy</w:t>
      </w:r>
      <w:r w:rsidRPr="007F03EF">
        <w:t xml:space="preserve"> </w:t>
      </w:r>
      <w:r>
        <w:t>s</w:t>
      </w:r>
      <w:r w:rsidRPr="007F03EF">
        <w:t>ervices</w:t>
      </w:r>
      <w:bookmarkEnd w:id="1566"/>
    </w:p>
    <w:p w14:paraId="17FD2324" w14:textId="65030617" w:rsidR="00D525A4" w:rsidRDefault="00D525A4" w:rsidP="00D525A4">
      <w:pPr>
        <w:pStyle w:val="Body"/>
      </w:pPr>
      <w:r>
        <w:t xml:space="preserve">Under the </w:t>
      </w:r>
      <w:r w:rsidR="00D73F28">
        <w:t>national funding model</w:t>
      </w:r>
      <w:r w:rsidR="00BE12CB">
        <w:t>,</w:t>
      </w:r>
      <w:r>
        <w:t xml:space="preserve"> palliative care consultancy services are </w:t>
      </w:r>
      <w:r w:rsidR="00207989">
        <w:t xml:space="preserve">NWAU </w:t>
      </w:r>
      <w:r>
        <w:t>activity-based funded when delivered by health services in</w:t>
      </w:r>
      <w:r w:rsidR="00F41BA2">
        <w:t xml:space="preserve"> </w:t>
      </w:r>
      <w:r>
        <w:t xml:space="preserve">scope for ABF, </w:t>
      </w:r>
      <w:r w:rsidRPr="003C3AD6">
        <w:rPr>
          <w:rFonts w:cs="Arial"/>
          <w:szCs w:val="21"/>
        </w:rPr>
        <w:t>as defined by the NHRA</w:t>
      </w:r>
      <w:r>
        <w:rPr>
          <w:rFonts w:cs="Arial"/>
          <w:szCs w:val="21"/>
        </w:rPr>
        <w:t>.</w:t>
      </w:r>
    </w:p>
    <w:p w14:paraId="35189C41" w14:textId="27FAA496" w:rsidR="00D525A4" w:rsidRDefault="00D525A4" w:rsidP="00D525A4">
      <w:pPr>
        <w:pStyle w:val="Body"/>
      </w:pPr>
      <w:r>
        <w:t>In Victoria, funding for palliative care consultancy services is provided on a block</w:t>
      </w:r>
      <w:r w:rsidR="00FF590E">
        <w:t>-</w:t>
      </w:r>
      <w:r>
        <w:t>grant basis.</w:t>
      </w:r>
    </w:p>
    <w:p w14:paraId="11818B36" w14:textId="400D9BD6" w:rsidR="00AF4637" w:rsidRDefault="00AF4637" w:rsidP="00AF4637">
      <w:pPr>
        <w:pStyle w:val="Body"/>
      </w:pPr>
      <w:r>
        <w:t>The department funds p</w:t>
      </w:r>
      <w:r w:rsidRPr="007F03EF">
        <w:t>alliativ</w:t>
      </w:r>
      <w:r>
        <w:t xml:space="preserve">e care consultancy services in 12 metropolitan health services and in the </w:t>
      </w:r>
      <w:r w:rsidR="007D775F">
        <w:t>5</w:t>
      </w:r>
      <w:r>
        <w:t xml:space="preserve"> rural regions.</w:t>
      </w:r>
    </w:p>
    <w:p w14:paraId="31C6606C" w14:textId="77777777" w:rsidR="00AF4637" w:rsidRPr="00084C04" w:rsidRDefault="00AF4637" w:rsidP="00AF4637">
      <w:pPr>
        <w:pStyle w:val="Body"/>
      </w:pPr>
      <w:r>
        <w:lastRenderedPageBreak/>
        <w:t>Consultancy services work across all healthcare settings. They provide specialist advice and support to clinical services within hospitals and in the community, including to community palliative care services, residential facilities and general practitioners. They address complex issues that would otherwise require admission to hospital or the transfer of care under the palliative care team from other specialities. They provide education and training about palliative care to other clinicians and provide palliative care input for cancer streams and at chronic disease management meetings.</w:t>
      </w:r>
    </w:p>
    <w:p w14:paraId="226DE5DB" w14:textId="652047C4" w:rsidR="00AF4637" w:rsidRPr="00084C04" w:rsidRDefault="00AF4637" w:rsidP="00AF4637">
      <w:pPr>
        <w:pStyle w:val="Body"/>
      </w:pPr>
      <w:r w:rsidRPr="00084C04">
        <w:t xml:space="preserve">Palliative care consultancy services are required to report contacts in the Palliative Care Consultancy Program form in </w:t>
      </w:r>
      <w:r>
        <w:t xml:space="preserve">Agency Information Management </w:t>
      </w:r>
      <w:r w:rsidRPr="0041540C">
        <w:t>System</w:t>
      </w:r>
      <w:r w:rsidRPr="00440F34">
        <w:t xml:space="preserve"> (</w:t>
      </w:r>
      <w:r w:rsidRPr="0041540C">
        <w:t>AIMS) and report patient-level contacts t</w:t>
      </w:r>
      <w:r>
        <w:t>o</w:t>
      </w:r>
      <w:r w:rsidRPr="0041540C">
        <w:t xml:space="preserve"> the VINAH minimum dataset.</w:t>
      </w:r>
    </w:p>
    <w:p w14:paraId="6D17B522" w14:textId="77777777" w:rsidR="00AF4637" w:rsidRPr="00084C04" w:rsidRDefault="00AF4637" w:rsidP="004537E5">
      <w:pPr>
        <w:pStyle w:val="Heading3"/>
        <w:numPr>
          <w:ilvl w:val="2"/>
          <w:numId w:val="12"/>
        </w:numPr>
      </w:pPr>
      <w:r w:rsidRPr="00084C04">
        <w:t xml:space="preserve">Regional </w:t>
      </w:r>
      <w:r>
        <w:t>p</w:t>
      </w:r>
      <w:r w:rsidRPr="00084C04">
        <w:t xml:space="preserve">alliative </w:t>
      </w:r>
      <w:r w:rsidRPr="00361A32">
        <w:t>care</w:t>
      </w:r>
      <w:r w:rsidRPr="00084C04">
        <w:t xml:space="preserve"> </w:t>
      </w:r>
      <w:r>
        <w:t>c</w:t>
      </w:r>
      <w:r w:rsidRPr="00084C04">
        <w:t>onsultancy</w:t>
      </w:r>
    </w:p>
    <w:p w14:paraId="418CCA7E" w14:textId="77777777" w:rsidR="00AF4637" w:rsidRPr="00084C04" w:rsidRDefault="00AF4637" w:rsidP="00AF4637">
      <w:pPr>
        <w:pStyle w:val="Body"/>
      </w:pPr>
      <w:r w:rsidRPr="00084C04">
        <w:t xml:space="preserve">Regional consultancies provide regular primary and secondary consultation to generalist health </w:t>
      </w:r>
      <w:r>
        <w:t xml:space="preserve">services </w:t>
      </w:r>
      <w:r w:rsidRPr="00084C04">
        <w:t>(including general practitioners, acute and subacute services) and community services (including aged care and disability services) on a regionwide basis. All generalist health and community services are expected to be able to care for people who are at the end of life</w:t>
      </w:r>
      <w:r>
        <w:t>.</w:t>
      </w:r>
      <w:r w:rsidRPr="00084C04">
        <w:t xml:space="preserve"> </w:t>
      </w:r>
      <w:r>
        <w:t>T</w:t>
      </w:r>
      <w:r w:rsidRPr="00084C04">
        <w:t>he consultancy teams provide specialist expertise and skill to support these services to provide good end-of-life care.</w:t>
      </w:r>
    </w:p>
    <w:p w14:paraId="51412867" w14:textId="6E438E12" w:rsidR="00AF4637" w:rsidRPr="00084C04" w:rsidRDefault="00AF4637" w:rsidP="00AF4637">
      <w:pPr>
        <w:pStyle w:val="Body"/>
      </w:pPr>
      <w:r>
        <w:t>Funding for regional palliative care consultancy teams is provided as a block grant in 2025</w:t>
      </w:r>
      <w:r w:rsidRPr="00AF1071">
        <w:t>–2</w:t>
      </w:r>
      <w:r>
        <w:t>6</w:t>
      </w:r>
      <w:r w:rsidRPr="00AF1071">
        <w:t>.</w:t>
      </w:r>
      <w:r w:rsidRPr="7586326A">
        <w:rPr>
          <w:lang w:val="en-US"/>
        </w:rPr>
        <w:t xml:space="preserve"> </w:t>
      </w:r>
      <w:r>
        <w:t>In the majority of regions, this funding includes aged and disability link nurses. This funding is recurrent</w:t>
      </w:r>
      <w:r w:rsidRPr="00495156">
        <w:t xml:space="preserve">. </w:t>
      </w:r>
    </w:p>
    <w:p w14:paraId="4BB7CF15" w14:textId="77777777" w:rsidR="00AF4637" w:rsidRPr="00084C04" w:rsidRDefault="00AF4637" w:rsidP="004537E5">
      <w:pPr>
        <w:pStyle w:val="Heading3"/>
        <w:numPr>
          <w:ilvl w:val="2"/>
          <w:numId w:val="12"/>
        </w:numPr>
      </w:pPr>
      <w:r w:rsidRPr="00084C04">
        <w:t xml:space="preserve">Statewide </w:t>
      </w:r>
      <w:r>
        <w:t>p</w:t>
      </w:r>
      <w:r w:rsidRPr="00084C04">
        <w:t xml:space="preserve">alliative </w:t>
      </w:r>
      <w:r>
        <w:t>c</w:t>
      </w:r>
      <w:r w:rsidRPr="00084C04">
        <w:t xml:space="preserve">are </w:t>
      </w:r>
      <w:r w:rsidRPr="00361A32">
        <w:t>consultancy</w:t>
      </w:r>
    </w:p>
    <w:p w14:paraId="65904666" w14:textId="42BA5A58" w:rsidR="00AF4637" w:rsidRPr="000A0DAE" w:rsidRDefault="00AF4637" w:rsidP="00AF4637">
      <w:pPr>
        <w:pStyle w:val="Body"/>
      </w:pPr>
      <w:r>
        <w:t xml:space="preserve">Funding for statewide palliative care consultancy teams is provided as a block grant in 2025–26. Statewide consultancy services include the Victorian Paediatric Palliative Care Program, Very Special Kids, Motor Neurone Disease Association (Vic.) and Grief Australia (previously The Australian Centre for Grief and Bereavement). This funding is </w:t>
      </w:r>
      <w:r w:rsidRPr="00495156">
        <w:t>recurrent.</w:t>
      </w:r>
    </w:p>
    <w:p w14:paraId="6AE994DD" w14:textId="77777777" w:rsidR="00AF4637" w:rsidRPr="00084C04" w:rsidRDefault="00AF4637" w:rsidP="004537E5">
      <w:pPr>
        <w:pStyle w:val="Heading3"/>
        <w:numPr>
          <w:ilvl w:val="2"/>
          <w:numId w:val="12"/>
        </w:numPr>
      </w:pPr>
      <w:r>
        <w:t>Business rules</w:t>
      </w:r>
    </w:p>
    <w:p w14:paraId="1E00CC03" w14:textId="3B1521D4" w:rsidR="00AF4637" w:rsidRPr="00084C04" w:rsidRDefault="00AF4637" w:rsidP="00AF4637">
      <w:pPr>
        <w:pStyle w:val="Body"/>
      </w:pPr>
      <w:r>
        <w:t xml:space="preserve">Health services should maintain and report patient-level activity for hospital-based palliative care consultancy and statewide services. The mode of activity reporting will be different depending on whether the service reports data to the </w:t>
      </w:r>
      <w:r w:rsidRPr="00440F34">
        <w:t>VINAH</w:t>
      </w:r>
      <w:r>
        <w:t xml:space="preserve"> minimum dataset or the Non-Admitted Data Collection (NADC). </w:t>
      </w:r>
    </w:p>
    <w:p w14:paraId="1F9F4DF5" w14:textId="77777777" w:rsidR="00AF4637" w:rsidRDefault="00AF4637" w:rsidP="00AF4637">
      <w:pPr>
        <w:pStyle w:val="Body"/>
      </w:pPr>
      <w:r>
        <w:t xml:space="preserve">Health services should also maintain and include hospital-based palliative care consultancy as part of their reporting of patient-level costing data for to the VCDC. </w:t>
      </w:r>
    </w:p>
    <w:p w14:paraId="35616F22" w14:textId="70B94CF0" w:rsidR="0024482A" w:rsidRPr="003214D3" w:rsidRDefault="0024482A" w:rsidP="00B448AC">
      <w:pPr>
        <w:pStyle w:val="Heading2"/>
        <w:numPr>
          <w:ilvl w:val="1"/>
          <w:numId w:val="12"/>
        </w:numPr>
        <w:ind w:left="709" w:hanging="709"/>
      </w:pPr>
      <w:bookmarkStart w:id="1567" w:name="_Toc201148217"/>
      <w:r>
        <w:t xml:space="preserve">Complex care program </w:t>
      </w:r>
      <w:r w:rsidR="00FE4653" w:rsidRPr="00FE4653">
        <w:t>(previously the Family Choice Program)</w:t>
      </w:r>
      <w:bookmarkEnd w:id="1567"/>
    </w:p>
    <w:p w14:paraId="221D0A77" w14:textId="78F82DE3" w:rsidR="00207989" w:rsidRDefault="002E2AF2" w:rsidP="00237F3A">
      <w:pPr>
        <w:pStyle w:val="Body"/>
      </w:pPr>
      <w:r w:rsidRPr="00736CC1">
        <w:t xml:space="preserve">Under the national funding model, </w:t>
      </w:r>
      <w:r w:rsidR="00550C3F" w:rsidRPr="00736CC1">
        <w:t xml:space="preserve">admitted and non-admitted </w:t>
      </w:r>
      <w:r w:rsidR="00BF0033" w:rsidRPr="00736CC1">
        <w:t xml:space="preserve">complex care </w:t>
      </w:r>
      <w:r w:rsidRPr="00736CC1">
        <w:t>services are NWAU activity-based funded when delivered by health services in</w:t>
      </w:r>
      <w:r w:rsidR="00F41BA2">
        <w:t xml:space="preserve"> </w:t>
      </w:r>
      <w:r w:rsidRPr="00736CC1">
        <w:t>scope for ABF, as defined by the NHRA</w:t>
      </w:r>
      <w:r w:rsidR="00551B0E" w:rsidRPr="00736CC1">
        <w:t xml:space="preserve">, and </w:t>
      </w:r>
      <w:r w:rsidR="00E52D79" w:rsidRPr="00736CC1">
        <w:t>non-admitted home ventilation</w:t>
      </w:r>
      <w:r w:rsidR="00551B0E" w:rsidRPr="00736CC1">
        <w:t xml:space="preserve"> services are block funded.</w:t>
      </w:r>
    </w:p>
    <w:p w14:paraId="4E410FD2" w14:textId="5790EA4F" w:rsidR="002B06F3" w:rsidRDefault="00586C79" w:rsidP="00237F3A">
      <w:pPr>
        <w:pStyle w:val="Body"/>
        <w:rPr>
          <w:highlight w:val="cyan"/>
        </w:rPr>
      </w:pPr>
      <w:r>
        <w:t>In Victoria, t</w:t>
      </w:r>
      <w:r w:rsidR="002B06F3" w:rsidRPr="00DD6C21">
        <w:t xml:space="preserve">he </w:t>
      </w:r>
      <w:r w:rsidR="0083170A">
        <w:t>complex care program</w:t>
      </w:r>
      <w:r w:rsidR="007C3DA6">
        <w:t xml:space="preserve"> formerly the</w:t>
      </w:r>
      <w:r w:rsidR="002B06F3">
        <w:t xml:space="preserve"> Family Choice Program </w:t>
      </w:r>
      <w:r w:rsidR="007C3DA6">
        <w:t>(FCP),</w:t>
      </w:r>
      <w:r w:rsidR="002B06F3">
        <w:t xml:space="preserve"> is funded as a block </w:t>
      </w:r>
      <w:r w:rsidR="002B06F3" w:rsidRPr="00DD6C21">
        <w:t xml:space="preserve">grant </w:t>
      </w:r>
      <w:r w:rsidR="002B06F3">
        <w:t>provided to the Royal Children’s Hospital, as follows</w:t>
      </w:r>
      <w:r w:rsidR="00036691">
        <w:t>:</w:t>
      </w:r>
    </w:p>
    <w:p w14:paraId="5F15293F" w14:textId="45AC9CF1" w:rsidR="004E55B5" w:rsidRPr="0012214C" w:rsidRDefault="00A3525A" w:rsidP="00F30611">
      <w:pPr>
        <w:pStyle w:val="Bullet1"/>
      </w:pPr>
      <w:r w:rsidRPr="0012214C">
        <w:t>h</w:t>
      </w:r>
      <w:r w:rsidR="00237F3A" w:rsidRPr="0012214C">
        <w:t xml:space="preserve">ome ventilation funding </w:t>
      </w:r>
      <w:r w:rsidR="00617D16" w:rsidRPr="0012214C">
        <w:t>is funded as a block grant</w:t>
      </w:r>
      <w:r w:rsidR="00D92308" w:rsidRPr="0012214C">
        <w:t xml:space="preserve"> in line with the terms of the NHR</w:t>
      </w:r>
      <w:r w:rsidR="004E55B5" w:rsidRPr="0012214C">
        <w:t>A</w:t>
      </w:r>
    </w:p>
    <w:p w14:paraId="6A919E19" w14:textId="487712C3" w:rsidR="008D65AC" w:rsidRPr="0099486A" w:rsidRDefault="00A3525A" w:rsidP="00F30611">
      <w:pPr>
        <w:pStyle w:val="Bullet1"/>
      </w:pPr>
      <w:r>
        <w:lastRenderedPageBreak/>
        <w:t>o</w:t>
      </w:r>
      <w:r w:rsidR="00C60B89" w:rsidRPr="0099486A">
        <w:t xml:space="preserve">ther program funding is provided </w:t>
      </w:r>
      <w:r w:rsidR="008D65AC" w:rsidRPr="0099486A">
        <w:t xml:space="preserve">as a legacy </w:t>
      </w:r>
      <w:r w:rsidR="00C60B89" w:rsidRPr="0099486A">
        <w:t xml:space="preserve">block </w:t>
      </w:r>
      <w:r w:rsidR="008D65AC" w:rsidRPr="0099486A">
        <w:t>grant</w:t>
      </w:r>
      <w:r w:rsidR="001944C4" w:rsidRPr="0099486A">
        <w:t>,</w:t>
      </w:r>
      <w:r w:rsidR="008D65AC" w:rsidRPr="0099486A">
        <w:t xml:space="preserve"> listed in </w:t>
      </w:r>
      <w:r w:rsidR="00F97DBA">
        <w:fldChar w:fldCharType="begin"/>
      </w:r>
      <w:r w:rsidR="00F97DBA">
        <w:instrText xml:space="preserve"> REF _Ref199252198 \h </w:instrText>
      </w:r>
      <w:r w:rsidR="00F97DBA">
        <w:fldChar w:fldCharType="separate"/>
      </w:r>
      <w:r w:rsidR="00F97DBA" w:rsidRPr="00EF3DF0">
        <w:t>Table 2.</w:t>
      </w:r>
      <w:r w:rsidR="00F97DBA">
        <w:rPr>
          <w:noProof/>
        </w:rPr>
        <w:t>24</w:t>
      </w:r>
      <w:r w:rsidR="00F97DBA" w:rsidRPr="00EF3DF0">
        <w:t>: Victorian pricing adjustments 2025–26</w:t>
      </w:r>
      <w:r w:rsidR="00F97DBA">
        <w:t xml:space="preserve"> – Legacy grants</w:t>
      </w:r>
      <w:r w:rsidR="00F97DBA">
        <w:fldChar w:fldCharType="end"/>
      </w:r>
      <w:r w:rsidR="00572851">
        <w:t>.</w:t>
      </w:r>
    </w:p>
    <w:p w14:paraId="1BFB3201" w14:textId="77777777" w:rsidR="0024046C" w:rsidRDefault="0024046C" w:rsidP="00F61416">
      <w:pPr>
        <w:pStyle w:val="Bodyafterbullets"/>
      </w:pPr>
      <w:r>
        <w:t xml:space="preserve">The department proposes to review </w:t>
      </w:r>
      <w:r w:rsidRPr="00BE12CB">
        <w:t>these</w:t>
      </w:r>
      <w:r>
        <w:t xml:space="preserve"> funding arrangements to improve alignment with the NFM as appropriate.</w:t>
      </w:r>
    </w:p>
    <w:p w14:paraId="52FF36B9" w14:textId="469CB898" w:rsidR="00E93A63" w:rsidRPr="0020445E" w:rsidRDefault="00E93A63" w:rsidP="00E93A63">
      <w:pPr>
        <w:pStyle w:val="Body"/>
      </w:pPr>
      <w:r w:rsidRPr="0020445E">
        <w:t xml:space="preserve">Activity delivered through the complex care hub related to the FCP should be classified using the Tier 2 non-admitted services classification. </w:t>
      </w:r>
      <w:r w:rsidRPr="00F73E67">
        <w:t xml:space="preserve">See section </w:t>
      </w:r>
      <w:r w:rsidR="00F73E67" w:rsidRPr="00F73E67">
        <w:fldChar w:fldCharType="begin"/>
      </w:r>
      <w:r w:rsidR="00F73E67" w:rsidRPr="00F73E67">
        <w:instrText xml:space="preserve"> REF _Ref199252855 \n \h </w:instrText>
      </w:r>
      <w:r w:rsidR="00F73E67">
        <w:instrText xml:space="preserve"> \* MERGEFORMAT </w:instrText>
      </w:r>
      <w:r w:rsidR="00F73E67" w:rsidRPr="00F73E67">
        <w:fldChar w:fldCharType="separate"/>
      </w:r>
      <w:r w:rsidR="007D262B">
        <w:t>8</w:t>
      </w:r>
      <w:r w:rsidR="00F73E67" w:rsidRPr="00F73E67">
        <w:fldChar w:fldCharType="end"/>
      </w:r>
      <w:r w:rsidRPr="0020445E">
        <w:t xml:space="preserve"> for further information on</w:t>
      </w:r>
      <w:r w:rsidR="000B60BF" w:rsidRPr="0020445E">
        <w:t xml:space="preserve"> costing and</w:t>
      </w:r>
      <w:r w:rsidRPr="0020445E">
        <w:t xml:space="preserve"> </w:t>
      </w:r>
      <w:r w:rsidR="00A818B6" w:rsidRPr="0020445E">
        <w:t>non-admitted activity reporting</w:t>
      </w:r>
      <w:r w:rsidRPr="0020445E">
        <w:t>.</w:t>
      </w:r>
    </w:p>
    <w:p w14:paraId="7E0B9784" w14:textId="4BF900C5" w:rsidR="004F0142" w:rsidRPr="003214D3" w:rsidRDefault="004F0142" w:rsidP="00B448AC">
      <w:pPr>
        <w:pStyle w:val="Heading2"/>
        <w:numPr>
          <w:ilvl w:val="1"/>
          <w:numId w:val="12"/>
        </w:numPr>
        <w:ind w:left="709" w:hanging="709"/>
      </w:pPr>
      <w:bookmarkStart w:id="1568" w:name="_Toc201148218"/>
      <w:r>
        <w:t xml:space="preserve">Early parenting </w:t>
      </w:r>
      <w:r w:rsidR="00C45C1A">
        <w:t>services</w:t>
      </w:r>
      <w:bookmarkEnd w:id="1568"/>
    </w:p>
    <w:p w14:paraId="3E5AB11A" w14:textId="3A25044E" w:rsidR="00682D49" w:rsidRPr="00587ACF" w:rsidRDefault="00682D49" w:rsidP="00682D49">
      <w:pPr>
        <w:pStyle w:val="Body"/>
      </w:pPr>
      <w:r w:rsidRPr="00587ACF">
        <w:t>Under the national funding model, admitted and non-admitted components of early parenting services are NWAU activity-based funded when delivered by health services in</w:t>
      </w:r>
      <w:r w:rsidR="00F41BA2" w:rsidRPr="00587ACF">
        <w:t xml:space="preserve"> </w:t>
      </w:r>
      <w:r w:rsidRPr="00587ACF">
        <w:t>scope for ABF, as defined by the NHRA.</w:t>
      </w:r>
    </w:p>
    <w:p w14:paraId="24FCEFAA" w14:textId="77777777" w:rsidR="00F61416" w:rsidRPr="00587ACF" w:rsidRDefault="00F61416" w:rsidP="00F61416">
      <w:pPr>
        <w:pStyle w:val="Body"/>
      </w:pPr>
      <w:r w:rsidRPr="00587ACF">
        <w:t>In Victoria, early parenting centres are predominantly block funded services. These services include Tweddle Child and Family Health Centre, Queen Elizabeth Centre and Mercy Health O’Connell Family Centre and newer services established through the early parenting centres expansion and upgrade program from 2023.</w:t>
      </w:r>
    </w:p>
    <w:p w14:paraId="16830615" w14:textId="7CAC0C20" w:rsidR="00F61416" w:rsidRPr="00587ACF" w:rsidRDefault="00F61416" w:rsidP="00F61416">
      <w:pPr>
        <w:pStyle w:val="Body"/>
      </w:pPr>
      <w:r w:rsidRPr="00587ACF">
        <w:t xml:space="preserve">Health services in-scope for ABF, as defined by the NHRA, also receive activity-based funding based on unit prices for residential and day stay activities. See </w:t>
      </w:r>
      <w:r w:rsidR="0065205F" w:rsidRPr="00587ACF">
        <w:fldChar w:fldCharType="begin"/>
      </w:r>
      <w:r w:rsidR="0065205F" w:rsidRPr="00587ACF">
        <w:instrText xml:space="preserve"> REF _Ref199403841 \h  \* MERGEFORMAT </w:instrText>
      </w:r>
      <w:r w:rsidR="0065205F" w:rsidRPr="00587ACF">
        <w:fldChar w:fldCharType="separate"/>
      </w:r>
      <w:r w:rsidR="007D262B">
        <w:t>Table 1</w:t>
      </w:r>
      <w:r w:rsidR="007D262B" w:rsidRPr="00A97999">
        <w:t>.</w:t>
      </w:r>
      <w:r w:rsidR="007D262B">
        <w:t>17: Early Parenting Centres price table 2025–26</w:t>
      </w:r>
      <w:r w:rsidR="0065205F" w:rsidRPr="00587ACF">
        <w:fldChar w:fldCharType="end"/>
      </w:r>
      <w:r w:rsidR="0065205F" w:rsidRPr="00587ACF">
        <w:t xml:space="preserve"> and </w:t>
      </w:r>
      <w:r w:rsidR="0065205F" w:rsidRPr="00587ACF">
        <w:fldChar w:fldCharType="begin"/>
      </w:r>
      <w:r w:rsidR="0065205F" w:rsidRPr="00587ACF">
        <w:instrText xml:space="preserve"> REF _Ref199403922 \h  \* MERGEFORMAT </w:instrText>
      </w:r>
      <w:r w:rsidR="0065205F" w:rsidRPr="00587ACF">
        <w:fldChar w:fldCharType="separate"/>
      </w:r>
      <w:r w:rsidR="007D262B">
        <w:t>Table 2.19:</w:t>
      </w:r>
      <w:r w:rsidR="007D262B" w:rsidRPr="00742C12">
        <w:t xml:space="preserve"> </w:t>
      </w:r>
      <w:r w:rsidR="007D262B">
        <w:t>Early Parenting Centres activity table</w:t>
      </w:r>
      <w:r w:rsidR="0065205F" w:rsidRPr="00587ACF">
        <w:fldChar w:fldCharType="end"/>
      </w:r>
      <w:r w:rsidRPr="00587ACF">
        <w:t>.</w:t>
      </w:r>
    </w:p>
    <w:p w14:paraId="12320AA2" w14:textId="6C3D440B" w:rsidR="00F61416" w:rsidRPr="00F61416" w:rsidRDefault="00F61416" w:rsidP="00682D49">
      <w:pPr>
        <w:pStyle w:val="Body"/>
      </w:pPr>
      <w:r w:rsidRPr="00587ACF">
        <w:t>The department proposes to review funding arrangements for early parenting services delivered by health services in-scope for ABF, to improve alignment with the NFM as appropriate.</w:t>
      </w:r>
      <w:r>
        <w:t xml:space="preserve"> </w:t>
      </w:r>
    </w:p>
    <w:p w14:paraId="5436A906" w14:textId="2650EDBD" w:rsidR="00123420" w:rsidRPr="003214D3" w:rsidRDefault="00123420" w:rsidP="00B448AC">
      <w:pPr>
        <w:pStyle w:val="Heading2"/>
        <w:numPr>
          <w:ilvl w:val="1"/>
          <w:numId w:val="12"/>
        </w:numPr>
        <w:ind w:left="709" w:hanging="709"/>
      </w:pPr>
      <w:bookmarkStart w:id="1569" w:name="_Toc197452693"/>
      <w:bookmarkStart w:id="1570" w:name="_Toc201148219"/>
      <w:bookmarkEnd w:id="1569"/>
      <w:r w:rsidRPr="003214D3">
        <w:t>Forensicare</w:t>
      </w:r>
      <w:bookmarkEnd w:id="1570"/>
    </w:p>
    <w:p w14:paraId="0A16A42C" w14:textId="7D243672" w:rsidR="00123420" w:rsidRPr="00587ACF" w:rsidRDefault="00F034BE" w:rsidP="00123420">
      <w:pPr>
        <w:pStyle w:val="Body"/>
      </w:pPr>
      <w:r w:rsidRPr="00587ACF">
        <w:t xml:space="preserve">The </w:t>
      </w:r>
      <w:r w:rsidR="00123420" w:rsidRPr="00587ACF">
        <w:t>Victorian Institute of Forensic Mental Health, known as Forensicare, is a specialist stand-alone mental health service.</w:t>
      </w:r>
    </w:p>
    <w:p w14:paraId="06A9D993" w14:textId="15B2A252" w:rsidR="00F61416" w:rsidRPr="00587ACF" w:rsidRDefault="00123420" w:rsidP="00F61416">
      <w:pPr>
        <w:pStyle w:val="Body"/>
      </w:pPr>
      <w:r w:rsidRPr="00587ACF">
        <w:t>Under the national funding model for 2025</w:t>
      </w:r>
      <w:r w:rsidR="00BE12CB" w:rsidRPr="00587ACF">
        <w:t>–</w:t>
      </w:r>
      <w:r w:rsidRPr="00587ACF">
        <w:t xml:space="preserve">26, admitted services delivered by Forensicare are </w:t>
      </w:r>
      <w:r w:rsidR="000D06C0" w:rsidRPr="00587ACF">
        <w:t xml:space="preserve">NWAU </w:t>
      </w:r>
      <w:r w:rsidR="00F70439" w:rsidRPr="00587ACF">
        <w:t>ABF</w:t>
      </w:r>
      <w:r w:rsidRPr="00587ACF">
        <w:t xml:space="preserve"> and </w:t>
      </w:r>
      <w:r w:rsidR="003D48F9" w:rsidRPr="00587ACF">
        <w:t>community mental health services are block funded</w:t>
      </w:r>
      <w:r w:rsidR="0034702B" w:rsidRPr="00587ACF">
        <w:t>.</w:t>
      </w:r>
    </w:p>
    <w:p w14:paraId="0202D9FB" w14:textId="60197260" w:rsidR="009231F0" w:rsidRDefault="009231F0" w:rsidP="00F61416">
      <w:pPr>
        <w:pStyle w:val="Body"/>
      </w:pPr>
      <w:r w:rsidRPr="00587ACF">
        <w:t>In 2025–26, Victoria will fund the Forensicare</w:t>
      </w:r>
      <w:r w:rsidR="00C13134">
        <w:t xml:space="preserve">’s admitted </w:t>
      </w:r>
      <w:r w:rsidR="00F249BB">
        <w:t>and non-admitted</w:t>
      </w:r>
      <w:r w:rsidRPr="00587ACF">
        <w:t xml:space="preserve"> services on a block funding basis</w:t>
      </w:r>
      <w:r w:rsidR="00255461" w:rsidRPr="00587ACF">
        <w:t>.</w:t>
      </w:r>
    </w:p>
    <w:p w14:paraId="29B0C1DF" w14:textId="1520E1A6" w:rsidR="00BE648E" w:rsidRPr="0018160B" w:rsidRDefault="00BE648E" w:rsidP="00B448AC">
      <w:pPr>
        <w:pStyle w:val="Heading2"/>
        <w:numPr>
          <w:ilvl w:val="1"/>
          <w:numId w:val="12"/>
        </w:numPr>
        <w:ind w:left="709" w:hanging="709"/>
      </w:pPr>
      <w:bookmarkStart w:id="1571" w:name="_Toc201148220"/>
      <w:r w:rsidRPr="0018160B">
        <w:t>Genetic</w:t>
      </w:r>
      <w:r w:rsidR="00206557">
        <w:t xml:space="preserve"> clinical activity</w:t>
      </w:r>
      <w:bookmarkEnd w:id="1571"/>
    </w:p>
    <w:p w14:paraId="4360F763" w14:textId="1670B713" w:rsidR="000D06C0" w:rsidRDefault="006E0810" w:rsidP="00666847">
      <w:pPr>
        <w:pStyle w:val="Body"/>
      </w:pPr>
      <w:r w:rsidRPr="00587ACF">
        <w:t>Under the national funding model, genetic clinical activity services are NWAU activity-based funded when delivered by health services in</w:t>
      </w:r>
      <w:r w:rsidR="00F41BA2" w:rsidRPr="00587ACF">
        <w:t xml:space="preserve"> </w:t>
      </w:r>
      <w:r w:rsidRPr="00587ACF">
        <w:t>scope for ABF, as defined by the NHRA.</w:t>
      </w:r>
    </w:p>
    <w:p w14:paraId="7BC4401A" w14:textId="33BA36FE" w:rsidR="00191E8E" w:rsidRPr="00254A77" w:rsidRDefault="00191E8E" w:rsidP="00666847">
      <w:pPr>
        <w:pStyle w:val="Body"/>
        <w:rPr>
          <w:lang w:eastAsia="en-AU"/>
        </w:rPr>
      </w:pPr>
      <w:r w:rsidRPr="00254A77">
        <w:t>In Victoria</w:t>
      </w:r>
      <w:r w:rsidR="00236020" w:rsidRPr="00254A77">
        <w:t xml:space="preserve">, </w:t>
      </w:r>
      <w:r w:rsidR="00140B2B" w:rsidRPr="00254A77">
        <w:t xml:space="preserve">genetic clinical activity </w:t>
      </w:r>
      <w:r w:rsidR="00140B2B" w:rsidRPr="00254A77">
        <w:rPr>
          <w:lang w:eastAsia="en-AU"/>
        </w:rPr>
        <w:t>provided by the Victorian Clinical Genetic Services and metabolic medicine/disease unit at The Royal Melbourne Hospital are block funded in 2025–26.</w:t>
      </w:r>
    </w:p>
    <w:p w14:paraId="696715D7" w14:textId="2082B39D" w:rsidR="00BE648E" w:rsidRDefault="00140B2B" w:rsidP="00123420">
      <w:pPr>
        <w:pStyle w:val="Body"/>
      </w:pPr>
      <w:r w:rsidRPr="00254A77">
        <w:t>The department proposes to review funding arrangements to improve alignment with the NFM as appropriate.</w:t>
      </w:r>
    </w:p>
    <w:p w14:paraId="4DBDA4DF" w14:textId="400831A5" w:rsidR="00427AAB" w:rsidRPr="00556C90" w:rsidRDefault="00427AAB" w:rsidP="00B448AC">
      <w:pPr>
        <w:pStyle w:val="Heading2"/>
        <w:numPr>
          <w:ilvl w:val="1"/>
          <w:numId w:val="12"/>
        </w:numPr>
        <w:ind w:left="709" w:hanging="709"/>
        <w:rPr>
          <w:rFonts w:eastAsia="Times"/>
        </w:rPr>
      </w:pPr>
      <w:bookmarkStart w:id="1572" w:name="_Ref199324695"/>
      <w:bookmarkStart w:id="1573" w:name="_Ref199324736"/>
      <w:bookmarkStart w:id="1574" w:name="_Toc201148221"/>
      <w:r w:rsidRPr="00556C90">
        <w:t>High</w:t>
      </w:r>
      <w:r w:rsidR="00BE12CB">
        <w:t>-</w:t>
      </w:r>
      <w:r w:rsidRPr="00556C90">
        <w:t>cost, highly specialised therapies</w:t>
      </w:r>
      <w:bookmarkEnd w:id="1572"/>
      <w:bookmarkEnd w:id="1573"/>
      <w:bookmarkEnd w:id="1574"/>
    </w:p>
    <w:p w14:paraId="53C711D4" w14:textId="72F8EF45" w:rsidR="00BF7E1E" w:rsidRDefault="00BF7E1E" w:rsidP="00427AAB">
      <w:pPr>
        <w:pStyle w:val="Body"/>
      </w:pPr>
      <w:r w:rsidRPr="00587ACF">
        <w:t>Under the national funding model, high</w:t>
      </w:r>
      <w:r w:rsidR="00BE12CB" w:rsidRPr="00587ACF">
        <w:t>-</w:t>
      </w:r>
      <w:r w:rsidRPr="00587ACF">
        <w:t>cost, highly specialised therapies (HSTs) are block funded.</w:t>
      </w:r>
    </w:p>
    <w:p w14:paraId="422A8810" w14:textId="07099D63" w:rsidR="00427AAB" w:rsidRPr="00556C90" w:rsidRDefault="00427AAB" w:rsidP="00427AAB">
      <w:pPr>
        <w:pStyle w:val="Body"/>
      </w:pPr>
      <w:r w:rsidRPr="00556C90">
        <w:t>HSTs are defined by the IHACPA in the annual National Efficient Cost Determination and will continue to be funded to actual expenditure in 202</w:t>
      </w:r>
      <w:r>
        <w:t>5</w:t>
      </w:r>
      <w:r w:rsidRPr="0024271F">
        <w:t>–</w:t>
      </w:r>
      <w:r w:rsidRPr="00556C90">
        <w:t>2</w:t>
      </w:r>
      <w:r>
        <w:t>6</w:t>
      </w:r>
      <w:r w:rsidRPr="00556C90">
        <w:t xml:space="preserve">. HST grants are to be recognised by health </w:t>
      </w:r>
      <w:r w:rsidRPr="00556C90">
        <w:lastRenderedPageBreak/>
        <w:t>services on the basis of actual costs incurred for delivering HSTs, including patient, product and program costs.</w:t>
      </w:r>
    </w:p>
    <w:p w14:paraId="74B2B549" w14:textId="77777777" w:rsidR="00427AAB" w:rsidRPr="00556C90" w:rsidRDefault="00427AAB" w:rsidP="004537E5">
      <w:pPr>
        <w:pStyle w:val="Heading3"/>
        <w:numPr>
          <w:ilvl w:val="2"/>
          <w:numId w:val="12"/>
        </w:numPr>
      </w:pPr>
      <w:r w:rsidRPr="00556C90">
        <w:t>Business rules</w:t>
      </w:r>
    </w:p>
    <w:p w14:paraId="4158820A" w14:textId="7709291D" w:rsidR="00BE12CB" w:rsidRDefault="00427AAB" w:rsidP="00427AAB">
      <w:pPr>
        <w:pStyle w:val="Body"/>
      </w:pPr>
      <w:r>
        <w:t xml:space="preserve">Aligned with requirements of the NHRA and the </w:t>
      </w:r>
      <w:r w:rsidR="00BE12CB">
        <w:t>s</w:t>
      </w:r>
      <w:r>
        <w:t>tate’s reporting obligations to the Administrator of the National Health Funding Pool, health services delivering HSTs are required to report actual costs and patient data to the department annually</w:t>
      </w:r>
      <w:r w:rsidR="00BE12CB">
        <w:t xml:space="preserve">. This occurs </w:t>
      </w:r>
      <w:r>
        <w:t xml:space="preserve">11 weeks after the end of the financial year, via a supplied template. </w:t>
      </w:r>
    </w:p>
    <w:p w14:paraId="06E1ABCE" w14:textId="357B453B" w:rsidR="00427AAB" w:rsidRDefault="00427AAB" w:rsidP="00427AAB">
      <w:pPr>
        <w:pStyle w:val="Body"/>
      </w:pPr>
      <w:r>
        <w:t>The costs reported should correspond to the expenses incurred in the relevant financial year for patients treated in that year. Only costs incurred up to the end of the financial year should be included.</w:t>
      </w:r>
    </w:p>
    <w:p w14:paraId="1A88C219" w14:textId="20ADD676" w:rsidR="00427AAB" w:rsidRPr="00556C90" w:rsidRDefault="00427AAB" w:rsidP="00427AAB">
      <w:pPr>
        <w:pStyle w:val="Body"/>
      </w:pPr>
      <w:r>
        <w:t>The National Health Funding Body will reconcile the actual number of patients treated and the associated costs, in consultation with IHACPA and States as part of the annual reconciliation process. The department will use the data for prior</w:t>
      </w:r>
      <w:r w:rsidR="007022DE">
        <w:t>-</w:t>
      </w:r>
      <w:r>
        <w:t>year adjustment/recall estimations.</w:t>
      </w:r>
    </w:p>
    <w:p w14:paraId="0B8AFEC5" w14:textId="77777777" w:rsidR="00427AAB" w:rsidRPr="00556C90" w:rsidRDefault="00427AAB" w:rsidP="00427AAB">
      <w:pPr>
        <w:pStyle w:val="Body"/>
      </w:pPr>
      <w:r w:rsidRPr="00556C90">
        <w:t xml:space="preserve">For all HSTs the ‘highly specialised therapy’ flag must be applied in the Victorian Admitted Episodes Dataset (VAED) to enable National Health Reform Agreement quarterly activity reporting and for the annual reconciliation process. </w:t>
      </w:r>
    </w:p>
    <w:p w14:paraId="288FF25D" w14:textId="1AFB4630" w:rsidR="00160D05" w:rsidRDefault="00427AAB" w:rsidP="00123420">
      <w:pPr>
        <w:pStyle w:val="Body"/>
      </w:pPr>
      <w:r w:rsidRPr="00556C90">
        <w:t>Health services are required to provide monthly and quarterly activity data and fulfill any ad</w:t>
      </w:r>
      <w:r w:rsidR="00FF590E">
        <w:t xml:space="preserve"> </w:t>
      </w:r>
      <w:r w:rsidRPr="00556C90">
        <w:t>hoc data requests from the department.</w:t>
      </w:r>
    </w:p>
    <w:p w14:paraId="378AA0E7" w14:textId="657EFC7E" w:rsidR="00957E6C" w:rsidRPr="00280A87" w:rsidRDefault="00957E6C" w:rsidP="00B448AC">
      <w:pPr>
        <w:pStyle w:val="Heading2"/>
        <w:numPr>
          <w:ilvl w:val="1"/>
          <w:numId w:val="12"/>
        </w:numPr>
        <w:ind w:left="709" w:hanging="709"/>
        <w:rPr>
          <w:rFonts w:eastAsia="Times"/>
        </w:rPr>
      </w:pPr>
      <w:bookmarkStart w:id="1575" w:name="_Toc197452697"/>
      <w:bookmarkStart w:id="1576" w:name="_Toc201148222"/>
      <w:bookmarkEnd w:id="1575"/>
      <w:r w:rsidRPr="00280A87">
        <w:rPr>
          <w:rFonts w:eastAsia="Times"/>
        </w:rPr>
        <w:t>Lithotripsy</w:t>
      </w:r>
      <w:bookmarkEnd w:id="1576"/>
    </w:p>
    <w:p w14:paraId="54541932" w14:textId="7D2C1370" w:rsidR="00665AEE" w:rsidRDefault="00665AEE" w:rsidP="006C6B5D">
      <w:pPr>
        <w:pStyle w:val="Body"/>
      </w:pPr>
      <w:r w:rsidRPr="00736CC1">
        <w:t xml:space="preserve">Under the </w:t>
      </w:r>
      <w:r w:rsidR="00127F6F" w:rsidRPr="00736CC1">
        <w:t>national funding model</w:t>
      </w:r>
      <w:r w:rsidR="003F7CFA" w:rsidRPr="00736CC1">
        <w:t>,</w:t>
      </w:r>
      <w:r w:rsidRPr="00736CC1">
        <w:t xml:space="preserve"> lithotripsy services are </w:t>
      </w:r>
      <w:r w:rsidR="00F05FE4" w:rsidRPr="00736CC1">
        <w:t xml:space="preserve">NWAU </w:t>
      </w:r>
      <w:r w:rsidRPr="00736CC1">
        <w:t>activity-based funded when delivered by health services in</w:t>
      </w:r>
      <w:r w:rsidR="00F41BA2">
        <w:t xml:space="preserve"> </w:t>
      </w:r>
      <w:r w:rsidRPr="00736CC1">
        <w:t>scope for ABF, as defined by the NHRA.</w:t>
      </w:r>
    </w:p>
    <w:p w14:paraId="21A087D1" w14:textId="6BC554F9" w:rsidR="00BE12CB" w:rsidRDefault="00300253" w:rsidP="00AF29BC">
      <w:pPr>
        <w:pStyle w:val="Body"/>
      </w:pPr>
      <w:r>
        <w:t>In Victoria, l</w:t>
      </w:r>
      <w:r w:rsidR="00C1493C">
        <w:t xml:space="preserve">ithotripsy </w:t>
      </w:r>
      <w:r w:rsidR="00780E9C">
        <w:t xml:space="preserve">is </w:t>
      </w:r>
      <w:r w:rsidR="00C1493C">
        <w:t xml:space="preserve">provided </w:t>
      </w:r>
      <w:r w:rsidR="009F6C47">
        <w:t xml:space="preserve">by </w:t>
      </w:r>
      <w:r w:rsidR="00FD4374">
        <w:t xml:space="preserve">St </w:t>
      </w:r>
      <w:r w:rsidR="00FD4374" w:rsidRPr="00280A87">
        <w:t xml:space="preserve">Vincent’s </w:t>
      </w:r>
      <w:r w:rsidR="003E21FF" w:rsidRPr="00280A87">
        <w:t>Health</w:t>
      </w:r>
      <w:r w:rsidR="00C1493C" w:rsidRPr="00280A87">
        <w:t xml:space="preserve"> </w:t>
      </w:r>
      <w:r w:rsidR="009F6C47" w:rsidRPr="00280A87">
        <w:t xml:space="preserve">as a statewide provider </w:t>
      </w:r>
      <w:r w:rsidR="00C1493C" w:rsidRPr="00280A87">
        <w:t xml:space="preserve">and a network of designated satellite providers. </w:t>
      </w:r>
      <w:r w:rsidR="00AF29BC" w:rsidRPr="00280A87">
        <w:t xml:space="preserve">In </w:t>
      </w:r>
      <w:r w:rsidR="00D53439" w:rsidRPr="00280A87">
        <w:t>2025–26,</w:t>
      </w:r>
      <w:r w:rsidR="00AF29BC" w:rsidRPr="00280A87">
        <w:t xml:space="preserve"> lithotripsy episodes are </w:t>
      </w:r>
      <w:r w:rsidR="006201A0" w:rsidRPr="00280A87">
        <w:t>only at</w:t>
      </w:r>
      <w:r w:rsidR="00BE12CB">
        <w:t xml:space="preserve">: </w:t>
      </w:r>
    </w:p>
    <w:p w14:paraId="3401EF4A" w14:textId="39C7CEE7" w:rsidR="00BE12CB" w:rsidRPr="00BE12CB" w:rsidRDefault="00AF29BC" w:rsidP="00813A55">
      <w:pPr>
        <w:pStyle w:val="Bullet1"/>
      </w:pPr>
      <w:r w:rsidRPr="00BE12CB">
        <w:t>St Vincent’s Health</w:t>
      </w:r>
    </w:p>
    <w:p w14:paraId="713E471D" w14:textId="41593568" w:rsidR="00BE12CB" w:rsidRPr="00BE12CB" w:rsidRDefault="00AF29BC" w:rsidP="00813A55">
      <w:pPr>
        <w:pStyle w:val="Bullet1"/>
      </w:pPr>
      <w:r w:rsidRPr="00BE12CB">
        <w:t>Grampian’s Health</w:t>
      </w:r>
    </w:p>
    <w:p w14:paraId="19A0EBE0" w14:textId="1662A72F" w:rsidR="00BE12CB" w:rsidRPr="00BE12CB" w:rsidRDefault="00AF29BC" w:rsidP="00813A55">
      <w:pPr>
        <w:pStyle w:val="Bullet1"/>
      </w:pPr>
      <w:r w:rsidRPr="00BE12CB">
        <w:t>Bendigo Health</w:t>
      </w:r>
    </w:p>
    <w:p w14:paraId="4BD3E3C8" w14:textId="61B465BA" w:rsidR="00BE12CB" w:rsidRPr="00BE12CB" w:rsidRDefault="00AF29BC" w:rsidP="00813A55">
      <w:pPr>
        <w:pStyle w:val="Bullet1"/>
      </w:pPr>
      <w:r w:rsidRPr="00BE12CB">
        <w:t>Barwon Health</w:t>
      </w:r>
    </w:p>
    <w:p w14:paraId="10A889FE" w14:textId="60AF7E7D" w:rsidR="00BE12CB" w:rsidRPr="00BE12CB" w:rsidRDefault="00AF29BC" w:rsidP="00813A55">
      <w:pPr>
        <w:pStyle w:val="Bullet1"/>
      </w:pPr>
      <w:r w:rsidRPr="00BE12CB">
        <w:t>Goulburn Valley Health</w:t>
      </w:r>
    </w:p>
    <w:p w14:paraId="580FECAF" w14:textId="47946D28" w:rsidR="00BE12CB" w:rsidRPr="00BE12CB" w:rsidRDefault="00AF29BC" w:rsidP="00813A55">
      <w:pPr>
        <w:pStyle w:val="Bullet1"/>
      </w:pPr>
      <w:r w:rsidRPr="00BE12CB">
        <w:t>The Royal Children’s Hospital</w:t>
      </w:r>
    </w:p>
    <w:p w14:paraId="5DE02B76" w14:textId="242C7904" w:rsidR="00BE12CB" w:rsidRPr="00BE12CB" w:rsidRDefault="00AF29BC" w:rsidP="00813A55">
      <w:pPr>
        <w:pStyle w:val="Bullet1"/>
      </w:pPr>
      <w:r w:rsidRPr="00BE12CB">
        <w:t>Mildura Base Hospital</w:t>
      </w:r>
    </w:p>
    <w:p w14:paraId="1D603BC5" w14:textId="592B4DFE" w:rsidR="00BE12CB" w:rsidRPr="00BE12CB" w:rsidRDefault="00AF29BC" w:rsidP="00813A55">
      <w:pPr>
        <w:pStyle w:val="Bullet1"/>
      </w:pPr>
      <w:r w:rsidRPr="00BE12CB">
        <w:t xml:space="preserve">Western Health </w:t>
      </w:r>
    </w:p>
    <w:p w14:paraId="72AD83DF" w14:textId="3DA27B48" w:rsidR="00AF29BC" w:rsidRPr="00BE12CB" w:rsidRDefault="00AF29BC" w:rsidP="00813A55">
      <w:pPr>
        <w:pStyle w:val="Bullet1"/>
      </w:pPr>
      <w:r w:rsidRPr="00BE12CB">
        <w:t>Mercy Health (Werribee campus only).</w:t>
      </w:r>
    </w:p>
    <w:p w14:paraId="32FA36A8" w14:textId="364B29AE" w:rsidR="00813A55" w:rsidRDefault="00813A55" w:rsidP="00813A55">
      <w:pPr>
        <w:pStyle w:val="Bodyafterbullets"/>
      </w:pPr>
      <w:r>
        <w:t>These services are</w:t>
      </w:r>
      <w:r w:rsidR="00FF72F9">
        <w:t xml:space="preserve"> funded through</w:t>
      </w:r>
      <w:r>
        <w:t xml:space="preserve"> NWAU ABF.</w:t>
      </w:r>
    </w:p>
    <w:p w14:paraId="08C9DB5B" w14:textId="5316F678" w:rsidR="006B65BB" w:rsidRDefault="003B663A" w:rsidP="00813A55">
      <w:pPr>
        <w:pStyle w:val="Bodyafterbullets"/>
      </w:pPr>
      <w:r>
        <w:t>A</w:t>
      </w:r>
      <w:r w:rsidR="00AF29BC">
        <w:t xml:space="preserve"> </w:t>
      </w:r>
      <w:r w:rsidR="004942CF">
        <w:t xml:space="preserve">legacy </w:t>
      </w:r>
      <w:r w:rsidR="00AF29BC">
        <w:t xml:space="preserve">block grant </w:t>
      </w:r>
      <w:r w:rsidR="008120DB">
        <w:t xml:space="preserve">is also </w:t>
      </w:r>
      <w:r w:rsidR="006B65BB">
        <w:t xml:space="preserve">provided </w:t>
      </w:r>
      <w:r w:rsidR="00AF29BC">
        <w:t xml:space="preserve">to St Vincent’s Hospital Melbourne </w:t>
      </w:r>
      <w:r w:rsidR="006201A0">
        <w:t xml:space="preserve">as </w:t>
      </w:r>
      <w:r w:rsidR="004942CF">
        <w:t xml:space="preserve">listed in </w:t>
      </w:r>
      <w:r w:rsidR="004942CF" w:rsidRPr="0099486A">
        <w:t>Table 2.22: Victorian pricing adjustments 2025–26</w:t>
      </w:r>
      <w:r w:rsidR="006B65BB">
        <w:t>.</w:t>
      </w:r>
    </w:p>
    <w:p w14:paraId="52F598B6" w14:textId="7B862521" w:rsidR="00160D05" w:rsidRDefault="00665AEE" w:rsidP="00123420">
      <w:pPr>
        <w:pStyle w:val="Body"/>
      </w:pPr>
      <w:r w:rsidRPr="00254A77">
        <w:t xml:space="preserve">The department proposes to review </w:t>
      </w:r>
      <w:r w:rsidR="005377AE">
        <w:t xml:space="preserve">these </w:t>
      </w:r>
      <w:r w:rsidRPr="00254A77">
        <w:t>funding arrangements to improve alignment with the NFM as appropriate.</w:t>
      </w:r>
    </w:p>
    <w:p w14:paraId="166DDEE3" w14:textId="12D6DD46" w:rsidR="00957E6C" w:rsidRPr="002D59A4" w:rsidRDefault="00957E6C" w:rsidP="00B448AC">
      <w:pPr>
        <w:pStyle w:val="Heading2"/>
        <w:numPr>
          <w:ilvl w:val="1"/>
          <w:numId w:val="12"/>
        </w:numPr>
        <w:ind w:left="709" w:hanging="709"/>
      </w:pPr>
      <w:bookmarkStart w:id="1577" w:name="_Toc201148223"/>
      <w:r w:rsidRPr="002D59A4">
        <w:t>Mental health and wellbeing</w:t>
      </w:r>
      <w:bookmarkEnd w:id="1577"/>
    </w:p>
    <w:p w14:paraId="2B241328" w14:textId="638674BF" w:rsidR="004605C2" w:rsidRPr="001A0D88" w:rsidRDefault="004605C2" w:rsidP="004605C2">
      <w:pPr>
        <w:pStyle w:val="Body"/>
      </w:pPr>
      <w:r w:rsidRPr="001A0D88">
        <w:t>Mental health subacute and residential mental health services and out</w:t>
      </w:r>
      <w:r w:rsidR="00A826F9" w:rsidRPr="001A0D88">
        <w:t>-</w:t>
      </w:r>
      <w:r w:rsidRPr="001A0D88">
        <w:t>of</w:t>
      </w:r>
      <w:r w:rsidR="00A826F9" w:rsidRPr="001A0D88">
        <w:t>-</w:t>
      </w:r>
      <w:r w:rsidRPr="001A0D88">
        <w:t xml:space="preserve">scope non-admitted mental healthcare </w:t>
      </w:r>
      <w:r w:rsidR="003039FD" w:rsidRPr="001A0D88">
        <w:t>are</w:t>
      </w:r>
      <w:r w:rsidRPr="001A0D88">
        <w:t xml:space="preserve"> block funded in 2025–26.</w:t>
      </w:r>
    </w:p>
    <w:p w14:paraId="661AE398" w14:textId="1A127D50" w:rsidR="005F3BB4" w:rsidRPr="001A0D88" w:rsidRDefault="003314DD" w:rsidP="005F3BB4">
      <w:pPr>
        <w:pStyle w:val="Body"/>
      </w:pPr>
      <w:r w:rsidRPr="001A0D88">
        <w:lastRenderedPageBreak/>
        <w:t>Some c</w:t>
      </w:r>
      <w:r w:rsidR="005F3BB4" w:rsidRPr="001A0D88">
        <w:t xml:space="preserve">ommunity (non-admitted) </w:t>
      </w:r>
      <w:r w:rsidRPr="001A0D88">
        <w:t xml:space="preserve">mental health </w:t>
      </w:r>
      <w:r w:rsidR="005F3BB4" w:rsidRPr="001A0D88">
        <w:t xml:space="preserve">services </w:t>
      </w:r>
      <w:r w:rsidRPr="001A0D88">
        <w:t xml:space="preserve">are </w:t>
      </w:r>
      <w:r w:rsidR="005F3BB4" w:rsidRPr="001A0D88">
        <w:t xml:space="preserve">block funded in Victoria even though </w:t>
      </w:r>
      <w:r w:rsidRPr="001A0D88">
        <w:t xml:space="preserve">they are </w:t>
      </w:r>
      <w:r w:rsidR="008C3821" w:rsidRPr="001A0D88">
        <w:t xml:space="preserve">NWAU </w:t>
      </w:r>
      <w:r w:rsidR="00F70439">
        <w:t>ABF</w:t>
      </w:r>
      <w:r w:rsidRPr="001A0D88">
        <w:t xml:space="preserve"> under the</w:t>
      </w:r>
      <w:r w:rsidR="005F3BB4" w:rsidRPr="001A0D88">
        <w:t xml:space="preserve"> national model:</w:t>
      </w:r>
    </w:p>
    <w:p w14:paraId="309A1AD5" w14:textId="2B5B1231" w:rsidR="005F3BB4" w:rsidRPr="001A0D88" w:rsidRDefault="005F3BB4" w:rsidP="00210DAA">
      <w:pPr>
        <w:pStyle w:val="Bullet1"/>
      </w:pPr>
      <w:r w:rsidRPr="001A0D88">
        <w:t>autism coordinators</w:t>
      </w:r>
    </w:p>
    <w:p w14:paraId="23042457" w14:textId="77777777" w:rsidR="005F3BB4" w:rsidRPr="001A0D88" w:rsidRDefault="005F3BB4" w:rsidP="00210DAA">
      <w:pPr>
        <w:pStyle w:val="Bullet1"/>
      </w:pPr>
      <w:r w:rsidRPr="001A0D88">
        <w:t>families where a parent has a mental illness</w:t>
      </w:r>
    </w:p>
    <w:p w14:paraId="70F2D19A" w14:textId="15D78D30" w:rsidR="005F3BB4" w:rsidRPr="001A0D88" w:rsidRDefault="005F3BB4" w:rsidP="00210DAA">
      <w:pPr>
        <w:pStyle w:val="Bullet1"/>
      </w:pPr>
      <w:r w:rsidRPr="001A0D88">
        <w:t>forensic threat assessment centre</w:t>
      </w:r>
    </w:p>
    <w:p w14:paraId="2E600366" w14:textId="5FD5AD07" w:rsidR="005F3BB4" w:rsidRPr="001A0D88" w:rsidRDefault="005F3BB4" w:rsidP="00210DAA">
      <w:pPr>
        <w:pStyle w:val="Bullet1"/>
      </w:pPr>
      <w:r w:rsidRPr="001A0D88">
        <w:t>infant child youth group-based parenting support (0</w:t>
      </w:r>
      <w:r w:rsidR="00BE12CB">
        <w:t>–</w:t>
      </w:r>
      <w:r w:rsidRPr="001A0D88">
        <w:t>11)</w:t>
      </w:r>
    </w:p>
    <w:p w14:paraId="25ABCA4D" w14:textId="33F237CF" w:rsidR="005F3BB4" w:rsidRPr="001A0D88" w:rsidRDefault="005F3BB4" w:rsidP="00210DAA">
      <w:pPr>
        <w:pStyle w:val="Bullet1"/>
      </w:pPr>
      <w:r w:rsidRPr="001A0D88">
        <w:t>specialist statewide services (dual disability, neuropsychiatry, spectrum).</w:t>
      </w:r>
    </w:p>
    <w:p w14:paraId="114C6437" w14:textId="3CA813DE" w:rsidR="00957E6C" w:rsidRPr="00084C04" w:rsidRDefault="00957E6C" w:rsidP="005B574C">
      <w:pPr>
        <w:pStyle w:val="Heading2"/>
        <w:numPr>
          <w:ilvl w:val="1"/>
          <w:numId w:val="12"/>
        </w:numPr>
        <w:ind w:left="851" w:hanging="851"/>
      </w:pPr>
      <w:bookmarkStart w:id="1578" w:name="_Toc201148224"/>
      <w:r w:rsidRPr="00EF7B4C">
        <w:t>Radiotherapy</w:t>
      </w:r>
      <w:bookmarkEnd w:id="1578"/>
    </w:p>
    <w:p w14:paraId="62CD07B0" w14:textId="739C8D25" w:rsidR="00813A55" w:rsidRDefault="00445620" w:rsidP="00957E6C">
      <w:pPr>
        <w:pStyle w:val="Body"/>
      </w:pPr>
      <w:r w:rsidRPr="00587ACF">
        <w:t>Under the NFM, radiotherapy services are activity-based funded when delivered by health services in</w:t>
      </w:r>
      <w:r w:rsidR="00F41BA2" w:rsidRPr="00587ACF">
        <w:t xml:space="preserve"> </w:t>
      </w:r>
      <w:r w:rsidRPr="00587ACF">
        <w:t>scope for ABF, as defined by the NHRA.</w:t>
      </w:r>
      <w:r w:rsidR="00BE12CB" w:rsidRPr="00587ACF">
        <w:t xml:space="preserve"> </w:t>
      </w:r>
      <w:r w:rsidR="006B68D9" w:rsidRPr="00587ACF">
        <w:t>Radiotherapy services may be subject to a supplement, as outlined below.</w:t>
      </w:r>
    </w:p>
    <w:p w14:paraId="229C5EB5" w14:textId="687EC80A" w:rsidR="00957E6C" w:rsidRPr="00084C04" w:rsidRDefault="00533382" w:rsidP="00957E6C">
      <w:pPr>
        <w:pStyle w:val="Body"/>
      </w:pPr>
      <w:r w:rsidRPr="00736CC1">
        <w:t>Public</w:t>
      </w:r>
      <w:r w:rsidRPr="00084C04">
        <w:t xml:space="preserve"> </w:t>
      </w:r>
      <w:r w:rsidR="00957E6C" w:rsidRPr="00084C04">
        <w:t>radiotherapy services are provided at 12</w:t>
      </w:r>
      <w:r w:rsidR="00813A55">
        <w:t xml:space="preserve"> </w:t>
      </w:r>
      <w:r w:rsidR="00957E6C" w:rsidRPr="00E75F26">
        <w:t>hospitals</w:t>
      </w:r>
      <w:r w:rsidR="00957E6C" w:rsidRPr="00084C04">
        <w:t xml:space="preserve"> in Victoria across metropolitan and regional campuses.</w:t>
      </w:r>
    </w:p>
    <w:p w14:paraId="63EA013F" w14:textId="31134F5B" w:rsidR="00957E6C" w:rsidRPr="00084C04" w:rsidRDefault="00957E6C" w:rsidP="004537E5">
      <w:pPr>
        <w:pStyle w:val="Heading3"/>
        <w:numPr>
          <w:ilvl w:val="2"/>
          <w:numId w:val="12"/>
        </w:numPr>
      </w:pPr>
      <w:r w:rsidRPr="00084C04">
        <w:t>Non-</w:t>
      </w:r>
      <w:r>
        <w:t>a</w:t>
      </w:r>
      <w:r w:rsidRPr="00084C04">
        <w:t xml:space="preserve">dmitted </w:t>
      </w:r>
      <w:r>
        <w:t>r</w:t>
      </w:r>
      <w:r w:rsidRPr="00084C04">
        <w:t xml:space="preserve">adiotherapy </w:t>
      </w:r>
      <w:r>
        <w:t>f</w:t>
      </w:r>
      <w:r w:rsidRPr="00084C04">
        <w:t xml:space="preserve">unding </w:t>
      </w:r>
      <w:r>
        <w:t>m</w:t>
      </w:r>
      <w:r w:rsidRPr="00084C04">
        <w:t>odel</w:t>
      </w:r>
    </w:p>
    <w:p w14:paraId="233EB045" w14:textId="50CFB018" w:rsidR="00957E6C" w:rsidRPr="00084C04" w:rsidRDefault="00A9575C" w:rsidP="00957E6C">
      <w:pPr>
        <w:pStyle w:val="Body"/>
      </w:pPr>
      <w:r>
        <w:t>In Victoria, r</w:t>
      </w:r>
      <w:r w:rsidR="00957E6C" w:rsidRPr="00084C04">
        <w:t>adiotherapy is predominantly provided on a</w:t>
      </w:r>
      <w:r w:rsidR="00A60479">
        <w:t xml:space="preserve"> non-admitted</w:t>
      </w:r>
      <w:r w:rsidR="00803320">
        <w:t xml:space="preserve"> </w:t>
      </w:r>
      <w:r w:rsidR="00957E6C" w:rsidRPr="00084C04">
        <w:t xml:space="preserve">basis and funded under a specific complexity-based funding model. Under this model, the various components of a course of radiotherapy are weighted and aggregated for each course of care. Remaining activity is admitted and </w:t>
      </w:r>
      <w:r w:rsidR="00957E6C" w:rsidRPr="00976304">
        <w:t>may</w:t>
      </w:r>
      <w:r w:rsidR="00957E6C" w:rsidRPr="00084C04">
        <w:t xml:space="preserve"> be eligible for NWAU.</w:t>
      </w:r>
    </w:p>
    <w:p w14:paraId="75C84DB5" w14:textId="77777777" w:rsidR="00BE12CB" w:rsidRDefault="00957E6C" w:rsidP="00957E6C">
      <w:pPr>
        <w:pStyle w:val="Body"/>
      </w:pPr>
      <w:r w:rsidRPr="00B33024">
        <w:t>The health services funded under the non-admitted radiotherapy funding model are</w:t>
      </w:r>
      <w:r w:rsidR="00BE12CB">
        <w:t>:</w:t>
      </w:r>
    </w:p>
    <w:p w14:paraId="3269C405" w14:textId="2917B244" w:rsidR="00BE12CB" w:rsidRPr="00BE12CB" w:rsidRDefault="00957E6C" w:rsidP="00813A55">
      <w:pPr>
        <w:pStyle w:val="Bullet1"/>
      </w:pPr>
      <w:r w:rsidRPr="00BE12CB">
        <w:t>Alfred Health</w:t>
      </w:r>
    </w:p>
    <w:p w14:paraId="51CE98F2" w14:textId="6F0373C1" w:rsidR="00BE12CB" w:rsidRPr="00BE12CB" w:rsidRDefault="00957E6C" w:rsidP="00813A55">
      <w:pPr>
        <w:pStyle w:val="Bullet1"/>
      </w:pPr>
      <w:r w:rsidRPr="00BE12CB">
        <w:t>Austin Health</w:t>
      </w:r>
    </w:p>
    <w:p w14:paraId="57128D23" w14:textId="6DB92D66" w:rsidR="00BE12CB" w:rsidRPr="00BE12CB" w:rsidRDefault="00957E6C" w:rsidP="00813A55">
      <w:pPr>
        <w:pStyle w:val="Bullet1"/>
      </w:pPr>
      <w:r w:rsidRPr="00BE12CB">
        <w:t xml:space="preserve">Barwon Health </w:t>
      </w:r>
    </w:p>
    <w:p w14:paraId="4332443D" w14:textId="77777777" w:rsidR="00BE12CB" w:rsidRPr="00BE12CB" w:rsidRDefault="00957E6C" w:rsidP="00813A55">
      <w:pPr>
        <w:pStyle w:val="Bullet1"/>
      </w:pPr>
      <w:r w:rsidRPr="00BE12CB">
        <w:t xml:space="preserve">Peter MacCallum Cancer Centre. </w:t>
      </w:r>
    </w:p>
    <w:p w14:paraId="36FD0D80" w14:textId="3949EEFD" w:rsidR="00957E6C" w:rsidRPr="00B33024" w:rsidRDefault="00957E6C" w:rsidP="00813A55">
      <w:pPr>
        <w:pStyle w:val="Bodyafterbullets"/>
      </w:pPr>
      <w:r w:rsidRPr="00B33024">
        <w:t xml:space="preserve">These </w:t>
      </w:r>
      <w:r w:rsidR="00BE12CB">
        <w:t>4</w:t>
      </w:r>
      <w:r w:rsidR="00BE12CB" w:rsidRPr="00B33024">
        <w:t xml:space="preserve"> </w:t>
      </w:r>
      <w:r w:rsidRPr="00B33024">
        <w:t xml:space="preserve">‘hub’ services also receive funding for the bespoke services they operate across metropolitan Melbourne and regional Victoria. The remaining </w:t>
      </w:r>
      <w:r w:rsidR="35BF5986">
        <w:t>3</w:t>
      </w:r>
      <w:r w:rsidR="00BE12CB" w:rsidRPr="00B33024">
        <w:t xml:space="preserve"> </w:t>
      </w:r>
      <w:r w:rsidRPr="00B33024">
        <w:t>public services are contracted services operated on behalf of the government by private providers.</w:t>
      </w:r>
    </w:p>
    <w:p w14:paraId="24FBB773" w14:textId="2D1838CB" w:rsidR="00957E6C" w:rsidRPr="00B33024" w:rsidRDefault="00957E6C" w:rsidP="00957E6C">
      <w:pPr>
        <w:pStyle w:val="Body"/>
      </w:pPr>
      <w:r w:rsidRPr="00B33024">
        <w:t xml:space="preserve">Refer to the website to find </w:t>
      </w:r>
      <w:hyperlink r:id="rId35" w:tgtFrame="_blank" w:history="1">
        <w:r w:rsidRPr="00B33024">
          <w:rPr>
            <w:rStyle w:val="Hyperlink"/>
          </w:rPr>
          <w:t>radiotherapy locations</w:t>
        </w:r>
      </w:hyperlink>
      <w:r w:rsidRPr="00B33024">
        <w:t xml:space="preserve"> &lt;https://www.health.vic.gov.au/health-strategies/radiotherapy-service-locations&gt;.</w:t>
      </w:r>
    </w:p>
    <w:p w14:paraId="67B98959" w14:textId="5A672E87" w:rsidR="00957E6C" w:rsidRPr="00B33024" w:rsidRDefault="00D033C0" w:rsidP="00957E6C">
      <w:pPr>
        <w:pStyle w:val="Body"/>
      </w:pPr>
      <w:r w:rsidRPr="00043B3B">
        <w:t xml:space="preserve">The </w:t>
      </w:r>
      <w:r w:rsidR="00957E6C" w:rsidRPr="00043B3B">
        <w:t>new public Superficial X-Ray Therapy service</w:t>
      </w:r>
      <w:r w:rsidRPr="00043B3B">
        <w:t xml:space="preserve"> commencing in 2025</w:t>
      </w:r>
      <w:r w:rsidR="00BE12CB">
        <w:t>–</w:t>
      </w:r>
      <w:r w:rsidRPr="00043B3B">
        <w:t>26</w:t>
      </w:r>
      <w:r w:rsidR="00957E6C" w:rsidRPr="00043B3B">
        <w:t xml:space="preserve"> will also be funded under this model.</w:t>
      </w:r>
    </w:p>
    <w:p w14:paraId="53D6FB9D" w14:textId="059E19F7" w:rsidR="00957E6C" w:rsidRPr="00B33024" w:rsidRDefault="00957E6C" w:rsidP="00957E6C">
      <w:pPr>
        <w:pStyle w:val="Body"/>
      </w:pPr>
      <w:r w:rsidRPr="00B33024">
        <w:t>In 202</w:t>
      </w:r>
      <w:r>
        <w:t>5</w:t>
      </w:r>
      <w:r w:rsidRPr="00B33024">
        <w:t>–2</w:t>
      </w:r>
      <w:r>
        <w:t>6</w:t>
      </w:r>
      <w:r w:rsidRPr="00B33024">
        <w:rPr>
          <w:lang w:val="en-US"/>
        </w:rPr>
        <w:t xml:space="preserve"> </w:t>
      </w:r>
      <w:r w:rsidRPr="00B33024">
        <w:t>funding for non-admitted radiotherapy services will continue to comprise:</w:t>
      </w:r>
    </w:p>
    <w:p w14:paraId="797F9F88" w14:textId="44ABF2DE" w:rsidR="00957E6C" w:rsidRPr="00B33024" w:rsidRDefault="00957E6C" w:rsidP="00E36457">
      <w:pPr>
        <w:pStyle w:val="Bullet1"/>
      </w:pPr>
      <w:r w:rsidRPr="00B33024">
        <w:t>a variable payment per weighted activity unit (WAU) to set targets for public, the Department of Veterans’ Affairs and private patient categories (costs for associated services are included in this payment and must be provided to all patients as required)</w:t>
      </w:r>
    </w:p>
    <w:p w14:paraId="30181B05" w14:textId="20C334B0" w:rsidR="00957E6C" w:rsidRPr="00B33024" w:rsidRDefault="00957E6C" w:rsidP="00E36457">
      <w:pPr>
        <w:pStyle w:val="Bullet1"/>
      </w:pPr>
      <w:r w:rsidRPr="00B33024">
        <w:t>a Department of Veterans’ Affairs premium (where applicable) above the variable payment</w:t>
      </w:r>
    </w:p>
    <w:p w14:paraId="27D156F9" w14:textId="371BDF32" w:rsidR="00957E6C" w:rsidRPr="00B33024" w:rsidRDefault="00957E6C" w:rsidP="00E36457">
      <w:pPr>
        <w:pStyle w:val="Bullet1"/>
      </w:pPr>
      <w:r w:rsidRPr="00B33024">
        <w:t>a variable payment per WAU plus a fixed payment where it is a statewide radiotherapy service involving a specialist radiotherapy machine delivering the radiation therapy (Gamma Knife and MR-Linac).</w:t>
      </w:r>
    </w:p>
    <w:p w14:paraId="2502653A" w14:textId="545EDD19" w:rsidR="00957E6C" w:rsidRPr="00B33024" w:rsidRDefault="00957E6C" w:rsidP="002F5B06">
      <w:pPr>
        <w:pStyle w:val="Bodyafterbullets"/>
      </w:pPr>
      <w:r w:rsidRPr="00B33024">
        <w:t>The WAU price can be found in section 15 Price tables.</w:t>
      </w:r>
    </w:p>
    <w:p w14:paraId="4F259707" w14:textId="1CBA745A" w:rsidR="00957E6C" w:rsidRPr="00B33024" w:rsidRDefault="00957E6C" w:rsidP="00957E6C">
      <w:pPr>
        <w:pStyle w:val="Body"/>
      </w:pPr>
      <w:r w:rsidRPr="00B33024">
        <w:t xml:space="preserve">Current-year WAU targets </w:t>
      </w:r>
      <w:r w:rsidR="002708ED">
        <w:t xml:space="preserve">are </w:t>
      </w:r>
      <w:r w:rsidR="00A218EE">
        <w:t xml:space="preserve">specified </w:t>
      </w:r>
      <w:r w:rsidR="002708ED">
        <w:t>in</w:t>
      </w:r>
      <w:r w:rsidR="003B16E4">
        <w:t xml:space="preserve"> the</w:t>
      </w:r>
      <w:r w:rsidR="002708ED">
        <w:t xml:space="preserve"> </w:t>
      </w:r>
      <w:r w:rsidR="007E4A10">
        <w:t xml:space="preserve">respective health services </w:t>
      </w:r>
      <w:r w:rsidR="002708ED">
        <w:t>S</w:t>
      </w:r>
      <w:r w:rsidR="00C53C14">
        <w:t>tatement of Priorities</w:t>
      </w:r>
      <w:r w:rsidR="007E4A10">
        <w:t>.</w:t>
      </w:r>
    </w:p>
    <w:p w14:paraId="701FCCC5" w14:textId="380E65C8" w:rsidR="00957E6C" w:rsidRPr="00B33024" w:rsidRDefault="00957E6C" w:rsidP="00957E6C">
      <w:pPr>
        <w:pStyle w:val="Body"/>
      </w:pPr>
      <w:r w:rsidRPr="00B33024">
        <w:lastRenderedPageBreak/>
        <w:t>In addition to the state contribution for radiotherapy, health services will retain all third-party revenue. Changes to third-party revenue will be considered annually in determining WAU pricing.</w:t>
      </w:r>
    </w:p>
    <w:p w14:paraId="0EFF8A9F" w14:textId="346FEE84" w:rsidR="00957E6C" w:rsidRPr="00B33024" w:rsidRDefault="00957E6C" w:rsidP="004537E5">
      <w:pPr>
        <w:pStyle w:val="Heading3"/>
        <w:numPr>
          <w:ilvl w:val="2"/>
          <w:numId w:val="12"/>
        </w:numPr>
      </w:pPr>
      <w:r w:rsidRPr="00B33024">
        <w:t>Radiotherapy data</w:t>
      </w:r>
    </w:p>
    <w:p w14:paraId="7C759C59" w14:textId="0AE97128" w:rsidR="00957E6C" w:rsidRPr="00B33024" w:rsidRDefault="00957E6C" w:rsidP="00957E6C">
      <w:pPr>
        <w:pStyle w:val="Body"/>
      </w:pPr>
      <w:r w:rsidRPr="00B33024">
        <w:t xml:space="preserve">The Victorian Radiotherapy Minimum Data Set is the key source of radiotherapy data for funding and service planning. Consultations, treatment and simulation are </w:t>
      </w:r>
      <w:r>
        <w:t>reported to</w:t>
      </w:r>
      <w:r w:rsidRPr="00B33024">
        <w:t xml:space="preserve"> the AIMS S8 form and at patient level</w:t>
      </w:r>
      <w:r>
        <w:t xml:space="preserve"> to</w:t>
      </w:r>
      <w:r w:rsidRPr="00B33024">
        <w:t xml:space="preserve"> the VINAH minimum dataset or the NADC. In addition, it is expected that health services maintain and report radiotherapy patient-level costing data via the VCDC.</w:t>
      </w:r>
    </w:p>
    <w:p w14:paraId="46FBF113" w14:textId="31E91D75" w:rsidR="00957E6C" w:rsidRPr="00B33024" w:rsidRDefault="00957E6C" w:rsidP="004537E5">
      <w:pPr>
        <w:pStyle w:val="Heading3"/>
        <w:numPr>
          <w:ilvl w:val="2"/>
          <w:numId w:val="12"/>
        </w:numPr>
      </w:pPr>
      <w:r w:rsidRPr="00B33024">
        <w:t xml:space="preserve">Contracted </w:t>
      </w:r>
      <w:r w:rsidR="00B25BA8">
        <w:t xml:space="preserve">radiotherapy </w:t>
      </w:r>
      <w:r w:rsidRPr="00B33024">
        <w:t>services</w:t>
      </w:r>
    </w:p>
    <w:p w14:paraId="4A5C51B9" w14:textId="2F1543A2" w:rsidR="00957E6C" w:rsidRPr="00B33024" w:rsidRDefault="00957E6C" w:rsidP="00957E6C">
      <w:pPr>
        <w:pStyle w:val="Body"/>
      </w:pPr>
      <w:r w:rsidRPr="00B33024">
        <w:t>The department funds contract arrangements with private sector radiotherapy operators to provide public radiotherapy services at South West Healthcare Warrnambool and at Albury Wodonga Health.</w:t>
      </w:r>
    </w:p>
    <w:p w14:paraId="52B80EA8" w14:textId="564C3647" w:rsidR="00957E6C" w:rsidRPr="00B33024" w:rsidRDefault="00957E6C" w:rsidP="00957E6C">
      <w:pPr>
        <w:pStyle w:val="Body"/>
      </w:pPr>
      <w:r w:rsidRPr="00B33024">
        <w:t>Under these arrangements, all patients are treated with no out-of-pocket costs. The private operators actively participate in public multidisciplinary cancer meetings and provide specialist outreach services across their regions.</w:t>
      </w:r>
    </w:p>
    <w:p w14:paraId="7A1724CF" w14:textId="39126660" w:rsidR="00957E6C" w:rsidRPr="00B33024" w:rsidRDefault="00957E6C" w:rsidP="00957E6C">
      <w:pPr>
        <w:pStyle w:val="Body"/>
      </w:pPr>
      <w:r w:rsidRPr="00B33024">
        <w:t>The department also funds a contract arrangement between a private sector radiotherapy operator in Shepparton and Goulburn Valley Health. Under this arrangement, appropriate public patients at Goulburn Valley Health can receive radiotherapy with no out-of-pocket costs. A similar arrangement operates in Mildura so that appropriate public patients at Mildura Base Public Hospital can receive radiotherapy locally from a private sector radiotherapy operator with no out-of-pocket expenses.</w:t>
      </w:r>
    </w:p>
    <w:p w14:paraId="64EC1AF9" w14:textId="34F51236" w:rsidR="00957E6C" w:rsidRPr="00B33024" w:rsidRDefault="00957E6C" w:rsidP="004537E5">
      <w:pPr>
        <w:pStyle w:val="Heading3"/>
        <w:numPr>
          <w:ilvl w:val="2"/>
          <w:numId w:val="12"/>
        </w:numPr>
      </w:pPr>
      <w:r w:rsidRPr="00B33024">
        <w:t>Non-admitted radiotherapy shared care</w:t>
      </w:r>
    </w:p>
    <w:p w14:paraId="50D3B360" w14:textId="78BB0ABE" w:rsidR="00957E6C" w:rsidRPr="00B33024" w:rsidRDefault="00957E6C" w:rsidP="00957E6C">
      <w:pPr>
        <w:pStyle w:val="Body"/>
      </w:pPr>
      <w:r w:rsidRPr="00B33024">
        <w:t>The department provides funding to eligible metropolitan public health services that have entered into shared care contracts with local private radiotherapy operators when there is no public service.</w:t>
      </w:r>
    </w:p>
    <w:p w14:paraId="64953972" w14:textId="38A6C53A" w:rsidR="00957E6C" w:rsidRPr="00B33024" w:rsidRDefault="00957E6C" w:rsidP="00957E6C">
      <w:pPr>
        <w:pStyle w:val="Body"/>
      </w:pPr>
      <w:r w:rsidRPr="00B33024">
        <w:t xml:space="preserve">Under these arrangements, disadvantaged cancer patients with eligible concession cards can receive care as public patients. They access </w:t>
      </w:r>
      <w:r>
        <w:t xml:space="preserve">outpatient </w:t>
      </w:r>
      <w:r w:rsidRPr="00B33024">
        <w:t>radiotherapy from a local private operator when th</w:t>
      </w:r>
      <w:r>
        <w:t xml:space="preserve">at treatment facility </w:t>
      </w:r>
      <w:r w:rsidRPr="00B33024">
        <w:t>is closer than a public provider. Shared care is coordinated by the public hospital as part of the patient's cancer care at no cost to the patient.</w:t>
      </w:r>
    </w:p>
    <w:p w14:paraId="67A086C1" w14:textId="77777777" w:rsidR="00BE12CB" w:rsidRDefault="00957E6C" w:rsidP="00957E6C">
      <w:pPr>
        <w:pStyle w:val="Body"/>
      </w:pPr>
      <w:r w:rsidRPr="00B33024">
        <w:t>Health services that currently receive funding for radiotherapy shared care are:</w:t>
      </w:r>
    </w:p>
    <w:p w14:paraId="77A633F2" w14:textId="2576C5D0" w:rsidR="00BE12CB" w:rsidRDefault="00957E6C" w:rsidP="00813A55">
      <w:pPr>
        <w:pStyle w:val="Bullet1"/>
      </w:pPr>
      <w:r w:rsidRPr="00B33024">
        <w:t>Northern Health (Northern Hospital</w:t>
      </w:r>
      <w:r w:rsidR="00BE12CB" w:rsidRPr="00B33024">
        <w:t>)</w:t>
      </w:r>
    </w:p>
    <w:p w14:paraId="669A8A93" w14:textId="588F7A61" w:rsidR="00BE12CB" w:rsidRDefault="00957E6C" w:rsidP="00813A55">
      <w:pPr>
        <w:pStyle w:val="Bullet1"/>
      </w:pPr>
      <w:r w:rsidRPr="00B33024">
        <w:t>Peninsula Health (Frankston Hospital</w:t>
      </w:r>
      <w:r w:rsidR="0009194A">
        <w:t>)</w:t>
      </w:r>
    </w:p>
    <w:p w14:paraId="4A94159D" w14:textId="77777777" w:rsidR="00BE12CB" w:rsidRDefault="00957E6C" w:rsidP="00813A55">
      <w:pPr>
        <w:pStyle w:val="Bullet1"/>
      </w:pPr>
      <w:r w:rsidRPr="00B33024">
        <w:t xml:space="preserve">Monash Health (Casey Hospital). </w:t>
      </w:r>
    </w:p>
    <w:p w14:paraId="4BC9C6DF" w14:textId="0DD1F441" w:rsidR="00957E6C" w:rsidRPr="00B33024" w:rsidRDefault="00957E6C" w:rsidP="00813A55">
      <w:pPr>
        <w:pStyle w:val="Bodyafterbullets"/>
      </w:pPr>
      <w:r w:rsidRPr="00B33024">
        <w:t>Targets for shared care (the number of patients for whom funding is provided) are set with health services prior to each financial year.</w:t>
      </w:r>
    </w:p>
    <w:p w14:paraId="16DF278A" w14:textId="4778FCB1" w:rsidR="00957E6C" w:rsidRPr="00B33024" w:rsidRDefault="00957E6C" w:rsidP="004537E5">
      <w:pPr>
        <w:pStyle w:val="Heading3"/>
        <w:numPr>
          <w:ilvl w:val="2"/>
          <w:numId w:val="12"/>
        </w:numPr>
      </w:pPr>
      <w:r w:rsidRPr="00B33024">
        <w:t>Radiotherapy quality</w:t>
      </w:r>
    </w:p>
    <w:p w14:paraId="09FC9A66" w14:textId="25BBBD31" w:rsidR="00957E6C" w:rsidRPr="00B33024" w:rsidRDefault="00957E6C" w:rsidP="00957E6C">
      <w:pPr>
        <w:pStyle w:val="Heading4"/>
      </w:pPr>
      <w:r w:rsidRPr="00B33024">
        <w:t>Assessment against the national Radiation Oncology Practice Standards</w:t>
      </w:r>
    </w:p>
    <w:p w14:paraId="51E0CC9D" w14:textId="1EF2B117" w:rsidR="00BE12CB" w:rsidRDefault="00957E6C" w:rsidP="00957E6C">
      <w:pPr>
        <w:pStyle w:val="Body"/>
      </w:pPr>
      <w:r w:rsidRPr="00B33024">
        <w:t>Victorian public radiotherapy providers assess their services against the Radiation Oncology Practice Standards using the relevant self-audit tool.</w:t>
      </w:r>
      <w:r w:rsidR="00BE12CB">
        <w:t xml:space="preserve"> </w:t>
      </w:r>
      <w:r w:rsidRPr="00B33024">
        <w:t xml:space="preserve">The tool is used as part of their internal quality management protocols. </w:t>
      </w:r>
    </w:p>
    <w:p w14:paraId="3ABBF68C" w14:textId="535A7FAC" w:rsidR="00957E6C" w:rsidRPr="00B33024" w:rsidRDefault="00957E6C" w:rsidP="00957E6C">
      <w:pPr>
        <w:pStyle w:val="Body"/>
      </w:pPr>
      <w:r w:rsidRPr="00B33024">
        <w:lastRenderedPageBreak/>
        <w:t>The results of these assessments are integrated into the annual radiotherapy performance discussions with the department and are used to ensure Victorian public radiotherapy providers meet national standards.</w:t>
      </w:r>
    </w:p>
    <w:p w14:paraId="1A835BAE" w14:textId="77777777" w:rsidR="007C05A8" w:rsidRPr="00556C90" w:rsidRDefault="007C05A8" w:rsidP="005B574C">
      <w:pPr>
        <w:pStyle w:val="Heading2"/>
        <w:numPr>
          <w:ilvl w:val="1"/>
          <w:numId w:val="12"/>
        </w:numPr>
        <w:ind w:left="851" w:hanging="851"/>
        <w:rPr>
          <w:rFonts w:eastAsia="Times"/>
        </w:rPr>
      </w:pPr>
      <w:bookmarkStart w:id="1579" w:name="_Toc197957843"/>
      <w:bookmarkStart w:id="1580" w:name="_Toc201148225"/>
      <w:r>
        <w:rPr>
          <w:rFonts w:eastAsia="Times"/>
        </w:rPr>
        <w:t>Small rural health services</w:t>
      </w:r>
      <w:bookmarkEnd w:id="1579"/>
      <w:bookmarkEnd w:id="1580"/>
    </w:p>
    <w:p w14:paraId="6866A697" w14:textId="3C31C3A9" w:rsidR="002D789E" w:rsidRPr="00587ACF" w:rsidRDefault="002E4B8A" w:rsidP="002E4B8A">
      <w:pPr>
        <w:pStyle w:val="Body"/>
      </w:pPr>
      <w:r w:rsidRPr="00587ACF">
        <w:t xml:space="preserve">Small rural health services </w:t>
      </w:r>
      <w:r w:rsidR="00F70439" w:rsidRPr="00587ACF">
        <w:t xml:space="preserve">(SRHS) </w:t>
      </w:r>
      <w:r w:rsidRPr="00587ACF">
        <w:t xml:space="preserve">are </w:t>
      </w:r>
      <w:r w:rsidR="00F41BA2" w:rsidRPr="00587ACF">
        <w:t>with</w:t>
      </w:r>
      <w:r w:rsidRPr="00587ACF">
        <w:t>in</w:t>
      </w:r>
      <w:r w:rsidR="00F41BA2" w:rsidRPr="00587ACF">
        <w:t xml:space="preserve"> </w:t>
      </w:r>
      <w:r w:rsidRPr="00587ACF">
        <w:t xml:space="preserve">scope </w:t>
      </w:r>
      <w:r w:rsidR="00F41BA2" w:rsidRPr="00587ACF">
        <w:t>of</w:t>
      </w:r>
      <w:r w:rsidRPr="00587ACF">
        <w:t xml:space="preserve"> the NHRA as block</w:t>
      </w:r>
      <w:r w:rsidR="008A5D94" w:rsidRPr="00587ACF">
        <w:t>-</w:t>
      </w:r>
      <w:r w:rsidRPr="00587ACF">
        <w:t>funded services</w:t>
      </w:r>
      <w:r w:rsidR="00833E14" w:rsidRPr="00587ACF">
        <w:t>. I</w:t>
      </w:r>
      <w:r w:rsidRPr="00587ACF">
        <w:t>n the national funding model</w:t>
      </w:r>
      <w:r w:rsidR="00833E14" w:rsidRPr="00587ACF">
        <w:t xml:space="preserve"> the</w:t>
      </w:r>
      <w:r w:rsidR="009E1EF8" w:rsidRPr="00587ACF">
        <w:t xml:space="preserve"> cost </w:t>
      </w:r>
      <w:r w:rsidR="001859A3" w:rsidRPr="00587ACF">
        <w:t xml:space="preserve">of a small rural hospital </w:t>
      </w:r>
      <w:r w:rsidR="009E1EF8" w:rsidRPr="00587ACF">
        <w:t xml:space="preserve">is </w:t>
      </w:r>
      <w:r w:rsidR="00243CBD" w:rsidRPr="00587ACF">
        <w:t xml:space="preserve">based </w:t>
      </w:r>
      <w:r w:rsidR="00B90329" w:rsidRPr="00587ACF">
        <w:t xml:space="preserve">on </w:t>
      </w:r>
      <w:r w:rsidR="000534B9" w:rsidRPr="00587ACF">
        <w:t>a</w:t>
      </w:r>
      <w:r w:rsidR="00314EF0" w:rsidRPr="00587ACF">
        <w:t xml:space="preserve"> fixed cost component and </w:t>
      </w:r>
      <w:r w:rsidR="000560DB" w:rsidRPr="00587ACF">
        <w:t xml:space="preserve">a </w:t>
      </w:r>
      <w:r w:rsidR="00314EF0" w:rsidRPr="00587ACF">
        <w:t>variable component</w:t>
      </w:r>
      <w:r w:rsidR="00110430" w:rsidRPr="00587ACF">
        <w:t xml:space="preserve"> based on the level of </w:t>
      </w:r>
      <w:r w:rsidR="004F4BE4" w:rsidRPr="00587ACF">
        <w:t xml:space="preserve">NWAU activity </w:t>
      </w:r>
      <w:r w:rsidR="0086781E" w:rsidRPr="00587ACF">
        <w:t>above a set threshold.</w:t>
      </w:r>
    </w:p>
    <w:p w14:paraId="4573F4E2" w14:textId="1498C796" w:rsidR="002E4B8A" w:rsidRDefault="00AF3146" w:rsidP="002E4B8A">
      <w:pPr>
        <w:pStyle w:val="Body"/>
      </w:pPr>
      <w:r w:rsidRPr="00587ACF">
        <w:t xml:space="preserve">For further information on the national </w:t>
      </w:r>
      <w:r w:rsidR="0007769D" w:rsidRPr="00587ACF">
        <w:t xml:space="preserve">funding </w:t>
      </w:r>
      <w:r w:rsidRPr="00587ACF">
        <w:t>m</w:t>
      </w:r>
      <w:r w:rsidR="00913AF5" w:rsidRPr="00587ACF">
        <w:t>odel for small rural health services</w:t>
      </w:r>
      <w:r w:rsidR="002D789E" w:rsidRPr="00587ACF">
        <w:t>,</w:t>
      </w:r>
      <w:r w:rsidR="00913AF5" w:rsidRPr="00587ACF">
        <w:t xml:space="preserve"> </w:t>
      </w:r>
      <w:r w:rsidR="002D789E" w:rsidRPr="00587ACF">
        <w:t xml:space="preserve">refer to </w:t>
      </w:r>
      <w:r w:rsidR="004D7C2C" w:rsidRPr="00587ACF">
        <w:t xml:space="preserve">IHACPA’s </w:t>
      </w:r>
      <w:hyperlink r:id="rId36" w:history="1">
        <w:r w:rsidR="00FB22A3" w:rsidRPr="00587ACF">
          <w:rPr>
            <w:rStyle w:val="Hyperlink"/>
            <w:i/>
            <w:iCs/>
          </w:rPr>
          <w:t>NEC D</w:t>
        </w:r>
        <w:r w:rsidR="004D7C2C" w:rsidRPr="00587ACF">
          <w:rPr>
            <w:rStyle w:val="Hyperlink"/>
            <w:i/>
            <w:iCs/>
          </w:rPr>
          <w:t>etermination</w:t>
        </w:r>
      </w:hyperlink>
      <w:r w:rsidR="00FB22A3" w:rsidRPr="00587ACF">
        <w:rPr>
          <w:i/>
          <w:iCs/>
        </w:rPr>
        <w:t xml:space="preserve"> 2025–26</w:t>
      </w:r>
      <w:r w:rsidR="004D7C2C" w:rsidRPr="00587ACF">
        <w:t xml:space="preserve"> </w:t>
      </w:r>
      <w:r w:rsidR="00AF0B4B" w:rsidRPr="00587ACF">
        <w:t>&lt;</w:t>
      </w:r>
      <w:hyperlink r:id="rId37" w:history="1">
        <w:r w:rsidRPr="00587ACF">
          <w:rPr>
            <w:rStyle w:val="Hyperlink"/>
          </w:rPr>
          <w:t>https://www.ihacpa.gov.au/resources/national-efficient-cost-determination-2025-26</w:t>
        </w:r>
      </w:hyperlink>
      <w:r w:rsidR="00913AF5" w:rsidRPr="00587ACF">
        <w:t>&gt;</w:t>
      </w:r>
      <w:r w:rsidRPr="00587ACF">
        <w:t>.</w:t>
      </w:r>
    </w:p>
    <w:p w14:paraId="0C866BC1" w14:textId="31285341" w:rsidR="002E4B8A" w:rsidRDefault="002E4B8A" w:rsidP="002E4B8A">
      <w:pPr>
        <w:pStyle w:val="Body"/>
      </w:pPr>
      <w:r>
        <w:t xml:space="preserve">In Victoria, small rural health services are block funded in line with the flexible SRHS funding model </w:t>
      </w:r>
      <w:r w:rsidRPr="00C529B8">
        <w:t>introduced in 2003</w:t>
      </w:r>
      <w:r w:rsidR="00FB22A3">
        <w:t>–</w:t>
      </w:r>
      <w:r w:rsidRPr="00C529B8">
        <w:t>04</w:t>
      </w:r>
      <w:r>
        <w:t>, rather than the national block funding model described in the National Efficient Determination.</w:t>
      </w:r>
    </w:p>
    <w:p w14:paraId="53702F88" w14:textId="5F808D81" w:rsidR="00265CD2" w:rsidRDefault="002E4B8A" w:rsidP="002E4B8A">
      <w:pPr>
        <w:pStyle w:val="Body"/>
      </w:pPr>
      <w:r w:rsidRPr="007911A9">
        <w:t>SRHS can use funds provided through acute health and primary care outputs flexibly to deliver admitted and non-admitted services that meet the needs of their community</w:t>
      </w:r>
      <w:r>
        <w:t>.</w:t>
      </w:r>
      <w:r w:rsidRPr="007911A9">
        <w:t xml:space="preserve"> Under the tripartite </w:t>
      </w:r>
      <w:r w:rsidRPr="00736CC1">
        <w:t>agreement with the Australian Government Department of Health, multipurpose services are also able to flexibly use aged care funding to deliver residential and home-based aged care services.</w:t>
      </w:r>
      <w:r w:rsidR="005721B5" w:rsidRPr="00736CC1">
        <w:t xml:space="preserve"> </w:t>
      </w:r>
    </w:p>
    <w:p w14:paraId="1BE082F0" w14:textId="36797B50" w:rsidR="002E4B8A" w:rsidRPr="00736CC1" w:rsidRDefault="005721B5" w:rsidP="002E4B8A">
      <w:pPr>
        <w:pStyle w:val="Body"/>
      </w:pPr>
      <w:r w:rsidRPr="00587ACF">
        <w:t xml:space="preserve">Health services funded </w:t>
      </w:r>
      <w:r w:rsidR="000B1B29" w:rsidRPr="00587ACF">
        <w:t xml:space="preserve">under the Victorian </w:t>
      </w:r>
      <w:r w:rsidR="00D53100" w:rsidRPr="00587ACF">
        <w:t xml:space="preserve">SRHS </w:t>
      </w:r>
      <w:r w:rsidR="00F40519" w:rsidRPr="00587ACF">
        <w:t xml:space="preserve">funding model are </w:t>
      </w:r>
      <w:r w:rsidR="00ED567F" w:rsidRPr="00587ACF">
        <w:t xml:space="preserve">included in </w:t>
      </w:r>
      <w:r w:rsidR="00135362" w:rsidRPr="00587ACF">
        <w:fldChar w:fldCharType="begin"/>
      </w:r>
      <w:r w:rsidR="00135362" w:rsidRPr="00587ACF">
        <w:instrText xml:space="preserve"> REF _Ref199253003 \h  \* MERGEFORMAT </w:instrText>
      </w:r>
      <w:r w:rsidR="00135362" w:rsidRPr="00587ACF">
        <w:fldChar w:fldCharType="separate"/>
      </w:r>
      <w:r w:rsidR="007D262B" w:rsidRPr="005353E5">
        <w:t xml:space="preserve">Table </w:t>
      </w:r>
      <w:r w:rsidR="007D262B">
        <w:t>2.2</w:t>
      </w:r>
      <w:r w:rsidR="007D262B" w:rsidRPr="005353E5">
        <w:t>: Small rural health services expenditure budgets 202</w:t>
      </w:r>
      <w:r w:rsidR="007D262B">
        <w:t>5</w:t>
      </w:r>
      <w:r w:rsidR="007D262B" w:rsidRPr="005353E5">
        <w:t>–2</w:t>
      </w:r>
      <w:r w:rsidR="007D262B">
        <w:t>6 – $’000s</w:t>
      </w:r>
      <w:r w:rsidR="00135362" w:rsidRPr="00587ACF">
        <w:fldChar w:fldCharType="end"/>
      </w:r>
      <w:r w:rsidR="00ED567F" w:rsidRPr="00587ACF">
        <w:t xml:space="preserve"> </w:t>
      </w:r>
      <w:r w:rsidR="004D2445" w:rsidRPr="00587ACF">
        <w:t xml:space="preserve">and </w:t>
      </w:r>
      <w:r w:rsidR="00135362" w:rsidRPr="00587ACF">
        <w:fldChar w:fldCharType="begin"/>
      </w:r>
      <w:r w:rsidR="00135362" w:rsidRPr="00587ACF">
        <w:instrText xml:space="preserve"> REF _Ref199253051 \h  \* MERGEFORMAT </w:instrText>
      </w:r>
      <w:r w:rsidR="00135362" w:rsidRPr="00587ACF">
        <w:fldChar w:fldCharType="separate"/>
      </w:r>
      <w:r w:rsidR="007D262B">
        <w:t xml:space="preserve">Table 2.13: Victorian small rural </w:t>
      </w:r>
      <w:r w:rsidR="007D262B" w:rsidRPr="00A030E3">
        <w:t>health</w:t>
      </w:r>
      <w:r w:rsidR="007D262B">
        <w:t xml:space="preserve"> service activity targets 2025–26</w:t>
      </w:r>
      <w:r w:rsidR="00135362" w:rsidRPr="00587ACF">
        <w:fldChar w:fldCharType="end"/>
      </w:r>
      <w:r w:rsidR="00135362" w:rsidRPr="00587ACF">
        <w:t>.</w:t>
      </w:r>
    </w:p>
    <w:p w14:paraId="4ACB90BE" w14:textId="0604EFFD" w:rsidR="008A1A6D" w:rsidRPr="00736CC1" w:rsidRDefault="008A1A6D" w:rsidP="005B574C">
      <w:pPr>
        <w:pStyle w:val="Heading2"/>
        <w:numPr>
          <w:ilvl w:val="1"/>
          <w:numId w:val="12"/>
        </w:numPr>
        <w:ind w:left="851" w:hanging="851"/>
      </w:pPr>
      <w:bookmarkStart w:id="1581" w:name="_Toc201148226"/>
      <w:r w:rsidRPr="00736CC1">
        <w:t>Subacute and non-acute care</w:t>
      </w:r>
      <w:r w:rsidR="00837FF8" w:rsidRPr="00736CC1">
        <w:t xml:space="preserve"> </w:t>
      </w:r>
      <w:r w:rsidR="00270F24" w:rsidRPr="00736CC1">
        <w:t>exception</w:t>
      </w:r>
      <w:r w:rsidR="00983AA3" w:rsidRPr="00736CC1">
        <w:t>s</w:t>
      </w:r>
      <w:r w:rsidR="00270F24" w:rsidRPr="00736CC1">
        <w:t xml:space="preserve"> to national funding model</w:t>
      </w:r>
      <w:bookmarkEnd w:id="1581"/>
    </w:p>
    <w:p w14:paraId="3966B317" w14:textId="61C17902" w:rsidR="001D1972" w:rsidRPr="00587ACF" w:rsidRDefault="008C5E6B" w:rsidP="008A1A6D">
      <w:pPr>
        <w:pStyle w:val="Body"/>
      </w:pPr>
      <w:r w:rsidRPr="00587ACF">
        <w:t>Under the national funding model</w:t>
      </w:r>
      <w:r w:rsidR="001D5B22" w:rsidRPr="00587ACF">
        <w:t>,</w:t>
      </w:r>
      <w:r w:rsidRPr="00587ACF">
        <w:t xml:space="preserve"> </w:t>
      </w:r>
      <w:r w:rsidR="005524CD" w:rsidRPr="00587ACF">
        <w:t xml:space="preserve">admitted </w:t>
      </w:r>
      <w:r w:rsidR="00D43B70" w:rsidRPr="00587ACF">
        <w:t xml:space="preserve">subacute and non-acute care services </w:t>
      </w:r>
      <w:r w:rsidR="00F344F5" w:rsidRPr="00587ACF">
        <w:t xml:space="preserve">are NWAU </w:t>
      </w:r>
      <w:r w:rsidR="00190D2F" w:rsidRPr="00587ACF">
        <w:t>funded</w:t>
      </w:r>
      <w:r w:rsidR="00333314" w:rsidRPr="00587ACF">
        <w:t xml:space="preserve"> when</w:t>
      </w:r>
      <w:r w:rsidR="00D43B70" w:rsidRPr="00587ACF">
        <w:t xml:space="preserve"> delivered by </w:t>
      </w:r>
      <w:r w:rsidR="00513182" w:rsidRPr="00587ACF">
        <w:t>public health service entities that are in</w:t>
      </w:r>
      <w:r w:rsidR="00F41BA2" w:rsidRPr="00587ACF">
        <w:t xml:space="preserve"> </w:t>
      </w:r>
      <w:r w:rsidR="00513182" w:rsidRPr="00587ACF">
        <w:t>scope for activity-based funding, as defined by the NHRA</w:t>
      </w:r>
      <w:r w:rsidR="00F47E01" w:rsidRPr="00587ACF">
        <w:t xml:space="preserve">. </w:t>
      </w:r>
      <w:r w:rsidR="00563F79" w:rsidRPr="00587ACF">
        <w:t xml:space="preserve">Victoria funds </w:t>
      </w:r>
      <w:r w:rsidR="003B2433" w:rsidRPr="00587ACF">
        <w:t>this</w:t>
      </w:r>
      <w:r w:rsidR="00563F79" w:rsidRPr="00587ACF">
        <w:t xml:space="preserve"> care consistent with the national funding model</w:t>
      </w:r>
      <w:r w:rsidR="00664AAC" w:rsidRPr="00587ACF">
        <w:t xml:space="preserve">, with </w:t>
      </w:r>
      <w:r w:rsidR="00E651FD" w:rsidRPr="00587ACF">
        <w:t>the following exceptions.</w:t>
      </w:r>
    </w:p>
    <w:p w14:paraId="4D83FAE4" w14:textId="5AA01DD1" w:rsidR="0094719B" w:rsidRPr="00587ACF" w:rsidRDefault="0094719B" w:rsidP="008A1A6D">
      <w:pPr>
        <w:pStyle w:val="Body"/>
      </w:pPr>
      <w:r w:rsidRPr="00587ACF">
        <w:t>C</w:t>
      </w:r>
      <w:r w:rsidR="00950391" w:rsidRPr="00587ACF">
        <w:t>ommunity pallia</w:t>
      </w:r>
      <w:r w:rsidR="00F62FE6" w:rsidRPr="00587ACF">
        <w:t xml:space="preserve">tive care </w:t>
      </w:r>
      <w:r w:rsidRPr="00587ACF">
        <w:t xml:space="preserve">is block </w:t>
      </w:r>
      <w:r w:rsidR="00F62FE6" w:rsidRPr="00587ACF">
        <w:t>fund</w:t>
      </w:r>
      <w:r w:rsidRPr="00587ACF">
        <w:t>ed as d</w:t>
      </w:r>
      <w:r w:rsidR="00F62FE6" w:rsidRPr="00587ACF">
        <w:t xml:space="preserve">escribed in section </w:t>
      </w:r>
      <w:r w:rsidR="00A92E53" w:rsidRPr="00587ACF">
        <w:fldChar w:fldCharType="begin"/>
      </w:r>
      <w:r w:rsidR="00A92E53" w:rsidRPr="00587ACF">
        <w:instrText xml:space="preserve"> REF _Ref199253207 \r \h  \* MERGEFORMAT </w:instrText>
      </w:r>
      <w:r w:rsidR="00A92E53" w:rsidRPr="00587ACF">
        <w:fldChar w:fldCharType="separate"/>
      </w:r>
      <w:r w:rsidR="007D262B">
        <w:t>3.1</w:t>
      </w:r>
      <w:r w:rsidR="00A92E53" w:rsidRPr="00587ACF">
        <w:fldChar w:fldCharType="end"/>
      </w:r>
      <w:r w:rsidR="00A92E53" w:rsidRPr="00587ACF">
        <w:t>.</w:t>
      </w:r>
    </w:p>
    <w:p w14:paraId="7E7C9F30" w14:textId="5EE6F05D" w:rsidR="008A1A6D" w:rsidRPr="00587ACF" w:rsidRDefault="008A1A6D" w:rsidP="008A1A6D">
      <w:pPr>
        <w:pStyle w:val="Body"/>
      </w:pPr>
      <w:r w:rsidRPr="00587ACF">
        <w:t xml:space="preserve">The national funding model classifies admitted subacute and non-acute care into </w:t>
      </w:r>
      <w:r w:rsidR="00BE12CB" w:rsidRPr="00587ACF">
        <w:t xml:space="preserve">5 </w:t>
      </w:r>
      <w:r w:rsidRPr="00587ACF">
        <w:t>care types: rehabilitation care; palliative care; geriatric evaluation and management (GEM); psychogeriatric care, and non-acute care which is sometimes referred to as maintenance care. In Victoria, the psychogeriatric care type will not be used in 2025–26</w:t>
      </w:r>
      <w:r w:rsidR="00736CC1" w:rsidRPr="00587ACF">
        <w:t>.</w:t>
      </w:r>
    </w:p>
    <w:p w14:paraId="0DF3F04C" w14:textId="32D57662" w:rsidR="008A1A6D" w:rsidRDefault="008A1A6D" w:rsidP="008A1A6D">
      <w:pPr>
        <w:pStyle w:val="Body"/>
      </w:pPr>
      <w:r w:rsidRPr="00587ACF">
        <w:t>At the national level, where data required to assign an AN</w:t>
      </w:r>
      <w:r w:rsidRPr="00587ACF">
        <w:rPr>
          <w:rFonts w:ascii="Cambria Math" w:hAnsi="Cambria Math" w:cs="Cambria Math"/>
        </w:rPr>
        <w:t>‑</w:t>
      </w:r>
      <w:r w:rsidRPr="00587ACF">
        <w:t>SNAP classification is not available, the episode is transferred to the admitted acute care model and priced according to their AR-DRG classification. This will not occur in Victoria in 2025</w:t>
      </w:r>
      <w:r w:rsidRPr="00587ACF">
        <w:rPr>
          <w:rFonts w:cs="Arial"/>
        </w:rPr>
        <w:t>–</w:t>
      </w:r>
      <w:r w:rsidRPr="00587ACF">
        <w:t>26</w:t>
      </w:r>
      <w:r w:rsidR="002A5EBA" w:rsidRPr="00587ACF">
        <w:t>, therefore activity is not funded where an AN-SNAP classification cannot be assigned.</w:t>
      </w:r>
      <w:r w:rsidR="002A5EBA">
        <w:t xml:space="preserve"> </w:t>
      </w:r>
    </w:p>
    <w:p w14:paraId="3B60E3C8" w14:textId="39E41C9F" w:rsidR="008A1A6D" w:rsidRDefault="008A1A6D" w:rsidP="002E4B8A">
      <w:pPr>
        <w:pStyle w:val="Body"/>
      </w:pPr>
      <w:r>
        <w:t>The department does not reimburse hospitals for public nursing-home-type episodes. Health services are expected to manage nursing-home-type patients using other funded activity streams, such as the T</w:t>
      </w:r>
      <w:r w:rsidR="00103E62">
        <w:t xml:space="preserve">ransition </w:t>
      </w:r>
      <w:r>
        <w:t>C</w:t>
      </w:r>
      <w:r w:rsidR="00103E62">
        <w:t xml:space="preserve">are </w:t>
      </w:r>
      <w:r>
        <w:t>P</w:t>
      </w:r>
      <w:r w:rsidR="00103E62">
        <w:t>rogram</w:t>
      </w:r>
      <w:r>
        <w:t>. Arrangements for the Department of Veterans’ Affairs, compensable and private patients remain in place regarding the nursing-home-type process and funding.</w:t>
      </w:r>
    </w:p>
    <w:p w14:paraId="47A75FA6" w14:textId="77777777" w:rsidR="003673F6" w:rsidRPr="00F94A30" w:rsidRDefault="003673F6" w:rsidP="00B448AC">
      <w:pPr>
        <w:pStyle w:val="Heading2"/>
        <w:numPr>
          <w:ilvl w:val="1"/>
          <w:numId w:val="12"/>
        </w:numPr>
        <w:ind w:left="851" w:hanging="851"/>
      </w:pPr>
      <w:bookmarkStart w:id="1582" w:name="_Toc201148227"/>
      <w:r w:rsidRPr="00F94A30">
        <w:lastRenderedPageBreak/>
        <w:t>Training and development</w:t>
      </w:r>
      <w:bookmarkEnd w:id="1582"/>
    </w:p>
    <w:p w14:paraId="36F302B9" w14:textId="6EAC7E4F" w:rsidR="006B26CD" w:rsidRDefault="006B26CD" w:rsidP="006B26CD">
      <w:pPr>
        <w:pStyle w:val="Body"/>
      </w:pPr>
      <w:r>
        <w:t xml:space="preserve">Teaching and training is </w:t>
      </w:r>
      <w:r w:rsidR="00F41BA2">
        <w:t>with</w:t>
      </w:r>
      <w:r>
        <w:t>in</w:t>
      </w:r>
      <w:r w:rsidR="00F41BA2">
        <w:t xml:space="preserve"> </w:t>
      </w:r>
      <w:r>
        <w:t xml:space="preserve">scope </w:t>
      </w:r>
      <w:r w:rsidR="00F41BA2">
        <w:t xml:space="preserve">of </w:t>
      </w:r>
      <w:r>
        <w:t>the NHRA as block</w:t>
      </w:r>
      <w:r w:rsidR="008A5D94">
        <w:t>-</w:t>
      </w:r>
      <w:r>
        <w:t>funded service</w:t>
      </w:r>
      <w:r w:rsidR="00475278">
        <w:t>s</w:t>
      </w:r>
      <w:r>
        <w:t>.</w:t>
      </w:r>
    </w:p>
    <w:p w14:paraId="23BC4721" w14:textId="11E2A927" w:rsidR="006B26CD" w:rsidRDefault="00265CD2" w:rsidP="006B26CD">
      <w:pPr>
        <w:pStyle w:val="Body"/>
      </w:pPr>
      <w:r>
        <w:t xml:space="preserve">The department funds </w:t>
      </w:r>
      <w:r w:rsidR="006B26CD">
        <w:t xml:space="preserve">workforce training and development in the form of grants as </w:t>
      </w:r>
      <w:r>
        <w:t xml:space="preserve">set out </w:t>
      </w:r>
      <w:r w:rsidR="006B26CD">
        <w:t xml:space="preserve">in the </w:t>
      </w:r>
      <w:hyperlink r:id="rId38" w:history="1">
        <w:r w:rsidR="006B26CD" w:rsidRPr="00265CD2">
          <w:rPr>
            <w:rStyle w:val="Hyperlink"/>
          </w:rPr>
          <w:t>Training and Development Funding Program Guidelines</w:t>
        </w:r>
      </w:hyperlink>
      <w:r w:rsidR="006B26CD">
        <w:t xml:space="preserve"> &lt;</w:t>
      </w:r>
      <w:r w:rsidRPr="00265CD2">
        <w:t>https://www.health.vic.gov.au/education-and-training/training-and-development-funding</w:t>
      </w:r>
      <w:r>
        <w:t>&gt;.</w:t>
      </w:r>
    </w:p>
    <w:p w14:paraId="4241F0A1" w14:textId="1E67C86F" w:rsidR="00265CD2" w:rsidRDefault="006B26CD" w:rsidP="006B26CD">
      <w:pPr>
        <w:pStyle w:val="Body"/>
      </w:pPr>
      <w:r>
        <w:t xml:space="preserve">Multiple streams of funding support the continuum of teaching and training activities. </w:t>
      </w:r>
    </w:p>
    <w:p w14:paraId="09018140" w14:textId="31CA71E6" w:rsidR="006B26CD" w:rsidRDefault="006B26CD" w:rsidP="006B26CD">
      <w:pPr>
        <w:pStyle w:val="Body"/>
      </w:pPr>
      <w:r>
        <w:t xml:space="preserve">Training and development funding rates are </w:t>
      </w:r>
      <w:r w:rsidR="00265CD2">
        <w:t>shown</w:t>
      </w:r>
      <w:r w:rsidR="004F4C8E">
        <w:t xml:space="preserve"> in</w:t>
      </w:r>
      <w:r w:rsidR="00265CD2">
        <w:t xml:space="preserve"> </w:t>
      </w:r>
      <w:r w:rsidR="004F4C8E">
        <w:fldChar w:fldCharType="begin"/>
      </w:r>
      <w:r w:rsidR="004F4C8E">
        <w:instrText xml:space="preserve"> REF _Ref199253454 \h </w:instrText>
      </w:r>
      <w:r w:rsidR="004F4C8E">
        <w:fldChar w:fldCharType="separate"/>
      </w:r>
      <w:r w:rsidR="007D262B" w:rsidRPr="00A97999">
        <w:t xml:space="preserve">Table </w:t>
      </w:r>
      <w:r w:rsidR="007D262B">
        <w:t>1</w:t>
      </w:r>
      <w:r w:rsidR="007D262B" w:rsidRPr="00A97999">
        <w:t>.</w:t>
      </w:r>
      <w:r w:rsidR="007D262B">
        <w:rPr>
          <w:noProof/>
        </w:rPr>
        <w:t>21</w:t>
      </w:r>
      <w:r w:rsidR="007D262B" w:rsidRPr="00377487">
        <w:t>: Training and development funding rates in 202</w:t>
      </w:r>
      <w:r w:rsidR="007D262B">
        <w:t>5</w:t>
      </w:r>
      <w:r w:rsidR="007D262B" w:rsidRPr="00377487">
        <w:t>-2</w:t>
      </w:r>
      <w:r w:rsidR="007D262B">
        <w:t>6</w:t>
      </w:r>
      <w:r w:rsidR="004F4C8E">
        <w:fldChar w:fldCharType="end"/>
      </w:r>
      <w:r w:rsidR="004F4C8E">
        <w:t xml:space="preserve">. </w:t>
      </w:r>
    </w:p>
    <w:p w14:paraId="5137D145" w14:textId="320B7FE8" w:rsidR="006B26CD" w:rsidRDefault="00265CD2" w:rsidP="003673F6">
      <w:pPr>
        <w:pStyle w:val="Body"/>
      </w:pPr>
      <w:r>
        <w:t xml:space="preserve">Find out more about </w:t>
      </w:r>
      <w:hyperlink r:id="rId39" w:history="1">
        <w:r w:rsidRPr="00265CD2">
          <w:rPr>
            <w:rStyle w:val="Hyperlink"/>
          </w:rPr>
          <w:t xml:space="preserve">education and training for </w:t>
        </w:r>
        <w:r w:rsidR="008A5D94">
          <w:rPr>
            <w:rStyle w:val="Hyperlink"/>
          </w:rPr>
          <w:t>Victoria’s</w:t>
        </w:r>
        <w:r w:rsidRPr="00265CD2">
          <w:rPr>
            <w:rStyle w:val="Hyperlink"/>
          </w:rPr>
          <w:t xml:space="preserve"> health workforce</w:t>
        </w:r>
      </w:hyperlink>
      <w:r w:rsidR="006B26CD">
        <w:t xml:space="preserve"> &lt;https://www.health.vic.gov.au/health-workforce/education-and-training&gt;.</w:t>
      </w:r>
    </w:p>
    <w:p w14:paraId="6AF9F1B2" w14:textId="2D62C0D7" w:rsidR="00BA1F09" w:rsidRPr="00E300EA" w:rsidRDefault="00BA1F09" w:rsidP="00B448AC">
      <w:pPr>
        <w:pStyle w:val="Heading2"/>
        <w:numPr>
          <w:ilvl w:val="1"/>
          <w:numId w:val="12"/>
        </w:numPr>
        <w:ind w:left="851" w:hanging="851"/>
      </w:pPr>
      <w:bookmarkStart w:id="1583" w:name="_Toc201148228"/>
      <w:r w:rsidRPr="00E300EA">
        <w:t>Victorian Virtual Emergency Department</w:t>
      </w:r>
      <w:bookmarkEnd w:id="1583"/>
      <w:r>
        <w:t xml:space="preserve"> </w:t>
      </w:r>
    </w:p>
    <w:p w14:paraId="4E5F5816" w14:textId="1A50809E" w:rsidR="00A30D08" w:rsidRDefault="00DE53D6" w:rsidP="00BA1F09">
      <w:pPr>
        <w:pStyle w:val="Body"/>
      </w:pPr>
      <w:r>
        <w:t xml:space="preserve">The </w:t>
      </w:r>
      <w:r w:rsidR="00BA1F09">
        <w:t>Victorian Virtual Emergency Department (VVED)</w:t>
      </w:r>
      <w:r w:rsidR="00BA1F09" w:rsidRPr="00084C04">
        <w:t xml:space="preserve"> </w:t>
      </w:r>
      <w:r w:rsidR="00BA1F09" w:rsidRPr="00ED596D">
        <w:t xml:space="preserve">is </w:t>
      </w:r>
      <w:r w:rsidR="00F41BA2">
        <w:t xml:space="preserve">within </w:t>
      </w:r>
      <w:r w:rsidR="00BA1F09" w:rsidRPr="00ED596D">
        <w:t>scope of the NHRA as a block</w:t>
      </w:r>
      <w:r w:rsidR="008A5D94">
        <w:t>-</w:t>
      </w:r>
      <w:r w:rsidR="00BA1F09" w:rsidRPr="00ED596D">
        <w:t>funded service</w:t>
      </w:r>
      <w:r w:rsidR="00A30D08">
        <w:t>.</w:t>
      </w:r>
    </w:p>
    <w:p w14:paraId="2D6DCC4D" w14:textId="728AFAB9" w:rsidR="00BA1F09" w:rsidRDefault="00A30D08" w:rsidP="00BA1F09">
      <w:pPr>
        <w:pStyle w:val="Body"/>
      </w:pPr>
      <w:r>
        <w:t>In Victoria</w:t>
      </w:r>
      <w:r w:rsidR="00BA1F09" w:rsidRPr="00ED596D">
        <w:t xml:space="preserve"> the </w:t>
      </w:r>
      <w:r w:rsidR="00BA1F09" w:rsidDel="0047752D">
        <w:t>VVED</w:t>
      </w:r>
      <w:r>
        <w:t xml:space="preserve"> </w:t>
      </w:r>
      <w:r w:rsidR="00BA1F09">
        <w:t xml:space="preserve">is funded </w:t>
      </w:r>
      <w:r w:rsidR="00BA1F09" w:rsidRPr="00084C04">
        <w:t xml:space="preserve">as a block grant to </w:t>
      </w:r>
      <w:r w:rsidR="00BA1F09">
        <w:t>Northern</w:t>
      </w:r>
      <w:r w:rsidR="00BA1F09" w:rsidRPr="00084C04">
        <w:t xml:space="preserve"> Health</w:t>
      </w:r>
      <w:r w:rsidR="00162740">
        <w:t xml:space="preserve">, and the </w:t>
      </w:r>
      <w:r w:rsidR="00BA1F09">
        <w:t>service does not attract NWAU activity-based funding.</w:t>
      </w:r>
    </w:p>
    <w:p w14:paraId="6843680F" w14:textId="256D2991" w:rsidR="00BA1F09" w:rsidRPr="001566B3" w:rsidRDefault="00BA1F09" w:rsidP="00BA1F09">
      <w:pPr>
        <w:pStyle w:val="Body"/>
        <w:rPr>
          <w:strike/>
        </w:rPr>
      </w:pPr>
      <w:r>
        <w:t>The VVED is a statewide program</w:t>
      </w:r>
      <w:r w:rsidRPr="003650CF">
        <w:t xml:space="preserve"> delivered by Northern Health</w:t>
      </w:r>
      <w:r>
        <w:t>.</w:t>
      </w:r>
      <w:r w:rsidRPr="003650CF" w:rsidDel="00CA77C4">
        <w:t xml:space="preserve"> </w:t>
      </w:r>
      <w:r>
        <w:t>It</w:t>
      </w:r>
      <w:r w:rsidRPr="003650CF">
        <w:t xml:space="preserve"> allows select, non-urgent patients (adults and children) to receive virtual video assessments 24</w:t>
      </w:r>
      <w:r>
        <w:t xml:space="preserve"> hours a day, </w:t>
      </w:r>
      <w:r w:rsidRPr="003650CF">
        <w:t>7</w:t>
      </w:r>
      <w:r>
        <w:t xml:space="preserve"> days a week</w:t>
      </w:r>
      <w:r w:rsidRPr="003650CF">
        <w:t xml:space="preserve"> from emergency doctors and nurses.</w:t>
      </w:r>
    </w:p>
    <w:p w14:paraId="7CFBE93A" w14:textId="77777777" w:rsidR="00BA1F09" w:rsidRPr="00084C04" w:rsidRDefault="00BA1F09" w:rsidP="004537E5">
      <w:pPr>
        <w:pStyle w:val="Heading3"/>
        <w:numPr>
          <w:ilvl w:val="2"/>
          <w:numId w:val="12"/>
        </w:numPr>
      </w:pPr>
      <w:r w:rsidRPr="00084C04">
        <w:t xml:space="preserve">Business </w:t>
      </w:r>
      <w:r>
        <w:t>r</w:t>
      </w:r>
      <w:r w:rsidRPr="00084C04">
        <w:t>ules</w:t>
      </w:r>
    </w:p>
    <w:p w14:paraId="672F57D8" w14:textId="11ECBE5B" w:rsidR="00BA1F09" w:rsidRDefault="00BA1F09" w:rsidP="00BA1F09">
      <w:pPr>
        <w:pStyle w:val="Body"/>
        <w:spacing w:line="240" w:lineRule="auto"/>
      </w:pPr>
      <w:r>
        <w:t xml:space="preserve">The unit of count adopted for the virtual emergency department is a presentation. The VVED is required to report to the </w:t>
      </w:r>
      <w:hyperlink r:id="rId40">
        <w:r w:rsidRPr="5CE4A599">
          <w:rPr>
            <w:rStyle w:val="Hyperlink"/>
          </w:rPr>
          <w:t>Victorian Emergency Minimum Dataset (VEMD)</w:t>
        </w:r>
      </w:hyperlink>
      <w:r>
        <w:t xml:space="preserve"> &lt;www.health.vic.gov.au/data-reporting/victorian-emergency-minimum-dataset-vemd&gt;.</w:t>
      </w:r>
    </w:p>
    <w:p w14:paraId="1E49EA63" w14:textId="48BBB8DC" w:rsidR="00BA1F09" w:rsidRDefault="00BA1F09" w:rsidP="00265CD2">
      <w:pPr>
        <w:pStyle w:val="Body"/>
      </w:pPr>
      <w:r>
        <w:t xml:space="preserve">Northern Health is </w:t>
      </w:r>
      <w:r w:rsidRPr="00556C90">
        <w:t xml:space="preserve">required to provide monthly </w:t>
      </w:r>
      <w:r>
        <w:t xml:space="preserve">and quarterly </w:t>
      </w:r>
      <w:r w:rsidRPr="00556C90">
        <w:t>activity data and fulf</w:t>
      </w:r>
      <w:r>
        <w:t>il</w:t>
      </w:r>
      <w:r w:rsidRPr="00556C90">
        <w:t xml:space="preserve"> any ad</w:t>
      </w:r>
      <w:r w:rsidR="00265CD2">
        <w:t xml:space="preserve"> </w:t>
      </w:r>
      <w:r w:rsidRPr="00556C90">
        <w:t>hoc data requests from the department</w:t>
      </w:r>
      <w:r>
        <w:t xml:space="preserve"> as outlined in its funding obligations and sector-facing Annual Agreement</w:t>
      </w:r>
      <w:r w:rsidRPr="00556C90">
        <w:t>.</w:t>
      </w:r>
    </w:p>
    <w:p w14:paraId="726D0D45" w14:textId="4C7745A9" w:rsidR="00BA1F09" w:rsidRDefault="00BA1F09" w:rsidP="00601CCB">
      <w:pPr>
        <w:pStyle w:val="Body"/>
      </w:pPr>
      <w:r>
        <w:br w:type="page"/>
      </w:r>
    </w:p>
    <w:p w14:paraId="44F52723" w14:textId="591B5886" w:rsidR="00AB13DF" w:rsidRPr="00EA3A75" w:rsidRDefault="00AB13DF" w:rsidP="00B718DB">
      <w:pPr>
        <w:pStyle w:val="Heading1"/>
        <w:numPr>
          <w:ilvl w:val="0"/>
          <w:numId w:val="12"/>
        </w:numPr>
        <w:ind w:left="709" w:hanging="709"/>
      </w:pPr>
      <w:bookmarkStart w:id="1584" w:name="_Toc201148229"/>
      <w:r>
        <w:lastRenderedPageBreak/>
        <w:t>S</w:t>
      </w:r>
      <w:r w:rsidRPr="00AF18F3">
        <w:t>ervices</w:t>
      </w:r>
      <w:r w:rsidRPr="00EA3A75">
        <w:t xml:space="preserve"> funded </w:t>
      </w:r>
      <w:r w:rsidR="00FF73BD">
        <w:t>in ad</w:t>
      </w:r>
      <w:r w:rsidR="00B26775">
        <w:t xml:space="preserve">dition to </w:t>
      </w:r>
      <w:r w:rsidRPr="00EA3A75">
        <w:t>the</w:t>
      </w:r>
      <w:r>
        <w:t xml:space="preserve"> NHRA</w:t>
      </w:r>
      <w:bookmarkEnd w:id="1584"/>
    </w:p>
    <w:p w14:paraId="7AC80671" w14:textId="4648A16D" w:rsidR="00F75B86" w:rsidRDefault="00AB13DF" w:rsidP="00AB13DF">
      <w:pPr>
        <w:pStyle w:val="Body"/>
      </w:pPr>
      <w:r w:rsidRPr="00B43010">
        <w:t xml:space="preserve">The following services </w:t>
      </w:r>
      <w:r>
        <w:t>are out</w:t>
      </w:r>
      <w:r w:rsidR="007022DE">
        <w:t xml:space="preserve">side the </w:t>
      </w:r>
      <w:r>
        <w:t xml:space="preserve">scope of the NHRA </w:t>
      </w:r>
      <w:r w:rsidR="00F75B86">
        <w:t>and are funded by Victoria, the Victorian and Austra</w:t>
      </w:r>
      <w:r w:rsidR="00255620">
        <w:t>lian Governments or other public funding sources.</w:t>
      </w:r>
    </w:p>
    <w:p w14:paraId="6641FDCA" w14:textId="24A9B39B" w:rsidR="00417EE8" w:rsidRDefault="00417EE8" w:rsidP="00B448AC">
      <w:pPr>
        <w:pStyle w:val="Heading2"/>
        <w:numPr>
          <w:ilvl w:val="1"/>
          <w:numId w:val="12"/>
        </w:numPr>
        <w:ind w:left="709" w:hanging="709"/>
      </w:pPr>
      <w:bookmarkStart w:id="1585" w:name="_Toc201148230"/>
      <w:r>
        <w:t>Alcohol and other drug services</w:t>
      </w:r>
      <w:bookmarkEnd w:id="1585"/>
    </w:p>
    <w:p w14:paraId="2528E1EC" w14:textId="77777777" w:rsidR="00417EE8" w:rsidRDefault="00417EE8" w:rsidP="00417EE8">
      <w:pPr>
        <w:pStyle w:val="Body"/>
      </w:pPr>
      <w:r>
        <w:t>Alcohol and other drugs (AOD) services are Victorian funded services.</w:t>
      </w:r>
    </w:p>
    <w:p w14:paraId="7ED0402C" w14:textId="0B1CF41F" w:rsidR="0048705A" w:rsidRDefault="00417EE8" w:rsidP="00417EE8">
      <w:pPr>
        <w:pStyle w:val="Body"/>
      </w:pPr>
      <w:r>
        <w:t xml:space="preserve">The Victorian AOD services sector operates under a mixed-funding model that includes residential services and most adult community-based services, funded via drug treatment activity units against an agreed target. The price per activity unit is available in </w:t>
      </w:r>
      <w:r w:rsidR="0048705A" w:rsidRPr="0048705A">
        <w:fldChar w:fldCharType="begin"/>
      </w:r>
      <w:r w:rsidR="0048705A" w:rsidRPr="0048705A">
        <w:instrText xml:space="preserve"> REF _Ref199253539 \h </w:instrText>
      </w:r>
      <w:r w:rsidR="0048705A">
        <w:instrText xml:space="preserve"> \* MERGEFORMAT </w:instrText>
      </w:r>
      <w:r w:rsidR="0048705A" w:rsidRPr="0048705A">
        <w:fldChar w:fldCharType="separate"/>
      </w:r>
      <w:r w:rsidR="007D262B" w:rsidRPr="00A97999">
        <w:t xml:space="preserve">Table </w:t>
      </w:r>
      <w:r w:rsidR="007D262B">
        <w:t>1</w:t>
      </w:r>
      <w:r w:rsidR="007D262B" w:rsidRPr="00A97999">
        <w:t>.</w:t>
      </w:r>
      <w:r w:rsidR="007D262B">
        <w:t>16</w:t>
      </w:r>
      <w:r w:rsidR="007D262B" w:rsidRPr="00377487">
        <w:t>: Drug services – unit prices 202</w:t>
      </w:r>
      <w:r w:rsidR="007D262B">
        <w:t>5</w:t>
      </w:r>
      <w:r w:rsidR="007D262B" w:rsidRPr="00377487">
        <w:rPr>
          <w:szCs w:val="21"/>
        </w:rPr>
        <w:t>–</w:t>
      </w:r>
      <w:r w:rsidR="007D262B" w:rsidRPr="00377487">
        <w:t>2</w:t>
      </w:r>
      <w:r w:rsidR="007D262B">
        <w:t>6</w:t>
      </w:r>
      <w:r w:rsidR="0048705A" w:rsidRPr="0048705A">
        <w:fldChar w:fldCharType="end"/>
      </w:r>
      <w:r w:rsidR="001E52DD" w:rsidRPr="0048705A">
        <w:t>, and targets</w:t>
      </w:r>
      <w:r w:rsidR="000F04A2" w:rsidRPr="0048705A">
        <w:t xml:space="preserve"> are listed </w:t>
      </w:r>
      <w:r w:rsidR="006D4EBE" w:rsidRPr="0048705A">
        <w:t xml:space="preserve">in </w:t>
      </w:r>
      <w:r w:rsidR="0048705A" w:rsidRPr="0048705A">
        <w:fldChar w:fldCharType="begin"/>
      </w:r>
      <w:r w:rsidR="0048705A" w:rsidRPr="0048705A">
        <w:instrText xml:space="preserve"> REF _Ref199253559 \h </w:instrText>
      </w:r>
      <w:r w:rsidR="0048705A">
        <w:instrText xml:space="preserve"> \* MERGEFORMAT </w:instrText>
      </w:r>
      <w:r w:rsidR="0048705A" w:rsidRPr="0048705A">
        <w:fldChar w:fldCharType="separate"/>
      </w:r>
      <w:r w:rsidR="007D262B" w:rsidRPr="00DE5BFB">
        <w:t xml:space="preserve">Table </w:t>
      </w:r>
      <w:r w:rsidR="007D262B">
        <w:t>2.23</w:t>
      </w:r>
      <w:r w:rsidR="007D262B" w:rsidRPr="00DE5BFB">
        <w:t xml:space="preserve">: </w:t>
      </w:r>
      <w:r w:rsidR="007D262B">
        <w:t>Alcohol and other drugs output targets</w:t>
      </w:r>
      <w:r w:rsidR="007D262B" w:rsidRPr="007A725F">
        <w:t xml:space="preserve"> </w:t>
      </w:r>
      <w:r w:rsidR="007D262B" w:rsidRPr="00D31096">
        <w:t>202</w:t>
      </w:r>
      <w:r w:rsidR="007D262B">
        <w:t>5–</w:t>
      </w:r>
      <w:r w:rsidR="007D262B" w:rsidRPr="00D31096">
        <w:t>2</w:t>
      </w:r>
      <w:r w:rsidR="007D262B">
        <w:t>6</w:t>
      </w:r>
      <w:r w:rsidR="0048705A" w:rsidRPr="0048705A">
        <w:fldChar w:fldCharType="end"/>
      </w:r>
      <w:r w:rsidR="0048705A" w:rsidRPr="0048705A">
        <w:t>.</w:t>
      </w:r>
    </w:p>
    <w:p w14:paraId="188BF03F" w14:textId="042AF39B" w:rsidR="00417EE8" w:rsidRDefault="00417EE8" w:rsidP="00417EE8">
      <w:pPr>
        <w:pStyle w:val="Body"/>
      </w:pPr>
      <w:r>
        <w:t>The Victorian Alcohol and Drug Collection is the data collection specification for all Victorian funded AOD treatment providers. (Reference any other guideline/business rule</w:t>
      </w:r>
      <w:r w:rsidR="008A5D94">
        <w:t>.</w:t>
      </w:r>
      <w:r>
        <w:t>)</w:t>
      </w:r>
    </w:p>
    <w:p w14:paraId="4B8C64FF" w14:textId="29AB40F4" w:rsidR="00417EE8" w:rsidRDefault="008A5D94" w:rsidP="00417EE8">
      <w:pPr>
        <w:pStyle w:val="Body"/>
      </w:pPr>
      <w:r>
        <w:t xml:space="preserve">Find out more about the </w:t>
      </w:r>
      <w:hyperlink r:id="rId41" w:history="1">
        <w:r w:rsidRPr="008A5D94">
          <w:rPr>
            <w:rStyle w:val="Hyperlink"/>
          </w:rPr>
          <w:t xml:space="preserve">Department of Health’s </w:t>
        </w:r>
        <w:r w:rsidR="00417EE8" w:rsidRPr="008A5D94">
          <w:rPr>
            <w:rStyle w:val="Hyperlink"/>
          </w:rPr>
          <w:t>AOD policy</w:t>
        </w:r>
      </w:hyperlink>
      <w:r w:rsidR="00417EE8">
        <w:t xml:space="preserve"> &lt;https://www.health.vic.gov.au/alcohol-other-drugs&gt;.</w:t>
      </w:r>
    </w:p>
    <w:p w14:paraId="21508433" w14:textId="3BF7DCCD" w:rsidR="005B699B" w:rsidRPr="00593888" w:rsidRDefault="005B699B" w:rsidP="00B448AC">
      <w:pPr>
        <w:pStyle w:val="Heading2"/>
        <w:numPr>
          <w:ilvl w:val="1"/>
          <w:numId w:val="12"/>
        </w:numPr>
        <w:ind w:left="709" w:hanging="709"/>
      </w:pPr>
      <w:bookmarkStart w:id="1586" w:name="_Toc201148231"/>
      <w:r w:rsidRPr="00593888">
        <w:t xml:space="preserve">Community </w:t>
      </w:r>
      <w:r w:rsidRPr="00AF18F3">
        <w:t>health</w:t>
      </w:r>
      <w:r w:rsidRPr="00593888">
        <w:t xml:space="preserve"> pricing</w:t>
      </w:r>
      <w:bookmarkEnd w:id="1586"/>
      <w:r w:rsidR="00533382">
        <w:t xml:space="preserve"> </w:t>
      </w:r>
    </w:p>
    <w:p w14:paraId="28EC4BB5" w14:textId="34CA0432" w:rsidR="005B699B" w:rsidRDefault="005B699B" w:rsidP="005B699B">
      <w:pPr>
        <w:pStyle w:val="Body"/>
      </w:pPr>
      <w:r>
        <w:t xml:space="preserve">The Victorian Auditor-General’s report </w:t>
      </w:r>
      <w:r w:rsidRPr="00CB46B6">
        <w:rPr>
          <w:i/>
          <w:iCs/>
        </w:rPr>
        <w:t xml:space="preserve">Community </w:t>
      </w:r>
      <w:r w:rsidR="00AF18F3">
        <w:rPr>
          <w:i/>
          <w:iCs/>
        </w:rPr>
        <w:t>h</w:t>
      </w:r>
      <w:r w:rsidR="00AF18F3" w:rsidRPr="00CB46B6">
        <w:rPr>
          <w:i/>
          <w:iCs/>
        </w:rPr>
        <w:t xml:space="preserve">ealth </w:t>
      </w:r>
      <w:r w:rsidR="00AF18F3">
        <w:rPr>
          <w:i/>
          <w:iCs/>
        </w:rPr>
        <w:t>p</w:t>
      </w:r>
      <w:r w:rsidR="00AF18F3" w:rsidRPr="00CB46B6">
        <w:rPr>
          <w:i/>
          <w:iCs/>
        </w:rPr>
        <w:t>rogram</w:t>
      </w:r>
      <w:r w:rsidR="00AF18F3">
        <w:rPr>
          <w:i/>
        </w:rPr>
        <w:t xml:space="preserve"> </w:t>
      </w:r>
      <w:r w:rsidR="00845560">
        <w:t xml:space="preserve">(2018) </w:t>
      </w:r>
      <w:r>
        <w:t xml:space="preserve">recommended </w:t>
      </w:r>
      <w:r w:rsidR="00AF18F3">
        <w:t>developing</w:t>
      </w:r>
      <w:r>
        <w:t xml:space="preserve"> a more sophisticated funding model to allow flexibility for services to adapt to changing community and client needs. </w:t>
      </w:r>
      <w:r w:rsidR="006E5A43" w:rsidRPr="00E44E33">
        <w:t>Historically</w:t>
      </w:r>
      <w:r w:rsidR="006E5A43">
        <w:t xml:space="preserve">, Community Health Program </w:t>
      </w:r>
      <w:r w:rsidR="006E5A43" w:rsidRPr="00E44E33">
        <w:t>funding included different unit prices for nursing and allied health activities.</w:t>
      </w:r>
      <w:r w:rsidR="006E5A43" w:rsidRPr="00E44E33">
        <w:rPr>
          <w:rFonts w:eastAsia="Times New Roman"/>
        </w:rPr>
        <w:t xml:space="preserve"> </w:t>
      </w:r>
      <w:r w:rsidR="006E5A43" w:rsidRPr="00E44E33">
        <w:t xml:space="preserve">The </w:t>
      </w:r>
      <w:r w:rsidR="008A5D94" w:rsidRPr="005A07BF">
        <w:t>Victorian Auditor-General's Office</w:t>
      </w:r>
      <w:r w:rsidR="008A5D94" w:rsidRPr="00E44E33">
        <w:t xml:space="preserve"> </w:t>
      </w:r>
      <w:r w:rsidR="008A5D94">
        <w:t xml:space="preserve">identified these </w:t>
      </w:r>
      <w:r w:rsidR="006E5A43" w:rsidRPr="00E44E33">
        <w:t xml:space="preserve">different unit prices as a barrier to achieving </w:t>
      </w:r>
      <w:r w:rsidR="006E5A43">
        <w:t>Community Health Program</w:t>
      </w:r>
      <w:r w:rsidR="006E5A43" w:rsidRPr="00E44E33">
        <w:t xml:space="preserve"> objectives.</w:t>
      </w:r>
    </w:p>
    <w:p w14:paraId="64704BE7" w14:textId="4F90D42D" w:rsidR="00AF18F3" w:rsidRDefault="005B699B" w:rsidP="005B699B">
      <w:pPr>
        <w:pStyle w:val="Body"/>
      </w:pPr>
      <w:r>
        <w:t>In January 2024</w:t>
      </w:r>
      <w:r w:rsidR="00AF18F3">
        <w:t>,</w:t>
      </w:r>
      <w:r>
        <w:t xml:space="preserve"> the department introduced a single unit price for </w:t>
      </w:r>
      <w:r w:rsidR="008A5D94">
        <w:t xml:space="preserve">3 </w:t>
      </w:r>
      <w:r>
        <w:t>community health activities:</w:t>
      </w:r>
    </w:p>
    <w:p w14:paraId="6737885B" w14:textId="7CBDAD6A" w:rsidR="00AF18F3" w:rsidRPr="00AF18F3" w:rsidRDefault="005B699B" w:rsidP="00EA18DD">
      <w:pPr>
        <w:pStyle w:val="Bullet1"/>
      </w:pPr>
      <w:r w:rsidRPr="00AF18F3">
        <w:t>community health</w:t>
      </w:r>
    </w:p>
    <w:p w14:paraId="4D36FD30" w14:textId="70D05EFD" w:rsidR="00AF18F3" w:rsidRPr="00AF18F3" w:rsidRDefault="005B699B" w:rsidP="00EA18DD">
      <w:pPr>
        <w:pStyle w:val="Bullet1"/>
      </w:pPr>
      <w:r w:rsidRPr="00AF18F3">
        <w:t>small rural primary health – flexible services</w:t>
      </w:r>
    </w:p>
    <w:p w14:paraId="0C21148E" w14:textId="02289FA3" w:rsidR="005B699B" w:rsidRPr="00AF18F3" w:rsidRDefault="005B699B" w:rsidP="00EA18DD">
      <w:pPr>
        <w:pStyle w:val="Bullet1"/>
      </w:pPr>
      <w:r w:rsidRPr="00AF18F3">
        <w:t>integrated chronic disease management.</w:t>
      </w:r>
    </w:p>
    <w:p w14:paraId="6C1E4F18" w14:textId="2E4448DF" w:rsidR="005B699B" w:rsidRDefault="005B699B" w:rsidP="00CB46B6">
      <w:pPr>
        <w:pStyle w:val="Bodyafterbullets"/>
      </w:pPr>
      <w:r>
        <w:t xml:space="preserve">Each community health service continues to receive the same total funding under a single unit price and will be able to use the funding flexibly. </w:t>
      </w:r>
      <w:r w:rsidRPr="00523C69">
        <w:t>The single unit price raise</w:t>
      </w:r>
      <w:r w:rsidR="00D417B8">
        <w:t>d</w:t>
      </w:r>
      <w:r w:rsidRPr="00523C69">
        <w:t xml:space="preserve"> the </w:t>
      </w:r>
      <w:r w:rsidR="00AF18F3" w:rsidRPr="00523C69">
        <w:t>costed-</w:t>
      </w:r>
      <w:r w:rsidRPr="00523C69">
        <w:t>nursing</w:t>
      </w:r>
      <w:r w:rsidR="008A5D94">
        <w:t>-</w:t>
      </w:r>
      <w:r w:rsidRPr="00523C69">
        <w:t>unit price to be equivalent with the allied</w:t>
      </w:r>
      <w:r w:rsidR="008A5D94">
        <w:t>-</w:t>
      </w:r>
      <w:r w:rsidRPr="00523C69">
        <w:t>health</w:t>
      </w:r>
      <w:r w:rsidR="008A5D94">
        <w:t>-</w:t>
      </w:r>
      <w:r w:rsidRPr="00523C69">
        <w:t>unit price, with hours adjusted.</w:t>
      </w:r>
    </w:p>
    <w:p w14:paraId="36F44F59" w14:textId="57DFFE49" w:rsidR="00B724B4" w:rsidRDefault="00BE4768" w:rsidP="00460C99">
      <w:pPr>
        <w:pStyle w:val="Bodyafterbullets"/>
      </w:pPr>
      <w:r>
        <w:t>From 1 July 2025, the single unit price will be applied to all community health activities and service providers.</w:t>
      </w:r>
      <w:r w:rsidR="008A4018">
        <w:t xml:space="preserve"> Community health program funding is activity</w:t>
      </w:r>
      <w:r w:rsidR="008A5D94">
        <w:t xml:space="preserve"> </w:t>
      </w:r>
      <w:r w:rsidR="008A4018">
        <w:t>based</w:t>
      </w:r>
      <w:r w:rsidR="008A5D94">
        <w:t>,</w:t>
      </w:r>
      <w:r w:rsidR="008A4018">
        <w:t xml:space="preserve"> and the activity measure is service hours. </w:t>
      </w:r>
      <w:r w:rsidR="008A5D94">
        <w:t xml:space="preserve">Refer to </w:t>
      </w:r>
      <w:r w:rsidR="00197056" w:rsidRPr="00197056">
        <w:t>Table 1.20: Community Health care output 2025–26</w:t>
      </w:r>
      <w:r w:rsidR="00197056">
        <w:t xml:space="preserve">. </w:t>
      </w:r>
      <w:bookmarkStart w:id="1587" w:name="_Toc197452707"/>
      <w:bookmarkEnd w:id="1587"/>
    </w:p>
    <w:p w14:paraId="05ADB1E6" w14:textId="4F7C7BD0" w:rsidR="00417EE8" w:rsidRDefault="00417EE8" w:rsidP="00B448AC">
      <w:pPr>
        <w:pStyle w:val="Heading2"/>
        <w:numPr>
          <w:ilvl w:val="1"/>
          <w:numId w:val="12"/>
        </w:numPr>
        <w:ind w:left="709" w:hanging="709"/>
      </w:pPr>
      <w:bookmarkStart w:id="1588" w:name="_Toc201148232"/>
      <w:r w:rsidRPr="00962783">
        <w:t xml:space="preserve">Local </w:t>
      </w:r>
      <w:r w:rsidRPr="009522D1">
        <w:t>public</w:t>
      </w:r>
      <w:r w:rsidRPr="00962783">
        <w:t xml:space="preserve"> </w:t>
      </w:r>
      <w:r w:rsidRPr="00361A32">
        <w:t>health</w:t>
      </w:r>
      <w:r w:rsidRPr="00962783">
        <w:t xml:space="preserve"> </w:t>
      </w:r>
      <w:r>
        <w:t>u</w:t>
      </w:r>
      <w:r w:rsidRPr="00962783">
        <w:t xml:space="preserve">nit </w:t>
      </w:r>
      <w:r>
        <w:t>b</w:t>
      </w:r>
      <w:r w:rsidRPr="00962783">
        <w:t>lock</w:t>
      </w:r>
      <w:r>
        <w:t>-</w:t>
      </w:r>
      <w:r w:rsidRPr="009522D1">
        <w:t>funded</w:t>
      </w:r>
      <w:r w:rsidRPr="00962783">
        <w:t xml:space="preserve"> </w:t>
      </w:r>
      <w:r w:rsidRPr="009522D1">
        <w:t>functions</w:t>
      </w:r>
      <w:bookmarkEnd w:id="1588"/>
      <w:r>
        <w:t xml:space="preserve"> </w:t>
      </w:r>
    </w:p>
    <w:p w14:paraId="639708F3" w14:textId="689A48D7" w:rsidR="008A5D94" w:rsidRDefault="00417EE8" w:rsidP="00417EE8">
      <w:pPr>
        <w:pStyle w:val="Body"/>
      </w:pPr>
      <w:r>
        <w:t xml:space="preserve">Health services that are funded to operate a </w:t>
      </w:r>
      <w:r w:rsidR="008A5D94">
        <w:t xml:space="preserve">local public health unit </w:t>
      </w:r>
      <w:r>
        <w:t xml:space="preserve">(LPHUs) receive funding for public health activities under </w:t>
      </w:r>
      <w:r w:rsidR="008A5D94">
        <w:t xml:space="preserve">2 </w:t>
      </w:r>
      <w:r>
        <w:t>lines</w:t>
      </w:r>
      <w:r w:rsidR="008A5D94">
        <w:t>:</w:t>
      </w:r>
    </w:p>
    <w:p w14:paraId="6BCC4A56" w14:textId="6F885ABC" w:rsidR="008A5D94" w:rsidRPr="008A5D94" w:rsidRDefault="00417EE8" w:rsidP="002A5EBA">
      <w:pPr>
        <w:pStyle w:val="Bullet1"/>
      </w:pPr>
      <w:r w:rsidRPr="002A5EBA">
        <w:t>LPHU core operations</w:t>
      </w:r>
      <w:r w:rsidRPr="008A5D94">
        <w:t xml:space="preserve"> (including health protection) </w:t>
      </w:r>
    </w:p>
    <w:p w14:paraId="43278A07" w14:textId="77777777" w:rsidR="008A5D94" w:rsidRPr="008A5D94" w:rsidRDefault="00417EE8" w:rsidP="002A5EBA">
      <w:pPr>
        <w:pStyle w:val="Bullet1"/>
      </w:pPr>
      <w:r w:rsidRPr="002A5EBA">
        <w:t>health advancemen</w:t>
      </w:r>
      <w:r w:rsidR="008A5D94" w:rsidRPr="008A5D94">
        <w:t>t.</w:t>
      </w:r>
    </w:p>
    <w:p w14:paraId="2B282E8E" w14:textId="0536BA19" w:rsidR="002B0994" w:rsidRDefault="008A5D94" w:rsidP="002A5EBA">
      <w:pPr>
        <w:pStyle w:val="Bodyafterbullets"/>
      </w:pPr>
      <w:r>
        <w:t>E</w:t>
      </w:r>
      <w:r w:rsidR="00417EE8">
        <w:t xml:space="preserve">ach of </w:t>
      </w:r>
      <w:r>
        <w:t>these</w:t>
      </w:r>
      <w:r w:rsidR="00417EE8">
        <w:t xml:space="preserve"> is allocated to a cost centre in the Health Agencies Reporting Tool (HeART):</w:t>
      </w:r>
    </w:p>
    <w:p w14:paraId="7BE892E6" w14:textId="25EA3847" w:rsidR="002B0994" w:rsidRPr="002B0994" w:rsidRDefault="00417EE8" w:rsidP="002A5EBA">
      <w:pPr>
        <w:pStyle w:val="Bullet1"/>
      </w:pPr>
      <w:r w:rsidRPr="002B0994">
        <w:t xml:space="preserve">M1549 for </w:t>
      </w:r>
      <w:r w:rsidRPr="002A5EBA">
        <w:t>LPHU core operations</w:t>
      </w:r>
      <w:r w:rsidRPr="002B0994">
        <w:t xml:space="preserve"> (including health protection) </w:t>
      </w:r>
    </w:p>
    <w:p w14:paraId="3CB94FE8" w14:textId="257DD017" w:rsidR="00417EE8" w:rsidRPr="002B0994" w:rsidRDefault="00417EE8" w:rsidP="002A5EBA">
      <w:pPr>
        <w:pStyle w:val="Bullet1"/>
      </w:pPr>
      <w:r w:rsidRPr="002B0994">
        <w:t xml:space="preserve">M1546 for </w:t>
      </w:r>
      <w:r w:rsidRPr="002A5EBA">
        <w:t>health advancement.</w:t>
      </w:r>
    </w:p>
    <w:p w14:paraId="2C3B3C71" w14:textId="36676F29" w:rsidR="00417EE8" w:rsidRDefault="00417EE8" w:rsidP="002A5EBA">
      <w:pPr>
        <w:pStyle w:val="Bodyafterbullets"/>
      </w:pPr>
      <w:r>
        <w:lastRenderedPageBreak/>
        <w:t xml:space="preserve">Further detail regarding LPHU operational and service delivery obligations are </w:t>
      </w:r>
      <w:r w:rsidRPr="0082519D">
        <w:t xml:space="preserve">defined by the department in the </w:t>
      </w:r>
      <w:hyperlink r:id="rId42" w:history="1">
        <w:r w:rsidR="002B0994" w:rsidRPr="002A5EBA">
          <w:rPr>
            <w:rStyle w:val="Hyperlink"/>
          </w:rPr>
          <w:t>Policy guide</w:t>
        </w:r>
      </w:hyperlink>
      <w:r w:rsidR="002B0994" w:rsidRPr="002A5EBA">
        <w:t xml:space="preserve"> &lt;</w:t>
      </w:r>
      <w:r w:rsidRPr="0082519D">
        <w:t>https://www.health.vic.gov.au/policy-and-funding-guidelines-for-health-services</w:t>
      </w:r>
      <w:r w:rsidR="002B0994">
        <w:t xml:space="preserve">&gt; </w:t>
      </w:r>
      <w:r>
        <w:t xml:space="preserve">and outlined </w:t>
      </w:r>
      <w:r w:rsidRPr="0082519D">
        <w:t>in funding letter</w:t>
      </w:r>
      <w:r>
        <w:t>s.</w:t>
      </w:r>
    </w:p>
    <w:p w14:paraId="714ED12A" w14:textId="77777777" w:rsidR="002B0994" w:rsidRDefault="001E1E1E" w:rsidP="00417EE8">
      <w:pPr>
        <w:pStyle w:val="Body"/>
      </w:pPr>
      <w:r w:rsidRPr="001E1E1E">
        <w:t xml:space="preserve">The operation of an LPHU is tied to a specific, designated purpose. </w:t>
      </w:r>
    </w:p>
    <w:p w14:paraId="7F3088F9" w14:textId="7AAA4610" w:rsidR="001E1E1E" w:rsidRDefault="001E1E1E" w:rsidP="00417EE8">
      <w:pPr>
        <w:pStyle w:val="Body"/>
      </w:pPr>
      <w:r w:rsidRPr="001E1E1E">
        <w:t xml:space="preserve">As outlined in </w:t>
      </w:r>
      <w:r w:rsidRPr="00421F9D">
        <w:t>section 14.4, health</w:t>
      </w:r>
      <w:r w:rsidRPr="001E1E1E">
        <w:t xml:space="preserve"> services cannot redistribute these funds. Any unspent funding provided to lead health services for the operation of an LPHU must not be used for other purposes unless requested by an LPHU and explicitly approved by the department</w:t>
      </w:r>
      <w:r>
        <w:t>.</w:t>
      </w:r>
    </w:p>
    <w:p w14:paraId="636C2031" w14:textId="67099C99" w:rsidR="00BE2070" w:rsidRDefault="00BE2070" w:rsidP="00B448AC">
      <w:pPr>
        <w:pStyle w:val="Heading2"/>
        <w:numPr>
          <w:ilvl w:val="1"/>
          <w:numId w:val="12"/>
        </w:numPr>
        <w:ind w:left="709" w:hanging="709"/>
      </w:pPr>
      <w:bookmarkStart w:id="1589" w:name="_Toc201148233"/>
      <w:r>
        <w:t>Mental health community support services</w:t>
      </w:r>
      <w:bookmarkEnd w:id="1589"/>
    </w:p>
    <w:p w14:paraId="29BB09EE" w14:textId="77777777" w:rsidR="002B0994" w:rsidRDefault="00BE2070" w:rsidP="00BE2070">
      <w:pPr>
        <w:pStyle w:val="Body"/>
      </w:pPr>
      <w:r>
        <w:t xml:space="preserve">Funding for Mental Health Community Support Services (MHCSS) activities is output based. </w:t>
      </w:r>
    </w:p>
    <w:p w14:paraId="7CE53E81" w14:textId="77777777" w:rsidR="002B0994" w:rsidRDefault="00BE2070" w:rsidP="00BE2070">
      <w:pPr>
        <w:pStyle w:val="Body"/>
      </w:pPr>
      <w:r>
        <w:t xml:space="preserve">Statewide targets are set out in </w:t>
      </w:r>
      <w:r w:rsidRPr="00FE4922">
        <w:rPr>
          <w:i/>
          <w:iCs/>
        </w:rPr>
        <w:t>Victorian State Budget Paper No. 3</w:t>
      </w:r>
      <w:r>
        <w:rPr>
          <w:i/>
          <w:iCs/>
        </w:rPr>
        <w:t xml:space="preserve"> </w:t>
      </w:r>
      <w:r w:rsidRPr="0013154B">
        <w:t>(202</w:t>
      </w:r>
      <w:r>
        <w:t>5</w:t>
      </w:r>
      <w:r w:rsidRPr="0013154B">
        <w:t>)</w:t>
      </w:r>
      <w:r>
        <w:t xml:space="preserve">. </w:t>
      </w:r>
    </w:p>
    <w:p w14:paraId="64DCC5E8" w14:textId="77777777" w:rsidR="002B0994" w:rsidRDefault="00BE2070" w:rsidP="00BE2070">
      <w:pPr>
        <w:pStyle w:val="Body"/>
      </w:pPr>
      <w:r>
        <w:t xml:space="preserve">MHCSS activities are listed in the Funding and Service Agreement and represent the minimum deliverables expected for the funding provided. </w:t>
      </w:r>
    </w:p>
    <w:p w14:paraId="76A869F4" w14:textId="1525C3FF" w:rsidR="00BE2070" w:rsidRDefault="00BE2070" w:rsidP="00BE2070">
      <w:pPr>
        <w:pStyle w:val="Body"/>
      </w:pPr>
      <w:r>
        <w:t xml:space="preserve">Refer to the </w:t>
      </w:r>
      <w:r w:rsidRPr="002A5EBA">
        <w:t>Policy guide</w:t>
      </w:r>
      <w:r w:rsidRPr="00FE4922">
        <w:rPr>
          <w:i/>
          <w:iCs/>
        </w:rPr>
        <w:t xml:space="preserve"> </w:t>
      </w:r>
      <w:r>
        <w:t>for more information.</w:t>
      </w:r>
    </w:p>
    <w:p w14:paraId="19EF650A" w14:textId="1B40603A" w:rsidR="005B699B" w:rsidRDefault="005B699B" w:rsidP="00B448AC">
      <w:pPr>
        <w:pStyle w:val="Heading2"/>
        <w:numPr>
          <w:ilvl w:val="1"/>
          <w:numId w:val="12"/>
        </w:numPr>
        <w:ind w:left="709" w:hanging="709"/>
      </w:pPr>
      <w:bookmarkStart w:id="1590" w:name="_Toc165961797"/>
      <w:bookmarkStart w:id="1591" w:name="_Toc201148234"/>
      <w:r w:rsidRPr="00AF18F3">
        <w:t>Nationally</w:t>
      </w:r>
      <w:r w:rsidRPr="00254AAE">
        <w:t xml:space="preserve"> </w:t>
      </w:r>
      <w:r w:rsidR="00AF18F3">
        <w:t>f</w:t>
      </w:r>
      <w:r w:rsidR="00AF18F3" w:rsidRPr="00361A32">
        <w:t>unded</w:t>
      </w:r>
      <w:r w:rsidR="00AF18F3" w:rsidRPr="00254AAE">
        <w:t xml:space="preserve"> </w:t>
      </w:r>
      <w:r w:rsidR="00AF18F3">
        <w:t>c</w:t>
      </w:r>
      <w:r w:rsidR="00AF18F3" w:rsidRPr="00254AAE">
        <w:t>entres</w:t>
      </w:r>
      <w:bookmarkEnd w:id="1590"/>
      <w:bookmarkEnd w:id="1591"/>
      <w:r w:rsidR="006571DF">
        <w:t xml:space="preserve"> </w:t>
      </w:r>
    </w:p>
    <w:p w14:paraId="6AABAA93" w14:textId="154295CF" w:rsidR="008704D7" w:rsidRDefault="005B699B" w:rsidP="005B699B">
      <w:pPr>
        <w:pStyle w:val="Body"/>
      </w:pPr>
      <w:r>
        <w:t xml:space="preserve">Nationally </w:t>
      </w:r>
      <w:r w:rsidR="00AF18F3">
        <w:t>f</w:t>
      </w:r>
      <w:r>
        <w:t xml:space="preserve">unded </w:t>
      </w:r>
      <w:r w:rsidR="00AF18F3">
        <w:t xml:space="preserve">centres </w:t>
      </w:r>
      <w:r>
        <w:t xml:space="preserve">(NFC) programs </w:t>
      </w:r>
      <w:r w:rsidR="00B62A04">
        <w:t xml:space="preserve">(admitted and non-admitted activity) </w:t>
      </w:r>
      <w:r>
        <w:t xml:space="preserve">are funded </w:t>
      </w:r>
      <w:r w:rsidR="000E0C3D">
        <w:t>to actuals at the NFC</w:t>
      </w:r>
      <w:r w:rsidR="002B0994">
        <w:t>-</w:t>
      </w:r>
      <w:r w:rsidR="000E0C3D">
        <w:t xml:space="preserve">determined cost per procedure </w:t>
      </w:r>
      <w:r>
        <w:t>from a pool, with contributions from all states and territories according to a population-based formula.</w:t>
      </w:r>
    </w:p>
    <w:p w14:paraId="1004024F" w14:textId="511C3ADD" w:rsidR="005B699B" w:rsidRDefault="005B699B" w:rsidP="005B699B">
      <w:pPr>
        <w:pStyle w:val="Body"/>
      </w:pPr>
      <w:r>
        <w:t>The NFC programs and Victorian hosting agencies are:</w:t>
      </w:r>
    </w:p>
    <w:p w14:paraId="04D943BB" w14:textId="77777777" w:rsidR="005B699B" w:rsidRPr="00AF18F3" w:rsidRDefault="005B699B" w:rsidP="00EA18DD">
      <w:pPr>
        <w:pStyle w:val="Bullet1"/>
      </w:pPr>
      <w:r w:rsidRPr="00AF18F3">
        <w:t>paediatric heart transplantation – The Royal Children’s Hospital</w:t>
      </w:r>
    </w:p>
    <w:p w14:paraId="1E0804CC" w14:textId="77777777" w:rsidR="005B699B" w:rsidRPr="00AF18F3" w:rsidRDefault="005B699B" w:rsidP="00EA18DD">
      <w:pPr>
        <w:pStyle w:val="Bullet1"/>
      </w:pPr>
      <w:r w:rsidRPr="00AF18F3">
        <w:t>paediatric liver transplantation – The Royal Children’s Hospital (supported by Austin Hospital)</w:t>
      </w:r>
    </w:p>
    <w:p w14:paraId="34ACD1DD" w14:textId="244B0D86" w:rsidR="005B699B" w:rsidRPr="00AF18F3" w:rsidRDefault="005B699B" w:rsidP="00EA18DD">
      <w:pPr>
        <w:pStyle w:val="Bullet1"/>
      </w:pPr>
      <w:r w:rsidRPr="00AF18F3">
        <w:t>paediatric lung and heart</w:t>
      </w:r>
      <w:r w:rsidR="00AF18F3">
        <w:t>–</w:t>
      </w:r>
      <w:r w:rsidRPr="00AF18F3">
        <w:t xml:space="preserve">lung transplantation – </w:t>
      </w:r>
      <w:r w:rsidR="00B239CB">
        <w:t xml:space="preserve">The </w:t>
      </w:r>
      <w:r w:rsidRPr="00AF18F3">
        <w:t>Alfred</w:t>
      </w:r>
      <w:r w:rsidR="00AF18F3">
        <w:t xml:space="preserve"> </w:t>
      </w:r>
      <w:r w:rsidRPr="00AF18F3">
        <w:t>(supported by The Royal Children’s Hospital)</w:t>
      </w:r>
    </w:p>
    <w:p w14:paraId="64FBD743" w14:textId="77777777" w:rsidR="005B699B" w:rsidRPr="00AF18F3" w:rsidRDefault="005B699B" w:rsidP="00EA18DD">
      <w:pPr>
        <w:pStyle w:val="Bullet1"/>
      </w:pPr>
      <w:r w:rsidRPr="00AF18F3">
        <w:t>adult pancreas transplantation – Monash Medial Centre Clayton</w:t>
      </w:r>
    </w:p>
    <w:p w14:paraId="2C7E0639" w14:textId="184B98B4" w:rsidR="005B699B" w:rsidRPr="00AF18F3" w:rsidRDefault="005B699B" w:rsidP="00EA18DD">
      <w:pPr>
        <w:pStyle w:val="Bullet1"/>
      </w:pPr>
      <w:r w:rsidRPr="00AF18F3">
        <w:t>adult islet cell transplantation – St Vincent’s Hospital (supported by St Vincent’s Institute).</w:t>
      </w:r>
    </w:p>
    <w:p w14:paraId="7DF191CB" w14:textId="7D3809DE" w:rsidR="00EA7A06" w:rsidRDefault="00EA7A06" w:rsidP="00EA7A06">
      <w:pPr>
        <w:pStyle w:val="Bodyafterbullets"/>
      </w:pPr>
      <w:r>
        <w:t xml:space="preserve">See </w:t>
      </w:r>
      <w:r w:rsidR="007D262B">
        <w:fldChar w:fldCharType="begin"/>
      </w:r>
      <w:r w:rsidR="007D262B">
        <w:instrText xml:space="preserve"> REF Table1_9 \h </w:instrText>
      </w:r>
      <w:r w:rsidR="007D262B">
        <w:fldChar w:fldCharType="separate"/>
      </w:r>
      <w:r w:rsidR="007D262B">
        <w:t xml:space="preserve">Table </w:t>
      </w:r>
      <w:r w:rsidR="007D262B">
        <w:rPr>
          <w:noProof/>
        </w:rPr>
        <w:t>1</w:t>
      </w:r>
      <w:r w:rsidR="007D262B">
        <w:t>.</w:t>
      </w:r>
      <w:r w:rsidR="007D262B">
        <w:rPr>
          <w:noProof/>
        </w:rPr>
        <w:t>9</w:t>
      </w:r>
      <w:r w:rsidR="007D262B">
        <w:fldChar w:fldCharType="end"/>
      </w:r>
      <w:r w:rsidRPr="00A62072">
        <w:t>: Nationally Funded Centres Program 2025</w:t>
      </w:r>
      <w:r w:rsidRPr="00A62072">
        <w:rPr>
          <w:szCs w:val="21"/>
        </w:rPr>
        <w:t>–</w:t>
      </w:r>
      <w:r w:rsidRPr="00A62072">
        <w:t>26</w:t>
      </w:r>
      <w:r w:rsidR="005E1491" w:rsidRPr="00A62072">
        <w:t>.</w:t>
      </w:r>
    </w:p>
    <w:p w14:paraId="6E09BDA5" w14:textId="30FD3F1C" w:rsidR="00282C1B" w:rsidRDefault="002B0994" w:rsidP="002A5EBA">
      <w:pPr>
        <w:pStyle w:val="Body"/>
      </w:pPr>
      <w:r>
        <w:t xml:space="preserve">Find out more about the </w:t>
      </w:r>
      <w:hyperlink r:id="rId43" w:history="1">
        <w:r w:rsidR="005B699B" w:rsidRPr="002B0994">
          <w:rPr>
            <w:rStyle w:val="Hyperlink"/>
          </w:rPr>
          <w:t xml:space="preserve">NFC </w:t>
        </w:r>
        <w:r w:rsidRPr="002B0994">
          <w:rPr>
            <w:rStyle w:val="Hyperlink"/>
          </w:rPr>
          <w:t>Program</w:t>
        </w:r>
      </w:hyperlink>
      <w:r w:rsidR="005B699B">
        <w:t xml:space="preserve"> &lt;</w:t>
      </w:r>
      <w:r w:rsidR="005B699B" w:rsidRPr="003578E9">
        <w:t>https://www.health.vic.gov.au/patient-care/nationally-funded-centres</w:t>
      </w:r>
      <w:r w:rsidR="005B699B">
        <w:t>&gt;.</w:t>
      </w:r>
    </w:p>
    <w:p w14:paraId="70C958F9" w14:textId="4D5387E6" w:rsidR="002A5EBA" w:rsidRDefault="002A5EBA" w:rsidP="00B448AC">
      <w:pPr>
        <w:pStyle w:val="Heading2"/>
        <w:numPr>
          <w:ilvl w:val="1"/>
          <w:numId w:val="12"/>
        </w:numPr>
        <w:ind w:left="709" w:hanging="709"/>
      </w:pPr>
      <w:bookmarkStart w:id="1592" w:name="_Toc201148235"/>
      <w:r>
        <w:t>Ageing, aged and home care</w:t>
      </w:r>
      <w:bookmarkEnd w:id="1592"/>
    </w:p>
    <w:p w14:paraId="0A65865C" w14:textId="534E01F6" w:rsidR="00E73C80" w:rsidRPr="001B4DAF" w:rsidRDefault="00E73C80" w:rsidP="002A5EBA">
      <w:pPr>
        <w:pStyle w:val="Heading3"/>
      </w:pPr>
      <w:r w:rsidRPr="001B4DAF">
        <w:t xml:space="preserve">Public </w:t>
      </w:r>
      <w:r w:rsidR="002B0994">
        <w:t>s</w:t>
      </w:r>
      <w:r w:rsidR="002B0994" w:rsidRPr="001B4DAF">
        <w:t xml:space="preserve">ector </w:t>
      </w:r>
      <w:r w:rsidR="002B0994">
        <w:t>r</w:t>
      </w:r>
      <w:r w:rsidR="002B0994" w:rsidRPr="001B4DAF">
        <w:t xml:space="preserve">esidential </w:t>
      </w:r>
      <w:r w:rsidR="002B0994">
        <w:t>a</w:t>
      </w:r>
      <w:r w:rsidR="002B0994" w:rsidRPr="001B4DAF">
        <w:t xml:space="preserve">ged </w:t>
      </w:r>
      <w:r w:rsidR="002B0994">
        <w:t>c</w:t>
      </w:r>
      <w:r w:rsidR="002B0994" w:rsidRPr="001B4DAF">
        <w:t xml:space="preserve">are </w:t>
      </w:r>
      <w:r w:rsidR="002B0994">
        <w:t>s</w:t>
      </w:r>
      <w:r w:rsidRPr="001B4DAF">
        <w:t>ervices</w:t>
      </w:r>
    </w:p>
    <w:p w14:paraId="013793F6" w14:textId="187B8E87" w:rsidR="0058314C" w:rsidRDefault="001F2C6E" w:rsidP="0016408A">
      <w:pPr>
        <w:pStyle w:val="Body"/>
      </w:pPr>
      <w:r>
        <w:t xml:space="preserve">The department provides funding to </w:t>
      </w:r>
      <w:r w:rsidR="00510F6C">
        <w:t>h</w:t>
      </w:r>
      <w:r w:rsidR="004C1421">
        <w:t xml:space="preserve">ealth </w:t>
      </w:r>
      <w:r w:rsidR="00510F6C">
        <w:t>s</w:t>
      </w:r>
      <w:r w:rsidR="004C1421">
        <w:t>ervices</w:t>
      </w:r>
      <w:r w:rsidR="00771150">
        <w:t xml:space="preserve">, </w:t>
      </w:r>
      <w:r w:rsidR="000614D6">
        <w:t>m</w:t>
      </w:r>
      <w:r w:rsidR="00771150">
        <w:t xml:space="preserve">ultipurpose </w:t>
      </w:r>
      <w:r w:rsidR="000614D6">
        <w:t>s</w:t>
      </w:r>
      <w:r w:rsidR="00771150">
        <w:t xml:space="preserve">ervice </w:t>
      </w:r>
      <w:r w:rsidR="00EE3397">
        <w:t>p</w:t>
      </w:r>
      <w:r w:rsidR="00771150">
        <w:t>rogram</w:t>
      </w:r>
      <w:r w:rsidR="72B49A0E">
        <w:t>s</w:t>
      </w:r>
      <w:r w:rsidR="00771150">
        <w:t>, and contracted non-government</w:t>
      </w:r>
      <w:r w:rsidR="00635CAC">
        <w:t xml:space="preserve"> providers </w:t>
      </w:r>
      <w:r w:rsidR="006A34D4">
        <w:t>to deliver</w:t>
      </w:r>
      <w:r w:rsidR="002B0994">
        <w:t xml:space="preserve"> public sector residential aged care services</w:t>
      </w:r>
      <w:r w:rsidR="006A34D4">
        <w:t xml:space="preserve"> </w:t>
      </w:r>
      <w:r w:rsidR="002B0994">
        <w:t>(</w:t>
      </w:r>
      <w:r w:rsidR="0B90D240">
        <w:t>PSRACS</w:t>
      </w:r>
      <w:r w:rsidR="002B0994">
        <w:t>)</w:t>
      </w:r>
      <w:r w:rsidR="00D545E5">
        <w:t>.</w:t>
      </w:r>
      <w:r>
        <w:t xml:space="preserve"> </w:t>
      </w:r>
    </w:p>
    <w:p w14:paraId="2ED178F8" w14:textId="73099620" w:rsidR="001F2C6E" w:rsidRDefault="001F2C6E" w:rsidP="0016408A">
      <w:pPr>
        <w:pStyle w:val="Body"/>
      </w:pPr>
      <w:r>
        <w:t xml:space="preserve">PSRACS are funded to provide a specified number of available bed days and to meet set targets for </w:t>
      </w:r>
      <w:r w:rsidR="00CE7321">
        <w:t xml:space="preserve">bed availability. </w:t>
      </w:r>
      <w:r w:rsidR="0026040B">
        <w:t xml:space="preserve">PSRACS receive various funding </w:t>
      </w:r>
      <w:r w:rsidR="00FC4DE6">
        <w:t xml:space="preserve">allocations </w:t>
      </w:r>
      <w:r w:rsidR="0026040B">
        <w:t>based on bed type</w:t>
      </w:r>
      <w:r w:rsidR="00D545E5">
        <w:t xml:space="preserve"> and staffing requirements</w:t>
      </w:r>
      <w:r w:rsidR="0026040B">
        <w:t xml:space="preserve">, location </w:t>
      </w:r>
      <w:r w:rsidR="00A8206F">
        <w:t>and resident complexity</w:t>
      </w:r>
      <w:r w:rsidR="007474E9">
        <w:t>, se</w:t>
      </w:r>
      <w:r w:rsidR="00B402AA">
        <w:t xml:space="preserve">e </w:t>
      </w:r>
      <w:r w:rsidR="00B402AA">
        <w:fldChar w:fldCharType="begin"/>
      </w:r>
      <w:r w:rsidR="00B402AA">
        <w:instrText xml:space="preserve"> REF _Ref200031482 \h </w:instrText>
      </w:r>
      <w:r w:rsidR="00B402AA">
        <w:fldChar w:fldCharType="separate"/>
      </w:r>
      <w:r w:rsidR="007D262B" w:rsidRPr="00A97999">
        <w:t xml:space="preserve">Table </w:t>
      </w:r>
      <w:r w:rsidR="007D262B">
        <w:t>1</w:t>
      </w:r>
      <w:r w:rsidR="007D262B" w:rsidRPr="00A97999">
        <w:t>.</w:t>
      </w:r>
      <w:r w:rsidR="007D262B">
        <w:rPr>
          <w:noProof/>
        </w:rPr>
        <w:t>18</w:t>
      </w:r>
      <w:r w:rsidR="00B402AA">
        <w:fldChar w:fldCharType="end"/>
      </w:r>
      <w:r w:rsidR="00B402AA">
        <w:t xml:space="preserve"> and </w:t>
      </w:r>
      <w:r w:rsidR="00B402AA">
        <w:fldChar w:fldCharType="begin"/>
      </w:r>
      <w:r w:rsidR="00B402AA">
        <w:instrText xml:space="preserve"> REF _Ref200031483 \h </w:instrText>
      </w:r>
      <w:r w:rsidR="00B402AA">
        <w:fldChar w:fldCharType="separate"/>
      </w:r>
      <w:r w:rsidR="007D262B" w:rsidRPr="00A97999">
        <w:t xml:space="preserve">Table </w:t>
      </w:r>
      <w:r w:rsidR="007D262B">
        <w:t>1</w:t>
      </w:r>
      <w:r w:rsidR="007D262B" w:rsidRPr="00A97999">
        <w:t>.</w:t>
      </w:r>
      <w:r w:rsidR="007D262B">
        <w:rPr>
          <w:noProof/>
        </w:rPr>
        <w:t>19</w:t>
      </w:r>
      <w:r w:rsidR="00B402AA">
        <w:fldChar w:fldCharType="end"/>
      </w:r>
      <w:r w:rsidR="00B402AA">
        <w:t xml:space="preserve"> for f</w:t>
      </w:r>
      <w:r w:rsidR="004B1F7D">
        <w:t>urther details.</w:t>
      </w:r>
    </w:p>
    <w:p w14:paraId="446CE192" w14:textId="0F9C6AD4" w:rsidR="00E84E83" w:rsidDel="008E37E9" w:rsidRDefault="00E84E83" w:rsidP="00E84E83">
      <w:pPr>
        <w:pStyle w:val="Body"/>
      </w:pPr>
      <w:r w:rsidDel="00CC046E">
        <w:t xml:space="preserve">Small Rural Health Services that provide </w:t>
      </w:r>
      <w:r w:rsidDel="008E37E9">
        <w:t xml:space="preserve">PSRACS </w:t>
      </w:r>
      <w:r>
        <w:t xml:space="preserve">have different </w:t>
      </w:r>
      <w:r w:rsidDel="008E37E9">
        <w:t>activity numbers and performance outputs</w:t>
      </w:r>
      <w:r>
        <w:t xml:space="preserve">, see </w:t>
      </w:r>
      <w:r w:rsidR="004D380E">
        <w:fldChar w:fldCharType="begin"/>
      </w:r>
      <w:r w:rsidR="004D380E">
        <w:instrText xml:space="preserve"> REF _Ref199253880 \h </w:instrText>
      </w:r>
      <w:r w:rsidR="004D380E">
        <w:fldChar w:fldCharType="separate"/>
      </w:r>
      <w:r w:rsidR="007D262B" w:rsidRPr="00A97999">
        <w:t xml:space="preserve">Table </w:t>
      </w:r>
      <w:r w:rsidR="007D262B">
        <w:t>1</w:t>
      </w:r>
      <w:r w:rsidR="007D262B" w:rsidRPr="00A97999">
        <w:t>.</w:t>
      </w:r>
      <w:r w:rsidR="007D262B">
        <w:rPr>
          <w:noProof/>
        </w:rPr>
        <w:t>23</w:t>
      </w:r>
      <w:r w:rsidR="007D262B" w:rsidRPr="00A97999">
        <w:t xml:space="preserve">: Small rural </w:t>
      </w:r>
      <w:r w:rsidR="007D262B" w:rsidRPr="00745A84">
        <w:t>health</w:t>
      </w:r>
      <w:r w:rsidR="007D262B" w:rsidRPr="00A97999">
        <w:t xml:space="preserve"> services – outputs and activities 202</w:t>
      </w:r>
      <w:r w:rsidR="007D262B">
        <w:t>5</w:t>
      </w:r>
      <w:r w:rsidR="007D262B" w:rsidRPr="00A97999">
        <w:t>–2</w:t>
      </w:r>
      <w:r w:rsidR="007D262B">
        <w:t>6</w:t>
      </w:r>
      <w:r w:rsidR="004D380E">
        <w:fldChar w:fldCharType="end"/>
      </w:r>
      <w:r w:rsidR="004D380E">
        <w:t>.</w:t>
      </w:r>
    </w:p>
    <w:p w14:paraId="66D3977F" w14:textId="77777777" w:rsidR="002B0994" w:rsidRDefault="00D61681" w:rsidP="0016408A">
      <w:pPr>
        <w:pStyle w:val="Body"/>
      </w:pPr>
      <w:r w:rsidRPr="00D61681">
        <w:lastRenderedPageBreak/>
        <w:t xml:space="preserve">The Australian Government has the primary responsibility for funding and regulating residential aged care services under the </w:t>
      </w:r>
      <w:r w:rsidRPr="00D61681">
        <w:rPr>
          <w:i/>
          <w:iCs/>
        </w:rPr>
        <w:t>Aged Care Act</w:t>
      </w:r>
      <w:r w:rsidRPr="00C0747D">
        <w:rPr>
          <w:i/>
        </w:rPr>
        <w:t xml:space="preserve"> 2024.</w:t>
      </w:r>
      <w:r w:rsidRPr="00D61681">
        <w:t xml:space="preserve"> </w:t>
      </w:r>
    </w:p>
    <w:p w14:paraId="5364F47D" w14:textId="27DD0C50" w:rsidR="002B0994" w:rsidRDefault="00D61681" w:rsidP="0016408A">
      <w:pPr>
        <w:pStyle w:val="Body"/>
      </w:pPr>
      <w:r w:rsidRPr="00D61681">
        <w:t>In accordance with this legislation, all Victorian PSRACS</w:t>
      </w:r>
      <w:r w:rsidR="002B0994">
        <w:t xml:space="preserve"> must </w:t>
      </w:r>
      <w:r w:rsidRPr="00D61681">
        <w:t xml:space="preserve">comply with minimum aged care quality and safety standards to </w:t>
      </w:r>
      <w:r w:rsidRPr="00C0747D">
        <w:t xml:space="preserve">maintain their registration with the </w:t>
      </w:r>
      <w:r w:rsidRPr="00D61681">
        <w:t xml:space="preserve">Commonwealth. </w:t>
      </w:r>
    </w:p>
    <w:p w14:paraId="5D0164FD" w14:textId="664CD641" w:rsidR="00497A6B" w:rsidRDefault="002B0994" w:rsidP="0016408A">
      <w:pPr>
        <w:pStyle w:val="Body"/>
      </w:pPr>
      <w:r>
        <w:t>The</w:t>
      </w:r>
      <w:r w:rsidRPr="00D61681">
        <w:t xml:space="preserve"> Aged Care Quality and Safety Commission </w:t>
      </w:r>
      <w:r>
        <w:t>undertakes</w:t>
      </w:r>
      <w:r w:rsidRPr="00D61681">
        <w:t xml:space="preserve"> </w:t>
      </w:r>
      <w:r w:rsidR="00D61681" w:rsidRPr="00D61681">
        <w:t xml:space="preserve">monitoring, assessment and accreditation of residential aged care services against </w:t>
      </w:r>
      <w:r>
        <w:t>these standards</w:t>
      </w:r>
      <w:r w:rsidR="00D61681">
        <w:t xml:space="preserve">. </w:t>
      </w:r>
    </w:p>
    <w:p w14:paraId="3FC2F118" w14:textId="6D5D9AB4" w:rsidR="004C2BAB" w:rsidRDefault="004C2BAB" w:rsidP="002A5EBA">
      <w:pPr>
        <w:pStyle w:val="Heading3"/>
      </w:pPr>
      <w:r>
        <w:t>Home and Community Care Program for Younger People</w:t>
      </w:r>
    </w:p>
    <w:p w14:paraId="68CD09BE" w14:textId="77777777" w:rsidR="004C2BAB" w:rsidRPr="002A5EBA" w:rsidRDefault="004C2BAB" w:rsidP="002A5EBA">
      <w:pPr>
        <w:pStyle w:val="Body"/>
      </w:pPr>
      <w:r w:rsidRPr="004C2BAB">
        <w:t>The Home and Community Care Program for Younger People (HACC-PYP) is for people aged from birth to 65 years (and Aboriginal people from birth to 50 years) who need assistance with daily activities due to chronic illness, mental health issues, disability or other conditions.</w:t>
      </w:r>
    </w:p>
    <w:p w14:paraId="7CE674F8" w14:textId="6B753220" w:rsidR="004C2BAB" w:rsidRPr="004C2BAB" w:rsidRDefault="004C2BAB" w:rsidP="002A5EBA">
      <w:pPr>
        <w:pStyle w:val="Body"/>
      </w:pPr>
      <w:r w:rsidRPr="004C2BAB">
        <w:t>HACC-PYP is activity-based funded on various service activity measures and prices</w:t>
      </w:r>
      <w:r w:rsidRPr="007A0171">
        <w:t>. Refer to sections</w:t>
      </w:r>
      <w:r w:rsidR="007A0171" w:rsidRPr="007A0171">
        <w:t xml:space="preserve"> </w:t>
      </w:r>
      <w:r w:rsidR="007A0171" w:rsidRPr="007A0171">
        <w:fldChar w:fldCharType="begin"/>
      </w:r>
      <w:r w:rsidR="007A0171" w:rsidRPr="007A0171">
        <w:instrText xml:space="preserve"> REF _Ref199254073 \r \h </w:instrText>
      </w:r>
      <w:r w:rsidR="007A0171">
        <w:instrText xml:space="preserve"> \* MERGEFORMAT </w:instrText>
      </w:r>
      <w:r w:rsidR="007A0171" w:rsidRPr="007A0171">
        <w:fldChar w:fldCharType="separate"/>
      </w:r>
      <w:r w:rsidR="007D262B">
        <w:t>12.5</w:t>
      </w:r>
      <w:r w:rsidR="007A0171" w:rsidRPr="007A0171">
        <w:fldChar w:fldCharType="end"/>
      </w:r>
      <w:r w:rsidR="007A0171" w:rsidRPr="007A0171">
        <w:t xml:space="preserve"> and </w:t>
      </w:r>
      <w:r w:rsidR="007A0171" w:rsidRPr="007A0171">
        <w:fldChar w:fldCharType="begin"/>
      </w:r>
      <w:r w:rsidR="007A0171" w:rsidRPr="007A0171">
        <w:instrText xml:space="preserve"> REF _Ref199254075 \r \h </w:instrText>
      </w:r>
      <w:r w:rsidR="007A0171">
        <w:instrText xml:space="preserve"> \* MERGEFORMAT </w:instrText>
      </w:r>
      <w:r w:rsidR="007A0171" w:rsidRPr="007A0171">
        <w:fldChar w:fldCharType="separate"/>
      </w:r>
      <w:r w:rsidR="007D262B">
        <w:t>12.6</w:t>
      </w:r>
      <w:r w:rsidR="007A0171" w:rsidRPr="007A0171">
        <w:fldChar w:fldCharType="end"/>
      </w:r>
      <w:r w:rsidRPr="007A0171">
        <w:t>.</w:t>
      </w:r>
    </w:p>
    <w:p w14:paraId="302243CF" w14:textId="6F7995C3" w:rsidR="004C2BAB" w:rsidRPr="004C2BAB" w:rsidRDefault="00B66719" w:rsidP="002A5EBA">
      <w:pPr>
        <w:pStyle w:val="Body"/>
      </w:pPr>
      <w:r>
        <w:t>Find out more about the program</w:t>
      </w:r>
      <w:r w:rsidR="004C2BAB" w:rsidRPr="004C2BAB">
        <w:t xml:space="preserve"> in the </w:t>
      </w:r>
      <w:hyperlink r:id="rId44" w:history="1">
        <w:r w:rsidR="004C2BAB" w:rsidRPr="002A5EBA">
          <w:rPr>
            <w:rStyle w:val="Hyperlink"/>
            <w:i/>
            <w:iCs/>
          </w:rPr>
          <w:t>HACC</w:t>
        </w:r>
        <w:r w:rsidRPr="00B66719">
          <w:rPr>
            <w:rStyle w:val="Hyperlink"/>
            <w:i/>
            <w:iCs/>
          </w:rPr>
          <w:t>-</w:t>
        </w:r>
        <w:r w:rsidR="004C2BAB" w:rsidRPr="002A5EBA">
          <w:rPr>
            <w:rStyle w:val="Hyperlink"/>
            <w:i/>
            <w:iCs/>
          </w:rPr>
          <w:t xml:space="preserve">PYP </w:t>
        </w:r>
        <w:r w:rsidRPr="00B66719">
          <w:rPr>
            <w:rStyle w:val="Hyperlink"/>
            <w:i/>
            <w:iCs/>
          </w:rPr>
          <w:t>i</w:t>
        </w:r>
        <w:r w:rsidRPr="002A5EBA">
          <w:rPr>
            <w:rStyle w:val="Hyperlink"/>
            <w:i/>
            <w:iCs/>
          </w:rPr>
          <w:t xml:space="preserve">nterim </w:t>
        </w:r>
        <w:r w:rsidRPr="00B66719">
          <w:rPr>
            <w:rStyle w:val="Hyperlink"/>
            <w:i/>
            <w:iCs/>
          </w:rPr>
          <w:t>g</w:t>
        </w:r>
        <w:r w:rsidRPr="002A5EBA">
          <w:rPr>
            <w:rStyle w:val="Hyperlink"/>
            <w:i/>
            <w:iCs/>
          </w:rPr>
          <w:t>uidelines</w:t>
        </w:r>
      </w:hyperlink>
      <w:r>
        <w:rPr>
          <w:i/>
          <w:iCs/>
        </w:rPr>
        <w:t xml:space="preserve"> &lt;</w:t>
      </w:r>
      <w:r w:rsidRPr="002A5EBA">
        <w:t>https://www.health.vic.gov.au/sites/default/files/2023-11/hacc-pyp-interim-guidelines.docx.docx</w:t>
      </w:r>
      <w:r>
        <w:t>&gt;.</w:t>
      </w:r>
    </w:p>
    <w:p w14:paraId="304640FF" w14:textId="3493102A" w:rsidR="005B699B" w:rsidRDefault="005B699B" w:rsidP="00B448AC">
      <w:pPr>
        <w:pStyle w:val="Heading2"/>
        <w:numPr>
          <w:ilvl w:val="1"/>
          <w:numId w:val="12"/>
        </w:numPr>
        <w:ind w:left="709" w:hanging="709"/>
      </w:pPr>
      <w:bookmarkStart w:id="1593" w:name="_Toc199184874"/>
      <w:bookmarkStart w:id="1594" w:name="_Toc197452713"/>
      <w:bookmarkStart w:id="1595" w:name="_Toc197452714"/>
      <w:bookmarkStart w:id="1596" w:name="_Toc197452715"/>
      <w:bookmarkStart w:id="1597" w:name="_Toc197452716"/>
      <w:bookmarkStart w:id="1598" w:name="_Toc197452717"/>
      <w:bookmarkStart w:id="1599" w:name="_Toc197452718"/>
      <w:bookmarkStart w:id="1600" w:name="_Toc197452719"/>
      <w:bookmarkStart w:id="1601" w:name="_Toc197452720"/>
      <w:bookmarkStart w:id="1602" w:name="_Toc197452721"/>
      <w:bookmarkStart w:id="1603" w:name="_Toc197452722"/>
      <w:bookmarkStart w:id="1604" w:name="_Toc418694932"/>
      <w:bookmarkStart w:id="1605" w:name="_Toc6215580"/>
      <w:bookmarkStart w:id="1606" w:name="_Toc10199653"/>
      <w:bookmarkStart w:id="1607" w:name="_Toc52892552"/>
      <w:bookmarkStart w:id="1608" w:name="_Toc100263271"/>
      <w:bookmarkStart w:id="1609" w:name="_Toc165961804"/>
      <w:bookmarkStart w:id="1610" w:name="_Ref200008179"/>
      <w:bookmarkStart w:id="1611" w:name="_Ref200008204"/>
      <w:bookmarkStart w:id="1612" w:name="_Toc201148236"/>
      <w:bookmarkEnd w:id="1593"/>
      <w:bookmarkEnd w:id="1594"/>
      <w:bookmarkEnd w:id="1595"/>
      <w:bookmarkEnd w:id="1596"/>
      <w:bookmarkEnd w:id="1597"/>
      <w:bookmarkEnd w:id="1598"/>
      <w:bookmarkEnd w:id="1599"/>
      <w:bookmarkEnd w:id="1600"/>
      <w:bookmarkEnd w:id="1601"/>
      <w:bookmarkEnd w:id="1602"/>
      <w:bookmarkEnd w:id="1603"/>
      <w:r>
        <w:t xml:space="preserve">Transition Care </w:t>
      </w:r>
      <w:r w:rsidRPr="00452A6F">
        <w:t>Program</w:t>
      </w:r>
      <w:bookmarkEnd w:id="1604"/>
      <w:bookmarkEnd w:id="1605"/>
      <w:bookmarkEnd w:id="1606"/>
      <w:bookmarkEnd w:id="1607"/>
      <w:bookmarkEnd w:id="1608"/>
      <w:bookmarkEnd w:id="1609"/>
      <w:bookmarkEnd w:id="1610"/>
      <w:bookmarkEnd w:id="1611"/>
      <w:bookmarkEnd w:id="1612"/>
      <w:r w:rsidR="00D60177">
        <w:t xml:space="preserve"> </w:t>
      </w:r>
    </w:p>
    <w:p w14:paraId="773926B5" w14:textId="6B1DEE18" w:rsidR="002B0994" w:rsidRDefault="005B699B" w:rsidP="00194957">
      <w:pPr>
        <w:pStyle w:val="Body"/>
      </w:pPr>
      <w:r>
        <w:t xml:space="preserve">The Transition Care </w:t>
      </w:r>
      <w:r w:rsidRPr="00B320DF">
        <w:t xml:space="preserve">Program </w:t>
      </w:r>
      <w:r>
        <w:t xml:space="preserve">(TCP) </w:t>
      </w:r>
      <w:r w:rsidRPr="00B320DF">
        <w:t xml:space="preserve">is a national </w:t>
      </w:r>
      <w:r w:rsidR="00BC1F4A">
        <w:t>s</w:t>
      </w:r>
      <w:r w:rsidRPr="00B320DF">
        <w:t>p</w:t>
      </w:r>
      <w:r w:rsidR="00BC1F4A">
        <w:t xml:space="preserve">ecialist </w:t>
      </w:r>
      <w:r w:rsidR="00F038B8">
        <w:t>aged care p</w:t>
      </w:r>
      <w:r w:rsidRPr="00B320DF">
        <w:t xml:space="preserve">rogram </w:t>
      </w:r>
      <w:r w:rsidR="00C14C64">
        <w:t>jointly</w:t>
      </w:r>
      <w:r w:rsidRPr="00B320DF">
        <w:t xml:space="preserve"> funded by</w:t>
      </w:r>
      <w:r>
        <w:t xml:space="preserve"> the Commonwealth</w:t>
      </w:r>
      <w:r w:rsidR="00452A6F">
        <w:t xml:space="preserve"> and </w:t>
      </w:r>
      <w:r>
        <w:t xml:space="preserve">state and territory governments through per diem contributions. </w:t>
      </w:r>
      <w:r w:rsidR="00C14C64">
        <w:t>The Commonwealth is implementing n</w:t>
      </w:r>
      <w:r w:rsidR="00317D98">
        <w:t>a</w:t>
      </w:r>
      <w:r w:rsidR="00C14C64">
        <w:t>tional aged care reforms in 2025</w:t>
      </w:r>
      <w:r w:rsidR="002B0994">
        <w:t>–</w:t>
      </w:r>
      <w:r w:rsidR="00C14C64">
        <w:t xml:space="preserve">26. </w:t>
      </w:r>
    </w:p>
    <w:p w14:paraId="320F1115" w14:textId="7644101E" w:rsidR="00194957" w:rsidRDefault="00C14C64" w:rsidP="00194957">
      <w:pPr>
        <w:pStyle w:val="Body"/>
      </w:pPr>
      <w:r>
        <w:t>The program is</w:t>
      </w:r>
      <w:r w:rsidR="005B699B">
        <w:t xml:space="preserve"> legislated by the </w:t>
      </w:r>
      <w:r w:rsidR="005B699B" w:rsidRPr="003A6919">
        <w:rPr>
          <w:i/>
        </w:rPr>
        <w:t xml:space="preserve">Aged Care Act </w:t>
      </w:r>
      <w:r>
        <w:rPr>
          <w:i/>
        </w:rPr>
        <w:t>2024</w:t>
      </w:r>
      <w:r w:rsidR="005B699B">
        <w:t xml:space="preserve"> and the Aged Care </w:t>
      </w:r>
      <w:r w:rsidR="002E472F">
        <w:t>Rules</w:t>
      </w:r>
      <w:r w:rsidR="005B699B">
        <w:t xml:space="preserve"> made under that Act. The </w:t>
      </w:r>
      <w:r w:rsidR="005B699B" w:rsidRPr="003A6919">
        <w:rPr>
          <w:i/>
        </w:rPr>
        <w:t xml:space="preserve">Transition Care Program </w:t>
      </w:r>
      <w:r w:rsidR="005B699B">
        <w:rPr>
          <w:i/>
        </w:rPr>
        <w:t>g</w:t>
      </w:r>
      <w:r w:rsidR="005B699B" w:rsidRPr="003A6919">
        <w:rPr>
          <w:i/>
        </w:rPr>
        <w:t>uidelines</w:t>
      </w:r>
      <w:r w:rsidR="005B699B">
        <w:t xml:space="preserve"> </w:t>
      </w:r>
      <w:r w:rsidR="005B699B" w:rsidRPr="614CCFA5">
        <w:rPr>
          <w:i/>
          <w:iCs/>
        </w:rPr>
        <w:t>2022</w:t>
      </w:r>
      <w:r w:rsidR="005B699B">
        <w:t xml:space="preserve"> govern the program.</w:t>
      </w:r>
      <w:r w:rsidR="00194957">
        <w:t xml:space="preserve"> Health services receiving funding from the Commonwealth and state to provide TCP must be a registered provider of aged care services.</w:t>
      </w:r>
    </w:p>
    <w:p w14:paraId="3AF9D690" w14:textId="77777777" w:rsidR="00C32701" w:rsidRDefault="00194957" w:rsidP="005B699B">
      <w:pPr>
        <w:pStyle w:val="Body"/>
        <w:rPr>
          <w:rFonts w:eastAsia="Arial" w:cs="Arial"/>
          <w:szCs w:val="21"/>
        </w:rPr>
      </w:pPr>
      <w:r w:rsidRPr="000C025D">
        <w:rPr>
          <w:rFonts w:eastAsia="Arial" w:cs="Arial"/>
          <w:szCs w:val="21"/>
        </w:rPr>
        <w:t xml:space="preserve">As a specialist aged care program, places are allocated by the Commonwealth through state and territory governments, rather than direct to individuals. </w:t>
      </w:r>
    </w:p>
    <w:p w14:paraId="5DF386A9" w14:textId="0B724E4A" w:rsidR="00C32701" w:rsidRDefault="00194957" w:rsidP="005B699B">
      <w:pPr>
        <w:pStyle w:val="Body"/>
        <w:rPr>
          <w:rFonts w:eastAsia="Arial" w:cs="Arial"/>
          <w:szCs w:val="21"/>
        </w:rPr>
      </w:pPr>
      <w:r w:rsidRPr="000C025D">
        <w:rPr>
          <w:rFonts w:eastAsia="Arial" w:cs="Arial"/>
          <w:szCs w:val="21"/>
        </w:rPr>
        <w:t xml:space="preserve">Health services must notify the department if they wish to change their TCP service model. This includes changes to the number of allocated TCP places and their operational location. </w:t>
      </w:r>
    </w:p>
    <w:p w14:paraId="123853A0" w14:textId="014562FF" w:rsidR="005B699B" w:rsidRDefault="00194957" w:rsidP="005B699B">
      <w:pPr>
        <w:pStyle w:val="Body"/>
      </w:pPr>
      <w:r w:rsidRPr="000C025D">
        <w:rPr>
          <w:rFonts w:eastAsia="Arial" w:cs="Arial"/>
          <w:szCs w:val="21"/>
        </w:rPr>
        <w:t>Where funding is affected by service changes, the service must seek the department’s agreement on the effective date and any associated funding adjustments.</w:t>
      </w:r>
    </w:p>
    <w:p w14:paraId="15ECE490" w14:textId="17D1F9B2" w:rsidR="005B699B" w:rsidRDefault="005B699B" w:rsidP="005B699B">
      <w:pPr>
        <w:pStyle w:val="Body"/>
      </w:pPr>
      <w:r>
        <w:t>Commonwealth</w:t>
      </w:r>
      <w:r w:rsidDel="00452A6F">
        <w:t xml:space="preserve"> </w:t>
      </w:r>
      <w:r>
        <w:t>subsidies are provided directly to health services by Services Australia (Medicare). These are paid on a monthly advance and acquittal basis for occupied places. Health services are required to submit a monthly claim form directly to Medicare for payment.</w:t>
      </w:r>
    </w:p>
    <w:p w14:paraId="77BDCFAD" w14:textId="12C5FE5F" w:rsidR="00732D5E" w:rsidRDefault="005B699B" w:rsidP="005B699B">
      <w:pPr>
        <w:pStyle w:val="Body"/>
      </w:pPr>
      <w:r>
        <w:t>Commonwealth subsidies are paid for up to 12 weeks</w:t>
      </w:r>
      <w:r w:rsidR="00194957">
        <w:t xml:space="preserve"> for each client</w:t>
      </w:r>
      <w:r w:rsidR="00452A6F">
        <w:t>,</w:t>
      </w:r>
      <w:r>
        <w:t xml:space="preserve"> with an option for a single extension of up to </w:t>
      </w:r>
      <w:r w:rsidR="007D775F">
        <w:t>6</w:t>
      </w:r>
      <w:r>
        <w:t xml:space="preserve"> weeks where appropriate and with prior approval </w:t>
      </w:r>
      <w:r w:rsidR="00F1762A">
        <w:t>following an</w:t>
      </w:r>
      <w:r>
        <w:t xml:space="preserve"> Aged Care Assessment Service (ACA</w:t>
      </w:r>
      <w:r w:rsidDel="00452A6F">
        <w:t>)</w:t>
      </w:r>
      <w:r w:rsidR="00403750">
        <w:t>.</w:t>
      </w:r>
    </w:p>
    <w:p w14:paraId="3C092E12" w14:textId="5D0108C2" w:rsidR="005B699B" w:rsidRDefault="00732D5E" w:rsidP="005B699B">
      <w:pPr>
        <w:pStyle w:val="Body"/>
      </w:pPr>
      <w:r>
        <w:t xml:space="preserve">Claimed subsidies cannot </w:t>
      </w:r>
      <w:r w:rsidR="003335AB">
        <w:t>e</w:t>
      </w:r>
      <w:r>
        <w:t>xceed</w:t>
      </w:r>
      <w:r w:rsidR="005B699B">
        <w:t xml:space="preserve"> the maximum number of approved TCP places at each health service.</w:t>
      </w:r>
    </w:p>
    <w:p w14:paraId="47394680" w14:textId="50BC3337" w:rsidR="005B699B" w:rsidRDefault="00345F09" w:rsidP="005B699B">
      <w:pPr>
        <w:pStyle w:val="Body"/>
      </w:pPr>
      <w:r>
        <w:t xml:space="preserve">A </w:t>
      </w:r>
      <w:r w:rsidR="005B699B">
        <w:t>health service that support</w:t>
      </w:r>
      <w:r>
        <w:t>s</w:t>
      </w:r>
      <w:r w:rsidR="005B699B">
        <w:t xml:space="preserve"> clients beyond their maximum permitted stay on the program (that is, 18 weeks where a </w:t>
      </w:r>
      <w:r w:rsidR="00C32701">
        <w:t>6</w:t>
      </w:r>
      <w:r w:rsidR="005B699B">
        <w:t xml:space="preserve">-week extension has been approved by </w:t>
      </w:r>
      <w:r>
        <w:t xml:space="preserve">an </w:t>
      </w:r>
      <w:r w:rsidR="005B699B">
        <w:t>ACA)</w:t>
      </w:r>
      <w:r w:rsidR="00FA7E06">
        <w:t xml:space="preserve"> will not receive Commonwealth or state funding. </w:t>
      </w:r>
      <w:r w:rsidR="005B699B">
        <w:t xml:space="preserve">Any potential discharge challenges should be known prior to this time to achieve a safe </w:t>
      </w:r>
      <w:r w:rsidR="00354FF3">
        <w:t>and timely</w:t>
      </w:r>
      <w:r w:rsidR="005B699B">
        <w:t xml:space="preserve"> discharge for the client.</w:t>
      </w:r>
    </w:p>
    <w:p w14:paraId="4728B07A" w14:textId="77777777" w:rsidR="00C32701" w:rsidRDefault="00354FF3" w:rsidP="005B699B">
      <w:pPr>
        <w:pStyle w:val="Body"/>
      </w:pPr>
      <w:r>
        <w:lastRenderedPageBreak/>
        <w:t>Basic</w:t>
      </w:r>
      <w:r w:rsidR="00E423E2">
        <w:t xml:space="preserve"> d</w:t>
      </w:r>
      <w:r w:rsidR="005B699B">
        <w:t xml:space="preserve">aily care fees </w:t>
      </w:r>
      <w:r w:rsidR="002D2E6A">
        <w:t xml:space="preserve">received </w:t>
      </w:r>
      <w:r w:rsidR="001A6C65">
        <w:t xml:space="preserve">from </w:t>
      </w:r>
      <w:r w:rsidR="005B699B">
        <w:t xml:space="preserve">TCP recipients are determined by the Commonwealth under the </w:t>
      </w:r>
      <w:r w:rsidR="005B699B" w:rsidRPr="00F91AB2">
        <w:rPr>
          <w:i/>
        </w:rPr>
        <w:t>Aged Care Act</w:t>
      </w:r>
      <w:r w:rsidR="005B699B" w:rsidRPr="00D6527A">
        <w:rPr>
          <w:i/>
        </w:rPr>
        <w:t xml:space="preserve"> </w:t>
      </w:r>
      <w:r w:rsidR="001A6C65">
        <w:rPr>
          <w:i/>
        </w:rPr>
        <w:t>2024</w:t>
      </w:r>
      <w:r w:rsidR="005B699B">
        <w:t xml:space="preserve">. Maximum care fee charges must not exceed 85% of the basic single age pension for care delivered in a bed-based setting and 17.5% of the basic single age pension for care delivered in a home-based setting. </w:t>
      </w:r>
    </w:p>
    <w:p w14:paraId="7B526DCB" w14:textId="3706D4E7" w:rsidR="005B699B" w:rsidRDefault="00C32701" w:rsidP="002A5EBA">
      <w:pPr>
        <w:pStyle w:val="Body"/>
        <w:keepNext/>
        <w:keepLines/>
      </w:pPr>
      <w:r>
        <w:t xml:space="preserve">These </w:t>
      </w:r>
      <w:r w:rsidR="005B699B">
        <w:t>fees are adjusted twice yearly (March and September) in line with the consumer price index, which also affects the age pension payment.</w:t>
      </w:r>
    </w:p>
    <w:p w14:paraId="766C9D3E" w14:textId="77777777" w:rsidR="00C32701" w:rsidRDefault="005B699B" w:rsidP="002A5EBA">
      <w:pPr>
        <w:pStyle w:val="Body"/>
        <w:keepNext/>
        <w:keepLines/>
      </w:pPr>
      <w:r>
        <w:t xml:space="preserve">All TCP </w:t>
      </w:r>
      <w:r w:rsidR="00841ADD">
        <w:t xml:space="preserve">ACA </w:t>
      </w:r>
      <w:r w:rsidR="00E078F8">
        <w:t xml:space="preserve">approvals will need to </w:t>
      </w:r>
      <w:r w:rsidR="00BD4966">
        <w:t>be</w:t>
      </w:r>
      <w:r>
        <w:t xml:space="preserve"> received via the My Aged Care provider portal.</w:t>
      </w:r>
    </w:p>
    <w:p w14:paraId="4DEC18E5" w14:textId="5E264E6F" w:rsidR="00C32701" w:rsidRDefault="005B699B" w:rsidP="002A5EBA">
      <w:pPr>
        <w:pStyle w:val="Body"/>
        <w:keepNext/>
        <w:keepLines/>
      </w:pPr>
      <w:r>
        <w:t xml:space="preserve">Program staff must ensure that clients have current approvals to avoid loss of the Commonwealth subsidy component for episodes of care. </w:t>
      </w:r>
    </w:p>
    <w:p w14:paraId="6D7F8AA5" w14:textId="10EC224A" w:rsidR="005B699B" w:rsidRDefault="005B699B" w:rsidP="002A5EBA">
      <w:pPr>
        <w:pStyle w:val="Body"/>
        <w:keepNext/>
        <w:keepLines/>
      </w:pPr>
      <w:r>
        <w:t xml:space="preserve">Approvals can be verified with </w:t>
      </w:r>
      <w:r w:rsidR="00BD4966">
        <w:t xml:space="preserve">an </w:t>
      </w:r>
      <w:r>
        <w:t xml:space="preserve">ACA </w:t>
      </w:r>
      <w:r w:rsidR="00BD4966">
        <w:t>service</w:t>
      </w:r>
      <w:r>
        <w:t xml:space="preserve"> or online with Medicare.</w:t>
      </w:r>
    </w:p>
    <w:p w14:paraId="3794C6D2" w14:textId="4619966C" w:rsidR="005B699B" w:rsidRDefault="0059590E" w:rsidP="00C63A1A">
      <w:pPr>
        <w:pStyle w:val="Heading1"/>
        <w:numPr>
          <w:ilvl w:val="0"/>
          <w:numId w:val="12"/>
        </w:numPr>
        <w:ind w:left="709" w:hanging="709"/>
      </w:pPr>
      <w:bookmarkStart w:id="1613" w:name="_Toc164262523"/>
      <w:bookmarkStart w:id="1614" w:name="_Toc164262858"/>
      <w:bookmarkStart w:id="1615" w:name="_Toc164262524"/>
      <w:bookmarkStart w:id="1616" w:name="_Toc164262859"/>
      <w:bookmarkStart w:id="1617" w:name="_Toc164262525"/>
      <w:bookmarkStart w:id="1618" w:name="_Toc164262860"/>
      <w:bookmarkStart w:id="1619" w:name="_Toc164262526"/>
      <w:bookmarkStart w:id="1620" w:name="_Toc164262861"/>
      <w:bookmarkStart w:id="1621" w:name="_Toc164262527"/>
      <w:bookmarkStart w:id="1622" w:name="_Toc164262862"/>
      <w:bookmarkStart w:id="1623" w:name="_Toc164262528"/>
      <w:bookmarkStart w:id="1624" w:name="_Toc164262863"/>
      <w:bookmarkStart w:id="1625" w:name="_Toc164262529"/>
      <w:bookmarkStart w:id="1626" w:name="_Toc164262864"/>
      <w:bookmarkStart w:id="1627" w:name="_Toc164262531"/>
      <w:bookmarkStart w:id="1628" w:name="_Toc164262866"/>
      <w:bookmarkStart w:id="1629" w:name="_Toc164262532"/>
      <w:bookmarkStart w:id="1630" w:name="_Toc164262867"/>
      <w:bookmarkStart w:id="1631" w:name="_Toc164262533"/>
      <w:bookmarkStart w:id="1632" w:name="_Toc164262868"/>
      <w:bookmarkStart w:id="1633" w:name="_Toc164262534"/>
      <w:bookmarkStart w:id="1634" w:name="_Toc164262869"/>
      <w:bookmarkStart w:id="1635" w:name="_Toc164262535"/>
      <w:bookmarkStart w:id="1636" w:name="_Toc164262870"/>
      <w:bookmarkStart w:id="1637" w:name="_Toc165961806"/>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br w:type="column"/>
      </w:r>
      <w:bookmarkStart w:id="1638" w:name="_Toc201148237"/>
      <w:r w:rsidR="0069085E">
        <w:lastRenderedPageBreak/>
        <w:t>Compensable, cross</w:t>
      </w:r>
      <w:r w:rsidR="005B699B">
        <w:t xml:space="preserve">-border </w:t>
      </w:r>
      <w:r w:rsidR="009039D3">
        <w:t xml:space="preserve">and prisoner </w:t>
      </w:r>
      <w:r w:rsidR="005B699B">
        <w:t>patients</w:t>
      </w:r>
      <w:bookmarkEnd w:id="1637"/>
      <w:bookmarkEnd w:id="1638"/>
    </w:p>
    <w:p w14:paraId="619C3CC1" w14:textId="6DDEE54F" w:rsidR="005B699B" w:rsidRDefault="005B699B" w:rsidP="00B448AC">
      <w:pPr>
        <w:pStyle w:val="Heading2"/>
        <w:numPr>
          <w:ilvl w:val="1"/>
          <w:numId w:val="12"/>
        </w:numPr>
        <w:ind w:left="709" w:hanging="709"/>
      </w:pPr>
      <w:bookmarkStart w:id="1639" w:name="_Toc165961807"/>
      <w:bookmarkStart w:id="1640" w:name="_Toc201148238"/>
      <w:r>
        <w:t xml:space="preserve">Compensable </w:t>
      </w:r>
      <w:r w:rsidRPr="00CA77C4">
        <w:t>patients</w:t>
      </w:r>
      <w:bookmarkEnd w:id="1639"/>
      <w:bookmarkEnd w:id="1640"/>
      <w:r w:rsidR="006D7D16">
        <w:t xml:space="preserve"> </w:t>
      </w:r>
    </w:p>
    <w:p w14:paraId="41D3A97B" w14:textId="627A09FE" w:rsidR="005B699B" w:rsidRDefault="005B699B" w:rsidP="004537E5">
      <w:pPr>
        <w:pStyle w:val="Heading3"/>
        <w:numPr>
          <w:ilvl w:val="2"/>
          <w:numId w:val="12"/>
        </w:numPr>
      </w:pPr>
      <w:r w:rsidRPr="00361A32">
        <w:t>Department</w:t>
      </w:r>
      <w:r w:rsidRPr="001E7F44">
        <w:t xml:space="preserve"> of Veterans’ </w:t>
      </w:r>
      <w:r>
        <w:t>Affairs</w:t>
      </w:r>
    </w:p>
    <w:p w14:paraId="746AC923" w14:textId="78F6C3EB" w:rsidR="00C32701" w:rsidRDefault="00974128" w:rsidP="00974128">
      <w:pPr>
        <w:pStyle w:val="Body"/>
        <w:rPr>
          <w:color w:val="000000" w:themeColor="text1"/>
        </w:rPr>
      </w:pPr>
      <w:r w:rsidRPr="00207454">
        <w:rPr>
          <w:color w:val="000000" w:themeColor="text1"/>
        </w:rPr>
        <w:t>The Commonwealth Department of Veterans’ Affairs (DVA) pays for public hospital services for entitled persons only as per the Hospital Services Arrangement between the Commonwealth of Australia, the Repatriation Commission, the Military Rehabilitation and Compensation Commission and the State of Victoria.</w:t>
      </w:r>
    </w:p>
    <w:p w14:paraId="7FF7A368" w14:textId="2DC6F553" w:rsidR="00974128" w:rsidRPr="00207454" w:rsidRDefault="00974128" w:rsidP="00974128">
      <w:pPr>
        <w:pStyle w:val="Body"/>
        <w:rPr>
          <w:color w:val="000000" w:themeColor="text1"/>
        </w:rPr>
      </w:pPr>
      <w:r w:rsidRPr="00207454">
        <w:rPr>
          <w:color w:val="000000" w:themeColor="text1"/>
        </w:rPr>
        <w:t>The current agreement is in effect from 1 July 2019 to 30 June 2026</w:t>
      </w:r>
      <w:r w:rsidRPr="00207454">
        <w:rPr>
          <w:rStyle w:val="FootnoteReference"/>
          <w:color w:val="000000" w:themeColor="text1"/>
        </w:rPr>
        <w:footnoteReference w:id="3"/>
      </w:r>
      <w:r w:rsidRPr="00207454">
        <w:rPr>
          <w:color w:val="000000" w:themeColor="text1"/>
        </w:rPr>
        <w:t xml:space="preserve"> and sets out arrangements for the provision of hospital services to entitled persons.</w:t>
      </w:r>
    </w:p>
    <w:p w14:paraId="1A076E07" w14:textId="44BE3ACF" w:rsidR="00C32701" w:rsidRDefault="00974128" w:rsidP="00974128">
      <w:pPr>
        <w:pStyle w:val="Body"/>
        <w:rPr>
          <w:color w:val="000000" w:themeColor="text1"/>
        </w:rPr>
      </w:pPr>
      <w:r w:rsidRPr="00207454">
        <w:rPr>
          <w:color w:val="000000" w:themeColor="text1"/>
        </w:rPr>
        <w:t>DVA defines an entitled person as one who has elected to be treated under DVA arrangements and has been issued with a Gold Card, a White Card, an Orange Card (for pharmaceuticals only), or a written authorisation by DVA on behalf of the Military Rehabilitation and Compensation Commission.</w:t>
      </w:r>
    </w:p>
    <w:p w14:paraId="5A44C8F0" w14:textId="50E2DFE1" w:rsidR="00974128" w:rsidRPr="00207454" w:rsidRDefault="00974128" w:rsidP="00974128">
      <w:pPr>
        <w:pStyle w:val="Body"/>
        <w:rPr>
          <w:color w:val="000000" w:themeColor="text1"/>
        </w:rPr>
      </w:pPr>
      <w:r w:rsidRPr="00207454">
        <w:rPr>
          <w:color w:val="000000" w:themeColor="text1"/>
        </w:rPr>
        <w:t>DVA does not pay for hospital services for entitled persons through the Hospital Services Arrangement if the same service, or any part of the same service, is funded through any other DVA or Commonwealth program.</w:t>
      </w:r>
    </w:p>
    <w:p w14:paraId="26AAEAC7" w14:textId="0B6B3FAF" w:rsidR="00A64572" w:rsidRDefault="00974128" w:rsidP="00974128">
      <w:pPr>
        <w:pStyle w:val="Body"/>
      </w:pPr>
      <w:r>
        <w:t xml:space="preserve">DVA payments are based on the IHACPA funding models. Wherever practicable, activity-based funding per the annual IHACPA National Efficient Price Determination is used. </w:t>
      </w:r>
    </w:p>
    <w:p w14:paraId="1BDD7848" w14:textId="6840100D" w:rsidR="00974128" w:rsidRDefault="00A64572" w:rsidP="00974128">
      <w:pPr>
        <w:pStyle w:val="Body"/>
      </w:pPr>
      <w:r>
        <w:t xml:space="preserve">If </w:t>
      </w:r>
      <w:r w:rsidR="00974128">
        <w:t>services or functions are more appropriately funded through block grants, the funding is calculated based on the annual IHACPA National Efficient Cost Determination. Where necessary, m</w:t>
      </w:r>
      <w:r w:rsidR="00974128" w:rsidRPr="00546F54">
        <w:t>odifications</w:t>
      </w:r>
      <w:r w:rsidR="00974128">
        <w:t xml:space="preserve"> are made to the funding </w:t>
      </w:r>
      <w:r w:rsidR="00974128" w:rsidRPr="00546F54">
        <w:t xml:space="preserve">to reflect the contribution that </w:t>
      </w:r>
      <w:r w:rsidR="00974128">
        <w:t>DVA</w:t>
      </w:r>
      <w:r w:rsidR="00974128" w:rsidRPr="00546F54">
        <w:t xml:space="preserve"> makes separately to medical practitioners.</w:t>
      </w:r>
    </w:p>
    <w:p w14:paraId="1A5C1483" w14:textId="7CB4BB5B" w:rsidR="00974128" w:rsidRPr="00207454" w:rsidRDefault="00974128" w:rsidP="00974128">
      <w:pPr>
        <w:pStyle w:val="Body"/>
        <w:rPr>
          <w:color w:val="000000" w:themeColor="text1"/>
        </w:rPr>
      </w:pPr>
      <w:r w:rsidRPr="00207454">
        <w:rPr>
          <w:color w:val="000000" w:themeColor="text1"/>
        </w:rPr>
        <w:t>The scope of public hospital services funded on an activity or block payment basis that are eligible for payment by DVA are:</w:t>
      </w:r>
    </w:p>
    <w:p w14:paraId="598B9B76" w14:textId="2CE46125" w:rsidR="00974128" w:rsidRPr="00207454" w:rsidRDefault="00A64572" w:rsidP="00736CC1">
      <w:pPr>
        <w:pStyle w:val="Bullet1"/>
      </w:pPr>
      <w:r>
        <w:t>a</w:t>
      </w:r>
      <w:r w:rsidRPr="00207454">
        <w:t xml:space="preserve">ll </w:t>
      </w:r>
      <w:r w:rsidR="00974128" w:rsidRPr="00207454">
        <w:t xml:space="preserve">admitted patient treatment, including </w:t>
      </w:r>
      <w:r w:rsidR="00BC1E7E">
        <w:t>h</w:t>
      </w:r>
      <w:r w:rsidR="00BC1E7E" w:rsidRPr="00207454">
        <w:t>ospital</w:t>
      </w:r>
      <w:r w:rsidR="00BC1E7E">
        <w:t>-</w:t>
      </w:r>
      <w:r w:rsidR="00BC1E7E" w:rsidRPr="00207454">
        <w:t>in</w:t>
      </w:r>
      <w:r w:rsidR="00BC1E7E">
        <w:t>-</w:t>
      </w:r>
      <w:r w:rsidR="00BC1E7E" w:rsidRPr="00207454">
        <w:t>the</w:t>
      </w:r>
      <w:r w:rsidR="00BC1E7E">
        <w:t>-h</w:t>
      </w:r>
      <w:r w:rsidR="00BC1E7E" w:rsidRPr="00207454">
        <w:t xml:space="preserve">ome </w:t>
      </w:r>
      <w:r w:rsidR="00974128" w:rsidRPr="00207454">
        <w:t>programs</w:t>
      </w:r>
    </w:p>
    <w:p w14:paraId="5BD7EEB5" w14:textId="3950BA41" w:rsidR="00974128" w:rsidRPr="00207454" w:rsidRDefault="00A64572" w:rsidP="00736CC1">
      <w:pPr>
        <w:pStyle w:val="Bullet1"/>
      </w:pPr>
      <w:r>
        <w:t>a</w:t>
      </w:r>
      <w:r w:rsidRPr="00207454">
        <w:t xml:space="preserve">ll </w:t>
      </w:r>
      <w:r w:rsidR="00974128" w:rsidRPr="00207454">
        <w:t>emergency treatment provided by recognised emergency departments (levels 3B</w:t>
      </w:r>
      <w:r>
        <w:t>–</w:t>
      </w:r>
      <w:r w:rsidR="00974128" w:rsidRPr="00207454">
        <w:t xml:space="preserve">6, per the definition of emergency services for ABF purposes) and emergency services </w:t>
      </w:r>
      <w:r>
        <w:br/>
      </w:r>
      <w:r w:rsidR="00974128" w:rsidRPr="00207454">
        <w:t>(levels 1</w:t>
      </w:r>
      <w:r>
        <w:t>–</w:t>
      </w:r>
      <w:r w:rsidR="00974128" w:rsidRPr="00207454">
        <w:t>3A, per the definition of emergency services for ABF purposes)</w:t>
      </w:r>
    </w:p>
    <w:p w14:paraId="05ED84BA" w14:textId="690612AC" w:rsidR="00974128" w:rsidRPr="00207454" w:rsidRDefault="00A64572" w:rsidP="00736CC1">
      <w:pPr>
        <w:pStyle w:val="Bullet1"/>
      </w:pPr>
      <w:r>
        <w:t>a</w:t>
      </w:r>
      <w:r w:rsidRPr="00207454">
        <w:t xml:space="preserve">ll </w:t>
      </w:r>
      <w:r w:rsidR="00974128" w:rsidRPr="00207454">
        <w:t>non-admitted patient occasions of services that are classified as Tier 2 clinics, noting that in relation to non-admitted specialist consultations and procedures and associated pathology and radiology services, privately referred and privately treated non-admitted entitled persons will continue to be billed separately and paid separately by DVA</w:t>
      </w:r>
    </w:p>
    <w:p w14:paraId="0409876D" w14:textId="29074021" w:rsidR="00974128" w:rsidRPr="00207454" w:rsidRDefault="00A64572" w:rsidP="00736CC1">
      <w:pPr>
        <w:pStyle w:val="Bullet1"/>
      </w:pPr>
      <w:r>
        <w:t>o</w:t>
      </w:r>
      <w:r w:rsidRPr="00207454">
        <w:t xml:space="preserve">ther </w:t>
      </w:r>
      <w:r w:rsidR="00974128" w:rsidRPr="00207454">
        <w:t xml:space="preserve">non-admitted, mental health, subacute services and other services that are relevant to entitled persons and could reasonably be considered a public hospital service in accordance with IHACPA’s ‘General List’ of services eligible for a Commonwealth funding contribution. </w:t>
      </w:r>
    </w:p>
    <w:p w14:paraId="591CDB1D" w14:textId="77777777" w:rsidR="00A64572" w:rsidRDefault="00974128" w:rsidP="00736CC1">
      <w:pPr>
        <w:pStyle w:val="Bodyafterbullets"/>
        <w:rPr>
          <w:color w:val="000000" w:themeColor="text1"/>
        </w:rPr>
      </w:pPr>
      <w:r w:rsidRPr="00207454">
        <w:rPr>
          <w:color w:val="000000" w:themeColor="text1"/>
        </w:rPr>
        <w:lastRenderedPageBreak/>
        <w:t xml:space="preserve">Services paid to </w:t>
      </w:r>
      <w:r w:rsidRPr="00736CC1">
        <w:t>actuals</w:t>
      </w:r>
      <w:r w:rsidRPr="00207454">
        <w:rPr>
          <w:color w:val="000000" w:themeColor="text1"/>
        </w:rPr>
        <w:t xml:space="preserve"> on an activity basis include acute admitted services, subacute services, acute non-admitted services and emergency services. </w:t>
      </w:r>
    </w:p>
    <w:p w14:paraId="7C9D0862" w14:textId="099641EB" w:rsidR="00974128" w:rsidRPr="00207454" w:rsidRDefault="00974128" w:rsidP="00736CC1">
      <w:pPr>
        <w:pStyle w:val="Bodyafterbullets"/>
        <w:rPr>
          <w:color w:val="000000" w:themeColor="text1"/>
        </w:rPr>
      </w:pPr>
      <w:r w:rsidRPr="00207454">
        <w:rPr>
          <w:color w:val="000000" w:themeColor="text1"/>
        </w:rPr>
        <w:t>Block funding is provided for teaching, training and research, non-admitted mental health services, other non-admitted services and emergency departments and non-admitted activity in block</w:t>
      </w:r>
      <w:r w:rsidR="008A5D94">
        <w:rPr>
          <w:color w:val="000000" w:themeColor="text1"/>
        </w:rPr>
        <w:t>-</w:t>
      </w:r>
      <w:r w:rsidRPr="00207454">
        <w:rPr>
          <w:color w:val="000000" w:themeColor="text1"/>
        </w:rPr>
        <w:t>funded hospitals.</w:t>
      </w:r>
    </w:p>
    <w:p w14:paraId="75B75998" w14:textId="77777777" w:rsidR="00974128" w:rsidRPr="00CA77C4" w:rsidRDefault="00974128" w:rsidP="00974128">
      <w:pPr>
        <w:pStyle w:val="Heading4"/>
      </w:pPr>
      <w:r w:rsidRPr="00D17F68">
        <w:t>Eligibility</w:t>
      </w:r>
    </w:p>
    <w:p w14:paraId="15F504BF" w14:textId="5EE221B6" w:rsidR="00974128" w:rsidRDefault="00974128" w:rsidP="00974128">
      <w:pPr>
        <w:pStyle w:val="Body"/>
      </w:pPr>
      <w:r>
        <w:t>Eligible veterans and war widows or widowers have access to a wide range of benefits and services through DVA. These include hospital, medical and allied health services, respite and convalescent care, rehabilitation aids and appliances, and assistance with transport and accommodation.</w:t>
      </w:r>
    </w:p>
    <w:p w14:paraId="73C3D5D8" w14:textId="77777777" w:rsidR="00974128" w:rsidRDefault="00974128" w:rsidP="00A64572">
      <w:pPr>
        <w:pStyle w:val="Body"/>
      </w:pPr>
      <w:r>
        <w:t>Organisations must ensure that patients formally elect to be treated as a veteran at each admission and that they collect and provide to the department the eligible veteran’s name, their DVA unique identifier, their date of birth and their sex. Final payment will only be authorised after the veteran’s eligibility has been confirmed by DVA.</w:t>
      </w:r>
    </w:p>
    <w:p w14:paraId="3AEFC418" w14:textId="646B80CD" w:rsidR="00974128" w:rsidRPr="00ED0D84" w:rsidRDefault="00974128" w:rsidP="00974128">
      <w:pPr>
        <w:pStyle w:val="Body"/>
        <w:rPr>
          <w:color w:val="FF0000"/>
        </w:rPr>
      </w:pPr>
      <w:r w:rsidRPr="005C3642">
        <w:t xml:space="preserve">Eligible veterans will not be covered under the </w:t>
      </w:r>
      <w:r>
        <w:t>DVA</w:t>
      </w:r>
      <w:r w:rsidRPr="005C3642">
        <w:t xml:space="preserve"> arrangement if they</w:t>
      </w:r>
      <w:r w:rsidR="00A64572" w:rsidRPr="002A5EBA">
        <w:t>:</w:t>
      </w:r>
    </w:p>
    <w:p w14:paraId="1B4293AE" w14:textId="77777777" w:rsidR="00974128" w:rsidRPr="00207454" w:rsidRDefault="00974128" w:rsidP="004537E5">
      <w:pPr>
        <w:pStyle w:val="Bullet1"/>
        <w:numPr>
          <w:ilvl w:val="0"/>
          <w:numId w:val="26"/>
        </w:numPr>
        <w:rPr>
          <w:color w:val="000000" w:themeColor="text1"/>
        </w:rPr>
      </w:pPr>
      <w:r w:rsidRPr="00207454">
        <w:rPr>
          <w:color w:val="000000" w:themeColor="text1"/>
        </w:rPr>
        <w:t>do not elect to be treated as an entitled person (as a DVA patient) when receiving a public hospital service</w:t>
      </w:r>
    </w:p>
    <w:p w14:paraId="64282E36" w14:textId="77777777" w:rsidR="00974128" w:rsidRPr="00207454" w:rsidRDefault="00974128" w:rsidP="004537E5">
      <w:pPr>
        <w:pStyle w:val="Bullet1"/>
        <w:numPr>
          <w:ilvl w:val="0"/>
          <w:numId w:val="26"/>
        </w:numPr>
        <w:rPr>
          <w:color w:val="000000" w:themeColor="text1"/>
        </w:rPr>
      </w:pPr>
      <w:r w:rsidRPr="00207454">
        <w:rPr>
          <w:color w:val="000000" w:themeColor="text1"/>
        </w:rPr>
        <w:t>elect to be treated as a public patient under the National Health Reform Agreement (NHRA)</w:t>
      </w:r>
    </w:p>
    <w:p w14:paraId="7481A9B4" w14:textId="77777777" w:rsidR="00974128" w:rsidRPr="00207454" w:rsidRDefault="00974128" w:rsidP="004537E5">
      <w:pPr>
        <w:pStyle w:val="Bullet1"/>
        <w:numPr>
          <w:ilvl w:val="0"/>
          <w:numId w:val="26"/>
        </w:numPr>
        <w:rPr>
          <w:color w:val="000000" w:themeColor="text1"/>
        </w:rPr>
      </w:pPr>
      <w:r w:rsidRPr="00207454">
        <w:rPr>
          <w:color w:val="000000" w:themeColor="text1"/>
        </w:rPr>
        <w:t>are eligible under another category of compensable patient, such as a Transport Accident Commission (TAC) or WorkSafe Victoria</w:t>
      </w:r>
    </w:p>
    <w:p w14:paraId="2D58414C" w14:textId="77777777" w:rsidR="00974128" w:rsidRPr="00207454" w:rsidRDefault="00974128" w:rsidP="004537E5">
      <w:pPr>
        <w:pStyle w:val="Bullet1"/>
        <w:numPr>
          <w:ilvl w:val="0"/>
          <w:numId w:val="26"/>
        </w:numPr>
        <w:rPr>
          <w:color w:val="000000" w:themeColor="text1"/>
        </w:rPr>
      </w:pPr>
      <w:r w:rsidRPr="00207454">
        <w:rPr>
          <w:color w:val="000000" w:themeColor="text1"/>
        </w:rPr>
        <w:t>elect to be treated as a private patient.</w:t>
      </w:r>
    </w:p>
    <w:p w14:paraId="2DCDD175" w14:textId="77777777" w:rsidR="00974128" w:rsidRDefault="00974128" w:rsidP="00974128">
      <w:pPr>
        <w:pStyle w:val="Bodyafterbullets"/>
      </w:pPr>
      <w:r>
        <w:t>Health services will need to retrospectively reclassify patients as public patients if DVA eligibility criteria are not met. They will then need to resubmit the rejected records to the department. The department will not accept any risk for assumed revenue lost because DVA eligibility requirements have not been met.</w:t>
      </w:r>
    </w:p>
    <w:p w14:paraId="4BE94EF8" w14:textId="77777777" w:rsidR="00974128" w:rsidRDefault="00974128" w:rsidP="00974128">
      <w:pPr>
        <w:pStyle w:val="Body"/>
      </w:pPr>
      <w:r>
        <w:t>Experience shows that those health services that actively develop service quality and marketing plans and employ veteran or patient liaison officers are more likely to retain DVA patients.</w:t>
      </w:r>
    </w:p>
    <w:p w14:paraId="50875549" w14:textId="77777777" w:rsidR="00974128" w:rsidRPr="00CA77C4" w:rsidRDefault="00974128" w:rsidP="00974128">
      <w:pPr>
        <w:pStyle w:val="Heading4"/>
      </w:pPr>
      <w:r>
        <w:t>Admission requirements</w:t>
      </w:r>
    </w:p>
    <w:p w14:paraId="72DFBF83" w14:textId="0C79A589" w:rsidR="00974128" w:rsidRDefault="00974128" w:rsidP="00974128">
      <w:pPr>
        <w:pStyle w:val="Body"/>
      </w:pPr>
      <w:r w:rsidRPr="004B0AC8">
        <w:t xml:space="preserve">Within </w:t>
      </w:r>
      <w:r w:rsidR="00A64572">
        <w:t>2</w:t>
      </w:r>
      <w:r w:rsidR="00A64572" w:rsidRPr="004B0AC8">
        <w:t xml:space="preserve"> </w:t>
      </w:r>
      <w:r w:rsidRPr="004B0AC8">
        <w:t xml:space="preserve">days of admission to hospital, health services should complete a </w:t>
      </w:r>
      <w:r>
        <w:t>DVA</w:t>
      </w:r>
      <w:r w:rsidRPr="004B0AC8">
        <w:t xml:space="preserve"> Hospital Admission Voucher (or form </w:t>
      </w:r>
      <w:r>
        <w:t>that</w:t>
      </w:r>
      <w:r w:rsidRPr="004B0AC8">
        <w:t xml:space="preserve"> captures equivalent information) for each admitted </w:t>
      </w:r>
      <w:r>
        <w:t>eligible veteran</w:t>
      </w:r>
      <w:r w:rsidRPr="004B0AC8">
        <w:t xml:space="preserve">. Health services should ensure that the admission of </w:t>
      </w:r>
      <w:r>
        <w:t xml:space="preserve">eligible veterans </w:t>
      </w:r>
      <w:r w:rsidRPr="004B0AC8">
        <w:t>is in accordance with Victoria’s admission policy and other relevant policies and procedures.</w:t>
      </w:r>
    </w:p>
    <w:p w14:paraId="0CC2F74F" w14:textId="77777777" w:rsidR="00974128" w:rsidRPr="00207454" w:rsidRDefault="00974128" w:rsidP="00974128">
      <w:pPr>
        <w:pStyle w:val="Body"/>
        <w:rPr>
          <w:color w:val="000000" w:themeColor="text1"/>
        </w:rPr>
      </w:pPr>
      <w:r w:rsidRPr="00207454">
        <w:rPr>
          <w:color w:val="000000" w:themeColor="text1"/>
        </w:rPr>
        <w:t xml:space="preserve">DVA’s expectation is that an entitled person’s admitted care commences only when the patient physically departs the clinical area of the emergency department for transfer to a ward (excluding short stay units) or an operating theatre or procedure room. Transfer to a ‘virtual ward’ with the emergency department does not constitute an admission. </w:t>
      </w:r>
    </w:p>
    <w:p w14:paraId="2E9648C6" w14:textId="77777777" w:rsidR="00974128" w:rsidRPr="00207454" w:rsidRDefault="00974128" w:rsidP="00974128">
      <w:pPr>
        <w:pStyle w:val="Body"/>
        <w:rPr>
          <w:color w:val="000000" w:themeColor="text1"/>
        </w:rPr>
      </w:pPr>
      <w:r w:rsidRPr="00207454">
        <w:rPr>
          <w:color w:val="000000" w:themeColor="text1"/>
        </w:rPr>
        <w:t>DVA’s expectation is that an entitled person would not be eligible for admission if:</w:t>
      </w:r>
    </w:p>
    <w:p w14:paraId="56729AD0" w14:textId="77777777" w:rsidR="00974128" w:rsidRPr="00207454" w:rsidRDefault="00974128" w:rsidP="00207454">
      <w:pPr>
        <w:pStyle w:val="Bullet1"/>
      </w:pPr>
      <w:r w:rsidRPr="00207454">
        <w:t>they receive their entire care within the emergency department</w:t>
      </w:r>
    </w:p>
    <w:p w14:paraId="05A9F0F6" w14:textId="77777777" w:rsidR="00974128" w:rsidRPr="00207454" w:rsidRDefault="00974128" w:rsidP="00207454">
      <w:pPr>
        <w:pStyle w:val="Bullet1"/>
      </w:pPr>
      <w:r w:rsidRPr="00207454">
        <w:t>they are transferred to a short stay unit but do not meet DVA’s admission criteria</w:t>
      </w:r>
    </w:p>
    <w:p w14:paraId="638DC736" w14:textId="77777777" w:rsidR="00974128" w:rsidRPr="00207454" w:rsidRDefault="00974128" w:rsidP="00207454">
      <w:pPr>
        <w:pStyle w:val="Bullet1"/>
      </w:pPr>
      <w:r w:rsidRPr="00207454">
        <w:t>they are only waiting for review by a speciality admitted team or an inpatient bed, diagnostic tests or results, transport home or transfer to another hospital, or equipment or medications.</w:t>
      </w:r>
    </w:p>
    <w:p w14:paraId="51204526" w14:textId="77777777" w:rsidR="00974128" w:rsidRDefault="00974128" w:rsidP="00736CC1">
      <w:pPr>
        <w:pStyle w:val="Bodyafterbullets"/>
      </w:pPr>
      <w:r>
        <w:t>Eligible veterans will continue to be provided public health services on a private patient basis, which entitles them to a minimum of:</w:t>
      </w:r>
    </w:p>
    <w:p w14:paraId="5E09972C" w14:textId="31D03CE1" w:rsidR="00974128" w:rsidRDefault="00974128" w:rsidP="004537E5">
      <w:pPr>
        <w:pStyle w:val="Bullet1"/>
        <w:numPr>
          <w:ilvl w:val="0"/>
          <w:numId w:val="27"/>
        </w:numPr>
      </w:pPr>
      <w:r>
        <w:t>choice of doctor (subject to the doctor having rights of private practice)</w:t>
      </w:r>
    </w:p>
    <w:p w14:paraId="30F9610E" w14:textId="77777777" w:rsidR="00974128" w:rsidRDefault="00974128" w:rsidP="004537E5">
      <w:pPr>
        <w:pStyle w:val="Bullet1"/>
        <w:numPr>
          <w:ilvl w:val="0"/>
          <w:numId w:val="27"/>
        </w:numPr>
      </w:pPr>
      <w:r>
        <w:lastRenderedPageBreak/>
        <w:t>shared accommodation</w:t>
      </w:r>
    </w:p>
    <w:p w14:paraId="6A0D2967" w14:textId="77777777" w:rsidR="00974128" w:rsidRDefault="00974128" w:rsidP="004537E5">
      <w:pPr>
        <w:pStyle w:val="Bullet1"/>
        <w:numPr>
          <w:ilvl w:val="0"/>
          <w:numId w:val="27"/>
        </w:numPr>
      </w:pPr>
      <w:r>
        <w:t>if medically necessary, private accommodation</w:t>
      </w:r>
    </w:p>
    <w:p w14:paraId="15FA5406" w14:textId="77777777" w:rsidR="00974128" w:rsidRDefault="00974128" w:rsidP="004537E5">
      <w:pPr>
        <w:pStyle w:val="Bullet1"/>
        <w:numPr>
          <w:ilvl w:val="0"/>
          <w:numId w:val="27"/>
        </w:numPr>
      </w:pPr>
      <w:r>
        <w:t>private accommodation, if available, where the patient or their private health insurer agrees to pay the difference between the shared and private accommodation.</w:t>
      </w:r>
    </w:p>
    <w:p w14:paraId="3F762A78" w14:textId="77777777" w:rsidR="00974128" w:rsidRDefault="00974128" w:rsidP="00974128">
      <w:pPr>
        <w:pStyle w:val="Bodyafterbullets"/>
      </w:pPr>
      <w:r>
        <w:t>Eligible veterans can access convalescent care or respite care in public health services following an acute or subacute stay without the need for financial authorisation from DVA.</w:t>
      </w:r>
    </w:p>
    <w:p w14:paraId="59C482BE" w14:textId="35BA0018" w:rsidR="006536D4" w:rsidRDefault="00974128" w:rsidP="00974128">
      <w:pPr>
        <w:pStyle w:val="Body"/>
        <w:rPr>
          <w:color w:val="000000" w:themeColor="text1"/>
        </w:rPr>
      </w:pPr>
      <w:r w:rsidRPr="00207454">
        <w:rPr>
          <w:color w:val="000000" w:themeColor="text1"/>
        </w:rPr>
        <w:t xml:space="preserve">DVA’s expectation is that when admitted for medical management, an entitled person must receive a minimum of </w:t>
      </w:r>
      <w:r w:rsidR="007D775F">
        <w:rPr>
          <w:color w:val="000000" w:themeColor="text1"/>
        </w:rPr>
        <w:t>4</w:t>
      </w:r>
      <w:r w:rsidRPr="00207454">
        <w:rPr>
          <w:color w:val="000000" w:themeColor="text1"/>
        </w:rPr>
        <w:t xml:space="preserve"> hours’ continuous active management, and that management must occur, at least in part, outside the emergency department in an inpatient area. </w:t>
      </w:r>
    </w:p>
    <w:p w14:paraId="33481197" w14:textId="2F1F2B15" w:rsidR="00974128" w:rsidRPr="00207454" w:rsidRDefault="00974128" w:rsidP="00974128">
      <w:pPr>
        <w:pStyle w:val="Body"/>
        <w:rPr>
          <w:color w:val="000000" w:themeColor="text1"/>
        </w:rPr>
      </w:pPr>
      <w:r w:rsidRPr="00207454">
        <w:rPr>
          <w:color w:val="000000" w:themeColor="text1"/>
        </w:rPr>
        <w:t>DVA may review short stay admissions and request additional supporting information for the treatment provided to ensure that appropriate payments are made.</w:t>
      </w:r>
    </w:p>
    <w:p w14:paraId="095BC866" w14:textId="77777777" w:rsidR="006536D4" w:rsidRDefault="00974128" w:rsidP="00974128">
      <w:pPr>
        <w:pStyle w:val="Body"/>
        <w:rPr>
          <w:color w:val="000000" w:themeColor="text1"/>
        </w:rPr>
      </w:pPr>
      <w:r w:rsidRPr="00207454">
        <w:rPr>
          <w:color w:val="000000" w:themeColor="text1"/>
        </w:rPr>
        <w:t xml:space="preserve">Admitted patient care consists of the following categories: </w:t>
      </w:r>
    </w:p>
    <w:p w14:paraId="658E5B4E" w14:textId="3BA26B4A" w:rsidR="006536D4" w:rsidRPr="002A5EBA" w:rsidRDefault="006536D4" w:rsidP="002A5EBA">
      <w:pPr>
        <w:pStyle w:val="Bullet1"/>
      </w:pPr>
      <w:r w:rsidRPr="006536D4">
        <w:t>acute care</w:t>
      </w:r>
    </w:p>
    <w:p w14:paraId="25EA1677" w14:textId="60FAD62A" w:rsidR="006536D4" w:rsidRPr="002A5EBA" w:rsidRDefault="006536D4" w:rsidP="002A5EBA">
      <w:pPr>
        <w:pStyle w:val="Bullet1"/>
      </w:pPr>
      <w:r w:rsidRPr="006536D4">
        <w:t>rehabilitation care</w:t>
      </w:r>
    </w:p>
    <w:p w14:paraId="041FAA73" w14:textId="11F6F2C3" w:rsidR="006536D4" w:rsidRPr="002A5EBA" w:rsidRDefault="006536D4" w:rsidP="002A5EBA">
      <w:pPr>
        <w:pStyle w:val="Bullet1"/>
      </w:pPr>
      <w:r w:rsidRPr="006536D4">
        <w:t>palliative care</w:t>
      </w:r>
    </w:p>
    <w:p w14:paraId="5432D9BC" w14:textId="49CBCCB9" w:rsidR="006536D4" w:rsidRPr="002A5EBA" w:rsidRDefault="006536D4" w:rsidP="002A5EBA">
      <w:pPr>
        <w:pStyle w:val="Bullet1"/>
      </w:pPr>
      <w:r w:rsidRPr="006536D4">
        <w:t>geriatric evaluation and management</w:t>
      </w:r>
    </w:p>
    <w:p w14:paraId="7E1D0452" w14:textId="2A79C3A7" w:rsidR="006536D4" w:rsidRPr="002A5EBA" w:rsidRDefault="006536D4" w:rsidP="002A5EBA">
      <w:pPr>
        <w:pStyle w:val="Bullet1"/>
      </w:pPr>
      <w:r w:rsidRPr="006536D4">
        <w:t>psychogeriatric care</w:t>
      </w:r>
    </w:p>
    <w:p w14:paraId="5C1C9E1A" w14:textId="1C53AD78" w:rsidR="006536D4" w:rsidRPr="002A5EBA" w:rsidRDefault="006536D4" w:rsidP="002A5EBA">
      <w:pPr>
        <w:pStyle w:val="Bullet1"/>
      </w:pPr>
      <w:r w:rsidRPr="006536D4">
        <w:t>maintenance care</w:t>
      </w:r>
    </w:p>
    <w:p w14:paraId="7D539066" w14:textId="5132993A" w:rsidR="006536D4" w:rsidRPr="002A5EBA" w:rsidRDefault="006536D4" w:rsidP="002A5EBA">
      <w:pPr>
        <w:pStyle w:val="Bullet1"/>
      </w:pPr>
      <w:r w:rsidRPr="006536D4">
        <w:t>newborn care</w:t>
      </w:r>
    </w:p>
    <w:p w14:paraId="5DA266B8" w14:textId="1D2D2E99" w:rsidR="006536D4" w:rsidRPr="002A5EBA" w:rsidRDefault="006536D4" w:rsidP="002A5EBA">
      <w:pPr>
        <w:pStyle w:val="Bullet1"/>
      </w:pPr>
      <w:r w:rsidRPr="006536D4">
        <w:t>other admitted patient care (this is where the clinical intent does not meet the criteria for any of the previous care types).</w:t>
      </w:r>
    </w:p>
    <w:p w14:paraId="6ED79915" w14:textId="58C37668" w:rsidR="00974128" w:rsidRPr="00207454" w:rsidRDefault="00974128" w:rsidP="002A5EBA">
      <w:pPr>
        <w:pStyle w:val="Bodyafterbullets"/>
      </w:pPr>
      <w:r w:rsidRPr="00207454">
        <w:t>Care other than admitted care include: posthumous organ procurement; Hospital boarder.</w:t>
      </w:r>
    </w:p>
    <w:p w14:paraId="6018A28E" w14:textId="696165F7" w:rsidR="00974128" w:rsidRPr="00207454" w:rsidRDefault="00974128" w:rsidP="00974128">
      <w:pPr>
        <w:pStyle w:val="Body"/>
        <w:rPr>
          <w:color w:val="000000" w:themeColor="text1"/>
        </w:rPr>
      </w:pPr>
      <w:r w:rsidRPr="00207454">
        <w:rPr>
          <w:color w:val="000000" w:themeColor="text1"/>
        </w:rPr>
        <w:t xml:space="preserve">If hospitalisation of an entitled person is likely to exceed a continuous period of </w:t>
      </w:r>
      <w:r w:rsidR="006536D4">
        <w:rPr>
          <w:color w:val="000000" w:themeColor="text1"/>
        </w:rPr>
        <w:t>35</w:t>
      </w:r>
      <w:r w:rsidRPr="00207454">
        <w:rPr>
          <w:color w:val="000000" w:themeColor="text1"/>
        </w:rPr>
        <w:t xml:space="preserve"> days, health services must review the patient’s status and either:</w:t>
      </w:r>
    </w:p>
    <w:p w14:paraId="2C20F907" w14:textId="5891B262" w:rsidR="00974128" w:rsidRPr="00207454" w:rsidRDefault="00974128" w:rsidP="00736CC1">
      <w:pPr>
        <w:pStyle w:val="Bullet1"/>
      </w:pPr>
      <w:r w:rsidRPr="00207454">
        <w:t xml:space="preserve">complete an Acute Care Certificate or equivalent, certified by a medical practitioner, before the expiration of </w:t>
      </w:r>
      <w:r w:rsidR="006536D4">
        <w:t>30</w:t>
      </w:r>
      <w:r w:rsidR="006536D4" w:rsidRPr="00207454">
        <w:t xml:space="preserve"> </w:t>
      </w:r>
      <w:r w:rsidRPr="00207454">
        <w:t>days from the date of admission and retain this on the patient’s medical record for audit and/or reconciliation purposes</w:t>
      </w:r>
    </w:p>
    <w:p w14:paraId="07FE5A69" w14:textId="2B18946D" w:rsidR="00974128" w:rsidRPr="00207454" w:rsidRDefault="00974128" w:rsidP="00736CC1">
      <w:pPr>
        <w:pStyle w:val="Bullet1"/>
      </w:pPr>
      <w:r w:rsidRPr="00207454">
        <w:t xml:space="preserve">reclassify the entitled person as a Maintenance patient. </w:t>
      </w:r>
      <w:r w:rsidR="006536D4">
        <w:t>If</w:t>
      </w:r>
      <w:r w:rsidR="006536D4" w:rsidRPr="00207454">
        <w:t xml:space="preserve"> </w:t>
      </w:r>
      <w:r w:rsidRPr="00207454">
        <w:t xml:space="preserve">an entitled person is reclassified as a </w:t>
      </w:r>
      <w:r w:rsidR="006536D4">
        <w:t>‘</w:t>
      </w:r>
      <w:r w:rsidRPr="00207454">
        <w:t>Maintenance – NHTP</w:t>
      </w:r>
      <w:r w:rsidR="006536D4">
        <w:t xml:space="preserve">’, the health service </w:t>
      </w:r>
      <w:r w:rsidRPr="00207454">
        <w:t>should ensure the patient is assessed and a discharge plan is developed.</w:t>
      </w:r>
    </w:p>
    <w:p w14:paraId="43DF31F4" w14:textId="77777777" w:rsidR="00974128" w:rsidRDefault="00974128" w:rsidP="00974128">
      <w:pPr>
        <w:pStyle w:val="Heading4"/>
      </w:pPr>
      <w:r w:rsidRPr="00CA77C4">
        <w:t>Pharmaceuticals</w:t>
      </w:r>
    </w:p>
    <w:p w14:paraId="648C463D" w14:textId="77777777" w:rsidR="00974128" w:rsidRDefault="00974128" w:rsidP="00974128">
      <w:pPr>
        <w:pStyle w:val="Body"/>
      </w:pPr>
      <w:r>
        <w:t>Health services should ensure medication reviews (including self-management) are completed before discharge by the clinical pharmacist or doctor for patients:</w:t>
      </w:r>
    </w:p>
    <w:p w14:paraId="746F81E0" w14:textId="6EC3EFD0" w:rsidR="00974128" w:rsidRDefault="00974128" w:rsidP="004537E5">
      <w:pPr>
        <w:pStyle w:val="Bullet1"/>
        <w:numPr>
          <w:ilvl w:val="0"/>
          <w:numId w:val="28"/>
        </w:numPr>
      </w:pPr>
      <w:r>
        <w:t xml:space="preserve">who require administration of </w:t>
      </w:r>
      <w:r w:rsidR="006536D4">
        <w:t xml:space="preserve">4 </w:t>
      </w:r>
      <w:r>
        <w:t>or more different medications or more than 12 doses of medication daily</w:t>
      </w:r>
    </w:p>
    <w:p w14:paraId="74D667E8" w14:textId="77777777" w:rsidR="00974128" w:rsidRDefault="00974128" w:rsidP="004537E5">
      <w:pPr>
        <w:pStyle w:val="Bullet1"/>
        <w:numPr>
          <w:ilvl w:val="0"/>
          <w:numId w:val="28"/>
        </w:numPr>
      </w:pPr>
      <w:r>
        <w:t>where a change in medication has occurred during the admission</w:t>
      </w:r>
    </w:p>
    <w:p w14:paraId="605D2118" w14:textId="77777777" w:rsidR="00974128" w:rsidRDefault="00974128" w:rsidP="004537E5">
      <w:pPr>
        <w:pStyle w:val="Bullet1"/>
        <w:numPr>
          <w:ilvl w:val="0"/>
          <w:numId w:val="28"/>
        </w:numPr>
      </w:pPr>
      <w:r>
        <w:t>where anticoagulant therapy has commenced during the admission.</w:t>
      </w:r>
    </w:p>
    <w:p w14:paraId="6FCB929F" w14:textId="77777777" w:rsidR="00974128" w:rsidRDefault="00974128" w:rsidP="00974128">
      <w:pPr>
        <w:pStyle w:val="Bodyafterbullets"/>
      </w:pPr>
      <w:r>
        <w:t>Medication reviews should be documented on an appropriate approved form, be available to the patient and care providers on discharge and involve education as a component.</w:t>
      </w:r>
    </w:p>
    <w:p w14:paraId="6FC4D618" w14:textId="77777777" w:rsidR="00974128" w:rsidRDefault="00974128" w:rsidP="00974128">
      <w:pPr>
        <w:pStyle w:val="Body"/>
      </w:pPr>
      <w:r>
        <w:t>Contact the Veteran Affairs Pharmaceutical Advisory Centre on 1800 552 580.</w:t>
      </w:r>
    </w:p>
    <w:p w14:paraId="6D564C21" w14:textId="77777777" w:rsidR="00974128" w:rsidRPr="00CA77C4" w:rsidRDefault="00974128" w:rsidP="00974128">
      <w:pPr>
        <w:pStyle w:val="Heading4"/>
      </w:pPr>
      <w:r>
        <w:lastRenderedPageBreak/>
        <w:t>Long stay</w:t>
      </w:r>
    </w:p>
    <w:p w14:paraId="22B3801B" w14:textId="77777777" w:rsidR="00974128" w:rsidRDefault="00974128" w:rsidP="00974128">
      <w:pPr>
        <w:pStyle w:val="Body"/>
      </w:pPr>
      <w:r>
        <w:t>I</w:t>
      </w:r>
      <w:r w:rsidRPr="00C33741">
        <w:t>f the hospitalisation of an eligible veteran is likely to exceed a continuous period of 35 days in any care type other than nursing</w:t>
      </w:r>
      <w:r>
        <w:t>-</w:t>
      </w:r>
      <w:r w:rsidRPr="00C33741">
        <w:t>home</w:t>
      </w:r>
      <w:r>
        <w:t>-</w:t>
      </w:r>
      <w:r w:rsidRPr="00C33741">
        <w:t xml:space="preserve">type and palliative care, the </w:t>
      </w:r>
      <w:r>
        <w:t>DVA</w:t>
      </w:r>
      <w:r w:rsidRPr="00C33741">
        <w:t xml:space="preserve"> requires that health services ensure the veteran’s status is reviewed and that either:</w:t>
      </w:r>
    </w:p>
    <w:p w14:paraId="5B4657DC" w14:textId="77777777" w:rsidR="00974128" w:rsidRDefault="00974128" w:rsidP="004537E5">
      <w:pPr>
        <w:pStyle w:val="Bullet1"/>
        <w:numPr>
          <w:ilvl w:val="0"/>
          <w:numId w:val="29"/>
        </w:numPr>
      </w:pPr>
      <w:r>
        <w:t xml:space="preserve">a certificate similar to that previously required under s. 3B of the </w:t>
      </w:r>
      <w:r w:rsidRPr="23E5A96B">
        <w:rPr>
          <w:i/>
          <w:iCs/>
        </w:rPr>
        <w:t>Health Insurance Act 1973</w:t>
      </w:r>
      <w:r>
        <w:t xml:space="preserve"> is completed by a medical practitioner and held on the patient’s file for audit purposes, or</w:t>
      </w:r>
    </w:p>
    <w:p w14:paraId="34A57AC6" w14:textId="77777777" w:rsidR="00974128" w:rsidRDefault="00974128" w:rsidP="004537E5">
      <w:pPr>
        <w:pStyle w:val="Bullet1"/>
        <w:numPr>
          <w:ilvl w:val="0"/>
          <w:numId w:val="29"/>
        </w:numPr>
      </w:pPr>
      <w:r>
        <w:t>reclassify the patient as either maintenance or, in the case of small rural health services, the eligible veteran is reclassified to a nursing-home-type patient and the changed status and payment adjusted accordingly. If the patient is reclassified, hospitals should use their best endeavours to ensure the patient is assessed and a discharge plan is developed.</w:t>
      </w:r>
    </w:p>
    <w:p w14:paraId="4B63CE54" w14:textId="77777777" w:rsidR="00974128" w:rsidRDefault="00974128" w:rsidP="00974128">
      <w:pPr>
        <w:pStyle w:val="Bodyafterbullets"/>
      </w:pPr>
      <w:r>
        <w:t xml:space="preserve">The </w:t>
      </w:r>
      <w:r w:rsidRPr="00C33741">
        <w:t>Acute Care Certificate or equivalent</w:t>
      </w:r>
      <w:r>
        <w:t xml:space="preserve"> is no longer required to be sent to DVA.</w:t>
      </w:r>
    </w:p>
    <w:p w14:paraId="4EEF4288" w14:textId="6D6D1B70" w:rsidR="00974128" w:rsidRPr="00CA77C4" w:rsidRDefault="00974128" w:rsidP="00974128">
      <w:pPr>
        <w:pStyle w:val="Heading4"/>
      </w:pPr>
      <w:r>
        <w:t>Nursing-home-type patients</w:t>
      </w:r>
    </w:p>
    <w:p w14:paraId="4BD84953" w14:textId="77777777" w:rsidR="00974128" w:rsidRDefault="00974128" w:rsidP="00974128">
      <w:pPr>
        <w:pStyle w:val="Body"/>
      </w:pPr>
      <w:r>
        <w:t>If eligible veterans are assessed as needing nursing-home-type or respite care and are at a multipurpose service (facilities that receive Commonwealth funding to operate residential care beds), then the health service must attempt to reclassify the patient from a hospital patient to a residential aged care recipient. If there are no residential aged care beds available, the patient should be reclassified as a nursing-home-type patient and DVA charged at the nursing-home-type patient rate. DVA will not pay for residential aged care under the arrangement.</w:t>
      </w:r>
    </w:p>
    <w:p w14:paraId="4381E0E6" w14:textId="2E6BD9CA" w:rsidR="00974128" w:rsidRDefault="00974128" w:rsidP="00974128">
      <w:pPr>
        <w:pStyle w:val="Body"/>
      </w:pPr>
      <w:r>
        <w:t>Health services should collect any co-payment for nursing-home-type patient</w:t>
      </w:r>
      <w:r w:rsidR="00D72680">
        <w:t>s</w:t>
      </w:r>
      <w:r>
        <w:t xml:space="preserve"> from the patient</w:t>
      </w:r>
      <w:r w:rsidR="00D72680">
        <w:t>,</w:t>
      </w:r>
      <w:r>
        <w:t xml:space="preserve"> with the exception of Victoria Cross or prisoners of war recipients. For this group, health services should make a claim directly based on prior approval to DVA for reimbursement using </w:t>
      </w:r>
      <w:r w:rsidRPr="00FA1304">
        <w:t>Medicare Benefits Schedule</w:t>
      </w:r>
      <w:r w:rsidRPr="00440F34">
        <w:t xml:space="preserve"> (</w:t>
      </w:r>
      <w:r w:rsidRPr="00FA1304">
        <w:t>MBS) item number</w:t>
      </w:r>
      <w:r>
        <w:t xml:space="preserve"> NH05.</w:t>
      </w:r>
    </w:p>
    <w:p w14:paraId="689DB909" w14:textId="77777777" w:rsidR="00974128" w:rsidRPr="00CA77C4" w:rsidRDefault="00974128" w:rsidP="00974128">
      <w:pPr>
        <w:pStyle w:val="Heading4"/>
      </w:pPr>
      <w:r>
        <w:t>Discharge planning</w:t>
      </w:r>
    </w:p>
    <w:p w14:paraId="05D0742D" w14:textId="77777777" w:rsidR="00974128" w:rsidRDefault="00974128" w:rsidP="00974128">
      <w:pPr>
        <w:pStyle w:val="Body"/>
      </w:pPr>
      <w:r>
        <w:t>Health services will use their best endeavours to demonstrate effective discharge planning for DVA patients including the regular contribution of a multidisciplinary team, supporting documentation, discharge follow-up and communication with care providers and family and carers (with permission from the patient).</w:t>
      </w:r>
    </w:p>
    <w:p w14:paraId="23837A0F" w14:textId="77777777" w:rsidR="00D72680" w:rsidRDefault="00974128" w:rsidP="00974128">
      <w:pPr>
        <w:pStyle w:val="Body"/>
      </w:pPr>
      <w:r>
        <w:t xml:space="preserve">The patient or carer should be given written documentation in the form of a discharge plan on the day of discharge. Use electronic discharge summaries if they are available. </w:t>
      </w:r>
    </w:p>
    <w:p w14:paraId="30EFADD2" w14:textId="77777777" w:rsidR="00D72680" w:rsidRDefault="00974128" w:rsidP="00974128">
      <w:pPr>
        <w:pStyle w:val="Body"/>
      </w:pPr>
      <w:r>
        <w:t xml:space="preserve">DVA may request to see documentation of hospital discharge policies and procedures, as well as copies of the patient and hospital discharge plans. </w:t>
      </w:r>
    </w:p>
    <w:p w14:paraId="29059706" w14:textId="781DF93E" w:rsidR="00974128" w:rsidRDefault="00974128" w:rsidP="00974128">
      <w:pPr>
        <w:pStyle w:val="Body"/>
      </w:pPr>
      <w:r>
        <w:t>If the patient is enrolled in a Coordinated Veterans’ Care program, then the local medical officer or nurse coordinator must also receive a copy of the patient discharge plan (and be involved as appropriate).</w:t>
      </w:r>
    </w:p>
    <w:p w14:paraId="4A56E662" w14:textId="77777777" w:rsidR="00D72680" w:rsidRDefault="00974128" w:rsidP="00974128">
      <w:pPr>
        <w:pStyle w:val="Body"/>
      </w:pPr>
      <w:r>
        <w:t>Health services should coordinate for a health professional to assess eligible veterans before discharge for community nursing, personal care, aids and appliances, home modifications or convalescent care.</w:t>
      </w:r>
    </w:p>
    <w:p w14:paraId="5998777B" w14:textId="77777777" w:rsidR="00D72680" w:rsidRDefault="00974128" w:rsidP="00974128">
      <w:pPr>
        <w:pStyle w:val="Body"/>
      </w:pPr>
      <w:r>
        <w:t xml:space="preserve"> Any aids, equipment or modifications will be arranged through DVA services in a timely manner and be available to the patient prior to discharge. </w:t>
      </w:r>
    </w:p>
    <w:p w14:paraId="567F8F41" w14:textId="63414247" w:rsidR="00974128" w:rsidRDefault="00974128" w:rsidP="00974128">
      <w:pPr>
        <w:pStyle w:val="Body"/>
      </w:pPr>
      <w:r>
        <w:t>Public hospitals must provide a summary of discharge to the original referring doctor and local medical officer at, or within, 48 hours of discharge.</w:t>
      </w:r>
    </w:p>
    <w:p w14:paraId="76A794CA" w14:textId="77777777" w:rsidR="00974128" w:rsidRDefault="00974128" w:rsidP="00974128">
      <w:pPr>
        <w:pStyle w:val="Body"/>
      </w:pPr>
      <w:r>
        <w:t>Referrals for community nursing services for DVA patients may be made to a program funded by the Victorian Government or Commonwealth Government, or to a DVA contracted provider.</w:t>
      </w:r>
    </w:p>
    <w:p w14:paraId="6A5C592C" w14:textId="77777777" w:rsidR="00D72680" w:rsidRDefault="00974128" w:rsidP="00974128">
      <w:pPr>
        <w:pStyle w:val="Body"/>
      </w:pPr>
      <w:r>
        <w:lastRenderedPageBreak/>
        <w:t xml:space="preserve">To arrange home and personal care services for eligible veterans, health services must contact the National Veterans’ Home Care assessment agency (1300 550 450). </w:t>
      </w:r>
    </w:p>
    <w:p w14:paraId="15660843" w14:textId="77777777" w:rsidR="00D72680" w:rsidRDefault="00974128" w:rsidP="00974128">
      <w:pPr>
        <w:pStyle w:val="Body"/>
      </w:pPr>
      <w:r>
        <w:t xml:space="preserve">Discharge aids and equipment for veteran patients must be provided to facilitate safe discharge for a period of 30 days after discharge. </w:t>
      </w:r>
    </w:p>
    <w:p w14:paraId="160403F8" w14:textId="2F7AEA64" w:rsidR="00974128" w:rsidRDefault="00D72680" w:rsidP="00974128">
      <w:pPr>
        <w:pStyle w:val="Body"/>
      </w:pPr>
      <w:r>
        <w:t>Find out more on DVA’s</w:t>
      </w:r>
      <w:r w:rsidR="00974128">
        <w:t xml:space="preserve"> </w:t>
      </w:r>
      <w:hyperlink r:id="rId45" w:history="1">
        <w:r w:rsidR="00974128">
          <w:rPr>
            <w:rStyle w:val="Hyperlink"/>
          </w:rPr>
          <w:t>Aids, appliances and home modifications webpage</w:t>
        </w:r>
      </w:hyperlink>
      <w:r w:rsidR="00974128">
        <w:t xml:space="preserve"> &lt;</w:t>
      </w:r>
      <w:r w:rsidR="00974128" w:rsidRPr="00C91C6A">
        <w:t>https://www.dva.gov.au/health-and-wellbeing/home-and-care/rehabilitation-appliances-program-rap</w:t>
      </w:r>
      <w:r w:rsidR="00974128">
        <w:t>&gt; or call 1300 550 457 (metropolitan) or 1800 550 457 (rural).</w:t>
      </w:r>
    </w:p>
    <w:p w14:paraId="730D8DE4" w14:textId="77777777" w:rsidR="00974128" w:rsidRPr="0054536C" w:rsidRDefault="00974128" w:rsidP="00974128">
      <w:pPr>
        <w:pStyle w:val="Heading4"/>
      </w:pPr>
      <w:r w:rsidRPr="00D110BA">
        <w:t>Payments</w:t>
      </w:r>
    </w:p>
    <w:p w14:paraId="6A0949A7" w14:textId="77777777" w:rsidR="00974128" w:rsidRDefault="00974128" w:rsidP="00974128">
      <w:pPr>
        <w:pStyle w:val="Body"/>
      </w:pPr>
      <w:r>
        <w:t>If a claim is not accepted by DVA, either:</w:t>
      </w:r>
    </w:p>
    <w:p w14:paraId="015B862E" w14:textId="77777777" w:rsidR="00974128" w:rsidRPr="00C574D3" w:rsidRDefault="00974128" w:rsidP="004537E5">
      <w:pPr>
        <w:pStyle w:val="Bullet1"/>
        <w:numPr>
          <w:ilvl w:val="0"/>
          <w:numId w:val="30"/>
        </w:numPr>
      </w:pPr>
      <w:r>
        <w:t>the health service must transmit additional or corrected information to allow the claim to be accepted, or</w:t>
      </w:r>
    </w:p>
    <w:p w14:paraId="2F374584" w14:textId="77777777" w:rsidR="00974128" w:rsidRPr="00C574D3" w:rsidRDefault="00974128" w:rsidP="004537E5">
      <w:pPr>
        <w:pStyle w:val="Bullet1"/>
        <w:numPr>
          <w:ilvl w:val="0"/>
          <w:numId w:val="30"/>
        </w:numPr>
      </w:pPr>
      <w:r>
        <w:t>claims should be retrospectively reclassified to reflect the patient’s changed care type or preferences.</w:t>
      </w:r>
    </w:p>
    <w:p w14:paraId="76729245" w14:textId="65881FAD" w:rsidR="00974128" w:rsidRDefault="00974128" w:rsidP="00974128">
      <w:pPr>
        <w:pStyle w:val="Bodyafterbullets"/>
      </w:pPr>
      <w:r>
        <w:t>Health services must make changes before consolidating the VAED, otherwise funding will not be paid at either DVA</w:t>
      </w:r>
      <w:r w:rsidRPr="00674F20">
        <w:t xml:space="preserve"> </w:t>
      </w:r>
      <w:r>
        <w:t>or public rate.</w:t>
      </w:r>
    </w:p>
    <w:p w14:paraId="24626B0D" w14:textId="77777777" w:rsidR="00974128" w:rsidRPr="00566453" w:rsidRDefault="00974128" w:rsidP="00974128">
      <w:pPr>
        <w:pStyle w:val="Body"/>
      </w:pPr>
      <w:r w:rsidRPr="00566453">
        <w:t xml:space="preserve">The </w:t>
      </w:r>
      <w:r>
        <w:t>DVA</w:t>
      </w:r>
      <w:r w:rsidRPr="00566453">
        <w:t xml:space="preserve"> agreement prohibits organisations from raising any charges directly on an eligible veteran</w:t>
      </w:r>
      <w:r>
        <w:t>,</w:t>
      </w:r>
      <w:r w:rsidRPr="00566453">
        <w:t xml:space="preserve"> except where provided for under </w:t>
      </w:r>
      <w:r>
        <w:t>C</w:t>
      </w:r>
      <w:r w:rsidRPr="00566453">
        <w:t>ommonwealth legislation. This prohibition does not, however, prevent organisations from charging a cost for providing personal services such as television access or telephone services at the facility.</w:t>
      </w:r>
    </w:p>
    <w:p w14:paraId="07973FE7" w14:textId="77777777" w:rsidR="00D72680" w:rsidRDefault="00974128" w:rsidP="00974128">
      <w:pPr>
        <w:pStyle w:val="Body"/>
      </w:pPr>
      <w:r w:rsidRPr="009834E9">
        <w:t xml:space="preserve">The </w:t>
      </w:r>
      <w:r>
        <w:t>DVA</w:t>
      </w:r>
      <w:r w:rsidRPr="009834E9">
        <w:t xml:space="preserve"> agreement recognises that treatment </w:t>
      </w:r>
      <w:r>
        <w:t>for</w:t>
      </w:r>
      <w:r w:rsidRPr="009834E9">
        <w:t xml:space="preserve"> </w:t>
      </w:r>
      <w:r>
        <w:t>DVA</w:t>
      </w:r>
      <w:r w:rsidRPr="009834E9">
        <w:t xml:space="preserve"> patients may occasionally be subcontracted to a private hospital or facility. </w:t>
      </w:r>
    </w:p>
    <w:p w14:paraId="0FABA9D7" w14:textId="77777777" w:rsidR="00D72680" w:rsidRDefault="00974128" w:rsidP="00974128">
      <w:pPr>
        <w:pStyle w:val="Body"/>
      </w:pPr>
      <w:r w:rsidRPr="009834E9">
        <w:t xml:space="preserve">Where that private hospital or facility is contracted to </w:t>
      </w:r>
      <w:r>
        <w:t>DVA</w:t>
      </w:r>
      <w:r w:rsidRPr="009834E9">
        <w:t xml:space="preserve">, and claims for the service, </w:t>
      </w:r>
      <w:r>
        <w:t>DVA</w:t>
      </w:r>
      <w:r w:rsidRPr="009834E9">
        <w:t xml:space="preserve"> will pay the facility directly through their payment arrangements with Medicare Australia. </w:t>
      </w:r>
    </w:p>
    <w:p w14:paraId="6EB184E5" w14:textId="1C9B5F81" w:rsidR="00974128" w:rsidRPr="009834E9" w:rsidRDefault="00974128" w:rsidP="00974128">
      <w:pPr>
        <w:pStyle w:val="Body"/>
      </w:pPr>
      <w:r w:rsidRPr="009834E9">
        <w:t>Under these circumstances</w:t>
      </w:r>
      <w:r>
        <w:t>,</w:t>
      </w:r>
      <w:r w:rsidRPr="009834E9">
        <w:t xml:space="preserve"> the public hospital cannot also claim payment separately for the treatment provided.</w:t>
      </w:r>
    </w:p>
    <w:p w14:paraId="2B4447B8" w14:textId="432A4C03" w:rsidR="00974128" w:rsidRPr="00566453" w:rsidRDefault="00974128" w:rsidP="00974128">
      <w:pPr>
        <w:pStyle w:val="Body"/>
      </w:pPr>
      <w:r w:rsidRPr="00566453">
        <w:t xml:space="preserve">Subcontracting for </w:t>
      </w:r>
      <w:r w:rsidR="00D72680">
        <w:t>t</w:t>
      </w:r>
      <w:r w:rsidR="00D72680" w:rsidRPr="00566453">
        <w:t xml:space="preserve">ransition </w:t>
      </w:r>
      <w:r w:rsidR="00D72680">
        <w:t>c</w:t>
      </w:r>
      <w:r w:rsidR="00D72680" w:rsidRPr="00566453">
        <w:t xml:space="preserve">are </w:t>
      </w:r>
      <w:r w:rsidRPr="00566453">
        <w:t>is exempt from this requirement</w:t>
      </w:r>
      <w:r>
        <w:t>, as public hospitals do not directly bill DVA for this service</w:t>
      </w:r>
      <w:r w:rsidDel="00DD4958">
        <w:t xml:space="preserve"> </w:t>
      </w:r>
      <w:r w:rsidRPr="00566453">
        <w:t>(</w:t>
      </w:r>
      <w:r w:rsidRPr="003B7C6E">
        <w:t>see</w:t>
      </w:r>
      <w:r w:rsidR="002A5EBA" w:rsidRPr="003B7C6E">
        <w:t xml:space="preserve"> section</w:t>
      </w:r>
      <w:r w:rsidR="003B7C6E" w:rsidRPr="003B7C6E">
        <w:t xml:space="preserve"> </w:t>
      </w:r>
      <w:r w:rsidR="003B7C6E" w:rsidRPr="003B7C6E">
        <w:fldChar w:fldCharType="begin"/>
      </w:r>
      <w:r w:rsidR="003B7C6E" w:rsidRPr="003B7C6E">
        <w:instrText xml:space="preserve"> REF _Ref200008204 \r \h </w:instrText>
      </w:r>
      <w:r w:rsidR="003B7C6E">
        <w:instrText xml:space="preserve"> \* MERGEFORMAT </w:instrText>
      </w:r>
      <w:r w:rsidR="003B7C6E" w:rsidRPr="003B7C6E">
        <w:fldChar w:fldCharType="separate"/>
      </w:r>
      <w:r w:rsidR="007D262B">
        <w:t>4.7</w:t>
      </w:r>
      <w:r w:rsidR="003B7C6E" w:rsidRPr="003B7C6E">
        <w:fldChar w:fldCharType="end"/>
      </w:r>
      <w:r w:rsidR="003B7C6E" w:rsidRPr="003B7C6E">
        <w:t>)</w:t>
      </w:r>
      <w:r w:rsidRPr="003B7C6E">
        <w:t>.</w:t>
      </w:r>
    </w:p>
    <w:p w14:paraId="6DEBC97A" w14:textId="508FF40F" w:rsidR="005B699B" w:rsidRDefault="005B699B" w:rsidP="004537E5">
      <w:pPr>
        <w:pStyle w:val="Heading3"/>
        <w:numPr>
          <w:ilvl w:val="2"/>
          <w:numId w:val="12"/>
        </w:numPr>
      </w:pPr>
      <w:r w:rsidRPr="001E7F44">
        <w:t xml:space="preserve">Transport </w:t>
      </w:r>
      <w:r w:rsidRPr="00E00A19">
        <w:t>A</w:t>
      </w:r>
      <w:r w:rsidRPr="000F0FC6">
        <w:t xml:space="preserve">ccident </w:t>
      </w:r>
      <w:r w:rsidRPr="00361A32">
        <w:t>Commission</w:t>
      </w:r>
      <w:r w:rsidRPr="00B74A4E">
        <w:t xml:space="preserve"> patients</w:t>
      </w:r>
    </w:p>
    <w:p w14:paraId="1E93267E" w14:textId="558F4B94" w:rsidR="005B699B" w:rsidRPr="00D72680" w:rsidRDefault="638379CB" w:rsidP="002A5EBA">
      <w:pPr>
        <w:pStyle w:val="Body"/>
      </w:pPr>
      <w:r w:rsidRPr="53FE48D1">
        <w:t>Activity and funding provided in respect of TAC compensable patients is uncapped and sits outside the NHRA arrangements.</w:t>
      </w:r>
      <w:r>
        <w:t xml:space="preserve"> </w:t>
      </w:r>
    </w:p>
    <w:p w14:paraId="6766F37F" w14:textId="733A5762" w:rsidR="005B699B" w:rsidRDefault="005B699B" w:rsidP="002A5EBA">
      <w:pPr>
        <w:pStyle w:val="Body"/>
      </w:pPr>
      <w:r>
        <w:t>The department provide</w:t>
      </w:r>
      <w:r w:rsidR="00CD2D9B">
        <w:t>s</w:t>
      </w:r>
      <w:r>
        <w:t xml:space="preserve"> health services payments </w:t>
      </w:r>
      <w:r w:rsidR="00147C99">
        <w:t xml:space="preserve">for TAC </w:t>
      </w:r>
      <w:r w:rsidR="00147C99" w:rsidRPr="00D72680">
        <w:t>patients</w:t>
      </w:r>
      <w:r w:rsidR="00147C99">
        <w:t xml:space="preserve"> </w:t>
      </w:r>
      <w:r w:rsidR="00CD2D9B">
        <w:t>in advance</w:t>
      </w:r>
      <w:r>
        <w:t xml:space="preserve"> based on </w:t>
      </w:r>
      <w:r w:rsidR="00CD2D9B">
        <w:t xml:space="preserve">forecast </w:t>
      </w:r>
      <w:r w:rsidRPr="00AD64F6">
        <w:t xml:space="preserve">NWAU </w:t>
      </w:r>
      <w:r w:rsidR="008C4F74">
        <w:t>activity</w:t>
      </w:r>
      <w:r>
        <w:t>.</w:t>
      </w:r>
    </w:p>
    <w:p w14:paraId="336B0253" w14:textId="0E9C136F" w:rsidR="005B699B" w:rsidRDefault="005B699B" w:rsidP="005B699B">
      <w:pPr>
        <w:pStyle w:val="Body"/>
      </w:pPr>
      <w:r>
        <w:t>This is cash-flowed to health services throughout the year</w:t>
      </w:r>
      <w:r w:rsidR="00351310">
        <w:t>.</w:t>
      </w:r>
      <w:r>
        <w:t xml:space="preserve"> </w:t>
      </w:r>
      <w:r w:rsidR="00351310">
        <w:t>Funding for TAC patients is uncapped</w:t>
      </w:r>
      <w:r>
        <w:t xml:space="preserve"> and adjusted to actual at </w:t>
      </w:r>
      <w:r w:rsidR="002942F8">
        <w:t xml:space="preserve">the end of the </w:t>
      </w:r>
      <w:r>
        <w:t>year</w:t>
      </w:r>
      <w:r w:rsidR="002942F8">
        <w:t xml:space="preserve">, </w:t>
      </w:r>
      <w:r>
        <w:t>based on data reconciled with the TAC.</w:t>
      </w:r>
    </w:p>
    <w:p w14:paraId="3AE12107" w14:textId="77777777" w:rsidR="002942F8" w:rsidRDefault="005B699B" w:rsidP="005B699B">
      <w:pPr>
        <w:pStyle w:val="Body"/>
      </w:pPr>
      <w:r>
        <w:t>For the department to receive payment from TAC, TAC must accept the claim and issue a claim number. The patient information reported by health services to the department must match those held by the TAC for each admitted patient separation.</w:t>
      </w:r>
      <w:r w:rsidR="0077047D" w:rsidRPr="0077047D">
        <w:t xml:space="preserve"> </w:t>
      </w:r>
    </w:p>
    <w:p w14:paraId="2B44F635" w14:textId="0563F7B2" w:rsidR="005B699B" w:rsidRDefault="0077047D" w:rsidP="005B699B">
      <w:pPr>
        <w:pStyle w:val="Body"/>
      </w:pPr>
      <w:r>
        <w:t>If a TAC claim is later rejected, the department will automatically fund the claim using public NWAU in the prior-year adjustment process unless the health service has exceeded its NWAU target.</w:t>
      </w:r>
    </w:p>
    <w:p w14:paraId="0FA610BF" w14:textId="3BD3ACD8" w:rsidR="005B699B" w:rsidRDefault="005B699B" w:rsidP="005B699B">
      <w:pPr>
        <w:pStyle w:val="Body"/>
      </w:pPr>
      <w:r>
        <w:lastRenderedPageBreak/>
        <w:t xml:space="preserve">Health services should </w:t>
      </w:r>
      <w:r w:rsidR="00EC60EF">
        <w:t xml:space="preserve">update </w:t>
      </w:r>
      <w:r>
        <w:t xml:space="preserve">their TAC </w:t>
      </w:r>
      <w:r w:rsidR="003A07EF">
        <w:t xml:space="preserve">patient </w:t>
      </w:r>
      <w:r>
        <w:t xml:space="preserve">records with TAC remittance advice. This will ensure </w:t>
      </w:r>
      <w:r w:rsidR="00EC60EF">
        <w:t xml:space="preserve">the TAC accepts the </w:t>
      </w:r>
      <w:r>
        <w:t>updated records</w:t>
      </w:r>
      <w:r w:rsidR="00EC60EF">
        <w:t xml:space="preserve">, and it will minimise delays </w:t>
      </w:r>
      <w:r>
        <w:t>in reconciling activity and payment for records.</w:t>
      </w:r>
    </w:p>
    <w:p w14:paraId="5AD70348" w14:textId="77777777" w:rsidR="005B699B" w:rsidRDefault="005B699B" w:rsidP="00A57D56">
      <w:pPr>
        <w:pStyle w:val="Body"/>
      </w:pPr>
      <w:r>
        <w:t>The department will not make changes for denied or rejected claims after consolidation through the prior-year’s adjustment. Health services are required to make changes before consolidation, otherwise funding will not be paid at either the TAC or public rate.</w:t>
      </w:r>
    </w:p>
    <w:p w14:paraId="4242D777" w14:textId="1DB045DC" w:rsidR="005B699B" w:rsidRDefault="00D72680" w:rsidP="005B699B">
      <w:pPr>
        <w:pStyle w:val="Body"/>
      </w:pPr>
      <w:r>
        <w:t>Find out more about</w:t>
      </w:r>
      <w:r w:rsidR="005B699B">
        <w:t xml:space="preserve"> the </w:t>
      </w:r>
      <w:hyperlink r:id="rId46" w:history="1">
        <w:r w:rsidR="005B699B" w:rsidRPr="002942F8">
          <w:rPr>
            <w:rStyle w:val="Hyperlink"/>
          </w:rPr>
          <w:t xml:space="preserve">TAC’s policy, services and funding </w:t>
        </w:r>
        <w:r w:rsidR="002942F8" w:rsidRPr="002942F8">
          <w:rPr>
            <w:rStyle w:val="Hyperlink"/>
          </w:rPr>
          <w:t>for providers</w:t>
        </w:r>
      </w:hyperlink>
      <w:r w:rsidR="002942F8">
        <w:t xml:space="preserve"> </w:t>
      </w:r>
      <w:r w:rsidR="005B699B">
        <w:t>&lt;</w:t>
      </w:r>
      <w:r w:rsidR="005B699B" w:rsidRPr="00F472F9">
        <w:t>http</w:t>
      </w:r>
      <w:r w:rsidR="005B699B">
        <w:t>s</w:t>
      </w:r>
      <w:r w:rsidR="005B699B" w:rsidRPr="00F472F9">
        <w:t>://www.tac.vic.gov.au/providers</w:t>
      </w:r>
      <w:r w:rsidR="005B699B">
        <w:t>&gt;.</w:t>
      </w:r>
    </w:p>
    <w:p w14:paraId="6F1638AE" w14:textId="34320FC4" w:rsidR="004F7E93" w:rsidRDefault="004F7E93" w:rsidP="004F7E93">
      <w:pPr>
        <w:pStyle w:val="Body"/>
      </w:pPr>
      <w:r>
        <w:t xml:space="preserve">View </w:t>
      </w:r>
      <w:r w:rsidR="002942F8">
        <w:t>the department’s</w:t>
      </w:r>
      <w:r w:rsidRPr="00674F20">
        <w:t xml:space="preserve"> </w:t>
      </w:r>
      <w:hyperlink r:id="rId47">
        <w:r w:rsidRPr="1E17C801">
          <w:rPr>
            <w:rStyle w:val="Hyperlink"/>
          </w:rPr>
          <w:t>Transport Accident Commission patients webpage</w:t>
        </w:r>
      </w:hyperlink>
      <w:r w:rsidRPr="00EF2996">
        <w:t xml:space="preserve"> &lt;</w:t>
      </w:r>
      <w:r w:rsidRPr="00BB305A">
        <w:t>https://www.health.vic.gov.au/patient-fees-charges/transport-accident-commission-patients</w:t>
      </w:r>
      <w:r w:rsidRPr="00EF2996">
        <w:t>&gt;.</w:t>
      </w:r>
    </w:p>
    <w:p w14:paraId="493CFF0B" w14:textId="0CC8053A" w:rsidR="005B699B" w:rsidRDefault="005B699B" w:rsidP="0061635F">
      <w:pPr>
        <w:pStyle w:val="Heading3"/>
        <w:numPr>
          <w:ilvl w:val="2"/>
          <w:numId w:val="12"/>
        </w:numPr>
      </w:pPr>
      <w:r>
        <w:t xml:space="preserve">WorkSafe </w:t>
      </w:r>
      <w:r w:rsidRPr="00361A32">
        <w:t>Victoria</w:t>
      </w:r>
      <w:r w:rsidRPr="00FE7B18">
        <w:t xml:space="preserve"> </w:t>
      </w:r>
      <w:r>
        <w:t>p</w:t>
      </w:r>
      <w:r w:rsidRPr="00FE7B18">
        <w:t>atients</w:t>
      </w:r>
    </w:p>
    <w:p w14:paraId="1B2A3394" w14:textId="0C51C908" w:rsidR="00147C99" w:rsidRDefault="70C461A4" w:rsidP="00343655">
      <w:pPr>
        <w:pStyle w:val="Body"/>
      </w:pPr>
      <w:r w:rsidRPr="53FE48D1">
        <w:t xml:space="preserve">Activity and funding provided </w:t>
      </w:r>
      <w:r w:rsidR="00EC60EF">
        <w:t>for</w:t>
      </w:r>
      <w:r w:rsidRPr="53FE48D1">
        <w:t xml:space="preserve"> WorkSafe compensable patients is uncapped and sits outside the NHRA arrangements.</w:t>
      </w:r>
    </w:p>
    <w:p w14:paraId="0AFA4C72" w14:textId="04CDD5EE" w:rsidR="00147C99" w:rsidRDefault="00147C99" w:rsidP="00C12E7B">
      <w:pPr>
        <w:pStyle w:val="Body"/>
      </w:pPr>
      <w:r>
        <w:t xml:space="preserve">The department provides health services </w:t>
      </w:r>
      <w:r w:rsidR="00EC60EF">
        <w:t xml:space="preserve">with </w:t>
      </w:r>
      <w:r>
        <w:t xml:space="preserve">payments in advance for WorkSafe patients based on forecast </w:t>
      </w:r>
      <w:r w:rsidRPr="00AD64F6">
        <w:t xml:space="preserve">NWAU </w:t>
      </w:r>
      <w:r>
        <w:t>activity. This is cash-flowed to health services throughout the year. Funding for WorkSafe patients is uncapped and adjusted to actual</w:t>
      </w:r>
      <w:r w:rsidR="37D364A9">
        <w:t>s</w:t>
      </w:r>
      <w:r>
        <w:t xml:space="preserve"> at </w:t>
      </w:r>
      <w:r w:rsidR="00EC60EF">
        <w:t xml:space="preserve">the end of the </w:t>
      </w:r>
      <w:r>
        <w:t>year</w:t>
      </w:r>
      <w:r w:rsidR="00EC60EF">
        <w:t xml:space="preserve">, </w:t>
      </w:r>
      <w:r>
        <w:t>based on data reconciled with the WorkSafe.</w:t>
      </w:r>
    </w:p>
    <w:p w14:paraId="3F537227" w14:textId="6794CE12" w:rsidR="00147C99" w:rsidRDefault="00147C99" w:rsidP="00C12E7B">
      <w:pPr>
        <w:pStyle w:val="Body"/>
      </w:pPr>
      <w:r>
        <w:t>The department will only pay a rate applicable for all accepted WorkSafe patients matched with WorkSafe records.</w:t>
      </w:r>
    </w:p>
    <w:p w14:paraId="7F4F199B" w14:textId="52B274BC" w:rsidR="00147C99" w:rsidRDefault="00147C99" w:rsidP="00C12E7B">
      <w:pPr>
        <w:pStyle w:val="Body"/>
      </w:pPr>
      <w:r>
        <w:t xml:space="preserve">The patient information reported by health services to the department must match </w:t>
      </w:r>
      <w:r w:rsidR="00EC60EF">
        <w:t xml:space="preserve">that </w:t>
      </w:r>
      <w:r>
        <w:t xml:space="preserve">held by the </w:t>
      </w:r>
      <w:r w:rsidR="00674FCE">
        <w:t>WorkSafe</w:t>
      </w:r>
      <w:r>
        <w:t xml:space="preserve"> for each admitted patient separation.</w:t>
      </w:r>
      <w:r w:rsidRPr="0077047D">
        <w:t xml:space="preserve"> </w:t>
      </w:r>
      <w:r>
        <w:t xml:space="preserve">If a </w:t>
      </w:r>
      <w:r w:rsidR="00674FCE">
        <w:t>WorkSafe</w:t>
      </w:r>
      <w:r>
        <w:t xml:space="preserve"> claim is later rejected, the department will automatically fund the claim using public NWAU in the prior-year adjustment process unless the health service has exceeded its NWAU target.</w:t>
      </w:r>
    </w:p>
    <w:p w14:paraId="62BEC14C" w14:textId="358C4CE2" w:rsidR="00147C99" w:rsidRDefault="00147C99" w:rsidP="005B699B">
      <w:pPr>
        <w:pStyle w:val="Body"/>
      </w:pPr>
      <w:r>
        <w:t xml:space="preserve">Health services should </w:t>
      </w:r>
      <w:r w:rsidR="00EC60EF">
        <w:t xml:space="preserve">keep </w:t>
      </w:r>
      <w:r>
        <w:t xml:space="preserve">their </w:t>
      </w:r>
      <w:r w:rsidR="00302A66">
        <w:t>WorkSafe</w:t>
      </w:r>
      <w:r>
        <w:t xml:space="preserve"> </w:t>
      </w:r>
      <w:r w:rsidR="003A07EF">
        <w:t xml:space="preserve">patient </w:t>
      </w:r>
      <w:r>
        <w:t xml:space="preserve">records updated with </w:t>
      </w:r>
      <w:r w:rsidR="00302A66">
        <w:t>WorkSafe</w:t>
      </w:r>
      <w:r>
        <w:t xml:space="preserve"> remittance advice. This will ensure </w:t>
      </w:r>
      <w:r w:rsidR="003A07EF">
        <w:t>WorkSafe</w:t>
      </w:r>
      <w:r>
        <w:t xml:space="preserve"> </w:t>
      </w:r>
      <w:r w:rsidR="00EC60EF">
        <w:t xml:space="preserve">accepts the updated records, and it will minimise </w:t>
      </w:r>
      <w:r>
        <w:t>delays in reconciling activity and payment for records.</w:t>
      </w:r>
    </w:p>
    <w:p w14:paraId="4F34FE8C" w14:textId="5B67BFC4" w:rsidR="005B699B" w:rsidRDefault="00EC60EF" w:rsidP="005B699B">
      <w:pPr>
        <w:pStyle w:val="Body"/>
      </w:pPr>
      <w:r>
        <w:t>Find out more</w:t>
      </w:r>
      <w:r w:rsidR="005B699B">
        <w:t xml:space="preserve"> about the </w:t>
      </w:r>
      <w:r w:rsidR="005B699B" w:rsidRPr="00863D12">
        <w:t>current services and prices</w:t>
      </w:r>
      <w:r w:rsidR="005B699B">
        <w:t xml:space="preserve"> </w:t>
      </w:r>
      <w:r>
        <w:t>on the department’s</w:t>
      </w:r>
      <w:r w:rsidR="005B699B">
        <w:t xml:space="preserve"> </w:t>
      </w:r>
      <w:hyperlink r:id="rId48" w:history="1">
        <w:r w:rsidR="005B699B" w:rsidRPr="00572AF9">
          <w:rPr>
            <w:rStyle w:val="Hyperlink"/>
          </w:rPr>
          <w:t>Work</w:t>
        </w:r>
        <w:r w:rsidR="005B699B">
          <w:rPr>
            <w:rStyle w:val="Hyperlink"/>
          </w:rPr>
          <w:t>S</w:t>
        </w:r>
        <w:r w:rsidR="005B699B" w:rsidRPr="00572AF9">
          <w:rPr>
            <w:rStyle w:val="Hyperlink"/>
          </w:rPr>
          <w:t>afe patients webpage</w:t>
        </w:r>
      </w:hyperlink>
      <w:r w:rsidR="005B699B">
        <w:t xml:space="preserve"> &lt;</w:t>
      </w:r>
      <w:r w:rsidR="005B699B" w:rsidRPr="00790F74">
        <w:t>https://www.health.vic.gov.au/patient-fees-charges/worksafe-patients</w:t>
      </w:r>
      <w:r w:rsidR="005B699B">
        <w:t>&gt;.</w:t>
      </w:r>
    </w:p>
    <w:p w14:paraId="3F1611A2" w14:textId="14313FE1" w:rsidR="005B699B" w:rsidRDefault="005B699B" w:rsidP="00DD262C">
      <w:pPr>
        <w:pStyle w:val="Heading3"/>
        <w:numPr>
          <w:ilvl w:val="2"/>
          <w:numId w:val="12"/>
        </w:numPr>
      </w:pPr>
      <w:r>
        <w:t>Direct-billing-</w:t>
      </w:r>
      <w:r w:rsidRPr="00361A32">
        <w:t>compensable</w:t>
      </w:r>
      <w:r>
        <w:t xml:space="preserve"> patients</w:t>
      </w:r>
    </w:p>
    <w:p w14:paraId="4CAF4659" w14:textId="77777777" w:rsidR="005B699B" w:rsidRDefault="005B699B" w:rsidP="005B699B">
      <w:pPr>
        <w:pStyle w:val="Body"/>
      </w:pPr>
      <w:r>
        <w:t>For compensable patients who are directly billed, the following arrangements are in place:</w:t>
      </w:r>
    </w:p>
    <w:p w14:paraId="67E2FE3A" w14:textId="17D988E3" w:rsidR="005B699B" w:rsidRDefault="005B699B" w:rsidP="3AC6720C">
      <w:pPr>
        <w:pStyle w:val="Bullet1"/>
      </w:pPr>
      <w:r>
        <w:t>armed services – paid by the Department of Defence and billed through BUPA</w:t>
      </w:r>
    </w:p>
    <w:p w14:paraId="463A6448" w14:textId="0F651933" w:rsidR="280DD8CA" w:rsidRDefault="280DD8CA" w:rsidP="66B8E60F">
      <w:pPr>
        <w:pStyle w:val="Bullet1"/>
      </w:pPr>
      <w:r>
        <w:t>Australian seafarers – paid by private insurers as directed on the</w:t>
      </w:r>
      <w:r w:rsidR="3634341E">
        <w:t xml:space="preserve"> Seacare Australia insurers website</w:t>
      </w:r>
    </w:p>
    <w:p w14:paraId="7B2A9DA5" w14:textId="1BD1A23F" w:rsidR="005B699B" w:rsidRDefault="00EC2DB1" w:rsidP="3AC6720C">
      <w:pPr>
        <w:pStyle w:val="Bullet1"/>
      </w:pPr>
      <w:r>
        <w:t xml:space="preserve">international </w:t>
      </w:r>
      <w:r w:rsidR="280DD8CA">
        <w:t>seafarers</w:t>
      </w:r>
      <w:r w:rsidR="005B699B">
        <w:t xml:space="preserve"> – paid by private health insurers that cover care for international seafarers</w:t>
      </w:r>
    </w:p>
    <w:p w14:paraId="2CEEB090" w14:textId="5449FD8A" w:rsidR="005B699B" w:rsidRDefault="005B699B" w:rsidP="546C4987">
      <w:pPr>
        <w:pStyle w:val="Bullet1"/>
      </w:pPr>
      <w:r>
        <w:t>common</w:t>
      </w:r>
      <w:r w:rsidR="00FF590E">
        <w:t>-</w:t>
      </w:r>
      <w:r>
        <w:t>law recoveries – paid by a third party where health costs are provided for under a common</w:t>
      </w:r>
      <w:r w:rsidR="00FF590E">
        <w:t>-</w:t>
      </w:r>
      <w:r>
        <w:t>law damages claim</w:t>
      </w:r>
    </w:p>
    <w:p w14:paraId="5BF85442" w14:textId="77777777" w:rsidR="005B699B" w:rsidRDefault="005B699B" w:rsidP="004537E5">
      <w:pPr>
        <w:pStyle w:val="Bullet1"/>
        <w:numPr>
          <w:ilvl w:val="0"/>
          <w:numId w:val="31"/>
        </w:numPr>
      </w:pPr>
      <w:r>
        <w:t>other compensable patients – paid by a third party where health costs are provided for under a public liability claim.</w:t>
      </w:r>
    </w:p>
    <w:p w14:paraId="4DE05243" w14:textId="77777777" w:rsidR="00EC2DB1" w:rsidRDefault="005B699B" w:rsidP="005B699B">
      <w:pPr>
        <w:pStyle w:val="Bodyafterbullets"/>
      </w:pPr>
      <w:r>
        <w:t xml:space="preserve">For these patients, health services should directly bill the relevant organisation responsible for payment. </w:t>
      </w:r>
    </w:p>
    <w:p w14:paraId="5796C348" w14:textId="77777777" w:rsidR="00EC2DB1" w:rsidRDefault="005B699B" w:rsidP="00EC2DB1">
      <w:pPr>
        <w:pStyle w:val="Body"/>
      </w:pPr>
      <w:r>
        <w:lastRenderedPageBreak/>
        <w:t xml:space="preserve">Billing rates are </w:t>
      </w:r>
      <w:r w:rsidRPr="00EC2DB1">
        <w:t>determined</w:t>
      </w:r>
      <w:r>
        <w:t xml:space="preserve"> by health services</w:t>
      </w:r>
      <w:r w:rsidR="0054536C">
        <w:t>.</w:t>
      </w:r>
      <w:r w:rsidDel="0054536C">
        <w:t xml:space="preserve"> </w:t>
      </w:r>
      <w:r w:rsidR="0054536C">
        <w:t xml:space="preserve">These </w:t>
      </w:r>
      <w:r>
        <w:t xml:space="preserve">should be set to provide for full cost recovery. </w:t>
      </w:r>
    </w:p>
    <w:p w14:paraId="60C560E9" w14:textId="1EE53A8B" w:rsidR="005B699B" w:rsidRDefault="005B699B" w:rsidP="00343655">
      <w:pPr>
        <w:pStyle w:val="Body"/>
      </w:pPr>
      <w:r>
        <w:t>Recommended fees are outlined in the policies on the</w:t>
      </w:r>
      <w:r w:rsidR="00EC2DB1">
        <w:t xml:space="preserve"> department’s</w:t>
      </w:r>
      <w:r>
        <w:t xml:space="preserve"> </w:t>
      </w:r>
      <w:hyperlink r:id="rId49" w:history="1">
        <w:r w:rsidRPr="00B75888">
          <w:rPr>
            <w:rStyle w:val="Hyperlink"/>
          </w:rPr>
          <w:t>Patient fees and charges for public health service</w:t>
        </w:r>
        <w:r w:rsidR="00EC2DB1">
          <w:rPr>
            <w:rStyle w:val="Hyperlink"/>
          </w:rPr>
          <w:t>s webpage</w:t>
        </w:r>
      </w:hyperlink>
      <w:r>
        <w:t xml:space="preserve"> &lt;</w:t>
      </w:r>
      <w:r w:rsidRPr="00B71843">
        <w:t>https://www.health.vic.gov.au/hospitals-and-health-services/patient-fees-and-charges-for-public-health-services</w:t>
      </w:r>
      <w:r>
        <w:t>&gt;.</w:t>
      </w:r>
    </w:p>
    <w:p w14:paraId="0F23AAEE" w14:textId="30B92C2B" w:rsidR="005B699B" w:rsidRPr="0054536C" w:rsidRDefault="005B699B" w:rsidP="00B448AC">
      <w:pPr>
        <w:pStyle w:val="Heading2"/>
        <w:numPr>
          <w:ilvl w:val="1"/>
          <w:numId w:val="12"/>
        </w:numPr>
        <w:ind w:left="709" w:hanging="709"/>
      </w:pPr>
      <w:bookmarkStart w:id="1641" w:name="_Toc165961808"/>
      <w:bookmarkStart w:id="1642" w:name="_Toc201148239"/>
      <w:r>
        <w:t xml:space="preserve">Cross-border </w:t>
      </w:r>
      <w:r w:rsidRPr="00361A32">
        <w:t>patients</w:t>
      </w:r>
      <w:bookmarkEnd w:id="1641"/>
      <w:bookmarkEnd w:id="1642"/>
    </w:p>
    <w:p w14:paraId="66612F98" w14:textId="77777777" w:rsidR="005B699B" w:rsidRDefault="005B699B" w:rsidP="005B699B">
      <w:pPr>
        <w:pStyle w:val="Body"/>
      </w:pPr>
      <w:r>
        <w:t>The department allocates funding according to the expected activity levels. Normally, the department estimates its expected revenue for a relevant financial year (Commonwealth, state, net cross-border funding) and sets aside funding for known commitments to be incurred during the financial year.</w:t>
      </w:r>
    </w:p>
    <w:p w14:paraId="396BD0D5" w14:textId="77777777" w:rsidR="005B699B" w:rsidRDefault="005B699B" w:rsidP="005B699B">
      <w:pPr>
        <w:pStyle w:val="Body"/>
      </w:pPr>
      <w:r w:rsidRPr="00112A8E">
        <w:t xml:space="preserve">In general, funded organisations are cash-flowed during the financial year according to their funding allocations. </w:t>
      </w:r>
      <w:r>
        <w:t>Funded organisations are expected to manage their resident and non-resident demand based on the funding provided.</w:t>
      </w:r>
    </w:p>
    <w:p w14:paraId="78374375" w14:textId="4D889F04" w:rsidR="005B699B" w:rsidRDefault="005B699B" w:rsidP="005B699B">
      <w:pPr>
        <w:pStyle w:val="Body"/>
      </w:pPr>
      <w:r w:rsidRPr="00112A8E">
        <w:t>Where required, adjustments to this funding for over- and underactivity are made in the following financial year accordin</w:t>
      </w:r>
      <w:r>
        <w:t xml:space="preserve">g to the policies set out in </w:t>
      </w:r>
      <w:r w:rsidR="00F05255">
        <w:t>s</w:t>
      </w:r>
      <w:r w:rsidR="00EF74B0">
        <w:t xml:space="preserve">ection </w:t>
      </w:r>
      <w:r>
        <w:fldChar w:fldCharType="begin"/>
      </w:r>
      <w:r>
        <w:instrText xml:space="preserve"> REF _Ref142493085 \r \h </w:instrText>
      </w:r>
      <w:r>
        <w:fldChar w:fldCharType="separate"/>
      </w:r>
      <w:r w:rsidR="007D262B">
        <w:t>9</w:t>
      </w:r>
      <w:r>
        <w:fldChar w:fldCharType="end"/>
      </w:r>
      <w:r>
        <w:t xml:space="preserve"> </w:t>
      </w:r>
      <w:r w:rsidR="00EC2DB1">
        <w:t>‘</w:t>
      </w:r>
      <w:r>
        <w:fldChar w:fldCharType="begin"/>
      </w:r>
      <w:r>
        <w:instrText xml:space="preserve"> REF _Ref142493085 \h </w:instrText>
      </w:r>
      <w:r>
        <w:fldChar w:fldCharType="separate"/>
      </w:r>
      <w:r w:rsidR="007D262B">
        <w:t>Prior-year adjustment: activity-based funding reconciliation</w:t>
      </w:r>
      <w:r>
        <w:fldChar w:fldCharType="end"/>
      </w:r>
      <w:r w:rsidR="00EC2DB1">
        <w:t>’</w:t>
      </w:r>
      <w:r>
        <w:t xml:space="preserve">. The prior-year adjustment policy does not make adjustments for changes </w:t>
      </w:r>
      <w:r w:rsidRPr="001C45DE">
        <w:t>for annual variations in this cohort</w:t>
      </w:r>
      <w:r>
        <w:t>.</w:t>
      </w:r>
    </w:p>
    <w:p w14:paraId="7B23D5AA" w14:textId="19EFD98C" w:rsidR="005B699B" w:rsidRDefault="005B699B" w:rsidP="005B699B">
      <w:pPr>
        <w:pStyle w:val="Body"/>
      </w:pPr>
      <w:r>
        <w:t xml:space="preserve">In accordance with </w:t>
      </w:r>
      <w:r w:rsidR="00EC2DB1">
        <w:t xml:space="preserve">clause </w:t>
      </w:r>
      <w:r>
        <w:t xml:space="preserve">A91 of the NHRA, cross-border agreements are developed between jurisdictions that experience significant cross-border flows. The department negotiates agreements with all other states and territories (jurisdictions), based on a standard agreement. These agreements form the basis of the flow of funds between Victoria and other jurisdictions for residents treated from those jurisdictions. Annual reconciliations of cross-border flows occur to determine the liability of each jurisdiction. This revenue/liability is then factored into the revenue </w:t>
      </w:r>
      <w:r w:rsidRPr="00696BE3">
        <w:t>available</w:t>
      </w:r>
      <w:r>
        <w:t xml:space="preserve"> for redistribution as part of the modelled budget each year.</w:t>
      </w:r>
    </w:p>
    <w:p w14:paraId="28C8C5D5" w14:textId="77777777" w:rsidR="005B699B" w:rsidRDefault="005B699B" w:rsidP="005B699B">
      <w:pPr>
        <w:pStyle w:val="Body"/>
      </w:pPr>
      <w:r>
        <w:t>Under these agreements, a</w:t>
      </w:r>
      <w:r w:rsidRPr="001C45DE">
        <w:t xml:space="preserve">ll financial transactions </w:t>
      </w:r>
      <w:r>
        <w:t>are to be transacted by the relevant health departments and not through interagency transfers (for example, hospital to hospital or state health department to hospital).</w:t>
      </w:r>
    </w:p>
    <w:p w14:paraId="395A4596" w14:textId="77777777" w:rsidR="005B699B" w:rsidRPr="00A420BD" w:rsidRDefault="005B699B" w:rsidP="005B699B">
      <w:pPr>
        <w:pStyle w:val="Body"/>
      </w:pPr>
      <w:r>
        <w:t xml:space="preserve">Under the cross-border agreements, there is an exemption for high-cost procedures. </w:t>
      </w:r>
      <w:r w:rsidRPr="00A420BD">
        <w:t>A high</w:t>
      </w:r>
      <w:r>
        <w:t>-</w:t>
      </w:r>
      <w:r w:rsidRPr="00A420BD">
        <w:t xml:space="preserve">cost procedure is </w:t>
      </w:r>
      <w:r>
        <w:t xml:space="preserve">defined as </w:t>
      </w:r>
      <w:r w:rsidRPr="00A420BD">
        <w:t>a procedure that is not reasonably funded by the existing classification system and cost weights and are agreed to at a jurisdictional level prospectively on a case</w:t>
      </w:r>
      <w:r>
        <w:t>-</w:t>
      </w:r>
      <w:r w:rsidRPr="00A420BD">
        <w:t>by</w:t>
      </w:r>
      <w:r>
        <w:t>-</w:t>
      </w:r>
      <w:r w:rsidRPr="00A420BD">
        <w:t>case basis. For the avoidance of doubt, this definition excludes experimental procedures.</w:t>
      </w:r>
    </w:p>
    <w:p w14:paraId="572C50BA" w14:textId="77777777" w:rsidR="005B699B" w:rsidRPr="00A420BD" w:rsidRDefault="005B699B" w:rsidP="00343655">
      <w:pPr>
        <w:pStyle w:val="Body"/>
        <w:keepNext/>
        <w:keepLines/>
      </w:pPr>
      <w:r w:rsidRPr="00A420BD">
        <w:t>Admitted acute high</w:t>
      </w:r>
      <w:r>
        <w:t>-</w:t>
      </w:r>
      <w:r w:rsidRPr="00A420BD">
        <w:t>cost procedures (</w:t>
      </w:r>
      <w:r>
        <w:t>for example,</w:t>
      </w:r>
      <w:r w:rsidRPr="00A420BD">
        <w:t xml:space="preserve"> those funded by </w:t>
      </w:r>
      <w:r>
        <w:t>NWAU</w:t>
      </w:r>
      <w:r w:rsidRPr="00A420BD">
        <w:t>) are defined by procedures that:</w:t>
      </w:r>
    </w:p>
    <w:p w14:paraId="5A21C31D" w14:textId="77777777" w:rsidR="005B699B" w:rsidRPr="00A420BD" w:rsidRDefault="005B699B" w:rsidP="004537E5">
      <w:pPr>
        <w:pStyle w:val="Bullet1"/>
        <w:numPr>
          <w:ilvl w:val="0"/>
          <w:numId w:val="24"/>
        </w:numPr>
      </w:pPr>
      <w:r>
        <w:t>are provided at limited sites nationally</w:t>
      </w:r>
    </w:p>
    <w:p w14:paraId="5C471DAE" w14:textId="77777777" w:rsidR="005B699B" w:rsidRPr="00A420BD" w:rsidRDefault="005B699B" w:rsidP="004537E5">
      <w:pPr>
        <w:pStyle w:val="Bullet1"/>
        <w:numPr>
          <w:ilvl w:val="0"/>
          <w:numId w:val="24"/>
        </w:numPr>
      </w:pPr>
      <w:r>
        <w:t>have low volume (&lt; 200 separations nationally)</w:t>
      </w:r>
    </w:p>
    <w:p w14:paraId="2F4A7680" w14:textId="0B7F56FE" w:rsidR="005B699B" w:rsidRPr="00A420BD" w:rsidRDefault="005B699B" w:rsidP="004537E5">
      <w:pPr>
        <w:pStyle w:val="Bullet1"/>
        <w:numPr>
          <w:ilvl w:val="0"/>
          <w:numId w:val="24"/>
        </w:numPr>
      </w:pPr>
      <w:r>
        <w:t xml:space="preserve">cost significantly more (&gt; $20,000) than the funding provided based on the relevant year’s </w:t>
      </w:r>
      <w:hyperlink r:id="rId50" w:history="1">
        <w:r w:rsidR="00E91D2E" w:rsidRPr="00E91D2E">
          <w:rPr>
            <w:rStyle w:val="Hyperlink"/>
          </w:rPr>
          <w:t>N</w:t>
        </w:r>
        <w:r w:rsidR="00EC2DB1">
          <w:rPr>
            <w:rStyle w:val="Hyperlink"/>
          </w:rPr>
          <w:t xml:space="preserve">ational </w:t>
        </w:r>
        <w:r w:rsidR="00E91D2E" w:rsidRPr="00E91D2E">
          <w:rPr>
            <w:rStyle w:val="Hyperlink"/>
          </w:rPr>
          <w:t>E</w:t>
        </w:r>
        <w:r w:rsidR="00EC2DB1">
          <w:rPr>
            <w:rStyle w:val="Hyperlink"/>
          </w:rPr>
          <w:t xml:space="preserve">ffidient </w:t>
        </w:r>
        <w:r w:rsidR="00E91D2E" w:rsidRPr="00E91D2E">
          <w:rPr>
            <w:rStyle w:val="Hyperlink"/>
          </w:rPr>
          <w:t>P</w:t>
        </w:r>
        <w:r w:rsidR="00EC2DB1">
          <w:rPr>
            <w:rStyle w:val="Hyperlink"/>
          </w:rPr>
          <w:t>rice</w:t>
        </w:r>
        <w:r w:rsidR="00E91D2E" w:rsidRPr="00E91D2E">
          <w:rPr>
            <w:rStyle w:val="Hyperlink"/>
          </w:rPr>
          <w:t xml:space="preserve"> </w:t>
        </w:r>
        <w:r w:rsidR="00F32A5C">
          <w:rPr>
            <w:rStyle w:val="Hyperlink"/>
          </w:rPr>
          <w:t>D</w:t>
        </w:r>
        <w:r w:rsidR="00E91D2E" w:rsidRPr="00E91D2E">
          <w:rPr>
            <w:rStyle w:val="Hyperlink"/>
          </w:rPr>
          <w:t>etermination</w:t>
        </w:r>
      </w:hyperlink>
      <w:r>
        <w:t xml:space="preserve"> &lt;</w:t>
      </w:r>
      <w:r w:rsidRPr="005F7369">
        <w:t>https://www.ihacpa.gov.au/pricing/national-efficient-price-determination</w:t>
      </w:r>
      <w:r>
        <w:t>&gt;.</w:t>
      </w:r>
    </w:p>
    <w:p w14:paraId="2B7BE59D" w14:textId="6ECC236D" w:rsidR="00EC2DB1" w:rsidRDefault="005B699B" w:rsidP="00EC2DB1">
      <w:pPr>
        <w:pStyle w:val="Bodyafterbullets"/>
      </w:pPr>
      <w:r>
        <w:t xml:space="preserve">Prior to the procedure, hospitals </w:t>
      </w:r>
      <w:r w:rsidRPr="006F35AF">
        <w:t xml:space="preserve">may seek </w:t>
      </w:r>
      <w:r>
        <w:t xml:space="preserve">this exemption (in limited circumstances) </w:t>
      </w:r>
      <w:r w:rsidRPr="006F35AF">
        <w:t>from the department for services classified as high</w:t>
      </w:r>
      <w:r>
        <w:t>-</w:t>
      </w:r>
      <w:r w:rsidRPr="006F35AF">
        <w:t xml:space="preserve">cost </w:t>
      </w:r>
      <w:r w:rsidRPr="00EC2DB1">
        <w:t>procedures</w:t>
      </w:r>
      <w:r w:rsidRPr="006F35AF">
        <w:t xml:space="preserve"> and</w:t>
      </w:r>
      <w:r>
        <w:t xml:space="preserve"> that will be</w:t>
      </w:r>
      <w:r w:rsidRPr="006F35AF">
        <w:t xml:space="preserve"> provided to patients who reside in another </w:t>
      </w:r>
      <w:r>
        <w:t>s</w:t>
      </w:r>
      <w:r w:rsidRPr="006F35AF">
        <w:t xml:space="preserve">tate or </w:t>
      </w:r>
      <w:r>
        <w:t>t</w:t>
      </w:r>
      <w:r w:rsidRPr="006F35AF">
        <w:t xml:space="preserve">erritory. </w:t>
      </w:r>
    </w:p>
    <w:p w14:paraId="56B0E19E" w14:textId="33BB175C" w:rsidR="005B699B" w:rsidRDefault="005B699B" w:rsidP="00343655">
      <w:pPr>
        <w:pStyle w:val="Body"/>
      </w:pPr>
      <w:r w:rsidRPr="006F35AF">
        <w:t>Subject to meeting the definition of a high</w:t>
      </w:r>
      <w:r>
        <w:t>-</w:t>
      </w:r>
      <w:r w:rsidRPr="006F35AF">
        <w:t>cost procedure and complying with the agre</w:t>
      </w:r>
      <w:r>
        <w:t xml:space="preserve">ed criteria and process, </w:t>
      </w:r>
      <w:r w:rsidRPr="006F35AF">
        <w:t xml:space="preserve">hospitals may be paid a </w:t>
      </w:r>
      <w:r w:rsidRPr="00EC2DB1">
        <w:t>supplementary</w:t>
      </w:r>
      <w:r w:rsidRPr="006F35AF">
        <w:t xml:space="preserve"> payment by the </w:t>
      </w:r>
      <w:r>
        <w:t>d</w:t>
      </w:r>
      <w:r w:rsidRPr="006F35AF">
        <w:t>epartment through the prior</w:t>
      </w:r>
      <w:r>
        <w:t>-</w:t>
      </w:r>
      <w:r w:rsidRPr="006F35AF">
        <w:t xml:space="preserve">year adjustment process to meet the difference between the </w:t>
      </w:r>
      <w:r>
        <w:t>d</w:t>
      </w:r>
      <w:r w:rsidRPr="006F35AF">
        <w:t>epartment’s funding allocation and the actual cost of the procedure paid by the resident’s jurisdiction.</w:t>
      </w:r>
    </w:p>
    <w:p w14:paraId="5ACC516C" w14:textId="77777777" w:rsidR="005B699B" w:rsidRDefault="005B699B" w:rsidP="005B699B">
      <w:pPr>
        <w:pStyle w:val="Body"/>
      </w:pPr>
      <w:r>
        <w:lastRenderedPageBreak/>
        <w:t>Hospitals should advise the department in advance (wherever possible) and care to non-resident patients should not be subject to, or impacted by, financial arrangements and should be based on standard clinical protocols.</w:t>
      </w:r>
    </w:p>
    <w:p w14:paraId="5982F686" w14:textId="2658B27F" w:rsidR="005B699B" w:rsidRDefault="005B699B" w:rsidP="005B699B">
      <w:pPr>
        <w:pStyle w:val="Body"/>
      </w:pPr>
      <w:r>
        <w:t>H</w:t>
      </w:r>
      <w:r w:rsidRPr="006F35AF">
        <w:t xml:space="preserve">ospitals may not seek an </w:t>
      </w:r>
      <w:r w:rsidRPr="00A21C4E">
        <w:t>exemption for NFC procedures, as the funding for these procedures are already</w:t>
      </w:r>
      <w:r w:rsidRPr="006F35AF">
        <w:t xml:space="preserve"> shared by jurisdictions and set annually by the </w:t>
      </w:r>
      <w:r>
        <w:t>Health Chief Executives Forum</w:t>
      </w:r>
      <w:r w:rsidRPr="006F35AF">
        <w:t>.</w:t>
      </w:r>
    </w:p>
    <w:p w14:paraId="7727A849" w14:textId="221644DF" w:rsidR="006B2A54" w:rsidRPr="00736CC1" w:rsidRDefault="006B2A54" w:rsidP="00B448AC">
      <w:pPr>
        <w:pStyle w:val="Heading2"/>
        <w:numPr>
          <w:ilvl w:val="1"/>
          <w:numId w:val="12"/>
        </w:numPr>
        <w:ind w:left="709" w:hanging="709"/>
      </w:pPr>
      <w:bookmarkStart w:id="1643" w:name="_Toc201148240"/>
      <w:r w:rsidRPr="00736CC1">
        <w:t>Private patients in public hospitals</w:t>
      </w:r>
      <w:bookmarkEnd w:id="1643"/>
    </w:p>
    <w:p w14:paraId="746DEFBC" w14:textId="24A48573" w:rsidR="006B2A54" w:rsidRPr="00722E00" w:rsidRDefault="00FD3FB9" w:rsidP="00B448AC">
      <w:pPr>
        <w:pStyle w:val="Heading3"/>
        <w:numPr>
          <w:ilvl w:val="2"/>
          <w:numId w:val="12"/>
        </w:numPr>
      </w:pPr>
      <w:r w:rsidRPr="00722E00">
        <w:t>P</w:t>
      </w:r>
      <w:r w:rsidR="00892423" w:rsidRPr="00722E00">
        <w:t>atients</w:t>
      </w:r>
      <w:r w:rsidR="00866593" w:rsidRPr="00722E00">
        <w:t xml:space="preserve"> who elect to be a private patient</w:t>
      </w:r>
    </w:p>
    <w:p w14:paraId="7F9C4BF1" w14:textId="52E3BEE6" w:rsidR="000B0614" w:rsidRPr="00722E00" w:rsidRDefault="00C24905" w:rsidP="000B0614">
      <w:pPr>
        <w:pStyle w:val="Body"/>
      </w:pPr>
      <w:r w:rsidRPr="00722E00">
        <w:t>Under the NHRA consumers</w:t>
      </w:r>
      <w:r w:rsidR="000B0614" w:rsidRPr="00722E00">
        <w:t xml:space="preserve"> have the right to elect to be treated as either public or private patients within </w:t>
      </w:r>
      <w:r w:rsidR="00FD7C67" w:rsidRPr="00722E00">
        <w:t xml:space="preserve">states’ </w:t>
      </w:r>
      <w:r w:rsidR="000B0614" w:rsidRPr="00722E00">
        <w:t>public hospitals, regardless of their private health insurance status.</w:t>
      </w:r>
    </w:p>
    <w:p w14:paraId="2B0AD28E" w14:textId="77777777" w:rsidR="00C44D48" w:rsidRPr="00722E00" w:rsidRDefault="006A3116" w:rsidP="006A3116">
      <w:pPr>
        <w:pStyle w:val="Body"/>
      </w:pPr>
      <w:r w:rsidRPr="00722E00">
        <w:t xml:space="preserve">An eligible patient presenting at a public hospital emergency department will be treated as a public patient, before any clinical decision to admit. </w:t>
      </w:r>
    </w:p>
    <w:p w14:paraId="50E524C2" w14:textId="7D87D6EB" w:rsidR="006A3116" w:rsidRPr="00722E00" w:rsidRDefault="006A3116" w:rsidP="006A3116">
      <w:pPr>
        <w:pStyle w:val="Body"/>
      </w:pPr>
      <w:r w:rsidRPr="00722E00">
        <w:t xml:space="preserve">On admission, the patient will be given the choice to be a public or private patient in accordance with the National Standards for Public Hospital Admitted Patient Election processes (unless a third party has entered into an arrangement with the hospital or the </w:t>
      </w:r>
      <w:r w:rsidR="00C44D48" w:rsidRPr="00722E00">
        <w:t>s</w:t>
      </w:r>
      <w:r w:rsidRPr="00722E00">
        <w:t>tate to pay for such services).</w:t>
      </w:r>
    </w:p>
    <w:p w14:paraId="709D9667" w14:textId="104ECC51" w:rsidR="00E32B9C" w:rsidRPr="00722E00" w:rsidRDefault="00DE543A" w:rsidP="00E32B9C">
      <w:pPr>
        <w:pStyle w:val="Body"/>
      </w:pPr>
      <w:r w:rsidRPr="00722E00">
        <w:t>Under the NHRA</w:t>
      </w:r>
      <w:r w:rsidR="007B2DBC" w:rsidRPr="00722E00">
        <w:t xml:space="preserve"> </w:t>
      </w:r>
      <w:r w:rsidR="00E32B9C" w:rsidRPr="00722E00">
        <w:t>funding models will be financially neutral with respect to all patients, regardless of whether patients elect to be private or public</w:t>
      </w:r>
      <w:r w:rsidRPr="00722E00">
        <w:t>.</w:t>
      </w:r>
    </w:p>
    <w:p w14:paraId="1EB775E0" w14:textId="4ACB233B" w:rsidR="00E32B9C" w:rsidRDefault="00413399" w:rsidP="006A3116">
      <w:pPr>
        <w:pStyle w:val="Body"/>
      </w:pPr>
      <w:r w:rsidRPr="00722E00">
        <w:t xml:space="preserve">Private patient activity </w:t>
      </w:r>
      <w:r w:rsidR="001066D5" w:rsidRPr="00722E00">
        <w:t xml:space="preserve">in public hospital </w:t>
      </w:r>
      <w:r w:rsidR="00817CE7" w:rsidRPr="00722E00">
        <w:t>do</w:t>
      </w:r>
      <w:r w:rsidRPr="00722E00">
        <w:t xml:space="preserve"> not attract public hospital funding</w:t>
      </w:r>
      <w:r w:rsidR="00BB16B7" w:rsidRPr="00722E00">
        <w:t xml:space="preserve"> under the NHRA</w:t>
      </w:r>
      <w:r w:rsidRPr="00722E00">
        <w:t>.</w:t>
      </w:r>
    </w:p>
    <w:p w14:paraId="33BAACE8" w14:textId="77777777" w:rsidR="006669B2" w:rsidRDefault="006669B2" w:rsidP="004537E5">
      <w:pPr>
        <w:pStyle w:val="Heading3"/>
        <w:numPr>
          <w:ilvl w:val="2"/>
          <w:numId w:val="12"/>
        </w:numPr>
      </w:pPr>
      <w:r>
        <w:t>Medicare Benefits Schedule-billed services</w:t>
      </w:r>
    </w:p>
    <w:p w14:paraId="1B881C5F" w14:textId="3D1767CD" w:rsidR="006669B2" w:rsidRPr="009D762E" w:rsidRDefault="006669B2" w:rsidP="006669B2">
      <w:pPr>
        <w:pStyle w:val="Body"/>
      </w:pPr>
      <w:r w:rsidRPr="00CA340F">
        <w:t>MBS</w:t>
      </w:r>
      <w:r>
        <w:t>-</w:t>
      </w:r>
      <w:r w:rsidRPr="00CA340F">
        <w:t xml:space="preserve">billed services are outside the scope of the NHRA and do not attract NWAU funding. </w:t>
      </w:r>
      <w:r>
        <w:t>A</w:t>
      </w:r>
      <w:r w:rsidRPr="00CA340F">
        <w:t xml:space="preserve">ctivity </w:t>
      </w:r>
      <w:r w:rsidR="00C44D48">
        <w:t>that</w:t>
      </w:r>
      <w:r w:rsidR="00C44D48" w:rsidRPr="00CA340F">
        <w:t xml:space="preserve"> </w:t>
      </w:r>
      <w:r w:rsidRPr="00CA340F">
        <w:t xml:space="preserve">is MBS-billed must be reported as such to enable the department to monitor compliance with applicable legislation and to meet the department’s obligations under the NHRA. </w:t>
      </w:r>
    </w:p>
    <w:p w14:paraId="4FB5250E" w14:textId="77777777" w:rsidR="006669B2" w:rsidRDefault="006669B2" w:rsidP="006669B2">
      <w:pPr>
        <w:pStyle w:val="Body"/>
      </w:pPr>
      <w:r>
        <w:t xml:space="preserve">The </w:t>
      </w:r>
      <w:r w:rsidRPr="000A5843">
        <w:rPr>
          <w:i/>
          <w:iCs/>
        </w:rPr>
        <w:t>MBS billing policy framework: Victorian public hospitals policy</w:t>
      </w:r>
      <w:r>
        <w:t xml:space="preserve"> states the mandatory requirements that apply to Victorian public hospitals billing under the MBS on behalf of health practitioners exercising a right of private practice. The </w:t>
      </w:r>
      <w:r w:rsidRPr="00CB3E33">
        <w:rPr>
          <w:i/>
          <w:iCs/>
        </w:rPr>
        <w:t xml:space="preserve">MBS billing policy in Victorian public hospitals: Interpretive </w:t>
      </w:r>
      <w:r w:rsidRPr="004D0421">
        <w:rPr>
          <w:i/>
          <w:iCs/>
        </w:rPr>
        <w:t>guidelines for best practice</w:t>
      </w:r>
      <w:r>
        <w:t xml:space="preserve"> document interprets the relevant Commonwealth and Victorian policies, legislations and agreements and how they apply to the policy document mentioned above. This guidance document is to be read in conjunction with the policy document. </w:t>
      </w:r>
    </w:p>
    <w:p w14:paraId="735B5AEE" w14:textId="39B72C68" w:rsidR="006669B2" w:rsidRPr="00CA340F" w:rsidRDefault="006669B2" w:rsidP="006669B2">
      <w:pPr>
        <w:pStyle w:val="Body"/>
      </w:pPr>
      <w:r>
        <w:t xml:space="preserve">These documents are available </w:t>
      </w:r>
      <w:r w:rsidR="00C44D48">
        <w:t xml:space="preserve">on the department’s </w:t>
      </w:r>
      <w:hyperlink r:id="rId51" w:history="1">
        <w:r w:rsidR="00C44D48" w:rsidRPr="00C44D48">
          <w:rPr>
            <w:rStyle w:val="Hyperlink"/>
          </w:rPr>
          <w:t>MBS billing policy framework webpage</w:t>
        </w:r>
      </w:hyperlink>
      <w:r w:rsidR="00C44D48">
        <w:t xml:space="preserve"> </w:t>
      </w:r>
      <w:r w:rsidRPr="00330CB7">
        <w:t>&lt;https://www.health.vic.gov.au/funding-performance-</w:t>
      </w:r>
      <w:r w:rsidRPr="00CA340F">
        <w:t>accountability/mbs-billing-policy-framework-victorian-public-hospitals&gt;.</w:t>
      </w:r>
    </w:p>
    <w:p w14:paraId="1FD457E2" w14:textId="13DA21D9" w:rsidR="006669B2" w:rsidRDefault="006669B2" w:rsidP="005B699B">
      <w:pPr>
        <w:pStyle w:val="Body"/>
        <w:rPr>
          <w:strike/>
        </w:rPr>
      </w:pPr>
      <w:r w:rsidRPr="00CA340F">
        <w:t>Health services may operate parallel public NWAU-funded non-admitted clinics under the NHRA and MBS-billed clinics, but MBS-billed clinics can only be provided if the same service is provided on a public basis.</w:t>
      </w:r>
    </w:p>
    <w:p w14:paraId="3B9726D6" w14:textId="4859426E" w:rsidR="007A7B1B" w:rsidRDefault="007A7B1B" w:rsidP="00B448AC">
      <w:pPr>
        <w:pStyle w:val="Heading2"/>
        <w:numPr>
          <w:ilvl w:val="1"/>
          <w:numId w:val="12"/>
        </w:numPr>
        <w:ind w:left="709" w:hanging="709"/>
      </w:pPr>
      <w:bookmarkStart w:id="1644" w:name="_Toc201148241"/>
      <w:r>
        <w:t>Prisoners</w:t>
      </w:r>
      <w:bookmarkEnd w:id="1644"/>
    </w:p>
    <w:p w14:paraId="041AC317" w14:textId="021D0B61" w:rsidR="00DA7673" w:rsidRDefault="007A7B1B" w:rsidP="00DA7673">
      <w:pPr>
        <w:pStyle w:val="Body"/>
      </w:pPr>
      <w:r>
        <w:t xml:space="preserve">Prisoners receiving admitted, emergency department and specialist clinic services in Victorian public hospitals are treated and funded as public patients. </w:t>
      </w:r>
    </w:p>
    <w:p w14:paraId="69C49E0A" w14:textId="71960D8B" w:rsidR="007A7B1B" w:rsidRDefault="00DA7673" w:rsidP="00DA7673">
      <w:pPr>
        <w:pStyle w:val="Body"/>
      </w:pPr>
      <w:r>
        <w:t>H</w:t>
      </w:r>
      <w:r w:rsidR="007A7B1B">
        <w:t xml:space="preserve">ealth services should not bill the Department of Justice and </w:t>
      </w:r>
      <w:r w:rsidR="00C44D48">
        <w:t>Community Services</w:t>
      </w:r>
      <w:r w:rsidR="007A7B1B">
        <w:t xml:space="preserve"> via primary care providers for these services provided to prisoners.</w:t>
      </w:r>
    </w:p>
    <w:p w14:paraId="10B7CB00" w14:textId="3846D4A2" w:rsidR="00BB16B7" w:rsidRDefault="007A7B1B" w:rsidP="006B3D72">
      <w:pPr>
        <w:pStyle w:val="Body"/>
      </w:pPr>
      <w:r>
        <w:lastRenderedPageBreak/>
        <w:t>Health services are not permitted to raise additional fees or charges for pharmaceuticals or other items described in</w:t>
      </w:r>
      <w:r w:rsidR="00DE7121">
        <w:t xml:space="preserve"> Section </w:t>
      </w:r>
      <w:r w:rsidR="00DE7121">
        <w:fldChar w:fldCharType="begin"/>
      </w:r>
      <w:r w:rsidR="00DE7121">
        <w:instrText xml:space="preserve"> REF _Ref199318544 \r \h </w:instrText>
      </w:r>
      <w:r w:rsidR="00DE7121">
        <w:fldChar w:fldCharType="separate"/>
      </w:r>
      <w:r w:rsidR="007D262B">
        <w:t>11.2</w:t>
      </w:r>
      <w:r w:rsidR="00DE7121">
        <w:fldChar w:fldCharType="end"/>
      </w:r>
      <w:r w:rsidR="00DE7121">
        <w:t xml:space="preserve"> </w:t>
      </w:r>
      <w:r w:rsidR="00DE7121">
        <w:fldChar w:fldCharType="begin"/>
      </w:r>
      <w:r w:rsidR="00DE7121">
        <w:instrText xml:space="preserve"> REF _Ref199318547 \h </w:instrText>
      </w:r>
      <w:r w:rsidR="00DE7121">
        <w:fldChar w:fldCharType="separate"/>
      </w:r>
      <w:r w:rsidR="007D262B">
        <w:t>Health service fees and charges</w:t>
      </w:r>
      <w:r w:rsidR="00DE7121">
        <w:fldChar w:fldCharType="end"/>
      </w:r>
      <w:r w:rsidR="00DE7121">
        <w:t>.</w:t>
      </w:r>
    </w:p>
    <w:p w14:paraId="10385C8E" w14:textId="1526E8A5" w:rsidR="005B699B" w:rsidRPr="00E91D2E" w:rsidRDefault="005B699B" w:rsidP="006B3D72">
      <w:pPr>
        <w:pStyle w:val="Body"/>
      </w:pPr>
      <w:r>
        <w:br w:type="page"/>
      </w:r>
    </w:p>
    <w:p w14:paraId="5D438050" w14:textId="0660780C" w:rsidR="005B699B" w:rsidRPr="00AF18F3" w:rsidRDefault="005B699B" w:rsidP="00B718DB">
      <w:pPr>
        <w:pStyle w:val="Heading1"/>
        <w:numPr>
          <w:ilvl w:val="0"/>
          <w:numId w:val="12"/>
        </w:numPr>
        <w:ind w:left="709" w:hanging="709"/>
        <w:rPr>
          <w:rFonts w:eastAsia="Arial"/>
        </w:rPr>
      </w:pPr>
      <w:bookmarkStart w:id="1645" w:name="_Toc100263336"/>
      <w:bookmarkStart w:id="1646" w:name="_Toc165961809"/>
      <w:bookmarkStart w:id="1647" w:name="_Toc201148242"/>
      <w:r>
        <w:lastRenderedPageBreak/>
        <w:t xml:space="preserve">Improving </w:t>
      </w:r>
      <w:r w:rsidRPr="00361A32">
        <w:t>health</w:t>
      </w:r>
      <w:r>
        <w:t xml:space="preserve"> outcomes for Aboriginal and Torres Strait Islander patients</w:t>
      </w:r>
      <w:bookmarkEnd w:id="1645"/>
      <w:bookmarkEnd w:id="1646"/>
      <w:bookmarkEnd w:id="1647"/>
      <w:r w:rsidR="007458EC">
        <w:t xml:space="preserve"> </w:t>
      </w:r>
    </w:p>
    <w:p w14:paraId="498AFE2E" w14:textId="4B6F0DED" w:rsidR="008D6460" w:rsidRDefault="008D6460" w:rsidP="00A65D05">
      <w:pPr>
        <w:pStyle w:val="Body"/>
      </w:pPr>
      <w:r>
        <w:t>As part of the national funding model,</w:t>
      </w:r>
      <w:r w:rsidRPr="00D96718">
        <w:t xml:space="preserve"> </w:t>
      </w:r>
      <w:r>
        <w:t>a</w:t>
      </w:r>
      <w:r w:rsidRPr="00D96718">
        <w:t xml:space="preserve">ll </w:t>
      </w:r>
      <w:r w:rsidR="005B699B" w:rsidRPr="00D96718">
        <w:t>health services receive a pricing adjustment</w:t>
      </w:r>
      <w:r>
        <w:t xml:space="preserve"> </w:t>
      </w:r>
      <w:r w:rsidR="005B699B" w:rsidRPr="00D96718">
        <w:t xml:space="preserve">to support culturally safe services </w:t>
      </w:r>
      <w:r w:rsidR="008C1AAF">
        <w:t>for</w:t>
      </w:r>
      <w:r w:rsidR="008C1AAF" w:rsidRPr="00D96718">
        <w:t xml:space="preserve"> </w:t>
      </w:r>
      <w:r w:rsidR="005B699B" w:rsidRPr="00D96718">
        <w:t xml:space="preserve">Aboriginal patients. </w:t>
      </w:r>
    </w:p>
    <w:p w14:paraId="50215BD3" w14:textId="56C01ECA" w:rsidR="008D6460" w:rsidRDefault="005B699B" w:rsidP="00A65D05">
      <w:pPr>
        <w:pStyle w:val="Body"/>
      </w:pPr>
      <w:r w:rsidRPr="00AE6427">
        <w:t>In addition, health services with larger Ab</w:t>
      </w:r>
      <w:r w:rsidRPr="009E5137">
        <w:t xml:space="preserve">original populations across their catchment receive </w:t>
      </w:r>
      <w:r w:rsidRPr="00DD4266">
        <w:t>a Commonwealth</w:t>
      </w:r>
      <w:r w:rsidR="008D6460">
        <w:t>-</w:t>
      </w:r>
      <w:r w:rsidRPr="00DD4266">
        <w:t>funded</w:t>
      </w:r>
      <w:r w:rsidRPr="009E5137">
        <w:t xml:space="preserve"> </w:t>
      </w:r>
      <w:hyperlink r:id="rId52" w:history="1">
        <w:r w:rsidRPr="00C369DB">
          <w:rPr>
            <w:rStyle w:val="Hyperlink"/>
          </w:rPr>
          <w:t>Aboriginal cultural safety fixed grant</w:t>
        </w:r>
      </w:hyperlink>
      <w:r w:rsidRPr="00AE6427">
        <w:t xml:space="preserve"> </w:t>
      </w:r>
      <w:r w:rsidRPr="009E5137">
        <w:t>&lt;https://</w:t>
      </w:r>
      <w:r w:rsidRPr="000F3F7F">
        <w:t>www</w:t>
      </w:r>
      <w:r w:rsidRPr="00AA2842">
        <w:t>.health.vic.gov.au/publications/aboriginal-cultural-safety-fixed-grant-guidelines-cultural-safety-planning-and</w:t>
      </w:r>
      <w:r w:rsidRPr="006214A1">
        <w:t>&gt;.</w:t>
      </w:r>
      <w:r w:rsidRPr="00F91AB2">
        <w:t xml:space="preserve"> </w:t>
      </w:r>
    </w:p>
    <w:p w14:paraId="019E56E8" w14:textId="0DB7681A" w:rsidR="005B699B" w:rsidRPr="002D7C8F" w:rsidRDefault="005B699B" w:rsidP="00A65D05">
      <w:pPr>
        <w:pStyle w:val="Body"/>
        <w:rPr>
          <w:rFonts w:ascii="Calibri" w:hAnsi="Calibri"/>
          <w:sz w:val="22"/>
        </w:rPr>
      </w:pPr>
      <w:r w:rsidRPr="00F91AB2">
        <w:t xml:space="preserve">This Aboriginal cultural safety funding </w:t>
      </w:r>
      <w:r>
        <w:t>aims</w:t>
      </w:r>
      <w:r w:rsidRPr="00F91AB2">
        <w:t xml:space="preserve"> to build health services’ responses to cultural safety and</w:t>
      </w:r>
      <w:r w:rsidRPr="001472D4">
        <w:t xml:space="preserve"> improve health outcomes for Aboriginal people attending Victorian public hospitals</w:t>
      </w:r>
      <w:r w:rsidRPr="005960F1">
        <w:t>.</w:t>
      </w:r>
    </w:p>
    <w:p w14:paraId="3F2C5226" w14:textId="77777777" w:rsidR="008D6460" w:rsidRDefault="005B699B" w:rsidP="005B699B">
      <w:pPr>
        <w:pStyle w:val="Body"/>
      </w:pPr>
      <w:r>
        <w:t>All health services, regardless of funding arrangements, must deliver culturally safe services</w:t>
      </w:r>
      <w:r w:rsidR="008C1AAF">
        <w:t xml:space="preserve">. </w:t>
      </w:r>
    </w:p>
    <w:p w14:paraId="5C895908" w14:textId="1E6CB978" w:rsidR="008D6460" w:rsidRDefault="008C1AAF" w:rsidP="005B699B">
      <w:pPr>
        <w:pStyle w:val="Body"/>
      </w:pPr>
      <w:r>
        <w:t xml:space="preserve">These are set out </w:t>
      </w:r>
      <w:r w:rsidR="005B699B">
        <w:t xml:space="preserve">in the Statement of Priorities </w:t>
      </w:r>
      <w:r w:rsidR="005B699B" w:rsidRPr="00DD4266">
        <w:t xml:space="preserve">and the </w:t>
      </w:r>
      <w:r w:rsidR="005B699B" w:rsidRPr="00722829">
        <w:rPr>
          <w:i/>
        </w:rPr>
        <w:t xml:space="preserve">Aboriginal Health and Wellbeing Partnership Agreement and </w:t>
      </w:r>
      <w:r w:rsidR="008D6460">
        <w:rPr>
          <w:i/>
        </w:rPr>
        <w:t>a</w:t>
      </w:r>
      <w:r w:rsidR="008D6460" w:rsidRPr="00722829">
        <w:rPr>
          <w:i/>
        </w:rPr>
        <w:t xml:space="preserve">ction </w:t>
      </w:r>
      <w:r w:rsidR="008D6460">
        <w:rPr>
          <w:i/>
        </w:rPr>
        <w:t>p</w:t>
      </w:r>
      <w:r w:rsidR="008D6460" w:rsidRPr="00722829">
        <w:rPr>
          <w:i/>
        </w:rPr>
        <w:t>lan</w:t>
      </w:r>
      <w:r w:rsidR="008D6460">
        <w:rPr>
          <w:i/>
        </w:rPr>
        <w:t xml:space="preserve"> </w:t>
      </w:r>
      <w:r w:rsidR="00F8009F" w:rsidRPr="00F8009F">
        <w:rPr>
          <w:i/>
        </w:rPr>
        <w:t>2023</w:t>
      </w:r>
      <w:r w:rsidR="008D6460">
        <w:rPr>
          <w:i/>
        </w:rPr>
        <w:t>–</w:t>
      </w:r>
      <w:r w:rsidR="00F8009F" w:rsidRPr="00F8009F">
        <w:rPr>
          <w:i/>
        </w:rPr>
        <w:t>2025</w:t>
      </w:r>
      <w:r w:rsidR="00D41593">
        <w:rPr>
          <w:i/>
        </w:rPr>
        <w:t xml:space="preserve"> </w:t>
      </w:r>
      <w:r w:rsidR="00D41593" w:rsidRPr="00D41593">
        <w:rPr>
          <w:iCs/>
        </w:rPr>
        <w:t>(2023)</w:t>
      </w:r>
      <w:r w:rsidR="005B699B" w:rsidRPr="00DD4266">
        <w:t xml:space="preserve">. </w:t>
      </w:r>
    </w:p>
    <w:p w14:paraId="74F5F551" w14:textId="77777777" w:rsidR="008D6460" w:rsidRDefault="001D61C3" w:rsidP="005B699B">
      <w:pPr>
        <w:pStyle w:val="Body"/>
      </w:pPr>
      <w:r>
        <w:t>This also reflects a Ministerial commitment made to the Yoorrook Justice Commission in 2024, which has the powers of a Royal Commission.</w:t>
      </w:r>
    </w:p>
    <w:p w14:paraId="3278AD97" w14:textId="3238572D" w:rsidR="005B699B" w:rsidRDefault="005B699B" w:rsidP="005B699B">
      <w:pPr>
        <w:pStyle w:val="Body"/>
      </w:pPr>
      <w:r w:rsidRPr="00DD4266">
        <w:t xml:space="preserve">A priority action is to ensure all funding for prevention and early intervention programs and services related to Aboriginal health and wellbeing is first offered to Aboriginal </w:t>
      </w:r>
      <w:r w:rsidR="008C1AAF" w:rsidRPr="00DD4266">
        <w:t>community</w:t>
      </w:r>
      <w:r w:rsidR="008C1AAF">
        <w:t>-</w:t>
      </w:r>
      <w:r w:rsidR="008C1AAF" w:rsidRPr="00DD4266">
        <w:t xml:space="preserve">controlled organisations </w:t>
      </w:r>
      <w:r w:rsidR="001A03E9">
        <w:t>(ACCO</w:t>
      </w:r>
      <w:r w:rsidR="008D6460">
        <w:t>s</w:t>
      </w:r>
      <w:r w:rsidR="001A03E9">
        <w:t>)</w:t>
      </w:r>
      <w:r w:rsidR="008C1AAF" w:rsidRPr="00DD4266">
        <w:t xml:space="preserve"> </w:t>
      </w:r>
      <w:r w:rsidRPr="00DD4266">
        <w:t>through appropriate procurement processes.</w:t>
      </w:r>
    </w:p>
    <w:p w14:paraId="0732B9FC" w14:textId="77777777" w:rsidR="008D6460" w:rsidRDefault="001905DD" w:rsidP="005B699B">
      <w:pPr>
        <w:pStyle w:val="Body"/>
      </w:pPr>
      <w:r>
        <w:t xml:space="preserve">In addition to the Yoorrook Justice Commission, the State of Victoria has committed to negotiations on a Statewide Treaty and local Treaties. </w:t>
      </w:r>
    </w:p>
    <w:p w14:paraId="60F1F81F" w14:textId="77777777" w:rsidR="008D6460" w:rsidRDefault="001905DD" w:rsidP="005B699B">
      <w:pPr>
        <w:pStyle w:val="Body"/>
      </w:pPr>
      <w:r>
        <w:t>Treaty is about making sure Aboriginal people have a say about matters that affect their lives and communities, including in relation to their healthcare</w:t>
      </w:r>
      <w:r w:rsidR="00314EA9">
        <w:t xml:space="preserve">. </w:t>
      </w:r>
    </w:p>
    <w:p w14:paraId="5AA8533F" w14:textId="4A259220" w:rsidR="005B699B" w:rsidRDefault="005B699B" w:rsidP="005B699B">
      <w:pPr>
        <w:pStyle w:val="Body"/>
      </w:pPr>
      <w:r>
        <w:t>Th</w:t>
      </w:r>
      <w:r w:rsidR="00314EA9">
        <w:t xml:space="preserve">ese </w:t>
      </w:r>
      <w:r w:rsidR="008D6460">
        <w:t xml:space="preserve">2 </w:t>
      </w:r>
      <w:r w:rsidR="00314EA9">
        <w:t>commitments</w:t>
      </w:r>
      <w:r w:rsidR="008D6460">
        <w:t>,</w:t>
      </w:r>
      <w:r w:rsidR="00314EA9">
        <w:t xml:space="preserve"> and the department</w:t>
      </w:r>
      <w:r w:rsidR="008D6460">
        <w:t>’</w:t>
      </w:r>
      <w:r w:rsidR="00314EA9">
        <w:t xml:space="preserve">s </w:t>
      </w:r>
      <w:r w:rsidR="00C6256B">
        <w:t>commitment</w:t>
      </w:r>
      <w:r w:rsidR="00314EA9">
        <w:t xml:space="preserve"> to cultural safety</w:t>
      </w:r>
      <w:r w:rsidR="008D6460">
        <w:t>,</w:t>
      </w:r>
      <w:r>
        <w:t xml:space="preserve"> require health services to build stronger </w:t>
      </w:r>
      <w:r w:rsidRPr="00AB23DA">
        <w:t>relationships with Aboriginal</w:t>
      </w:r>
      <w:r>
        <w:t xml:space="preserve"> Victorians and </w:t>
      </w:r>
      <w:r w:rsidR="008D6460">
        <w:t>ACCOs</w:t>
      </w:r>
      <w:r>
        <w:t xml:space="preserve"> </w:t>
      </w:r>
      <w:r w:rsidRPr="00DD4266">
        <w:t>so that</w:t>
      </w:r>
      <w:r>
        <w:t xml:space="preserve"> self-determined, culturally safe healthcare is delivered as a matter of course in public hospitals. </w:t>
      </w:r>
    </w:p>
    <w:p w14:paraId="068E719E" w14:textId="335FDEBB" w:rsidR="005B699B" w:rsidRPr="00AB23DA" w:rsidRDefault="005B699B" w:rsidP="005B699B">
      <w:pPr>
        <w:pStyle w:val="Body"/>
      </w:pPr>
      <w:r w:rsidRPr="00AB23DA">
        <w:t xml:space="preserve">Health services </w:t>
      </w:r>
      <w:r w:rsidRPr="00DD4266">
        <w:t>receiving</w:t>
      </w:r>
      <w:r>
        <w:t xml:space="preserve"> Aboriginal cultural safety fixed grant</w:t>
      </w:r>
      <w:r w:rsidRPr="00DD4266">
        <w:t>s</w:t>
      </w:r>
      <w:r>
        <w:t xml:space="preserve"> </w:t>
      </w:r>
      <w:r w:rsidR="008C1AAF">
        <w:t>must</w:t>
      </w:r>
      <w:r>
        <w:t xml:space="preserve"> provide </w:t>
      </w:r>
      <w:r w:rsidRPr="00AB23DA">
        <w:t>cultural safety plans and progress reports</w:t>
      </w:r>
      <w:r>
        <w:t xml:space="preserve"> to the department</w:t>
      </w:r>
      <w:r w:rsidR="008C1AAF">
        <w:t xml:space="preserve"> each year</w:t>
      </w:r>
      <w:r>
        <w:t>. The p</w:t>
      </w:r>
      <w:r w:rsidRPr="00AB23DA">
        <w:t xml:space="preserve">lans and progress reports outline cultural safety activity, outcomes and </w:t>
      </w:r>
      <w:r>
        <w:t>acquittal of</w:t>
      </w:r>
      <w:r w:rsidRPr="00AB23DA">
        <w:t xml:space="preserve"> the cultural safety funding</w:t>
      </w:r>
      <w:r>
        <w:t>.</w:t>
      </w:r>
    </w:p>
    <w:p w14:paraId="21A96E7A" w14:textId="77777777" w:rsidR="005B699B" w:rsidRPr="00AB23DA" w:rsidRDefault="005B699B" w:rsidP="005B699B">
      <w:pPr>
        <w:pStyle w:val="Body"/>
      </w:pPr>
      <w:r>
        <w:t>The funding will support cultural safety across the whole health service organisation, as well as support the Improving Care for Aboriginal Patients program and the Koori Mental Health Liaison Officer programs.</w:t>
      </w:r>
    </w:p>
    <w:p w14:paraId="7BFFFB02" w14:textId="77777777" w:rsidR="005B699B" w:rsidRPr="00AB23DA" w:rsidRDefault="005B699B" w:rsidP="005B699B">
      <w:pPr>
        <w:pStyle w:val="Body"/>
      </w:pPr>
      <w:r>
        <w:t xml:space="preserve">There is recurrent funding from the </w:t>
      </w:r>
      <w:r w:rsidRPr="00343655">
        <w:rPr>
          <w:i/>
          <w:iCs/>
        </w:rPr>
        <w:t>2021–22 State Budget</w:t>
      </w:r>
      <w:r>
        <w:t xml:space="preserve"> for phased recruitment of dedicated Koori Mental Health Liaison Officers in Infant, Child and Youth Area Mental and Health Services that will assist in supporting Aboriginal children, young people and families with access to culturally safe services. </w:t>
      </w:r>
    </w:p>
    <w:p w14:paraId="020C3B30" w14:textId="77777777" w:rsidR="008D6460" w:rsidRDefault="005B699B" w:rsidP="005B699B">
      <w:pPr>
        <w:pStyle w:val="Body"/>
      </w:pPr>
      <w:r w:rsidRPr="00DD4266">
        <w:t>While improved identification of Aboriginal people in mainstream health settings is a key priority, e</w:t>
      </w:r>
      <w:r>
        <w:t>mploying Aboriginal health staff is an important</w:t>
      </w:r>
      <w:r w:rsidRPr="00AB23DA">
        <w:t xml:space="preserve"> </w:t>
      </w:r>
      <w:r>
        <w:t xml:space="preserve">step in delivering culturally safe health services. </w:t>
      </w:r>
    </w:p>
    <w:p w14:paraId="02816590" w14:textId="77777777" w:rsidR="008D6460" w:rsidRDefault="005B699B" w:rsidP="005B699B">
      <w:pPr>
        <w:pStyle w:val="Body"/>
      </w:pPr>
      <w:r>
        <w:t>Aboriginal health staff includes people in both leadership and client-facing roles across the organisation</w:t>
      </w:r>
      <w:r w:rsidR="00CE3EA6">
        <w:t>.</w:t>
      </w:r>
      <w:r>
        <w:t xml:space="preserve"> </w:t>
      </w:r>
    </w:p>
    <w:p w14:paraId="27D6982C" w14:textId="77777777" w:rsidR="008D6460" w:rsidRDefault="00CE3EA6" w:rsidP="005B699B">
      <w:pPr>
        <w:pStyle w:val="Body"/>
      </w:pPr>
      <w:r>
        <w:t>These staff</w:t>
      </w:r>
      <w:r w:rsidRPr="00DD4266">
        <w:t xml:space="preserve"> </w:t>
      </w:r>
      <w:r w:rsidR="005B699B" w:rsidRPr="00DD4266">
        <w:t>play key roles in planning and delivering improved discharge and referral pathways.</w:t>
      </w:r>
      <w:r w:rsidR="005B699B">
        <w:t xml:space="preserve"> </w:t>
      </w:r>
    </w:p>
    <w:p w14:paraId="264D80E0" w14:textId="0CD37906" w:rsidR="005B699B" w:rsidRPr="00AB23DA" w:rsidRDefault="005B699B" w:rsidP="005B699B">
      <w:pPr>
        <w:pStyle w:val="Body"/>
      </w:pPr>
      <w:r>
        <w:lastRenderedPageBreak/>
        <w:t>Health services are required to identify opportunities to employ Aboriginal health staff to meet patient and community demand including for out-of-hours presentations.</w:t>
      </w:r>
    </w:p>
    <w:p w14:paraId="0655E2AD" w14:textId="3F2B6DB6" w:rsidR="005B699B" w:rsidRDefault="005B699B" w:rsidP="005B699B">
      <w:pPr>
        <w:pStyle w:val="Body"/>
      </w:pPr>
      <w:r w:rsidRPr="00AB23DA">
        <w:t>The role of Aboriginal staff is crucial to enhancing the cultural safety of Aboriginal patients and their families</w:t>
      </w:r>
      <w:r w:rsidR="00CE3EA6">
        <w:t>.</w:t>
      </w:r>
      <w:r w:rsidR="00CE3EA6" w:rsidRPr="00AB23DA">
        <w:t xml:space="preserve"> </w:t>
      </w:r>
      <w:r w:rsidR="00CE3EA6">
        <w:t>H</w:t>
      </w:r>
      <w:r w:rsidR="00CE3EA6" w:rsidRPr="00AB23DA">
        <w:t>owever</w:t>
      </w:r>
      <w:r>
        <w:t>,</w:t>
      </w:r>
      <w:r w:rsidRPr="00AB23DA">
        <w:t xml:space="preserve"> every area across the health service has responsibilities </w:t>
      </w:r>
      <w:r>
        <w:t>in</w:t>
      </w:r>
      <w:r w:rsidRPr="00AB23DA">
        <w:t xml:space="preserve"> providing culturally safe services.</w:t>
      </w:r>
      <w:bookmarkStart w:id="1648" w:name="_Toc450303701"/>
      <w:bookmarkStart w:id="1649" w:name="_Toc451364919"/>
      <w:bookmarkStart w:id="1650" w:name="_Toc451453982"/>
      <w:bookmarkStart w:id="1651" w:name="_Toc451516740"/>
      <w:bookmarkStart w:id="1652" w:name="_Toc451800494"/>
      <w:bookmarkStart w:id="1653" w:name="_Toc451801385"/>
      <w:bookmarkStart w:id="1654" w:name="_Toc451802974"/>
      <w:bookmarkEnd w:id="1648"/>
      <w:bookmarkEnd w:id="1649"/>
      <w:bookmarkEnd w:id="1650"/>
      <w:bookmarkEnd w:id="1651"/>
      <w:bookmarkEnd w:id="1652"/>
      <w:bookmarkEnd w:id="1653"/>
      <w:bookmarkEnd w:id="1654"/>
    </w:p>
    <w:p w14:paraId="27E5BD66" w14:textId="440B1D5A" w:rsidR="005B699B" w:rsidRPr="00586155" w:rsidRDefault="005B699B" w:rsidP="00B448AC">
      <w:pPr>
        <w:pStyle w:val="Heading2"/>
        <w:numPr>
          <w:ilvl w:val="1"/>
          <w:numId w:val="12"/>
        </w:numPr>
        <w:ind w:left="709" w:hanging="709"/>
        <w:rPr>
          <w:rFonts w:eastAsia="Arial" w:cs="Arial"/>
        </w:rPr>
      </w:pPr>
      <w:bookmarkStart w:id="1655" w:name="_Toc100263337"/>
      <w:bookmarkStart w:id="1656" w:name="_Toc165961810"/>
      <w:bookmarkStart w:id="1657" w:name="_Toc201148243"/>
      <w:r w:rsidRPr="00164292">
        <w:t>Aboriginal</w:t>
      </w:r>
      <w:r>
        <w:t xml:space="preserve"> </w:t>
      </w:r>
      <w:r w:rsidRPr="00CE3EA6">
        <w:t>cultural</w:t>
      </w:r>
      <w:r>
        <w:t xml:space="preserve"> </w:t>
      </w:r>
      <w:r w:rsidRPr="00773FB4">
        <w:t>safety</w:t>
      </w:r>
      <w:r>
        <w:t xml:space="preserve"> planning and reporting requirements</w:t>
      </w:r>
      <w:bookmarkEnd w:id="1655"/>
      <w:bookmarkEnd w:id="1656"/>
      <w:bookmarkEnd w:id="1657"/>
    </w:p>
    <w:p w14:paraId="339FAE86" w14:textId="40F7ABDE" w:rsidR="005B699B" w:rsidRPr="00B75888" w:rsidRDefault="005B699B" w:rsidP="005B699B">
      <w:pPr>
        <w:pStyle w:val="Body"/>
      </w:pPr>
      <w:r w:rsidRPr="00B75888">
        <w:t xml:space="preserve">Hospitals in receipt of the Aboriginal cultural safety fixed grant </w:t>
      </w:r>
      <w:r w:rsidR="00CE3EA6">
        <w:t>must</w:t>
      </w:r>
      <w:r w:rsidRPr="00B75888">
        <w:t xml:space="preserve"> submit an annual cultural safety plan and progress report to the department. </w:t>
      </w:r>
    </w:p>
    <w:p w14:paraId="0FF71490" w14:textId="398A3D03" w:rsidR="005B699B" w:rsidRDefault="005B699B" w:rsidP="00343655">
      <w:pPr>
        <w:pStyle w:val="Body"/>
        <w:rPr>
          <w:rFonts w:eastAsia="Arial" w:cs="Arial"/>
          <w:color w:val="000000" w:themeColor="text1"/>
        </w:rPr>
      </w:pPr>
      <w:r w:rsidRPr="435566E8">
        <w:rPr>
          <w:rFonts w:eastAsia="Arial" w:cs="Arial"/>
          <w:color w:val="000000" w:themeColor="text1"/>
        </w:rPr>
        <w:t xml:space="preserve">Compliance with the planning and reporting </w:t>
      </w:r>
      <w:r w:rsidRPr="00343655">
        <w:t>requirements</w:t>
      </w:r>
      <w:r w:rsidRPr="435566E8">
        <w:rPr>
          <w:rFonts w:eastAsia="Arial" w:cs="Arial"/>
          <w:color w:val="000000" w:themeColor="text1"/>
        </w:rPr>
        <w:t xml:space="preserve"> is an obligation of the funding</w:t>
      </w:r>
      <w:r>
        <w:rPr>
          <w:rFonts w:eastAsia="Arial" w:cs="Arial"/>
          <w:color w:val="000000" w:themeColor="text1"/>
        </w:rPr>
        <w:t>.</w:t>
      </w:r>
      <w:r w:rsidRPr="435566E8">
        <w:rPr>
          <w:rFonts w:eastAsia="Arial" w:cs="Arial"/>
          <w:color w:val="000000" w:themeColor="text1"/>
        </w:rPr>
        <w:t xml:space="preserve"> </w:t>
      </w:r>
      <w:r>
        <w:rPr>
          <w:rFonts w:eastAsia="Arial" w:cs="Arial"/>
          <w:color w:val="000000" w:themeColor="text1"/>
        </w:rPr>
        <w:t>T</w:t>
      </w:r>
      <w:r w:rsidRPr="435566E8">
        <w:rPr>
          <w:rFonts w:eastAsia="Arial" w:cs="Arial"/>
          <w:color w:val="000000" w:themeColor="text1"/>
        </w:rPr>
        <w:t xml:space="preserve">he </w:t>
      </w:r>
      <w:hyperlink r:id="rId53">
        <w:r w:rsidRPr="00685B35">
          <w:rPr>
            <w:rStyle w:val="Hyperlink"/>
            <w:rFonts w:eastAsia="Arial" w:cs="Arial"/>
            <w:i/>
            <w:iCs/>
          </w:rPr>
          <w:t>Aboriginal cultural safety fixed grant guidelines</w:t>
        </w:r>
      </w:hyperlink>
      <w:r w:rsidR="00082804">
        <w:rPr>
          <w:rFonts w:eastAsia="Arial" w:cs="Arial"/>
          <w:color w:val="000000" w:themeColor="text1"/>
        </w:rPr>
        <w:t xml:space="preserve"> </w:t>
      </w:r>
      <w:r w:rsidRPr="435566E8">
        <w:rPr>
          <w:rFonts w:eastAsia="Arial" w:cs="Arial"/>
          <w:color w:val="000000" w:themeColor="text1"/>
        </w:rPr>
        <w:t xml:space="preserve">&lt;https://www.health.vic.gov.au/publications/aboriginal-cultural-safety-fixed-grant-guidelines-cultural-safety-planning-and&gt; </w:t>
      </w:r>
      <w:r>
        <w:rPr>
          <w:rFonts w:eastAsia="Arial" w:cs="Arial"/>
          <w:color w:val="000000" w:themeColor="text1"/>
        </w:rPr>
        <w:t>set out</w:t>
      </w:r>
      <w:r w:rsidRPr="435566E8">
        <w:rPr>
          <w:rFonts w:eastAsia="Arial" w:cs="Arial"/>
          <w:color w:val="000000" w:themeColor="text1"/>
        </w:rPr>
        <w:t xml:space="preserve"> </w:t>
      </w:r>
      <w:r w:rsidRPr="00DD4266">
        <w:rPr>
          <w:rFonts w:eastAsia="Arial" w:cs="Arial"/>
          <w:color w:val="000000" w:themeColor="text1"/>
        </w:rPr>
        <w:t>these</w:t>
      </w:r>
      <w:r w:rsidRPr="435566E8">
        <w:rPr>
          <w:rFonts w:eastAsia="Arial" w:cs="Arial"/>
          <w:color w:val="000000" w:themeColor="text1"/>
        </w:rPr>
        <w:t xml:space="preserve"> requirements and provide guidance for appropriate expenditure of funds towards improving Aboriginal cultural safety. </w:t>
      </w:r>
    </w:p>
    <w:p w14:paraId="14DC8F8A" w14:textId="468E1190" w:rsidR="005B699B" w:rsidRDefault="005B699B" w:rsidP="00343655">
      <w:pPr>
        <w:pStyle w:val="Body"/>
        <w:rPr>
          <w:rFonts w:asciiTheme="minorHAnsi" w:eastAsiaTheme="minorEastAsia" w:hAnsiTheme="minorHAnsi" w:cstheme="minorBidi"/>
        </w:rPr>
      </w:pPr>
      <w:r w:rsidRPr="1288AFC0">
        <w:t xml:space="preserve">Refer to </w:t>
      </w:r>
      <w:r w:rsidRPr="00AD7CFE">
        <w:t xml:space="preserve">section </w:t>
      </w:r>
      <w:r w:rsidR="00CE3EA6" w:rsidRPr="00AD7CFE">
        <w:t>17</w:t>
      </w:r>
      <w:r w:rsidRPr="00AD7CFE">
        <w:t xml:space="preserve">.2 of the </w:t>
      </w:r>
      <w:r w:rsidRPr="00C46F8B">
        <w:rPr>
          <w:iCs/>
        </w:rPr>
        <w:t>Policy guide</w:t>
      </w:r>
      <w:r w:rsidRPr="1288AFC0">
        <w:t xml:space="preserve"> for additional reporting requirements in relation to</w:t>
      </w:r>
      <w:r w:rsidRPr="7659ABB4">
        <w:t xml:space="preserve"> cultural safety action areas</w:t>
      </w:r>
      <w:r>
        <w:t>.</w:t>
      </w:r>
    </w:p>
    <w:p w14:paraId="4ED7579E" w14:textId="20B515E1" w:rsidR="0009363E" w:rsidRPr="0009363E" w:rsidRDefault="005B699B" w:rsidP="00B448AC">
      <w:pPr>
        <w:pStyle w:val="Heading2"/>
        <w:numPr>
          <w:ilvl w:val="1"/>
          <w:numId w:val="12"/>
        </w:numPr>
        <w:ind w:left="709" w:hanging="709"/>
      </w:pPr>
      <w:bookmarkStart w:id="1658" w:name="_Toc201148244"/>
      <w:r>
        <w:t xml:space="preserve">Indicators and </w:t>
      </w:r>
      <w:r w:rsidRPr="00164292">
        <w:t>monitoring</w:t>
      </w:r>
      <w:bookmarkEnd w:id="1658"/>
    </w:p>
    <w:p w14:paraId="51A91F02" w14:textId="049E93C6" w:rsidR="005B699B" w:rsidRPr="00A90C61" w:rsidRDefault="005B699B" w:rsidP="005B699B">
      <w:pPr>
        <w:pStyle w:val="Body"/>
      </w:pPr>
      <w:r w:rsidRPr="00A90C61">
        <w:t xml:space="preserve">Aboriginal cultural safety indicators for the acute setting include </w:t>
      </w:r>
      <w:r>
        <w:t>‘</w:t>
      </w:r>
      <w:r w:rsidR="00201A43">
        <w:t>l</w:t>
      </w:r>
      <w:r w:rsidR="00201A43" w:rsidRPr="00DD4266">
        <w:t>eave</w:t>
      </w:r>
      <w:r w:rsidR="00201A43" w:rsidRPr="00A90C61">
        <w:t xml:space="preserve"> </w:t>
      </w:r>
      <w:r w:rsidRPr="00A90C61">
        <w:t>against medical advic</w:t>
      </w:r>
      <w:r>
        <w:t>e’</w:t>
      </w:r>
      <w:r w:rsidRPr="00DD4266">
        <w:rPr>
          <w:vertAlign w:val="superscript"/>
        </w:rPr>
        <w:footnoteReference w:id="4"/>
      </w:r>
      <w:r w:rsidRPr="00A90C61">
        <w:t xml:space="preserve"> </w:t>
      </w:r>
      <w:r w:rsidRPr="00DD4266">
        <w:t>(LAMA</w:t>
      </w:r>
      <w:r w:rsidRPr="00A90C61">
        <w:t xml:space="preserve">) for inpatients and </w:t>
      </w:r>
      <w:r>
        <w:t>‘</w:t>
      </w:r>
      <w:r w:rsidR="00201A43">
        <w:t>d</w:t>
      </w:r>
      <w:r w:rsidR="00201A43" w:rsidRPr="00A90C61">
        <w:t xml:space="preserve">id </w:t>
      </w:r>
      <w:r>
        <w:t xml:space="preserve">not wait’ </w:t>
      </w:r>
      <w:r w:rsidRPr="00A90C61">
        <w:t>(</w:t>
      </w:r>
      <w:r w:rsidRPr="00DD4266">
        <w:t>DNW</w:t>
      </w:r>
      <w:r w:rsidRPr="00A90C61">
        <w:t>) for emergency department presentations.</w:t>
      </w:r>
    </w:p>
    <w:p w14:paraId="0FE858A6" w14:textId="2255E475" w:rsidR="00201A43" w:rsidRDefault="005B699B" w:rsidP="005B699B">
      <w:pPr>
        <w:pStyle w:val="Body"/>
      </w:pPr>
      <w:r w:rsidRPr="00DD4266">
        <w:t>From 2024</w:t>
      </w:r>
      <w:r>
        <w:t>–</w:t>
      </w:r>
      <w:r w:rsidRPr="00DD4266">
        <w:t xml:space="preserve">25, the target for health services for these </w:t>
      </w:r>
      <w:r w:rsidR="007D775F">
        <w:t>2</w:t>
      </w:r>
      <w:r w:rsidRPr="00DD4266">
        <w:t xml:space="preserve"> </w:t>
      </w:r>
      <w:r w:rsidR="00DE7424">
        <w:t>leave</w:t>
      </w:r>
      <w:r w:rsidR="00201A43">
        <w:t>-</w:t>
      </w:r>
      <w:r w:rsidR="00DE7424">
        <w:t xml:space="preserve">event </w:t>
      </w:r>
      <w:r w:rsidRPr="00DD4266">
        <w:t xml:space="preserve">measures </w:t>
      </w:r>
      <w:r w:rsidR="006B15F6">
        <w:t>were adjusted to</w:t>
      </w:r>
      <w:r w:rsidRPr="00DD4266">
        <w:t xml:space="preserve"> ‘no gap’ </w:t>
      </w:r>
      <w:r w:rsidR="006B15F6">
        <w:t xml:space="preserve">in rates </w:t>
      </w:r>
      <w:r w:rsidRPr="00DD4266">
        <w:t xml:space="preserve">between Aboriginal and non-Aboriginal patients. </w:t>
      </w:r>
    </w:p>
    <w:p w14:paraId="601770C2" w14:textId="542A2136" w:rsidR="005B699B" w:rsidRDefault="005B699B" w:rsidP="005B699B">
      <w:pPr>
        <w:pStyle w:val="Body"/>
      </w:pPr>
      <w:r w:rsidRPr="00DD4266">
        <w:t xml:space="preserve">This is to drive health equity and aligns with Victoria’s commitments under the </w:t>
      </w:r>
      <w:r w:rsidRPr="00362280">
        <w:t>National Agreement to Closing the Gap</w:t>
      </w:r>
      <w:r w:rsidRPr="00DD4266">
        <w:t>.</w:t>
      </w:r>
      <w:r>
        <w:t xml:space="preserve"> </w:t>
      </w:r>
      <w:r w:rsidRPr="00A90C61">
        <w:t xml:space="preserve">Additional </w:t>
      </w:r>
      <w:r>
        <w:t xml:space="preserve">measures, including Aboriginal health workforce and outpatient data will continue to be explored as supplements to </w:t>
      </w:r>
      <w:r w:rsidR="0043047B">
        <w:t>the higher</w:t>
      </w:r>
      <w:r w:rsidR="00201A43">
        <w:t>-</w:t>
      </w:r>
      <w:r w:rsidR="0043047B">
        <w:t xml:space="preserve">level </w:t>
      </w:r>
      <w:r>
        <w:t xml:space="preserve">cultural safety </w:t>
      </w:r>
      <w:r w:rsidR="00EE5318">
        <w:t>indicators</w:t>
      </w:r>
      <w:r>
        <w:t>.</w:t>
      </w:r>
    </w:p>
    <w:p w14:paraId="632014B2" w14:textId="77777777" w:rsidR="00CE3EA6" w:rsidRPr="00CE3EA6" w:rsidRDefault="00CE3EA6" w:rsidP="00924518">
      <w:pPr>
        <w:pStyle w:val="Body"/>
      </w:pPr>
      <w:r w:rsidRPr="00CE3EA6">
        <w:br w:type="page"/>
      </w:r>
    </w:p>
    <w:p w14:paraId="03BD323B" w14:textId="6A731AC2" w:rsidR="005B699B" w:rsidRPr="00500C8C" w:rsidRDefault="005B699B" w:rsidP="00B718DB">
      <w:pPr>
        <w:pStyle w:val="Heading1"/>
        <w:numPr>
          <w:ilvl w:val="0"/>
          <w:numId w:val="12"/>
        </w:numPr>
        <w:ind w:left="709" w:hanging="709"/>
      </w:pPr>
      <w:bookmarkStart w:id="1659" w:name="_Toc167651247"/>
      <w:bookmarkStart w:id="1660" w:name="_Toc418694906"/>
      <w:bookmarkStart w:id="1661" w:name="_Toc6215545"/>
      <w:bookmarkStart w:id="1662" w:name="_Toc10199621"/>
      <w:bookmarkStart w:id="1663" w:name="_Toc52892567"/>
      <w:bookmarkStart w:id="1664" w:name="_Toc100263280"/>
      <w:bookmarkStart w:id="1665" w:name="_Toc165961812"/>
      <w:bookmarkStart w:id="1666" w:name="_Toc201148245"/>
      <w:bookmarkStart w:id="1667" w:name="_Hlk77685410"/>
      <w:bookmarkStart w:id="1668" w:name="_Toc52892559"/>
      <w:bookmarkEnd w:id="1659"/>
      <w:r>
        <w:lastRenderedPageBreak/>
        <w:t xml:space="preserve">Pricing for </w:t>
      </w:r>
      <w:r w:rsidRPr="00CE3EA6">
        <w:t>quality</w:t>
      </w:r>
      <w:bookmarkEnd w:id="1660"/>
      <w:bookmarkEnd w:id="1661"/>
      <w:bookmarkEnd w:id="1662"/>
      <w:bookmarkEnd w:id="1663"/>
      <w:bookmarkEnd w:id="1664"/>
      <w:bookmarkEnd w:id="1665"/>
      <w:bookmarkEnd w:id="1666"/>
    </w:p>
    <w:p w14:paraId="5E3B725B" w14:textId="45C005A7" w:rsidR="007E56AD" w:rsidRDefault="005B699B" w:rsidP="005B699B">
      <w:pPr>
        <w:pStyle w:val="Body"/>
      </w:pPr>
      <w:r w:rsidRPr="008E638B">
        <w:t>The NHRA includes reform</w:t>
      </w:r>
      <w:r>
        <w:t>s that seek to support</w:t>
      </w:r>
      <w:r w:rsidRPr="008E638B">
        <w:t xml:space="preserve"> governments </w:t>
      </w:r>
      <w:r>
        <w:t>in</w:t>
      </w:r>
      <w:r w:rsidRPr="008E638B">
        <w:t xml:space="preserve"> work</w:t>
      </w:r>
      <w:r>
        <w:t>ing</w:t>
      </w:r>
      <w:r w:rsidRPr="008E638B">
        <w:t xml:space="preserve"> together to provide high-quality services</w:t>
      </w:r>
      <w:r>
        <w:t xml:space="preserve"> that deliver better health outcomes, improve patient safety and support greater efficiency in the health system</w:t>
      </w:r>
      <w:r w:rsidRPr="008E638B">
        <w:t>.</w:t>
      </w:r>
      <w:r>
        <w:t xml:space="preserve"> </w:t>
      </w:r>
      <w:r w:rsidR="00321AC6">
        <w:t>Victoria</w:t>
      </w:r>
      <w:r w:rsidR="00F905F4">
        <w:t>, a</w:t>
      </w:r>
      <w:r w:rsidR="00321AC6">
        <w:t xml:space="preserve">s a signatory </w:t>
      </w:r>
      <w:r w:rsidR="00F905F4">
        <w:t xml:space="preserve">to the NHRA, is committed to </w:t>
      </w:r>
      <w:r w:rsidR="00887079">
        <w:t>del</w:t>
      </w:r>
      <w:r w:rsidR="005015D2">
        <w:t xml:space="preserve">iver the </w:t>
      </w:r>
      <w:r w:rsidR="00497EE6">
        <w:t xml:space="preserve">quality and safety </w:t>
      </w:r>
      <w:r w:rsidR="0008166F">
        <w:t>reforms</w:t>
      </w:r>
      <w:r w:rsidR="007E56AD">
        <w:t>.</w:t>
      </w:r>
    </w:p>
    <w:p w14:paraId="0C3CA6FA" w14:textId="68361BDF" w:rsidR="005B699B" w:rsidRDefault="005B699B" w:rsidP="005B699B">
      <w:pPr>
        <w:pStyle w:val="Body"/>
      </w:pPr>
      <w:r>
        <w:t>Q</w:t>
      </w:r>
      <w:r w:rsidRPr="004C1971">
        <w:t>uality and safety</w:t>
      </w:r>
      <w:r w:rsidDel="009554B8">
        <w:t xml:space="preserve"> </w:t>
      </w:r>
      <w:r w:rsidR="009554B8">
        <w:t xml:space="preserve">are </w:t>
      </w:r>
      <w:r>
        <w:t xml:space="preserve">incorporated </w:t>
      </w:r>
      <w:r w:rsidRPr="004C1971">
        <w:t>into hospital pricing and funding</w:t>
      </w:r>
      <w:r>
        <w:t xml:space="preserve"> through </w:t>
      </w:r>
      <w:r w:rsidR="007D775F">
        <w:t>3</w:t>
      </w:r>
      <w:r>
        <w:t xml:space="preserve"> strategies:</w:t>
      </w:r>
    </w:p>
    <w:p w14:paraId="0DDE7860" w14:textId="77777777" w:rsidR="005B699B" w:rsidRPr="009554B8" w:rsidRDefault="005B699B" w:rsidP="004537E5">
      <w:pPr>
        <w:pStyle w:val="Bullet1"/>
        <w:numPr>
          <w:ilvl w:val="0"/>
          <w:numId w:val="24"/>
        </w:numPr>
      </w:pPr>
      <w:r w:rsidRPr="009554B8">
        <w:t>sentinel events</w:t>
      </w:r>
    </w:p>
    <w:p w14:paraId="2ABCAD27" w14:textId="77777777" w:rsidR="005B699B" w:rsidRPr="009554B8" w:rsidRDefault="005B699B" w:rsidP="004537E5">
      <w:pPr>
        <w:pStyle w:val="Bullet1"/>
        <w:numPr>
          <w:ilvl w:val="0"/>
          <w:numId w:val="24"/>
        </w:numPr>
      </w:pPr>
      <w:r w:rsidRPr="009554B8">
        <w:t>hospital acquired complications (HACs)</w:t>
      </w:r>
    </w:p>
    <w:p w14:paraId="234B8670" w14:textId="2333A6B7" w:rsidR="005B699B" w:rsidRPr="009554B8" w:rsidRDefault="005B699B" w:rsidP="004537E5">
      <w:pPr>
        <w:pStyle w:val="Bullet1"/>
        <w:numPr>
          <w:ilvl w:val="0"/>
          <w:numId w:val="24"/>
        </w:numPr>
      </w:pPr>
      <w:r w:rsidRPr="009554B8">
        <w:t>avoidable hospital readmissions</w:t>
      </w:r>
      <w:r w:rsidR="00972518">
        <w:t xml:space="preserve"> (AHRs)</w:t>
      </w:r>
      <w:r w:rsidRPr="009554B8">
        <w:t>.</w:t>
      </w:r>
    </w:p>
    <w:p w14:paraId="2371454A" w14:textId="48FDB412" w:rsidR="005B699B" w:rsidRDefault="005B699B" w:rsidP="005E497C">
      <w:pPr>
        <w:pStyle w:val="Bodyafterbullets"/>
      </w:pPr>
      <w:r w:rsidRPr="001A1A3F">
        <w:t>Victoria introduced a pricing mechanism for sentinel events in 2017</w:t>
      </w:r>
      <w:r w:rsidR="009554B8">
        <w:t>–</w:t>
      </w:r>
      <w:r w:rsidRPr="001A1A3F">
        <w:t>18</w:t>
      </w:r>
      <w:r w:rsidRPr="001A1A3F" w:rsidDel="009554B8">
        <w:t xml:space="preserve">, </w:t>
      </w:r>
      <w:r w:rsidR="009554B8">
        <w:t>app</w:t>
      </w:r>
      <w:r w:rsidRPr="001A1A3F">
        <w:t>lied the national pricing and funding model for HACs from 2023–24</w:t>
      </w:r>
      <w:r w:rsidR="00BC45BE">
        <w:t xml:space="preserve">, and </w:t>
      </w:r>
      <w:r w:rsidR="005D1301">
        <w:t>implemented the pricing adjustment associated with AHRs i</w:t>
      </w:r>
      <w:r w:rsidR="00890823">
        <w:t>n 202</w:t>
      </w:r>
      <w:r w:rsidR="00D532A0">
        <w:t>4</w:t>
      </w:r>
      <w:r w:rsidR="00890823">
        <w:t>–2</w:t>
      </w:r>
      <w:r w:rsidR="00D532A0">
        <w:t>5</w:t>
      </w:r>
      <w:r w:rsidR="00972518">
        <w:t>.</w:t>
      </w:r>
    </w:p>
    <w:p w14:paraId="4B7BF01D" w14:textId="3F34FEC9" w:rsidR="005B699B" w:rsidRPr="007F03EF" w:rsidRDefault="005B699B" w:rsidP="00E35AD6">
      <w:pPr>
        <w:pStyle w:val="Heading2"/>
        <w:numPr>
          <w:ilvl w:val="1"/>
          <w:numId w:val="12"/>
        </w:numPr>
        <w:ind w:left="709" w:hanging="709"/>
        <w:rPr>
          <w:lang w:eastAsia="en-AU"/>
        </w:rPr>
      </w:pPr>
      <w:bookmarkStart w:id="1669" w:name="_Toc164262556"/>
      <w:bookmarkStart w:id="1670" w:name="_Toc164262891"/>
      <w:bookmarkStart w:id="1671" w:name="_Toc100263281"/>
      <w:bookmarkStart w:id="1672" w:name="_Toc165961813"/>
      <w:bookmarkStart w:id="1673" w:name="_Toc201148246"/>
      <w:bookmarkEnd w:id="1669"/>
      <w:bookmarkEnd w:id="1670"/>
      <w:r w:rsidRPr="00164292">
        <w:t>Sentinel</w:t>
      </w:r>
      <w:r w:rsidRPr="255AAD50">
        <w:rPr>
          <w:lang w:eastAsia="en-AU"/>
        </w:rPr>
        <w:t xml:space="preserve"> </w:t>
      </w:r>
      <w:r>
        <w:rPr>
          <w:lang w:eastAsia="en-AU"/>
        </w:rPr>
        <w:t>e</w:t>
      </w:r>
      <w:r w:rsidRPr="255AAD50">
        <w:rPr>
          <w:lang w:eastAsia="en-AU"/>
        </w:rPr>
        <w:t>vents</w:t>
      </w:r>
      <w:bookmarkEnd w:id="1671"/>
      <w:bookmarkEnd w:id="1672"/>
      <w:bookmarkEnd w:id="1673"/>
    </w:p>
    <w:p w14:paraId="6CB76645" w14:textId="77777777" w:rsidR="005B699B" w:rsidRPr="003F5F58" w:rsidRDefault="005B699B" w:rsidP="005B699B">
      <w:pPr>
        <w:pStyle w:val="Body"/>
      </w:pPr>
      <w:r>
        <w:t>E</w:t>
      </w:r>
      <w:r w:rsidRPr="00F34FFD">
        <w:t xml:space="preserve">pisodes of care with an avoidable sentinel </w:t>
      </w:r>
      <w:r w:rsidRPr="007F03EF">
        <w:t>event</w:t>
      </w:r>
      <w:r>
        <w:t xml:space="preserve"> </w:t>
      </w:r>
      <w:r w:rsidRPr="007F03EF">
        <w:t xml:space="preserve">are not funded. </w:t>
      </w:r>
      <w:r w:rsidRPr="003F5F58">
        <w:t>‘Category 11: All other adverse patient safety events resulting in serious harm or death’ is excluded, as this category is only used in Victoria and not subject to national pricing for quality.</w:t>
      </w:r>
    </w:p>
    <w:p w14:paraId="605DC4E0" w14:textId="77777777" w:rsidR="00201A43" w:rsidRDefault="005B699B" w:rsidP="005B699B">
      <w:pPr>
        <w:pStyle w:val="Body"/>
      </w:pPr>
      <w:r w:rsidRPr="007F03EF">
        <w:t xml:space="preserve">Health services </w:t>
      </w:r>
      <w:r>
        <w:t>must</w:t>
      </w:r>
      <w:r w:rsidRPr="007F03EF">
        <w:t xml:space="preserve"> report all sentinel events to the Sentinel Event Program, coordinated by Safer Care Victoria. </w:t>
      </w:r>
    </w:p>
    <w:p w14:paraId="040054E3" w14:textId="77777777" w:rsidR="00201A43" w:rsidRDefault="005B699B" w:rsidP="005B699B">
      <w:pPr>
        <w:pStyle w:val="Body"/>
      </w:pPr>
      <w:r w:rsidRPr="007F03EF">
        <w:t xml:space="preserve">All sentinel events in categories 1–10 are analysed to determine avoidability. </w:t>
      </w:r>
    </w:p>
    <w:p w14:paraId="52DB47D2" w14:textId="23EE31FC" w:rsidR="005B699B" w:rsidRDefault="005B699B" w:rsidP="005B699B">
      <w:pPr>
        <w:pStyle w:val="Body"/>
      </w:pPr>
      <w:r w:rsidRPr="007F03EF">
        <w:t>If an event is found to be avoidable, a health service will not receive payment for the entire episode of care.</w:t>
      </w:r>
    </w:p>
    <w:p w14:paraId="415F2C90" w14:textId="616EBFAC" w:rsidR="005B699B" w:rsidRPr="00CB3F16" w:rsidRDefault="005B699B" w:rsidP="005B699B">
      <w:pPr>
        <w:pStyle w:val="Body"/>
        <w:rPr>
          <w:szCs w:val="21"/>
        </w:rPr>
      </w:pPr>
      <w:r>
        <w:rPr>
          <w:lang w:eastAsia="en-AU"/>
        </w:rPr>
        <w:t>Sentinel events</w:t>
      </w:r>
      <w:r w:rsidR="009554B8">
        <w:rPr>
          <w:lang w:eastAsia="en-AU"/>
        </w:rPr>
        <w:t xml:space="preserve"> are</w:t>
      </w:r>
      <w:r>
        <w:rPr>
          <w:lang w:eastAsia="en-AU"/>
        </w:rPr>
        <w:t>:</w:t>
      </w:r>
    </w:p>
    <w:p w14:paraId="7B3D7204" w14:textId="58AD0F2C" w:rsidR="005B699B" w:rsidRPr="00100A8D" w:rsidRDefault="009554B8" w:rsidP="004537E5">
      <w:pPr>
        <w:pStyle w:val="Bullet1"/>
        <w:numPr>
          <w:ilvl w:val="0"/>
          <w:numId w:val="24"/>
        </w:numPr>
      </w:pPr>
      <w:r>
        <w:t>s</w:t>
      </w:r>
      <w:r w:rsidR="005B699B" w:rsidRPr="0037553A">
        <w:t>urgery or other invasive procedure performed on the wrong site resulting in serious harm or death</w:t>
      </w:r>
    </w:p>
    <w:p w14:paraId="7F4BFE42" w14:textId="582E4953" w:rsidR="005B699B" w:rsidRPr="00100A8D" w:rsidRDefault="009554B8" w:rsidP="004537E5">
      <w:pPr>
        <w:pStyle w:val="Bullet1"/>
        <w:numPr>
          <w:ilvl w:val="0"/>
          <w:numId w:val="24"/>
        </w:numPr>
      </w:pPr>
      <w:r>
        <w:t>s</w:t>
      </w:r>
      <w:r w:rsidR="005B699B" w:rsidRPr="0037553A">
        <w:t>urgery or other invasive procedure performed on the wrong patient resulting in serious harm or death</w:t>
      </w:r>
    </w:p>
    <w:p w14:paraId="21661F17" w14:textId="5948EE7C" w:rsidR="005B699B" w:rsidRPr="00100A8D" w:rsidRDefault="009554B8" w:rsidP="004537E5">
      <w:pPr>
        <w:pStyle w:val="Bullet1"/>
        <w:numPr>
          <w:ilvl w:val="0"/>
          <w:numId w:val="24"/>
        </w:numPr>
      </w:pPr>
      <w:r>
        <w:t>w</w:t>
      </w:r>
      <w:r w:rsidR="005B699B" w:rsidRPr="0037553A">
        <w:t>rong surgical or other invasive procedure performed on a patient resulting in serious harm or death</w:t>
      </w:r>
    </w:p>
    <w:p w14:paraId="65C38B99" w14:textId="633A5166" w:rsidR="005B699B" w:rsidRPr="00100A8D" w:rsidRDefault="009554B8" w:rsidP="004537E5">
      <w:pPr>
        <w:pStyle w:val="Bullet1"/>
        <w:numPr>
          <w:ilvl w:val="0"/>
          <w:numId w:val="24"/>
        </w:numPr>
      </w:pPr>
      <w:r>
        <w:t>u</w:t>
      </w:r>
      <w:r w:rsidR="005B699B" w:rsidRPr="0037553A">
        <w:t>nintended retention of a foreign object in a patient after surgery or other invasive procedure resulting in serious harm or death</w:t>
      </w:r>
    </w:p>
    <w:p w14:paraId="19CF490C" w14:textId="6B471022" w:rsidR="005B699B" w:rsidRPr="00100A8D" w:rsidRDefault="009554B8" w:rsidP="004537E5">
      <w:pPr>
        <w:pStyle w:val="Bullet1"/>
        <w:numPr>
          <w:ilvl w:val="0"/>
          <w:numId w:val="24"/>
        </w:numPr>
      </w:pPr>
      <w:r>
        <w:t>h</w:t>
      </w:r>
      <w:r w:rsidR="005B699B" w:rsidRPr="0037553A">
        <w:t>aemolytic blood transfusion reaction resulting from ABO incompatibility resulting in serious harm or death</w:t>
      </w:r>
    </w:p>
    <w:p w14:paraId="40320A61" w14:textId="63457C1C" w:rsidR="005B699B" w:rsidRPr="00100A8D" w:rsidRDefault="009554B8" w:rsidP="004537E5">
      <w:pPr>
        <w:pStyle w:val="Bullet1"/>
        <w:numPr>
          <w:ilvl w:val="0"/>
          <w:numId w:val="24"/>
        </w:numPr>
      </w:pPr>
      <w:r>
        <w:t>s</w:t>
      </w:r>
      <w:r w:rsidR="005B699B" w:rsidRPr="00935B9B">
        <w:t>uspected suicide of a patient in an acute psychiatric unit or acute psychiatric ward</w:t>
      </w:r>
    </w:p>
    <w:p w14:paraId="5AC50DD8" w14:textId="788886B4" w:rsidR="005B699B" w:rsidRPr="00100A8D" w:rsidRDefault="009554B8" w:rsidP="004537E5">
      <w:pPr>
        <w:pStyle w:val="Bullet1"/>
        <w:numPr>
          <w:ilvl w:val="0"/>
          <w:numId w:val="24"/>
        </w:numPr>
      </w:pPr>
      <w:r>
        <w:t>m</w:t>
      </w:r>
      <w:r w:rsidRPr="00935B9B">
        <w:t xml:space="preserve">edication </w:t>
      </w:r>
      <w:r w:rsidR="005B699B" w:rsidRPr="00935B9B">
        <w:t>error resulting in serious harm or death</w:t>
      </w:r>
    </w:p>
    <w:p w14:paraId="54B0F2CE" w14:textId="7BDC1C6B" w:rsidR="005B699B" w:rsidRPr="00100A8D" w:rsidRDefault="009554B8" w:rsidP="004537E5">
      <w:pPr>
        <w:pStyle w:val="Bullet1"/>
        <w:numPr>
          <w:ilvl w:val="0"/>
          <w:numId w:val="24"/>
        </w:numPr>
      </w:pPr>
      <w:r>
        <w:t>u</w:t>
      </w:r>
      <w:r w:rsidRPr="00935B9B">
        <w:t xml:space="preserve">se </w:t>
      </w:r>
      <w:r w:rsidR="005B699B" w:rsidRPr="00935B9B">
        <w:t>of physical or mechanical restraint resulting in serious harm or death</w:t>
      </w:r>
    </w:p>
    <w:p w14:paraId="235FB2C9" w14:textId="1C1E571E" w:rsidR="005B699B" w:rsidRPr="00100A8D" w:rsidRDefault="009554B8" w:rsidP="004537E5">
      <w:pPr>
        <w:pStyle w:val="Bullet1"/>
        <w:numPr>
          <w:ilvl w:val="0"/>
          <w:numId w:val="24"/>
        </w:numPr>
      </w:pPr>
      <w:r>
        <w:t>d</w:t>
      </w:r>
      <w:r w:rsidR="005B699B" w:rsidRPr="00935B9B">
        <w:t>ischarge or release of an infant or child to an unauthorised person</w:t>
      </w:r>
    </w:p>
    <w:p w14:paraId="295A9CB7" w14:textId="4A673C82" w:rsidR="005B699B" w:rsidRPr="00100A8D" w:rsidRDefault="009554B8" w:rsidP="004537E5">
      <w:pPr>
        <w:pStyle w:val="Bullet1"/>
        <w:numPr>
          <w:ilvl w:val="0"/>
          <w:numId w:val="24"/>
        </w:numPr>
      </w:pPr>
      <w:r>
        <w:t>u</w:t>
      </w:r>
      <w:r w:rsidR="005B699B" w:rsidRPr="00935B9B">
        <w:t>se of an incorrectly positioned oro- or naso-gastric tube resulting in serious harm or death</w:t>
      </w:r>
    </w:p>
    <w:p w14:paraId="143AEE34" w14:textId="3A161BB8" w:rsidR="005B699B" w:rsidRPr="00100A8D" w:rsidRDefault="009554B8" w:rsidP="004537E5">
      <w:pPr>
        <w:pStyle w:val="Bullet1"/>
        <w:numPr>
          <w:ilvl w:val="0"/>
          <w:numId w:val="24"/>
        </w:numPr>
      </w:pPr>
      <w:r>
        <w:t>a</w:t>
      </w:r>
      <w:r w:rsidR="005B699B" w:rsidRPr="00935B9B">
        <w:t>ll other adverse patient safety events resulting in serious harm or death (not subject to pricing for quality).</w:t>
      </w:r>
    </w:p>
    <w:p w14:paraId="33D0EC93" w14:textId="4FD4FA96" w:rsidR="005B699B" w:rsidRPr="007F03EF" w:rsidRDefault="005B699B" w:rsidP="00E35AD6">
      <w:pPr>
        <w:pStyle w:val="Heading2"/>
        <w:numPr>
          <w:ilvl w:val="1"/>
          <w:numId w:val="12"/>
        </w:numPr>
        <w:ind w:left="709" w:hanging="709"/>
        <w:rPr>
          <w:lang w:eastAsia="en-AU"/>
        </w:rPr>
      </w:pPr>
      <w:bookmarkStart w:id="1674" w:name="_Toc100263282"/>
      <w:bookmarkStart w:id="1675" w:name="_Toc165961814"/>
      <w:bookmarkStart w:id="1676" w:name="_Toc201148247"/>
      <w:r w:rsidRPr="255AAD50">
        <w:rPr>
          <w:lang w:eastAsia="en-AU"/>
        </w:rPr>
        <w:lastRenderedPageBreak/>
        <w:t>Hospital</w:t>
      </w:r>
      <w:r>
        <w:rPr>
          <w:lang w:eastAsia="en-AU"/>
        </w:rPr>
        <w:t xml:space="preserve"> </w:t>
      </w:r>
      <w:bookmarkEnd w:id="1674"/>
      <w:r>
        <w:rPr>
          <w:lang w:eastAsia="en-AU"/>
        </w:rPr>
        <w:t>a</w:t>
      </w:r>
      <w:r w:rsidRPr="255AAD50">
        <w:rPr>
          <w:lang w:eastAsia="en-AU"/>
        </w:rPr>
        <w:t xml:space="preserve">cquired </w:t>
      </w:r>
      <w:r w:rsidRPr="00143454">
        <w:t>complications</w:t>
      </w:r>
      <w:bookmarkEnd w:id="1675"/>
      <w:bookmarkEnd w:id="1676"/>
    </w:p>
    <w:p w14:paraId="76A28350" w14:textId="7FE8FAFB" w:rsidR="009554B8" w:rsidRDefault="005B699B" w:rsidP="005B699B">
      <w:pPr>
        <w:pStyle w:val="Body"/>
      </w:pPr>
      <w:r>
        <w:t xml:space="preserve">The national </w:t>
      </w:r>
      <w:r w:rsidR="00535745">
        <w:t xml:space="preserve">funding model for </w:t>
      </w:r>
      <w:r>
        <w:t xml:space="preserve">acute admitted </w:t>
      </w:r>
      <w:r w:rsidR="00535745">
        <w:t>activity</w:t>
      </w:r>
      <w:r>
        <w:t xml:space="preserve"> applies a risk-adjusted discount to the NWAU generated by each episode in which a HAC is present.</w:t>
      </w:r>
    </w:p>
    <w:p w14:paraId="433779F2" w14:textId="52CFA5F6" w:rsidR="009554B8" w:rsidRDefault="005B699B" w:rsidP="005B699B">
      <w:pPr>
        <w:pStyle w:val="Body"/>
      </w:pPr>
      <w:r>
        <w:t xml:space="preserve">Section </w:t>
      </w:r>
      <w:r w:rsidR="000E0ED2">
        <w:fldChar w:fldCharType="begin"/>
      </w:r>
      <w:r w:rsidR="000E0ED2">
        <w:instrText xml:space="preserve"> REF _Ref143004077 \w \h </w:instrText>
      </w:r>
      <w:r w:rsidR="000E0ED2">
        <w:fldChar w:fldCharType="separate"/>
      </w:r>
      <w:r w:rsidR="007D262B">
        <w:t>10.2</w:t>
      </w:r>
      <w:r w:rsidR="000E0ED2">
        <w:fldChar w:fldCharType="end"/>
      </w:r>
      <w:r>
        <w:t xml:space="preserve"> </w:t>
      </w:r>
      <w:r w:rsidR="00201A43">
        <w:t>‘</w:t>
      </w:r>
      <w:r>
        <w:fldChar w:fldCharType="begin"/>
      </w:r>
      <w:r>
        <w:instrText>REF _Ref143004077</w:instrText>
      </w:r>
      <w:r>
        <w:fldChar w:fldCharType="separate"/>
      </w:r>
      <w:r w:rsidR="007D262B" w:rsidRPr="0084197D">
        <w:t xml:space="preserve">Calculating </w:t>
      </w:r>
      <w:r w:rsidR="007D262B">
        <w:t>HAC</w:t>
      </w:r>
      <w:r w:rsidR="007D262B" w:rsidRPr="0084197D">
        <w:t xml:space="preserve"> NWAU</w:t>
      </w:r>
      <w:r w:rsidR="007D262B">
        <w:t xml:space="preserve"> growth-funding adjustment</w:t>
      </w:r>
      <w:r>
        <w:fldChar w:fldCharType="end"/>
      </w:r>
      <w:r w:rsidR="00201A43">
        <w:t>’</w:t>
      </w:r>
      <w:r>
        <w:t xml:space="preserve"> outlines the method to calculate the HAC NWAU growth-funding adjustment. </w:t>
      </w:r>
    </w:p>
    <w:p w14:paraId="2C52ED02" w14:textId="17B1E1F5" w:rsidR="009554B8" w:rsidRDefault="005B699B" w:rsidP="005B699B">
      <w:pPr>
        <w:pStyle w:val="Body"/>
      </w:pPr>
      <w:r>
        <w:t>S</w:t>
      </w:r>
      <w:r w:rsidRPr="00EF2E8F">
        <w:t xml:space="preserve">ection </w:t>
      </w:r>
      <w:r>
        <w:fldChar w:fldCharType="begin"/>
      </w:r>
      <w:r>
        <w:instrText xml:space="preserve"> REF _Ref143004120 \r \h </w:instrText>
      </w:r>
      <w:r>
        <w:fldChar w:fldCharType="separate"/>
      </w:r>
      <w:r w:rsidR="007D262B">
        <w:t>9</w:t>
      </w:r>
      <w:r>
        <w:fldChar w:fldCharType="end"/>
      </w:r>
      <w:r>
        <w:t xml:space="preserve"> </w:t>
      </w:r>
      <w:r w:rsidR="00201A43">
        <w:t>‘</w:t>
      </w:r>
      <w:r>
        <w:fldChar w:fldCharType="begin"/>
      </w:r>
      <w:r>
        <w:instrText xml:space="preserve"> REF _Ref142493085 \h </w:instrText>
      </w:r>
      <w:r>
        <w:fldChar w:fldCharType="separate"/>
      </w:r>
      <w:r w:rsidR="007D262B">
        <w:t>Prior-year adjustment: activity-based funding reconciliation</w:t>
      </w:r>
      <w:r>
        <w:fldChar w:fldCharType="end"/>
      </w:r>
      <w:r w:rsidR="00201A43">
        <w:t>’</w:t>
      </w:r>
      <w:r>
        <w:t xml:space="preserve"> </w:t>
      </w:r>
      <w:r w:rsidRPr="00773FB4">
        <w:t>outlines</w:t>
      </w:r>
      <w:r>
        <w:t xml:space="preserve"> how this adjustment </w:t>
      </w:r>
      <w:r w:rsidR="00EC5F7D">
        <w:t xml:space="preserve">is applied </w:t>
      </w:r>
      <w:r w:rsidR="008E045C">
        <w:t>as part of annual reconciliations</w:t>
      </w:r>
      <w:r w:rsidRPr="00EF2E8F">
        <w:t>.</w:t>
      </w:r>
    </w:p>
    <w:p w14:paraId="71109944" w14:textId="57A2093F" w:rsidR="005B699B" w:rsidRPr="007F03EF" w:rsidRDefault="0002554E" w:rsidP="00143454">
      <w:pPr>
        <w:pStyle w:val="Body"/>
        <w:rPr>
          <w:lang w:eastAsia="en-AU"/>
        </w:rPr>
      </w:pPr>
      <w:r w:rsidRPr="004E2514">
        <w:t xml:space="preserve">Section </w:t>
      </w:r>
      <w:r w:rsidR="0087555B">
        <w:fldChar w:fldCharType="begin"/>
      </w:r>
      <w:r w:rsidR="0087555B">
        <w:instrText xml:space="preserve"> REF _Ref199321405 \r \h </w:instrText>
      </w:r>
      <w:r w:rsidR="0087555B">
        <w:fldChar w:fldCharType="separate"/>
      </w:r>
      <w:r w:rsidR="007D262B">
        <w:t>16.2</w:t>
      </w:r>
      <w:r w:rsidR="0087555B">
        <w:fldChar w:fldCharType="end"/>
      </w:r>
      <w:r w:rsidRPr="004E2514">
        <w:t xml:space="preserve"> </w:t>
      </w:r>
      <w:r w:rsidR="00201A43">
        <w:t>‘</w:t>
      </w:r>
      <w:r w:rsidR="00431A5A">
        <w:fldChar w:fldCharType="begin"/>
      </w:r>
      <w:r w:rsidR="00431A5A">
        <w:instrText xml:space="preserve"> REF _Ref199321472 \h </w:instrText>
      </w:r>
      <w:r w:rsidR="00431A5A">
        <w:fldChar w:fldCharType="separate"/>
      </w:r>
      <w:r w:rsidR="007D262B">
        <w:t>Indicative NWAU adjustments for safety and quality</w:t>
      </w:r>
      <w:r w:rsidR="00431A5A">
        <w:fldChar w:fldCharType="end"/>
      </w:r>
      <w:r w:rsidR="00201A43">
        <w:t>’</w:t>
      </w:r>
      <w:r w:rsidR="005B699B" w:rsidRPr="004E2514">
        <w:t xml:space="preserve">, </w:t>
      </w:r>
      <w:r w:rsidR="00044E71">
        <w:fldChar w:fldCharType="begin"/>
      </w:r>
      <w:r w:rsidR="00044E71">
        <w:instrText xml:space="preserve"> REF _Ref199321337 \h </w:instrText>
      </w:r>
      <w:r w:rsidR="00044E71">
        <w:fldChar w:fldCharType="separate"/>
      </w:r>
      <w:r w:rsidR="007D262B" w:rsidRPr="000C3C4F">
        <w:t xml:space="preserve">Table </w:t>
      </w:r>
      <w:r w:rsidR="007D262B">
        <w:t>2.</w:t>
      </w:r>
      <w:r w:rsidR="007D262B">
        <w:rPr>
          <w:noProof/>
        </w:rPr>
        <w:t>11</w:t>
      </w:r>
      <w:r w:rsidR="007D262B" w:rsidRPr="000C3C4F">
        <w:t xml:space="preserve">: Indicative </w:t>
      </w:r>
      <w:r w:rsidR="007D262B">
        <w:t xml:space="preserve">baseline </w:t>
      </w:r>
      <w:r w:rsidR="007D262B" w:rsidRPr="000C3C4F">
        <w:t>NWAU adjustment in 202</w:t>
      </w:r>
      <w:r w:rsidR="007D262B">
        <w:t>5</w:t>
      </w:r>
      <w:r w:rsidR="007D262B" w:rsidRPr="000C3C4F">
        <w:t>–2</w:t>
      </w:r>
      <w:r w:rsidR="007D262B">
        <w:t>6 for HAC</w:t>
      </w:r>
      <w:r w:rsidR="00044E71">
        <w:fldChar w:fldCharType="end"/>
      </w:r>
      <w:r w:rsidR="005B699B">
        <w:t>, is an indicative level of the HAC NWAU adjustment, against which a health service can monitor change.</w:t>
      </w:r>
    </w:p>
    <w:p w14:paraId="24D4CC0D" w14:textId="32F7D7A1" w:rsidR="005B699B" w:rsidRPr="007F03EF" w:rsidRDefault="005B699B" w:rsidP="005B699B">
      <w:pPr>
        <w:pStyle w:val="Body"/>
        <w:rPr>
          <w:lang w:eastAsia="en-AU"/>
        </w:rPr>
      </w:pPr>
      <w:r w:rsidRPr="007F03EF">
        <w:rPr>
          <w:lang w:eastAsia="en-AU"/>
        </w:rPr>
        <w:t>HACs</w:t>
      </w:r>
      <w:r w:rsidR="009554B8">
        <w:rPr>
          <w:lang w:eastAsia="en-AU"/>
        </w:rPr>
        <w:t xml:space="preserve"> are</w:t>
      </w:r>
      <w:r w:rsidRPr="007F03EF">
        <w:rPr>
          <w:lang w:eastAsia="en-AU"/>
        </w:rPr>
        <w:t>:</w:t>
      </w:r>
    </w:p>
    <w:p w14:paraId="12A4DC6D" w14:textId="77777777" w:rsidR="005B699B" w:rsidRPr="00100A8D" w:rsidRDefault="005B699B" w:rsidP="004537E5">
      <w:pPr>
        <w:pStyle w:val="Bullet1"/>
        <w:numPr>
          <w:ilvl w:val="0"/>
          <w:numId w:val="24"/>
        </w:numPr>
      </w:pPr>
      <w:r w:rsidRPr="00935B9B">
        <w:t>pressure injury</w:t>
      </w:r>
    </w:p>
    <w:p w14:paraId="59A902EF" w14:textId="5A7D95A7" w:rsidR="005B699B" w:rsidRPr="00100A8D" w:rsidRDefault="005B699B" w:rsidP="004537E5">
      <w:pPr>
        <w:pStyle w:val="Bullet1"/>
        <w:numPr>
          <w:ilvl w:val="0"/>
          <w:numId w:val="24"/>
        </w:numPr>
      </w:pPr>
      <w:r w:rsidRPr="00935B9B">
        <w:t>falls resulting in fracture or intracranial injury</w:t>
      </w:r>
    </w:p>
    <w:p w14:paraId="43E273A6" w14:textId="77777777" w:rsidR="005B699B" w:rsidRPr="00100A8D" w:rsidRDefault="005B699B" w:rsidP="004537E5">
      <w:pPr>
        <w:pStyle w:val="Bullet1"/>
        <w:numPr>
          <w:ilvl w:val="0"/>
          <w:numId w:val="24"/>
        </w:numPr>
      </w:pPr>
      <w:r w:rsidRPr="00935B9B">
        <w:t>healthcare-associated infection</w:t>
      </w:r>
    </w:p>
    <w:p w14:paraId="617B8590" w14:textId="77777777" w:rsidR="005B699B" w:rsidRPr="00100A8D" w:rsidRDefault="005B699B" w:rsidP="004537E5">
      <w:pPr>
        <w:pStyle w:val="Bullet1"/>
        <w:numPr>
          <w:ilvl w:val="0"/>
          <w:numId w:val="24"/>
        </w:numPr>
      </w:pPr>
      <w:r w:rsidRPr="00935B9B">
        <w:t>surgical complications requiring unplanned return to theatre</w:t>
      </w:r>
    </w:p>
    <w:p w14:paraId="5ABFD27B" w14:textId="77777777" w:rsidR="005B699B" w:rsidRPr="00100A8D" w:rsidRDefault="005B699B" w:rsidP="004537E5">
      <w:pPr>
        <w:pStyle w:val="Bullet1"/>
        <w:numPr>
          <w:ilvl w:val="0"/>
          <w:numId w:val="24"/>
        </w:numPr>
      </w:pPr>
      <w:r w:rsidRPr="00935B9B">
        <w:t>unplanned intensive care unit admission</w:t>
      </w:r>
    </w:p>
    <w:p w14:paraId="0BFAAB7A" w14:textId="77777777" w:rsidR="005B699B" w:rsidRPr="00100A8D" w:rsidRDefault="005B699B" w:rsidP="004537E5">
      <w:pPr>
        <w:pStyle w:val="Bullet1"/>
        <w:numPr>
          <w:ilvl w:val="0"/>
          <w:numId w:val="24"/>
        </w:numPr>
      </w:pPr>
      <w:r w:rsidRPr="00935B9B">
        <w:t>respiratory complications</w:t>
      </w:r>
    </w:p>
    <w:p w14:paraId="2A91254A" w14:textId="77777777" w:rsidR="005B699B" w:rsidRPr="00100A8D" w:rsidRDefault="005B699B" w:rsidP="004537E5">
      <w:pPr>
        <w:pStyle w:val="Bullet1"/>
        <w:numPr>
          <w:ilvl w:val="0"/>
          <w:numId w:val="24"/>
        </w:numPr>
      </w:pPr>
      <w:r w:rsidRPr="00935B9B">
        <w:t>venous thromboembolism</w:t>
      </w:r>
    </w:p>
    <w:p w14:paraId="1D5043AE" w14:textId="77777777" w:rsidR="005B699B" w:rsidRPr="00100A8D" w:rsidRDefault="005B699B" w:rsidP="004537E5">
      <w:pPr>
        <w:pStyle w:val="Bullet1"/>
        <w:numPr>
          <w:ilvl w:val="0"/>
          <w:numId w:val="24"/>
        </w:numPr>
      </w:pPr>
      <w:r w:rsidRPr="00935B9B">
        <w:t>renal failure</w:t>
      </w:r>
    </w:p>
    <w:p w14:paraId="2B411BBD" w14:textId="77777777" w:rsidR="005B699B" w:rsidRPr="00100A8D" w:rsidRDefault="005B699B" w:rsidP="004537E5">
      <w:pPr>
        <w:pStyle w:val="Bullet1"/>
        <w:numPr>
          <w:ilvl w:val="0"/>
          <w:numId w:val="24"/>
        </w:numPr>
      </w:pPr>
      <w:r w:rsidRPr="00935B9B">
        <w:t>gastrointestinal bleeding</w:t>
      </w:r>
    </w:p>
    <w:p w14:paraId="7BD1FDF8" w14:textId="77777777" w:rsidR="005B699B" w:rsidRPr="00100A8D" w:rsidRDefault="005B699B" w:rsidP="004537E5">
      <w:pPr>
        <w:pStyle w:val="Bullet1"/>
        <w:numPr>
          <w:ilvl w:val="0"/>
          <w:numId w:val="24"/>
        </w:numPr>
      </w:pPr>
      <w:r w:rsidRPr="00935B9B">
        <w:t>medication complications</w:t>
      </w:r>
    </w:p>
    <w:p w14:paraId="42090AE7" w14:textId="77777777" w:rsidR="005B699B" w:rsidRPr="00100A8D" w:rsidRDefault="005B699B" w:rsidP="004537E5">
      <w:pPr>
        <w:pStyle w:val="Bullet1"/>
        <w:numPr>
          <w:ilvl w:val="0"/>
          <w:numId w:val="24"/>
        </w:numPr>
      </w:pPr>
      <w:r w:rsidRPr="00935B9B">
        <w:t>delirium</w:t>
      </w:r>
    </w:p>
    <w:p w14:paraId="6FF42AD7" w14:textId="77777777" w:rsidR="005B699B" w:rsidRPr="00100A8D" w:rsidRDefault="005B699B" w:rsidP="004537E5">
      <w:pPr>
        <w:pStyle w:val="Bullet1"/>
        <w:numPr>
          <w:ilvl w:val="0"/>
          <w:numId w:val="24"/>
        </w:numPr>
      </w:pPr>
      <w:r w:rsidRPr="00935B9B">
        <w:t>incontinence</w:t>
      </w:r>
    </w:p>
    <w:p w14:paraId="051C5BAB" w14:textId="77777777" w:rsidR="005B699B" w:rsidRPr="00100A8D" w:rsidRDefault="005B699B" w:rsidP="004537E5">
      <w:pPr>
        <w:pStyle w:val="Bullet1"/>
        <w:numPr>
          <w:ilvl w:val="0"/>
          <w:numId w:val="24"/>
        </w:numPr>
      </w:pPr>
      <w:r w:rsidRPr="00935B9B">
        <w:t>endocrine complications</w:t>
      </w:r>
    </w:p>
    <w:p w14:paraId="2BF54F44" w14:textId="77777777" w:rsidR="005B699B" w:rsidRPr="00100A8D" w:rsidRDefault="005B699B" w:rsidP="004537E5">
      <w:pPr>
        <w:pStyle w:val="Bullet1"/>
        <w:numPr>
          <w:ilvl w:val="0"/>
          <w:numId w:val="24"/>
        </w:numPr>
      </w:pPr>
      <w:r w:rsidRPr="00935B9B">
        <w:t>cardiac complications</w:t>
      </w:r>
    </w:p>
    <w:p w14:paraId="7CEEBA9E" w14:textId="77777777" w:rsidR="005B699B" w:rsidRPr="00100A8D" w:rsidRDefault="005B699B" w:rsidP="004537E5">
      <w:pPr>
        <w:pStyle w:val="Bullet1"/>
        <w:numPr>
          <w:ilvl w:val="0"/>
          <w:numId w:val="24"/>
        </w:numPr>
      </w:pPr>
      <w:r w:rsidRPr="00935B9B">
        <w:t>third- and fourth-degree perineal laceration during delivery</w:t>
      </w:r>
    </w:p>
    <w:p w14:paraId="6D7A3436" w14:textId="77777777" w:rsidR="005B699B" w:rsidRPr="00100A8D" w:rsidRDefault="005B699B" w:rsidP="004537E5">
      <w:pPr>
        <w:pStyle w:val="Bullet1"/>
        <w:numPr>
          <w:ilvl w:val="0"/>
          <w:numId w:val="24"/>
        </w:numPr>
      </w:pPr>
      <w:r w:rsidRPr="00935B9B">
        <w:t>neonatal birth trauma.</w:t>
      </w:r>
    </w:p>
    <w:p w14:paraId="0431DC5B" w14:textId="6FF7B5BF" w:rsidR="005B699B" w:rsidRPr="007F03EF" w:rsidRDefault="00201A43" w:rsidP="005B699B">
      <w:pPr>
        <w:pStyle w:val="Bodyafterbullets"/>
        <w:rPr>
          <w:lang w:eastAsia="en-AU"/>
        </w:rPr>
      </w:pPr>
      <w:r>
        <w:rPr>
          <w:lang w:eastAsia="en-AU"/>
        </w:rPr>
        <w:t xml:space="preserve">Find out more about </w:t>
      </w:r>
      <w:r w:rsidR="005B699B" w:rsidRPr="007F03EF">
        <w:rPr>
          <w:lang w:eastAsia="en-AU"/>
        </w:rPr>
        <w:t xml:space="preserve">the HAC list, including diagnosis codes used to identify each HAC, </w:t>
      </w:r>
      <w:r>
        <w:rPr>
          <w:lang w:eastAsia="en-AU"/>
        </w:rPr>
        <w:t>on the Australian Government’s</w:t>
      </w:r>
      <w:r w:rsidR="005B699B" w:rsidRPr="007F03EF">
        <w:rPr>
          <w:lang w:eastAsia="en-AU"/>
        </w:rPr>
        <w:t xml:space="preserve"> </w:t>
      </w:r>
      <w:hyperlink r:id="rId54" w:history="1">
        <w:r w:rsidR="005B699B" w:rsidRPr="007F03EF">
          <w:rPr>
            <w:rStyle w:val="Hyperlink"/>
            <w:lang w:eastAsia="en-AU"/>
          </w:rPr>
          <w:t>Hospital-acquired complication</w:t>
        </w:r>
        <w:r>
          <w:rPr>
            <w:rStyle w:val="Hyperlink"/>
            <w:lang w:eastAsia="en-AU"/>
          </w:rPr>
          <w:t>s webpage</w:t>
        </w:r>
        <w:r w:rsidR="005B699B" w:rsidRPr="007F03EF">
          <w:rPr>
            <w:rStyle w:val="Hyperlink"/>
            <w:lang w:eastAsia="en-AU"/>
          </w:rPr>
          <w:t xml:space="preserve"> </w:t>
        </w:r>
      </w:hyperlink>
      <w:r w:rsidR="005B699B" w:rsidRPr="007F03EF">
        <w:t>&lt;https://www.safetyandquality.gov.au/our-work/indicators/hospital-acquired-complications</w:t>
      </w:r>
      <w:r w:rsidR="005B699B" w:rsidRPr="007F03EF">
        <w:rPr>
          <w:lang w:eastAsia="en-AU"/>
        </w:rPr>
        <w:t>&gt;.</w:t>
      </w:r>
    </w:p>
    <w:p w14:paraId="07DF2F5B" w14:textId="77777777" w:rsidR="005B699B" w:rsidRDefault="005B699B" w:rsidP="005B699B">
      <w:pPr>
        <w:pStyle w:val="Body"/>
        <w:rPr>
          <w:lang w:eastAsia="en-AU"/>
        </w:rPr>
      </w:pPr>
      <w:r w:rsidRPr="007F03EF">
        <w:rPr>
          <w:lang w:eastAsia="en-AU"/>
        </w:rPr>
        <w:t>The funding adjustment for HACs has been risk</w:t>
      </w:r>
      <w:r>
        <w:rPr>
          <w:lang w:eastAsia="en-AU"/>
        </w:rPr>
        <w:t xml:space="preserve"> </w:t>
      </w:r>
      <w:r w:rsidRPr="007F03EF">
        <w:rPr>
          <w:lang w:eastAsia="en-AU"/>
        </w:rPr>
        <w:t>adjusted to take account of the increased predisposition of some patients to experienc</w:t>
      </w:r>
      <w:r>
        <w:rPr>
          <w:lang w:eastAsia="en-AU"/>
        </w:rPr>
        <w:t>e</w:t>
      </w:r>
      <w:r w:rsidRPr="007F03EF">
        <w:rPr>
          <w:lang w:eastAsia="en-AU"/>
        </w:rPr>
        <w:t xml:space="preserve"> a HAC during their hospital stay and </w:t>
      </w:r>
      <w:r>
        <w:t>to provide funding signals</w:t>
      </w:r>
      <w:r w:rsidRPr="00EF2230">
        <w:t>, enabling hospitals to address systemic risks associated with care delivery.</w:t>
      </w:r>
      <w:r w:rsidRPr="007F03EF" w:rsidDel="00B87E0F">
        <w:rPr>
          <w:lang w:eastAsia="en-AU"/>
        </w:rPr>
        <w:t xml:space="preserve"> </w:t>
      </w:r>
    </w:p>
    <w:p w14:paraId="1828748D" w14:textId="7C9E2B27" w:rsidR="005B699B" w:rsidRPr="00BD7084" w:rsidRDefault="00B71903" w:rsidP="005B699B">
      <w:pPr>
        <w:pStyle w:val="Body"/>
        <w:rPr>
          <w:lang w:eastAsia="en-AU"/>
        </w:rPr>
      </w:pPr>
      <w:r>
        <w:rPr>
          <w:lang w:eastAsia="en-AU"/>
        </w:rPr>
        <w:t>Find out more about</w:t>
      </w:r>
      <w:r w:rsidR="005B699B" w:rsidRPr="68F9D2E4">
        <w:rPr>
          <w:lang w:eastAsia="en-AU"/>
        </w:rPr>
        <w:t xml:space="preserve"> the risk adjustment model for HACs, including the risk factors for each HAC group, </w:t>
      </w:r>
      <w:r>
        <w:rPr>
          <w:lang w:eastAsia="en-AU"/>
        </w:rPr>
        <w:t>on</w:t>
      </w:r>
      <w:r w:rsidR="005B699B" w:rsidRPr="68F9D2E4">
        <w:rPr>
          <w:lang w:eastAsia="en-AU"/>
        </w:rPr>
        <w:t xml:space="preserve"> the</w:t>
      </w:r>
      <w:r w:rsidR="005B699B">
        <w:t xml:space="preserve"> </w:t>
      </w:r>
      <w:hyperlink r:id="rId55" w:history="1">
        <w:r w:rsidRPr="00B71903">
          <w:rPr>
            <w:rStyle w:val="Hyperlink"/>
            <w:lang w:eastAsia="en-AU"/>
          </w:rPr>
          <w:t>National pricing model technical specifications 2025–26 – Independent Health and Aged Care Pricing Authority website</w:t>
        </w:r>
      </w:hyperlink>
      <w:r w:rsidR="00773C3B" w:rsidRPr="2496CD3E">
        <w:rPr>
          <w:lang w:eastAsia="en-AU"/>
        </w:rPr>
        <w:t xml:space="preserve"> &lt;</w:t>
      </w:r>
      <w:r w:rsidR="00773C3B">
        <w:t>https://www.ihacpa.gov.au/resources/national-pricing-model-technical-specifications-2025-26</w:t>
      </w:r>
      <w:r w:rsidR="00773C3B" w:rsidRPr="2496CD3E">
        <w:rPr>
          <w:lang w:eastAsia="en-AU"/>
        </w:rPr>
        <w:t>&gt;.</w:t>
      </w:r>
    </w:p>
    <w:p w14:paraId="156D1683" w14:textId="5B4F9035" w:rsidR="00040252" w:rsidRDefault="00C53FB0" w:rsidP="00E35AD6">
      <w:pPr>
        <w:pStyle w:val="Heading2"/>
        <w:numPr>
          <w:ilvl w:val="1"/>
          <w:numId w:val="12"/>
        </w:numPr>
        <w:ind w:left="709" w:hanging="709"/>
        <w:rPr>
          <w:lang w:eastAsia="en-AU"/>
        </w:rPr>
      </w:pPr>
      <w:bookmarkStart w:id="1677" w:name="_Toc201148248"/>
      <w:r>
        <w:rPr>
          <w:lang w:eastAsia="en-AU"/>
        </w:rPr>
        <w:t xml:space="preserve">Avoidable </w:t>
      </w:r>
      <w:r w:rsidR="002B303A">
        <w:rPr>
          <w:lang w:eastAsia="en-AU"/>
        </w:rPr>
        <w:t>hospital readmissions</w:t>
      </w:r>
      <w:bookmarkEnd w:id="1677"/>
      <w:r w:rsidR="00BA0E91">
        <w:rPr>
          <w:lang w:eastAsia="en-AU"/>
        </w:rPr>
        <w:t xml:space="preserve"> </w:t>
      </w:r>
    </w:p>
    <w:p w14:paraId="64339CFE" w14:textId="4FE39DA3" w:rsidR="00D83A4B" w:rsidRDefault="00D83A4B" w:rsidP="00D83A4B">
      <w:pPr>
        <w:pStyle w:val="Body"/>
        <w:rPr>
          <w:lang w:eastAsia="en-AU"/>
        </w:rPr>
      </w:pPr>
      <w:r>
        <w:rPr>
          <w:lang w:eastAsia="en-AU"/>
        </w:rPr>
        <w:t>Unplanned hospital readmissions are a measure of potential issues with the quality, continuity and integration of care provided to patients during</w:t>
      </w:r>
      <w:r w:rsidR="005643E3">
        <w:rPr>
          <w:lang w:eastAsia="en-AU"/>
        </w:rPr>
        <w:t>,</w:t>
      </w:r>
      <w:r>
        <w:rPr>
          <w:lang w:eastAsia="en-AU"/>
        </w:rPr>
        <w:t xml:space="preserve"> or subsequent to</w:t>
      </w:r>
      <w:r w:rsidR="005643E3">
        <w:rPr>
          <w:lang w:eastAsia="en-AU"/>
        </w:rPr>
        <w:t>,</w:t>
      </w:r>
      <w:r>
        <w:rPr>
          <w:lang w:eastAsia="en-AU"/>
        </w:rPr>
        <w:t xml:space="preserve"> their original hospital admission.</w:t>
      </w:r>
    </w:p>
    <w:p w14:paraId="385F0CCA" w14:textId="4394BC6E" w:rsidR="00D83A4B" w:rsidRDefault="00D83A4B" w:rsidP="00D83A4B">
      <w:pPr>
        <w:pStyle w:val="Body"/>
        <w:rPr>
          <w:lang w:eastAsia="en-AU"/>
        </w:rPr>
      </w:pPr>
      <w:r>
        <w:rPr>
          <w:lang w:eastAsia="en-AU"/>
        </w:rPr>
        <w:t>The AHR adjustment is calculated by deducting the cost of the readmission episode from the index episode</w:t>
      </w:r>
      <w:r w:rsidR="00AE206E">
        <w:rPr>
          <w:lang w:eastAsia="en-AU"/>
        </w:rPr>
        <w:t>, that is</w:t>
      </w:r>
      <w:r w:rsidR="00F869E3">
        <w:rPr>
          <w:lang w:eastAsia="en-AU"/>
        </w:rPr>
        <w:t>,</w:t>
      </w:r>
      <w:r>
        <w:rPr>
          <w:lang w:eastAsia="en-AU"/>
        </w:rPr>
        <w:t xml:space="preserve"> their original admission. This adjustment is risk adjusted to account for the varying </w:t>
      </w:r>
      <w:r>
        <w:rPr>
          <w:lang w:eastAsia="en-AU"/>
        </w:rPr>
        <w:lastRenderedPageBreak/>
        <w:t xml:space="preserve">levels of risk factors relevant to the readmission condition. The list of </w:t>
      </w:r>
      <w:r w:rsidR="00F869E3">
        <w:rPr>
          <w:lang w:eastAsia="en-AU"/>
        </w:rPr>
        <w:t>AHRs</w:t>
      </w:r>
      <w:r>
        <w:rPr>
          <w:lang w:eastAsia="en-AU"/>
        </w:rPr>
        <w:t xml:space="preserve"> and readmission intervals is provided in</w:t>
      </w:r>
      <w:r w:rsidR="00F30C16">
        <w:rPr>
          <w:lang w:eastAsia="en-AU"/>
        </w:rPr>
        <w:t xml:space="preserve"> </w:t>
      </w:r>
      <w:r w:rsidR="00F30C16">
        <w:rPr>
          <w:lang w:eastAsia="en-AU"/>
        </w:rPr>
        <w:fldChar w:fldCharType="begin"/>
      </w:r>
      <w:r w:rsidR="00F30C16">
        <w:rPr>
          <w:lang w:eastAsia="en-AU"/>
        </w:rPr>
        <w:instrText xml:space="preserve"> REF _Ref170115537 </w:instrText>
      </w:r>
      <w:r w:rsidR="00F30C16">
        <w:rPr>
          <w:lang w:eastAsia="en-AU"/>
        </w:rPr>
        <w:fldChar w:fldCharType="separate"/>
      </w:r>
      <w:r w:rsidR="007D262B">
        <w:t xml:space="preserve">Table </w:t>
      </w:r>
      <w:r w:rsidR="007D262B">
        <w:rPr>
          <w:noProof/>
        </w:rPr>
        <w:t>1</w:t>
      </w:r>
      <w:r w:rsidR="007D262B">
        <w:t>.</w:t>
      </w:r>
      <w:r w:rsidR="007D262B">
        <w:rPr>
          <w:noProof/>
        </w:rPr>
        <w:t>2</w:t>
      </w:r>
      <w:r w:rsidR="007D262B">
        <w:t>: Avoidable hospital readmissions and readmission intervals</w:t>
      </w:r>
      <w:r w:rsidR="00F30C16">
        <w:rPr>
          <w:lang w:eastAsia="en-AU"/>
        </w:rPr>
        <w:fldChar w:fldCharType="end"/>
      </w:r>
      <w:r w:rsidR="005166F4">
        <w:rPr>
          <w:lang w:eastAsia="en-AU"/>
        </w:rPr>
        <w:t xml:space="preserve">. </w:t>
      </w:r>
    </w:p>
    <w:p w14:paraId="7AAD4847" w14:textId="294EB754" w:rsidR="002B303A" w:rsidRPr="00BD7084" w:rsidRDefault="00D83A4B" w:rsidP="005B699B">
      <w:pPr>
        <w:pStyle w:val="Body"/>
        <w:rPr>
          <w:lang w:eastAsia="en-AU"/>
        </w:rPr>
      </w:pPr>
      <w:r>
        <w:rPr>
          <w:lang w:eastAsia="en-AU"/>
        </w:rPr>
        <w:t xml:space="preserve">As with </w:t>
      </w:r>
      <w:r w:rsidR="00F70439">
        <w:rPr>
          <w:lang w:eastAsia="en-AU"/>
        </w:rPr>
        <w:t>HACs</w:t>
      </w:r>
      <w:r>
        <w:rPr>
          <w:lang w:eastAsia="en-AU"/>
        </w:rPr>
        <w:t>, the AHR adjustment is paid based on the annual change in AHRs for a health service each year.</w:t>
      </w:r>
    </w:p>
    <w:p w14:paraId="664196C6" w14:textId="61899933" w:rsidR="00767EA1" w:rsidRDefault="00767EA1" w:rsidP="00767EA1">
      <w:pPr>
        <w:pStyle w:val="Body"/>
      </w:pPr>
      <w:r w:rsidRPr="00744A1D">
        <w:t xml:space="preserve">Section </w:t>
      </w:r>
      <w:r w:rsidR="00DB5C4B" w:rsidRPr="00744A1D">
        <w:fldChar w:fldCharType="begin"/>
      </w:r>
      <w:r w:rsidR="00DB5C4B" w:rsidRPr="00744A1D">
        <w:instrText xml:space="preserve"> REF _Ref167781452 \r \h </w:instrText>
      </w:r>
      <w:r w:rsidR="00744A1D">
        <w:instrText xml:space="preserve"> \* MERGEFORMAT </w:instrText>
      </w:r>
      <w:r w:rsidR="00DB5C4B" w:rsidRPr="00744A1D">
        <w:fldChar w:fldCharType="separate"/>
      </w:r>
      <w:r w:rsidR="007D262B">
        <w:t>10.3</w:t>
      </w:r>
      <w:r w:rsidR="00DB5C4B" w:rsidRPr="00744A1D">
        <w:fldChar w:fldCharType="end"/>
      </w:r>
      <w:r w:rsidR="00DB5C4B" w:rsidRPr="00744A1D">
        <w:t xml:space="preserve"> ‘</w:t>
      </w:r>
      <w:r w:rsidR="00DB5C4B" w:rsidRPr="00744A1D">
        <w:fldChar w:fldCharType="begin"/>
      </w:r>
      <w:r w:rsidR="00DB5C4B" w:rsidRPr="00744A1D">
        <w:instrText xml:space="preserve"> REF _Ref167781452 \h </w:instrText>
      </w:r>
      <w:r w:rsidR="00744A1D">
        <w:instrText xml:space="preserve"> \* MERGEFORMAT </w:instrText>
      </w:r>
      <w:r w:rsidR="00DB5C4B" w:rsidRPr="00744A1D">
        <w:fldChar w:fldCharType="separate"/>
      </w:r>
      <w:r w:rsidR="007D262B">
        <w:t>Calculating AHR NWAU growth-funding adjustment</w:t>
      </w:r>
      <w:r w:rsidR="00DB5C4B" w:rsidRPr="00744A1D">
        <w:fldChar w:fldCharType="end"/>
      </w:r>
      <w:r w:rsidR="00744A1D" w:rsidRPr="00744A1D">
        <w:t>’</w:t>
      </w:r>
      <w:r w:rsidR="00AA2BA0" w:rsidRPr="00744A1D">
        <w:t xml:space="preserve"> </w:t>
      </w:r>
      <w:r w:rsidRPr="00744A1D">
        <w:t>outlines the method to calculate the HAC NWAU growth-</w:t>
      </w:r>
      <w:r w:rsidRPr="0066727E">
        <w:t>funding adjustment.</w:t>
      </w:r>
      <w:r>
        <w:t xml:space="preserve"> </w:t>
      </w:r>
    </w:p>
    <w:p w14:paraId="7D42148D" w14:textId="317B4402" w:rsidR="00767EA1" w:rsidRDefault="00767EA1" w:rsidP="00767EA1">
      <w:pPr>
        <w:pStyle w:val="Body"/>
      </w:pPr>
      <w:r>
        <w:t>S</w:t>
      </w:r>
      <w:r w:rsidRPr="00EF2E8F">
        <w:t xml:space="preserve">ection </w:t>
      </w:r>
      <w:r>
        <w:fldChar w:fldCharType="begin"/>
      </w:r>
      <w:r>
        <w:instrText xml:space="preserve"> REF _Ref143004120 \r \h </w:instrText>
      </w:r>
      <w:r>
        <w:fldChar w:fldCharType="separate"/>
      </w:r>
      <w:r w:rsidR="007D262B">
        <w:t>9</w:t>
      </w:r>
      <w:r>
        <w:fldChar w:fldCharType="end"/>
      </w:r>
      <w:r>
        <w:t xml:space="preserve"> </w:t>
      </w:r>
      <w:r w:rsidR="00B71903">
        <w:t>‘</w:t>
      </w:r>
      <w:r>
        <w:fldChar w:fldCharType="begin"/>
      </w:r>
      <w:r>
        <w:instrText xml:space="preserve"> REF _Ref142493085 \h </w:instrText>
      </w:r>
      <w:r>
        <w:fldChar w:fldCharType="separate"/>
      </w:r>
      <w:r w:rsidR="007D262B">
        <w:t>Prior-year adjustment: activity-based funding reconciliation</w:t>
      </w:r>
      <w:r>
        <w:fldChar w:fldCharType="end"/>
      </w:r>
      <w:r w:rsidR="00B71903">
        <w:t>’</w:t>
      </w:r>
      <w:r>
        <w:t xml:space="preserve"> </w:t>
      </w:r>
      <w:r w:rsidRPr="00773FB4">
        <w:t>outlines</w:t>
      </w:r>
      <w:r>
        <w:t xml:space="preserve"> how this adjustment is applied as part of annual reconciliations</w:t>
      </w:r>
      <w:r w:rsidRPr="0007156B">
        <w:t xml:space="preserve">. </w:t>
      </w:r>
    </w:p>
    <w:p w14:paraId="6035E827" w14:textId="7EDB8C6F" w:rsidR="00AA124F" w:rsidRDefault="006E3CDF" w:rsidP="00476AAA">
      <w:pPr>
        <w:pStyle w:val="Tablecaption"/>
        <w:spacing w:line="250" w:lineRule="atLeast"/>
      </w:pPr>
      <w:bookmarkStart w:id="1678" w:name="_Ref170115537"/>
      <w:bookmarkStart w:id="1679" w:name="_Toc201148564"/>
      <w:r>
        <w:t xml:space="preserve">Table </w:t>
      </w:r>
      <w:fldSimple w:instr="REF Part \* MERGEFORMAT">
        <w:r w:rsidR="007D262B">
          <w:rPr>
            <w:noProof/>
          </w:rPr>
          <w:t>1</w:t>
        </w:r>
      </w:fldSimple>
      <w:r>
        <w:t>.</w:t>
      </w:r>
      <w:r w:rsidR="007D262B">
        <w:fldChar w:fldCharType="begin"/>
      </w:r>
      <w:r w:rsidR="007D262B">
        <w:instrText xml:space="preserve"> SEQ Table \* ARABIC </w:instrText>
      </w:r>
      <w:r w:rsidR="007D262B">
        <w:fldChar w:fldCharType="separate"/>
      </w:r>
      <w:r w:rsidR="007D262B">
        <w:rPr>
          <w:noProof/>
        </w:rPr>
        <w:t>2</w:t>
      </w:r>
      <w:r w:rsidR="007D262B">
        <w:rPr>
          <w:noProof/>
        </w:rPr>
        <w:fldChar w:fldCharType="end"/>
      </w:r>
      <w:r>
        <w:t xml:space="preserve">: </w:t>
      </w:r>
      <w:r w:rsidR="0002554E">
        <w:t>Avoidable hospital readmissions and readmission intervals</w:t>
      </w:r>
      <w:bookmarkEnd w:id="1678"/>
      <w:bookmarkEnd w:id="1679"/>
    </w:p>
    <w:tbl>
      <w:tblPr>
        <w:tblStyle w:val="GridTable4-Accent1"/>
        <w:tblW w:w="9098" w:type="dxa"/>
        <w:tblLayout w:type="fixed"/>
        <w:tblLook w:val="04A0" w:firstRow="1" w:lastRow="0" w:firstColumn="1" w:lastColumn="0" w:noHBand="0" w:noVBand="1"/>
      </w:tblPr>
      <w:tblGrid>
        <w:gridCol w:w="2860"/>
        <w:gridCol w:w="4112"/>
        <w:gridCol w:w="2126"/>
      </w:tblGrid>
      <w:tr w:rsidR="009C63A8" w14:paraId="4BDD025C" w14:textId="77777777" w:rsidTr="007A50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69C408BD" w14:textId="77777777" w:rsidR="009C63A8" w:rsidRPr="00915D49" w:rsidRDefault="009C63A8" w:rsidP="009C63A8">
            <w:pPr>
              <w:pStyle w:val="Tablecolhead"/>
              <w:rPr>
                <w:color w:val="FFFFFF" w:themeColor="background1"/>
              </w:rPr>
            </w:pPr>
            <w:r w:rsidRPr="00915D49">
              <w:rPr>
                <w:color w:val="FFFFFF" w:themeColor="background1"/>
              </w:rPr>
              <w:t>Readmission condition</w:t>
            </w:r>
          </w:p>
        </w:tc>
        <w:tc>
          <w:tcPr>
            <w:tcW w:w="4112" w:type="dxa"/>
          </w:tcPr>
          <w:p w14:paraId="209034B8" w14:textId="77777777" w:rsidR="009C63A8" w:rsidRPr="00915D49" w:rsidRDefault="009C63A8" w:rsidP="009C63A8">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915D49">
              <w:rPr>
                <w:color w:val="FFFFFF" w:themeColor="background1"/>
              </w:rPr>
              <w:t>Readmission diagnosis</w:t>
            </w:r>
          </w:p>
        </w:tc>
        <w:tc>
          <w:tcPr>
            <w:tcW w:w="2126" w:type="dxa"/>
          </w:tcPr>
          <w:p w14:paraId="57434C90" w14:textId="77777777" w:rsidR="009C63A8" w:rsidRPr="00915D49" w:rsidRDefault="009C63A8" w:rsidP="009C63A8">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915D49">
              <w:rPr>
                <w:color w:val="FFFFFF" w:themeColor="background1"/>
              </w:rPr>
              <w:t>Readmission interval</w:t>
            </w:r>
          </w:p>
        </w:tc>
      </w:tr>
      <w:tr w:rsidR="009C63A8" w14:paraId="4DEAAB08"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78B05949" w14:textId="77777777" w:rsidR="009C63A8" w:rsidRPr="00AC68A2" w:rsidRDefault="009C63A8" w:rsidP="00545910">
            <w:pPr>
              <w:pStyle w:val="Tabletext9pt"/>
              <w:rPr>
                <w:b w:val="0"/>
                <w:bCs/>
              </w:rPr>
            </w:pPr>
            <w:r w:rsidRPr="00AC68A2">
              <w:rPr>
                <w:b w:val="0"/>
                <w:bCs/>
              </w:rPr>
              <w:t>Pressure injury</w:t>
            </w:r>
          </w:p>
        </w:tc>
        <w:tc>
          <w:tcPr>
            <w:tcW w:w="4112" w:type="dxa"/>
          </w:tcPr>
          <w:p w14:paraId="205E4BD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Stage III ulcer</w:t>
            </w:r>
          </w:p>
        </w:tc>
        <w:tc>
          <w:tcPr>
            <w:tcW w:w="2126" w:type="dxa"/>
          </w:tcPr>
          <w:p w14:paraId="5C915159"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7D6F6E2"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3EB03ABB" w14:textId="77777777" w:rsidR="009C63A8" w:rsidRPr="00AC68A2" w:rsidRDefault="009C63A8" w:rsidP="00545910">
            <w:pPr>
              <w:pStyle w:val="Tabletext9pt"/>
              <w:rPr>
                <w:b w:val="0"/>
                <w:bCs/>
              </w:rPr>
            </w:pPr>
            <w:r w:rsidRPr="00AC68A2">
              <w:rPr>
                <w:b w:val="0"/>
                <w:bCs/>
              </w:rPr>
              <w:t>Pressure injury</w:t>
            </w:r>
          </w:p>
        </w:tc>
        <w:tc>
          <w:tcPr>
            <w:tcW w:w="4112" w:type="dxa"/>
          </w:tcPr>
          <w:p w14:paraId="09C9F63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Stage IV ulcer</w:t>
            </w:r>
          </w:p>
        </w:tc>
        <w:tc>
          <w:tcPr>
            <w:tcW w:w="2126" w:type="dxa"/>
          </w:tcPr>
          <w:p w14:paraId="23F6A2F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76A2CDB1"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CCA206F" w14:textId="77777777" w:rsidR="009C63A8" w:rsidRPr="00AC68A2" w:rsidRDefault="009C63A8" w:rsidP="00545910">
            <w:pPr>
              <w:pStyle w:val="Tabletext9pt"/>
              <w:rPr>
                <w:b w:val="0"/>
                <w:bCs/>
              </w:rPr>
            </w:pPr>
            <w:r w:rsidRPr="00AC68A2">
              <w:rPr>
                <w:b w:val="0"/>
                <w:bCs/>
              </w:rPr>
              <w:t>Pressure injury</w:t>
            </w:r>
          </w:p>
        </w:tc>
        <w:tc>
          <w:tcPr>
            <w:tcW w:w="4112" w:type="dxa"/>
          </w:tcPr>
          <w:p w14:paraId="114AFE1F"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Unspecified decubitus and pressure area</w:t>
            </w:r>
          </w:p>
        </w:tc>
        <w:tc>
          <w:tcPr>
            <w:tcW w:w="2126" w:type="dxa"/>
          </w:tcPr>
          <w:p w14:paraId="05039CC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1FA2544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EB9F71C" w14:textId="77777777" w:rsidR="009C63A8" w:rsidRPr="00AC68A2" w:rsidRDefault="009C63A8" w:rsidP="00545910">
            <w:pPr>
              <w:pStyle w:val="Tabletext9pt"/>
              <w:rPr>
                <w:b w:val="0"/>
                <w:bCs/>
              </w:rPr>
            </w:pPr>
            <w:r w:rsidRPr="00AC68A2">
              <w:rPr>
                <w:b w:val="0"/>
                <w:bCs/>
              </w:rPr>
              <w:t>Pressure injury</w:t>
            </w:r>
          </w:p>
        </w:tc>
        <w:tc>
          <w:tcPr>
            <w:tcW w:w="4112" w:type="dxa"/>
          </w:tcPr>
          <w:p w14:paraId="1F49D81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Unstageable pressure injury</w:t>
            </w:r>
          </w:p>
        </w:tc>
        <w:tc>
          <w:tcPr>
            <w:tcW w:w="2126" w:type="dxa"/>
          </w:tcPr>
          <w:p w14:paraId="6EF3F24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16105B09"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188E4F7" w14:textId="77777777" w:rsidR="009C63A8" w:rsidRPr="00AC68A2" w:rsidRDefault="009C63A8" w:rsidP="00545910">
            <w:pPr>
              <w:pStyle w:val="Tabletext9pt"/>
              <w:rPr>
                <w:b w:val="0"/>
                <w:bCs/>
              </w:rPr>
            </w:pPr>
            <w:r w:rsidRPr="00AC68A2">
              <w:rPr>
                <w:b w:val="0"/>
                <w:bCs/>
              </w:rPr>
              <w:t>Pressure injury</w:t>
            </w:r>
          </w:p>
        </w:tc>
        <w:tc>
          <w:tcPr>
            <w:tcW w:w="4112" w:type="dxa"/>
          </w:tcPr>
          <w:p w14:paraId="6BC4AD2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Suspected deep tissue injury, depth unknown</w:t>
            </w:r>
          </w:p>
        </w:tc>
        <w:tc>
          <w:tcPr>
            <w:tcW w:w="2126" w:type="dxa"/>
          </w:tcPr>
          <w:p w14:paraId="7333675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74DDDF6"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C812770" w14:textId="77777777" w:rsidR="009C63A8" w:rsidRPr="00AC68A2" w:rsidRDefault="009C63A8" w:rsidP="00545910">
            <w:pPr>
              <w:pStyle w:val="Tabletext9pt"/>
              <w:rPr>
                <w:b w:val="0"/>
                <w:bCs/>
              </w:rPr>
            </w:pPr>
            <w:r w:rsidRPr="00AC68A2">
              <w:rPr>
                <w:b w:val="0"/>
                <w:bCs/>
              </w:rPr>
              <w:t>Infections</w:t>
            </w:r>
          </w:p>
        </w:tc>
        <w:tc>
          <w:tcPr>
            <w:tcW w:w="4112" w:type="dxa"/>
          </w:tcPr>
          <w:p w14:paraId="51D2ABE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Urinary tract infection</w:t>
            </w:r>
          </w:p>
        </w:tc>
        <w:tc>
          <w:tcPr>
            <w:tcW w:w="2126" w:type="dxa"/>
          </w:tcPr>
          <w:p w14:paraId="1A18DFC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6C24C513"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1490C33" w14:textId="77777777" w:rsidR="009C63A8" w:rsidRPr="00AC68A2" w:rsidRDefault="009C63A8" w:rsidP="00545910">
            <w:pPr>
              <w:pStyle w:val="Tabletext9pt"/>
              <w:rPr>
                <w:b w:val="0"/>
                <w:bCs/>
              </w:rPr>
            </w:pPr>
            <w:r w:rsidRPr="00AC68A2">
              <w:rPr>
                <w:b w:val="0"/>
                <w:bCs/>
              </w:rPr>
              <w:t>Infections</w:t>
            </w:r>
          </w:p>
        </w:tc>
        <w:tc>
          <w:tcPr>
            <w:tcW w:w="4112" w:type="dxa"/>
          </w:tcPr>
          <w:p w14:paraId="3A65AE3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Surgical site infection</w:t>
            </w:r>
          </w:p>
        </w:tc>
        <w:tc>
          <w:tcPr>
            <w:tcW w:w="2126" w:type="dxa"/>
          </w:tcPr>
          <w:p w14:paraId="69DA05F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3B900A5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9A96801" w14:textId="77777777" w:rsidR="009C63A8" w:rsidRPr="00AC68A2" w:rsidRDefault="009C63A8" w:rsidP="00545910">
            <w:pPr>
              <w:pStyle w:val="Tabletext9pt"/>
              <w:rPr>
                <w:b w:val="0"/>
                <w:bCs/>
              </w:rPr>
            </w:pPr>
            <w:r w:rsidRPr="00AC68A2">
              <w:rPr>
                <w:b w:val="0"/>
                <w:bCs/>
              </w:rPr>
              <w:t>Infections</w:t>
            </w:r>
          </w:p>
        </w:tc>
        <w:tc>
          <w:tcPr>
            <w:tcW w:w="4112" w:type="dxa"/>
          </w:tcPr>
          <w:p w14:paraId="5307E32D"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Pneumonia</w:t>
            </w:r>
          </w:p>
        </w:tc>
        <w:tc>
          <w:tcPr>
            <w:tcW w:w="2126" w:type="dxa"/>
          </w:tcPr>
          <w:p w14:paraId="70A3160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25BE5D22"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FE98DB0" w14:textId="77777777" w:rsidR="009C63A8" w:rsidRPr="00AC68A2" w:rsidRDefault="009C63A8" w:rsidP="00545910">
            <w:pPr>
              <w:pStyle w:val="Tabletext9pt"/>
              <w:rPr>
                <w:b w:val="0"/>
                <w:bCs/>
              </w:rPr>
            </w:pPr>
            <w:r w:rsidRPr="00AC68A2">
              <w:rPr>
                <w:b w:val="0"/>
                <w:bCs/>
              </w:rPr>
              <w:t>Infections</w:t>
            </w:r>
          </w:p>
        </w:tc>
        <w:tc>
          <w:tcPr>
            <w:tcW w:w="4112" w:type="dxa"/>
          </w:tcPr>
          <w:p w14:paraId="5DED69D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Blood stream infection</w:t>
            </w:r>
          </w:p>
        </w:tc>
        <w:tc>
          <w:tcPr>
            <w:tcW w:w="2126" w:type="dxa"/>
          </w:tcPr>
          <w:p w14:paraId="7802FD5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44029B4D"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1307A95C" w14:textId="77777777" w:rsidR="009C63A8" w:rsidRPr="00AC68A2" w:rsidRDefault="009C63A8" w:rsidP="00545910">
            <w:pPr>
              <w:pStyle w:val="Tabletext9pt"/>
              <w:rPr>
                <w:b w:val="0"/>
                <w:bCs/>
              </w:rPr>
            </w:pPr>
            <w:r w:rsidRPr="00AC68A2">
              <w:rPr>
                <w:b w:val="0"/>
                <w:bCs/>
              </w:rPr>
              <w:t>Infections</w:t>
            </w:r>
          </w:p>
        </w:tc>
        <w:tc>
          <w:tcPr>
            <w:tcW w:w="4112" w:type="dxa"/>
          </w:tcPr>
          <w:p w14:paraId="27F8F74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Central line and peripheral line associated blood stream infection</w:t>
            </w:r>
          </w:p>
        </w:tc>
        <w:tc>
          <w:tcPr>
            <w:tcW w:w="2126" w:type="dxa"/>
          </w:tcPr>
          <w:p w14:paraId="1532415F"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7543E3B9"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30C9EE2" w14:textId="77777777" w:rsidR="009C63A8" w:rsidRPr="00AC68A2" w:rsidRDefault="009C63A8" w:rsidP="00545910">
            <w:pPr>
              <w:pStyle w:val="Tabletext9pt"/>
              <w:rPr>
                <w:b w:val="0"/>
                <w:bCs/>
              </w:rPr>
            </w:pPr>
            <w:r w:rsidRPr="00AC68A2">
              <w:rPr>
                <w:b w:val="0"/>
                <w:bCs/>
              </w:rPr>
              <w:t>Infections</w:t>
            </w:r>
          </w:p>
        </w:tc>
        <w:tc>
          <w:tcPr>
            <w:tcW w:w="4112" w:type="dxa"/>
          </w:tcPr>
          <w:p w14:paraId="063809A4" w14:textId="206CB49C"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Multi</w:t>
            </w:r>
            <w:r w:rsidR="004D14A2">
              <w:t>-</w:t>
            </w:r>
            <w:r>
              <w:t>resistant organism</w:t>
            </w:r>
          </w:p>
        </w:tc>
        <w:tc>
          <w:tcPr>
            <w:tcW w:w="2126" w:type="dxa"/>
          </w:tcPr>
          <w:p w14:paraId="2ED67B4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1D25C4D1"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884325B" w14:textId="77777777" w:rsidR="009C63A8" w:rsidRPr="00AC68A2" w:rsidRDefault="009C63A8" w:rsidP="00545910">
            <w:pPr>
              <w:pStyle w:val="Tabletext9pt"/>
              <w:rPr>
                <w:b w:val="0"/>
                <w:bCs/>
              </w:rPr>
            </w:pPr>
            <w:r w:rsidRPr="00AC68A2">
              <w:rPr>
                <w:b w:val="0"/>
                <w:bCs/>
              </w:rPr>
              <w:t>Infections</w:t>
            </w:r>
          </w:p>
        </w:tc>
        <w:tc>
          <w:tcPr>
            <w:tcW w:w="4112" w:type="dxa"/>
          </w:tcPr>
          <w:p w14:paraId="128CBA8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Infection associated with devices, implants and grafts</w:t>
            </w:r>
          </w:p>
        </w:tc>
        <w:tc>
          <w:tcPr>
            <w:tcW w:w="2126" w:type="dxa"/>
          </w:tcPr>
          <w:p w14:paraId="3BDCB55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90 days</w:t>
            </w:r>
          </w:p>
        </w:tc>
      </w:tr>
      <w:tr w:rsidR="009C63A8" w14:paraId="37E4DD2D"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CFC4337" w14:textId="77777777" w:rsidR="009C63A8" w:rsidRPr="00AC68A2" w:rsidRDefault="009C63A8" w:rsidP="00545910">
            <w:pPr>
              <w:pStyle w:val="Tabletext9pt"/>
              <w:rPr>
                <w:b w:val="0"/>
                <w:bCs/>
              </w:rPr>
            </w:pPr>
            <w:r w:rsidRPr="00AC68A2">
              <w:rPr>
                <w:b w:val="0"/>
                <w:bCs/>
              </w:rPr>
              <w:t>Infections</w:t>
            </w:r>
          </w:p>
        </w:tc>
        <w:tc>
          <w:tcPr>
            <w:tcW w:w="4112" w:type="dxa"/>
          </w:tcPr>
          <w:p w14:paraId="04AB852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Infection associated with devices, implants and grafts in genital tract or urinary</w:t>
            </w:r>
          </w:p>
        </w:tc>
        <w:tc>
          <w:tcPr>
            <w:tcW w:w="2126" w:type="dxa"/>
          </w:tcPr>
          <w:p w14:paraId="431FD96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1BDD28C9"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6205D220" w14:textId="77777777" w:rsidR="009C63A8" w:rsidRPr="00AC68A2" w:rsidRDefault="009C63A8" w:rsidP="00545910">
            <w:pPr>
              <w:pStyle w:val="Tabletext9pt"/>
              <w:rPr>
                <w:b w:val="0"/>
                <w:bCs/>
              </w:rPr>
            </w:pPr>
            <w:r w:rsidRPr="00AC68A2">
              <w:rPr>
                <w:b w:val="0"/>
                <w:bCs/>
              </w:rPr>
              <w:t>Infections</w:t>
            </w:r>
          </w:p>
        </w:tc>
        <w:tc>
          <w:tcPr>
            <w:tcW w:w="4112" w:type="dxa"/>
          </w:tcPr>
          <w:p w14:paraId="145AFA1B"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Infection associated with peritoneal dialysis catheter</w:t>
            </w:r>
          </w:p>
        </w:tc>
        <w:tc>
          <w:tcPr>
            <w:tcW w:w="2126" w:type="dxa"/>
          </w:tcPr>
          <w:p w14:paraId="0139A78B"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2CD32F0E"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0E725DB9" w14:textId="77777777" w:rsidR="009C63A8" w:rsidRPr="00AC68A2" w:rsidRDefault="009C63A8" w:rsidP="00545910">
            <w:pPr>
              <w:pStyle w:val="Tabletext9pt"/>
              <w:rPr>
                <w:b w:val="0"/>
                <w:bCs/>
              </w:rPr>
            </w:pPr>
            <w:r w:rsidRPr="00AC68A2">
              <w:rPr>
                <w:b w:val="0"/>
                <w:bCs/>
              </w:rPr>
              <w:t>Infections</w:t>
            </w:r>
          </w:p>
        </w:tc>
        <w:tc>
          <w:tcPr>
            <w:tcW w:w="4112" w:type="dxa"/>
          </w:tcPr>
          <w:p w14:paraId="548231C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Gastrointestinal infections</w:t>
            </w:r>
          </w:p>
        </w:tc>
        <w:tc>
          <w:tcPr>
            <w:tcW w:w="2126" w:type="dxa"/>
          </w:tcPr>
          <w:p w14:paraId="21BB630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55A279E9"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3CC0FD4F" w14:textId="77777777" w:rsidR="009C63A8" w:rsidRPr="00AC68A2" w:rsidRDefault="009C63A8" w:rsidP="00545910">
            <w:pPr>
              <w:pStyle w:val="Tabletext9pt"/>
              <w:rPr>
                <w:b w:val="0"/>
                <w:bCs/>
              </w:rPr>
            </w:pPr>
            <w:r w:rsidRPr="00AC68A2">
              <w:rPr>
                <w:b w:val="0"/>
                <w:bCs/>
              </w:rPr>
              <w:t>Infections</w:t>
            </w:r>
          </w:p>
        </w:tc>
        <w:tc>
          <w:tcPr>
            <w:tcW w:w="4112" w:type="dxa"/>
          </w:tcPr>
          <w:p w14:paraId="52C295A4"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Other high impact infections</w:t>
            </w:r>
          </w:p>
        </w:tc>
        <w:tc>
          <w:tcPr>
            <w:tcW w:w="2126" w:type="dxa"/>
          </w:tcPr>
          <w:p w14:paraId="0DF39B8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1A0F1EB1"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552BC0C0" w14:textId="77777777" w:rsidR="009C63A8" w:rsidRPr="00AC68A2" w:rsidRDefault="009C63A8" w:rsidP="00545910">
            <w:pPr>
              <w:pStyle w:val="Tabletext9pt"/>
              <w:rPr>
                <w:b w:val="0"/>
                <w:bCs/>
              </w:rPr>
            </w:pPr>
            <w:r w:rsidRPr="00AC68A2">
              <w:rPr>
                <w:b w:val="0"/>
                <w:bCs/>
              </w:rPr>
              <w:t>Surgical complications</w:t>
            </w:r>
          </w:p>
        </w:tc>
        <w:tc>
          <w:tcPr>
            <w:tcW w:w="4112" w:type="dxa"/>
          </w:tcPr>
          <w:p w14:paraId="0A8E6F2D"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Postoperative haemorrhage/haematoma</w:t>
            </w:r>
          </w:p>
        </w:tc>
        <w:tc>
          <w:tcPr>
            <w:tcW w:w="2126" w:type="dxa"/>
          </w:tcPr>
          <w:p w14:paraId="154BDAA1"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5FB42E1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1193BB9" w14:textId="77777777" w:rsidR="009C63A8" w:rsidRPr="00AC68A2" w:rsidRDefault="009C63A8" w:rsidP="00545910">
            <w:pPr>
              <w:pStyle w:val="Tabletext9pt"/>
              <w:rPr>
                <w:b w:val="0"/>
                <w:bCs/>
              </w:rPr>
            </w:pPr>
            <w:r w:rsidRPr="00AC68A2">
              <w:rPr>
                <w:b w:val="0"/>
                <w:bCs/>
              </w:rPr>
              <w:t>Surgical complications</w:t>
            </w:r>
          </w:p>
        </w:tc>
        <w:tc>
          <w:tcPr>
            <w:tcW w:w="4112" w:type="dxa"/>
          </w:tcPr>
          <w:p w14:paraId="501516BA"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Surgical wound dehiscence</w:t>
            </w:r>
          </w:p>
        </w:tc>
        <w:tc>
          <w:tcPr>
            <w:tcW w:w="2126" w:type="dxa"/>
          </w:tcPr>
          <w:p w14:paraId="5415B45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6225260C"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E5A1DCD" w14:textId="77777777" w:rsidR="009C63A8" w:rsidRPr="00AC68A2" w:rsidRDefault="009C63A8" w:rsidP="00545910">
            <w:pPr>
              <w:pStyle w:val="Tabletext9pt"/>
              <w:rPr>
                <w:b w:val="0"/>
                <w:bCs/>
              </w:rPr>
            </w:pPr>
            <w:r w:rsidRPr="00AC68A2">
              <w:rPr>
                <w:b w:val="0"/>
                <w:bCs/>
              </w:rPr>
              <w:t>Surgical complications</w:t>
            </w:r>
          </w:p>
        </w:tc>
        <w:tc>
          <w:tcPr>
            <w:tcW w:w="4112" w:type="dxa"/>
          </w:tcPr>
          <w:p w14:paraId="0236005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Anastomotic leak</w:t>
            </w:r>
          </w:p>
        </w:tc>
        <w:tc>
          <w:tcPr>
            <w:tcW w:w="2126" w:type="dxa"/>
          </w:tcPr>
          <w:p w14:paraId="6CB7CC4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2932A9C8"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631922B" w14:textId="77777777" w:rsidR="009C63A8" w:rsidRPr="00AC68A2" w:rsidRDefault="009C63A8" w:rsidP="00545910">
            <w:pPr>
              <w:pStyle w:val="Tabletext9pt"/>
              <w:rPr>
                <w:b w:val="0"/>
                <w:bCs/>
              </w:rPr>
            </w:pPr>
            <w:r w:rsidRPr="00AC68A2">
              <w:rPr>
                <w:b w:val="0"/>
                <w:bCs/>
              </w:rPr>
              <w:t>Surgical complications</w:t>
            </w:r>
          </w:p>
        </w:tc>
        <w:tc>
          <w:tcPr>
            <w:tcW w:w="4112" w:type="dxa"/>
          </w:tcPr>
          <w:p w14:paraId="76C1667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Cardiac vascular graft failure</w:t>
            </w:r>
          </w:p>
        </w:tc>
        <w:tc>
          <w:tcPr>
            <w:tcW w:w="2126" w:type="dxa"/>
          </w:tcPr>
          <w:p w14:paraId="7484E42E"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75C5CB6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7A814E2" w14:textId="77777777" w:rsidR="009C63A8" w:rsidRPr="00AC68A2" w:rsidRDefault="009C63A8" w:rsidP="00545910">
            <w:pPr>
              <w:pStyle w:val="Tabletext9pt"/>
              <w:rPr>
                <w:b w:val="0"/>
                <w:bCs/>
              </w:rPr>
            </w:pPr>
            <w:r w:rsidRPr="00AC68A2">
              <w:rPr>
                <w:b w:val="0"/>
                <w:bCs/>
              </w:rPr>
              <w:t>Surgical complications</w:t>
            </w:r>
          </w:p>
        </w:tc>
        <w:tc>
          <w:tcPr>
            <w:tcW w:w="4112" w:type="dxa"/>
          </w:tcPr>
          <w:p w14:paraId="2635D08F"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Pain following surgery</w:t>
            </w:r>
          </w:p>
        </w:tc>
        <w:tc>
          <w:tcPr>
            <w:tcW w:w="2126" w:type="dxa"/>
          </w:tcPr>
          <w:p w14:paraId="798EC919"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259433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01909E8" w14:textId="77777777" w:rsidR="009C63A8" w:rsidRPr="00AC68A2" w:rsidRDefault="009C63A8" w:rsidP="00545910">
            <w:pPr>
              <w:pStyle w:val="Tabletext9pt"/>
              <w:rPr>
                <w:b w:val="0"/>
                <w:bCs/>
              </w:rPr>
            </w:pPr>
            <w:r w:rsidRPr="00AC68A2">
              <w:rPr>
                <w:b w:val="0"/>
                <w:bCs/>
              </w:rPr>
              <w:t>Surgical complications</w:t>
            </w:r>
          </w:p>
        </w:tc>
        <w:tc>
          <w:tcPr>
            <w:tcW w:w="4112" w:type="dxa"/>
          </w:tcPr>
          <w:p w14:paraId="1B9DDAE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Other surgical complications</w:t>
            </w:r>
          </w:p>
        </w:tc>
        <w:tc>
          <w:tcPr>
            <w:tcW w:w="2126" w:type="dxa"/>
          </w:tcPr>
          <w:p w14:paraId="11E2BC2A"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76FAB52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75756CE6"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34DFA96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Respiratory failure including acute respiratory distress syndromes</w:t>
            </w:r>
          </w:p>
        </w:tc>
        <w:tc>
          <w:tcPr>
            <w:tcW w:w="2126" w:type="dxa"/>
          </w:tcPr>
          <w:p w14:paraId="03733D13"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21 days</w:t>
            </w:r>
          </w:p>
        </w:tc>
      </w:tr>
      <w:tr w:rsidR="009C63A8" w14:paraId="71004DAC"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B047C4D"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4621557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Aspiration pneumonia</w:t>
            </w:r>
          </w:p>
        </w:tc>
        <w:tc>
          <w:tcPr>
            <w:tcW w:w="2126" w:type="dxa"/>
          </w:tcPr>
          <w:p w14:paraId="07D77DC3"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4A77BD30"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3B0A34A"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1A7525A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Pulmonary oedema</w:t>
            </w:r>
          </w:p>
        </w:tc>
        <w:tc>
          <w:tcPr>
            <w:tcW w:w="2126" w:type="dxa"/>
          </w:tcPr>
          <w:p w14:paraId="1B313981"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A6514DD"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6EA1C489" w14:textId="77777777" w:rsidR="009C63A8" w:rsidRPr="00AC68A2" w:rsidRDefault="009C63A8" w:rsidP="00545910">
            <w:pPr>
              <w:pStyle w:val="Tabletext9pt"/>
              <w:rPr>
                <w:b w:val="0"/>
                <w:bCs/>
              </w:rPr>
            </w:pPr>
            <w:r w:rsidRPr="00AC68A2">
              <w:rPr>
                <w:b w:val="0"/>
                <w:bCs/>
              </w:rPr>
              <w:t>Venous thromboembolism</w:t>
            </w:r>
          </w:p>
        </w:tc>
        <w:tc>
          <w:tcPr>
            <w:tcW w:w="4112" w:type="dxa"/>
          </w:tcPr>
          <w:p w14:paraId="4EFD9D6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Venous thromboembolism</w:t>
            </w:r>
          </w:p>
        </w:tc>
        <w:tc>
          <w:tcPr>
            <w:tcW w:w="2126" w:type="dxa"/>
          </w:tcPr>
          <w:p w14:paraId="728C45F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90 days</w:t>
            </w:r>
          </w:p>
        </w:tc>
      </w:tr>
      <w:tr w:rsidR="009C63A8" w14:paraId="3F05B78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62DE06A0" w14:textId="77777777" w:rsidR="009C63A8" w:rsidRPr="00AC68A2" w:rsidRDefault="009C63A8" w:rsidP="00545910">
            <w:pPr>
              <w:pStyle w:val="Tabletext9pt"/>
              <w:rPr>
                <w:b w:val="0"/>
                <w:bCs/>
              </w:rPr>
            </w:pPr>
            <w:r w:rsidRPr="00AC68A2">
              <w:rPr>
                <w:b w:val="0"/>
                <w:bCs/>
              </w:rPr>
              <w:lastRenderedPageBreak/>
              <w:t>Renal failure</w:t>
            </w:r>
          </w:p>
        </w:tc>
        <w:tc>
          <w:tcPr>
            <w:tcW w:w="4112" w:type="dxa"/>
          </w:tcPr>
          <w:p w14:paraId="7AB105A2"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Renal failure</w:t>
            </w:r>
          </w:p>
        </w:tc>
        <w:tc>
          <w:tcPr>
            <w:tcW w:w="2126" w:type="dxa"/>
          </w:tcPr>
          <w:p w14:paraId="74320C1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21 days</w:t>
            </w:r>
          </w:p>
        </w:tc>
      </w:tr>
      <w:tr w:rsidR="009C63A8" w14:paraId="6AEDD881"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95E774E" w14:textId="77777777" w:rsidR="009C63A8" w:rsidRPr="00AC68A2" w:rsidRDefault="009C63A8" w:rsidP="00545910">
            <w:pPr>
              <w:pStyle w:val="Tabletext9pt"/>
              <w:rPr>
                <w:b w:val="0"/>
                <w:bCs/>
              </w:rPr>
            </w:pPr>
            <w:r w:rsidRPr="00AC68A2">
              <w:rPr>
                <w:b w:val="0"/>
                <w:bCs/>
              </w:rPr>
              <w:t>Gastrointestinal bleeding</w:t>
            </w:r>
          </w:p>
        </w:tc>
        <w:tc>
          <w:tcPr>
            <w:tcW w:w="4112" w:type="dxa"/>
          </w:tcPr>
          <w:p w14:paraId="1813CD3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Gastrointestinal bleeding</w:t>
            </w:r>
          </w:p>
        </w:tc>
        <w:tc>
          <w:tcPr>
            <w:tcW w:w="2126" w:type="dxa"/>
          </w:tcPr>
          <w:p w14:paraId="4AB3B32E"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4249940F"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197C32D" w14:textId="77777777" w:rsidR="009C63A8" w:rsidRPr="00AC68A2" w:rsidRDefault="009C63A8" w:rsidP="00545910">
            <w:pPr>
              <w:pStyle w:val="Tabletext9pt"/>
              <w:rPr>
                <w:b w:val="0"/>
                <w:bCs/>
              </w:rPr>
            </w:pPr>
            <w:r w:rsidRPr="00AC68A2">
              <w:rPr>
                <w:b w:val="0"/>
                <w:bCs/>
              </w:rPr>
              <w:t>Medication complications</w:t>
            </w:r>
          </w:p>
        </w:tc>
        <w:tc>
          <w:tcPr>
            <w:tcW w:w="4112" w:type="dxa"/>
          </w:tcPr>
          <w:p w14:paraId="762767F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Drug related respiratory complications/depression</w:t>
            </w:r>
          </w:p>
        </w:tc>
        <w:tc>
          <w:tcPr>
            <w:tcW w:w="2126" w:type="dxa"/>
          </w:tcPr>
          <w:p w14:paraId="60CD6286"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1C2BD51C"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1BC1D413" w14:textId="77777777" w:rsidR="009C63A8" w:rsidRPr="00AC68A2" w:rsidRDefault="009C63A8" w:rsidP="00545910">
            <w:pPr>
              <w:pStyle w:val="Tabletext9pt"/>
              <w:rPr>
                <w:b w:val="0"/>
                <w:bCs/>
              </w:rPr>
            </w:pPr>
            <w:r w:rsidRPr="00AC68A2">
              <w:rPr>
                <w:b w:val="0"/>
                <w:bCs/>
              </w:rPr>
              <w:t>Medication complications</w:t>
            </w:r>
          </w:p>
        </w:tc>
        <w:tc>
          <w:tcPr>
            <w:tcW w:w="4112" w:type="dxa"/>
          </w:tcPr>
          <w:p w14:paraId="75F1A175"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Hypoglycaemia</w:t>
            </w:r>
          </w:p>
        </w:tc>
        <w:tc>
          <w:tcPr>
            <w:tcW w:w="2126" w:type="dxa"/>
          </w:tcPr>
          <w:p w14:paraId="51CC0D6C"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4 days</w:t>
            </w:r>
          </w:p>
        </w:tc>
      </w:tr>
      <w:tr w:rsidR="009C63A8" w14:paraId="629914EF"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589B43B9" w14:textId="77777777" w:rsidR="009C63A8" w:rsidRPr="00AC68A2" w:rsidRDefault="009C63A8" w:rsidP="00545910">
            <w:pPr>
              <w:pStyle w:val="Tabletext9pt"/>
              <w:rPr>
                <w:b w:val="0"/>
                <w:bCs/>
              </w:rPr>
            </w:pPr>
            <w:r w:rsidRPr="00AC68A2">
              <w:rPr>
                <w:b w:val="0"/>
                <w:bCs/>
              </w:rPr>
              <w:t>Medication complications</w:t>
            </w:r>
          </w:p>
        </w:tc>
        <w:tc>
          <w:tcPr>
            <w:tcW w:w="4112" w:type="dxa"/>
          </w:tcPr>
          <w:p w14:paraId="5782050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Movement disorders due to psychotropic medications</w:t>
            </w:r>
          </w:p>
        </w:tc>
        <w:tc>
          <w:tcPr>
            <w:tcW w:w="2126" w:type="dxa"/>
          </w:tcPr>
          <w:p w14:paraId="3207717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0316DB0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25C4F6D5" w14:textId="77777777" w:rsidR="009C63A8" w:rsidRPr="00AC68A2" w:rsidRDefault="009C63A8" w:rsidP="00545910">
            <w:pPr>
              <w:pStyle w:val="Tabletext9pt"/>
              <w:rPr>
                <w:b w:val="0"/>
                <w:bCs/>
              </w:rPr>
            </w:pPr>
            <w:r w:rsidRPr="00AC68A2">
              <w:rPr>
                <w:b w:val="0"/>
                <w:bCs/>
              </w:rPr>
              <w:t>Medication complications</w:t>
            </w:r>
          </w:p>
        </w:tc>
        <w:tc>
          <w:tcPr>
            <w:tcW w:w="4112" w:type="dxa"/>
          </w:tcPr>
          <w:p w14:paraId="103E135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Serious alteration to conscious state due to psychotropic medication</w:t>
            </w:r>
          </w:p>
        </w:tc>
        <w:tc>
          <w:tcPr>
            <w:tcW w:w="2126" w:type="dxa"/>
          </w:tcPr>
          <w:p w14:paraId="3878886F"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40DD5044"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EDD40B6" w14:textId="77777777" w:rsidR="009C63A8" w:rsidRPr="00AC68A2" w:rsidRDefault="009C63A8" w:rsidP="00545910">
            <w:pPr>
              <w:pStyle w:val="Tabletext9pt"/>
              <w:rPr>
                <w:b w:val="0"/>
                <w:bCs/>
              </w:rPr>
            </w:pPr>
            <w:r w:rsidRPr="00AC68A2">
              <w:rPr>
                <w:b w:val="0"/>
                <w:bCs/>
              </w:rPr>
              <w:t>Delirium</w:t>
            </w:r>
          </w:p>
        </w:tc>
        <w:tc>
          <w:tcPr>
            <w:tcW w:w="4112" w:type="dxa"/>
          </w:tcPr>
          <w:p w14:paraId="29083D32"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Delirium</w:t>
            </w:r>
          </w:p>
        </w:tc>
        <w:tc>
          <w:tcPr>
            <w:tcW w:w="2126" w:type="dxa"/>
          </w:tcPr>
          <w:p w14:paraId="3C205EB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10 days</w:t>
            </w:r>
          </w:p>
        </w:tc>
      </w:tr>
      <w:tr w:rsidR="009C63A8" w14:paraId="4EEA6BC8"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55D21BD" w14:textId="77777777" w:rsidR="009C63A8" w:rsidRPr="00AC68A2" w:rsidRDefault="009C63A8" w:rsidP="00545910">
            <w:pPr>
              <w:pStyle w:val="Tabletext9pt"/>
              <w:rPr>
                <w:b w:val="0"/>
                <w:bCs/>
              </w:rPr>
            </w:pPr>
            <w:r w:rsidRPr="00AC68A2">
              <w:rPr>
                <w:b w:val="0"/>
                <w:bCs/>
              </w:rPr>
              <w:t>Cardiac complications</w:t>
            </w:r>
          </w:p>
        </w:tc>
        <w:tc>
          <w:tcPr>
            <w:tcW w:w="4112" w:type="dxa"/>
          </w:tcPr>
          <w:p w14:paraId="60E40BC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Heart failure</w:t>
            </w:r>
          </w:p>
        </w:tc>
        <w:tc>
          <w:tcPr>
            <w:tcW w:w="2126" w:type="dxa"/>
          </w:tcPr>
          <w:p w14:paraId="27A3B884"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30 days</w:t>
            </w:r>
          </w:p>
        </w:tc>
      </w:tr>
      <w:tr w:rsidR="009C63A8" w14:paraId="3425186D"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235AA9B" w14:textId="77777777" w:rsidR="009C63A8" w:rsidRPr="00AC68A2" w:rsidRDefault="009C63A8" w:rsidP="00545910">
            <w:pPr>
              <w:pStyle w:val="Tabletext9pt"/>
              <w:rPr>
                <w:b w:val="0"/>
                <w:bCs/>
              </w:rPr>
            </w:pPr>
            <w:r w:rsidRPr="00AC68A2">
              <w:rPr>
                <w:b w:val="0"/>
                <w:bCs/>
              </w:rPr>
              <w:t>Cardiac complications</w:t>
            </w:r>
          </w:p>
        </w:tc>
        <w:tc>
          <w:tcPr>
            <w:tcW w:w="4112" w:type="dxa"/>
          </w:tcPr>
          <w:p w14:paraId="2FDEB2B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Ventricular arrhythmias and cardiac arrest</w:t>
            </w:r>
          </w:p>
        </w:tc>
        <w:tc>
          <w:tcPr>
            <w:tcW w:w="2126" w:type="dxa"/>
          </w:tcPr>
          <w:p w14:paraId="0D7A9EA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6FBC8E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E26EA70" w14:textId="77777777" w:rsidR="009C63A8" w:rsidRPr="00AC68A2" w:rsidRDefault="009C63A8" w:rsidP="00545910">
            <w:pPr>
              <w:pStyle w:val="Tabletext9pt"/>
              <w:rPr>
                <w:b w:val="0"/>
                <w:bCs/>
              </w:rPr>
            </w:pPr>
            <w:r w:rsidRPr="00AC68A2">
              <w:rPr>
                <w:b w:val="0"/>
                <w:bCs/>
              </w:rPr>
              <w:t>Cardiac complications</w:t>
            </w:r>
          </w:p>
        </w:tc>
        <w:tc>
          <w:tcPr>
            <w:tcW w:w="4112" w:type="dxa"/>
          </w:tcPr>
          <w:p w14:paraId="05FC803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Atrial tachycardia</w:t>
            </w:r>
          </w:p>
        </w:tc>
        <w:tc>
          <w:tcPr>
            <w:tcW w:w="2126" w:type="dxa"/>
          </w:tcPr>
          <w:p w14:paraId="42CE7F7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66FFBE84"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0456F7E6" w14:textId="77777777" w:rsidR="009C63A8" w:rsidRPr="00AC68A2" w:rsidRDefault="009C63A8" w:rsidP="00545910">
            <w:pPr>
              <w:pStyle w:val="Tabletext9pt"/>
              <w:rPr>
                <w:b w:val="0"/>
                <w:bCs/>
              </w:rPr>
            </w:pPr>
            <w:r w:rsidRPr="00AC68A2">
              <w:rPr>
                <w:b w:val="0"/>
                <w:bCs/>
              </w:rPr>
              <w:t>Cardiac complications</w:t>
            </w:r>
          </w:p>
        </w:tc>
        <w:tc>
          <w:tcPr>
            <w:tcW w:w="4112" w:type="dxa"/>
          </w:tcPr>
          <w:p w14:paraId="1770EBF4"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Acute coronary syndrome including unstable angina, STEMI and NSTEMI</w:t>
            </w:r>
          </w:p>
        </w:tc>
        <w:tc>
          <w:tcPr>
            <w:tcW w:w="2126" w:type="dxa"/>
          </w:tcPr>
          <w:p w14:paraId="6218A85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E4F4B3B"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7C3CB9C6" w14:textId="77777777" w:rsidR="009C63A8" w:rsidRPr="00AC68A2" w:rsidRDefault="009C63A8" w:rsidP="00545910">
            <w:pPr>
              <w:pStyle w:val="Tabletext9pt"/>
              <w:rPr>
                <w:b w:val="0"/>
                <w:bCs/>
              </w:rPr>
            </w:pPr>
            <w:r w:rsidRPr="00AC68A2">
              <w:rPr>
                <w:b w:val="0"/>
                <w:bCs/>
              </w:rPr>
              <w:t>Other</w:t>
            </w:r>
          </w:p>
        </w:tc>
        <w:tc>
          <w:tcPr>
            <w:tcW w:w="4112" w:type="dxa"/>
          </w:tcPr>
          <w:p w14:paraId="40AFC96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Constipation</w:t>
            </w:r>
          </w:p>
        </w:tc>
        <w:tc>
          <w:tcPr>
            <w:tcW w:w="2126" w:type="dxa"/>
          </w:tcPr>
          <w:p w14:paraId="32CD7005"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09E3B39B"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305E0FE" w14:textId="77777777" w:rsidR="009C63A8" w:rsidRPr="00AC68A2" w:rsidRDefault="009C63A8" w:rsidP="00545910">
            <w:pPr>
              <w:pStyle w:val="Tabletext9pt"/>
              <w:rPr>
                <w:b w:val="0"/>
                <w:bCs/>
              </w:rPr>
            </w:pPr>
            <w:r w:rsidRPr="00AC68A2">
              <w:rPr>
                <w:b w:val="0"/>
                <w:bCs/>
              </w:rPr>
              <w:t>Other</w:t>
            </w:r>
          </w:p>
        </w:tc>
        <w:tc>
          <w:tcPr>
            <w:tcW w:w="4112" w:type="dxa"/>
          </w:tcPr>
          <w:p w14:paraId="6395197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Nausea and vomiting</w:t>
            </w:r>
          </w:p>
        </w:tc>
        <w:tc>
          <w:tcPr>
            <w:tcW w:w="2126" w:type="dxa"/>
          </w:tcPr>
          <w:p w14:paraId="69FF8023"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7 days</w:t>
            </w:r>
          </w:p>
        </w:tc>
      </w:tr>
    </w:tbl>
    <w:p w14:paraId="0A01DB33" w14:textId="2EAEFCC6" w:rsidR="00F16E05" w:rsidRDefault="00996978" w:rsidP="00C46F8B">
      <w:pPr>
        <w:pStyle w:val="Bodyafterfiguretable"/>
        <w:rPr>
          <w:lang w:eastAsia="en-AU"/>
        </w:rPr>
      </w:pPr>
      <w:r w:rsidRPr="00A131C0">
        <w:rPr>
          <w:lang w:eastAsia="en-AU"/>
        </w:rPr>
        <w:t xml:space="preserve">More information on the adjustment model for AHRs, including the risk factors for each readmission condition, </w:t>
      </w:r>
      <w:r w:rsidR="00FE5120" w:rsidRPr="68F9D2E4">
        <w:rPr>
          <w:lang w:eastAsia="en-AU"/>
        </w:rPr>
        <w:t>is contained in the</w:t>
      </w:r>
      <w:r w:rsidR="00FE5120">
        <w:t xml:space="preserve"> </w:t>
      </w:r>
      <w:hyperlink r:id="rId56" w:history="1">
        <w:r w:rsidR="00724A66" w:rsidRPr="2496CD3E">
          <w:rPr>
            <w:rStyle w:val="Hyperlink"/>
            <w:lang w:eastAsia="en-AU"/>
          </w:rPr>
          <w:t>National pricing model technical specifications 2025–26 – Independent Health and Aged Care Pricing Authority website</w:t>
        </w:r>
      </w:hyperlink>
      <w:r w:rsidR="00724A66" w:rsidRPr="2496CD3E">
        <w:rPr>
          <w:lang w:eastAsia="en-AU"/>
        </w:rPr>
        <w:t xml:space="preserve"> &lt;</w:t>
      </w:r>
      <w:r w:rsidR="00724A66">
        <w:t>https://www.ihacpa.gov.au/resources/national-pricing-model-technical-specifications-2025-26</w:t>
      </w:r>
      <w:r w:rsidR="00724A66" w:rsidRPr="2496CD3E">
        <w:rPr>
          <w:lang w:eastAsia="en-AU"/>
        </w:rPr>
        <w:t>&gt;.</w:t>
      </w:r>
      <w:bookmarkStart w:id="1680" w:name="_Toc100263283"/>
      <w:bookmarkStart w:id="1681" w:name="_Toc165961815"/>
    </w:p>
    <w:p w14:paraId="6C46F3D2" w14:textId="5843D0BA" w:rsidR="00854124" w:rsidRPr="00854124" w:rsidRDefault="00854124" w:rsidP="00B728DA">
      <w:pPr>
        <w:spacing w:after="0" w:line="240" w:lineRule="auto"/>
        <w:rPr>
          <w:lang w:eastAsia="en-AU"/>
        </w:rPr>
      </w:pPr>
      <w:r>
        <w:rPr>
          <w:lang w:eastAsia="en-AU"/>
        </w:rPr>
        <w:br w:type="page"/>
      </w:r>
    </w:p>
    <w:p w14:paraId="630C0B6E" w14:textId="2820CEB0" w:rsidR="005B699B" w:rsidRDefault="005B699B" w:rsidP="00B718DB">
      <w:pPr>
        <w:pStyle w:val="Heading1"/>
        <w:numPr>
          <w:ilvl w:val="0"/>
          <w:numId w:val="12"/>
        </w:numPr>
        <w:ind w:left="709" w:hanging="709"/>
      </w:pPr>
      <w:bookmarkStart w:id="1682" w:name="_Ref199252855"/>
      <w:bookmarkStart w:id="1683" w:name="_Toc201148249"/>
      <w:r>
        <w:lastRenderedPageBreak/>
        <w:t xml:space="preserve">Health service </w:t>
      </w:r>
      <w:bookmarkEnd w:id="1680"/>
      <w:r>
        <w:t>requirements</w:t>
      </w:r>
      <w:bookmarkEnd w:id="1681"/>
      <w:bookmarkEnd w:id="1682"/>
      <w:bookmarkEnd w:id="1683"/>
      <w:r w:rsidR="00F45758">
        <w:t xml:space="preserve"> </w:t>
      </w:r>
    </w:p>
    <w:p w14:paraId="601F5C5E" w14:textId="2F2929A2" w:rsidR="005B699B" w:rsidRDefault="005B699B" w:rsidP="00E35AD6">
      <w:pPr>
        <w:pStyle w:val="Heading2"/>
        <w:numPr>
          <w:ilvl w:val="1"/>
          <w:numId w:val="12"/>
        </w:numPr>
        <w:ind w:left="709" w:hanging="709"/>
      </w:pPr>
      <w:bookmarkStart w:id="1684" w:name="_Toc100263284"/>
      <w:bookmarkStart w:id="1685" w:name="_Toc165961816"/>
      <w:bookmarkStart w:id="1686" w:name="_Toc201148250"/>
      <w:r>
        <w:t xml:space="preserve">Patient </w:t>
      </w:r>
      <w:bookmarkEnd w:id="1684"/>
      <w:r>
        <w:t>costing</w:t>
      </w:r>
      <w:bookmarkEnd w:id="1685"/>
      <w:bookmarkEnd w:id="1686"/>
    </w:p>
    <w:p w14:paraId="28F36CE1" w14:textId="77777777" w:rsidR="00BA575D" w:rsidRDefault="005B699B" w:rsidP="005B699B">
      <w:pPr>
        <w:pStyle w:val="Body"/>
        <w:rPr>
          <w:rFonts w:cs="Arial"/>
        </w:rPr>
      </w:pPr>
      <w:r w:rsidRPr="03438676">
        <w:rPr>
          <w:rFonts w:cs="Arial"/>
        </w:rPr>
        <w:t xml:space="preserve">Victorian public hospitals </w:t>
      </w:r>
      <w:r>
        <w:rPr>
          <w:rFonts w:cs="Arial"/>
        </w:rPr>
        <w:t xml:space="preserve">must </w:t>
      </w:r>
      <w:r w:rsidRPr="03438676">
        <w:rPr>
          <w:rFonts w:cs="Arial"/>
        </w:rPr>
        <w:t>report patient-level cost information</w:t>
      </w:r>
      <w:r>
        <w:rPr>
          <w:rFonts w:cs="Arial"/>
        </w:rPr>
        <w:t>, regardless of funding source,</w:t>
      </w:r>
      <w:r w:rsidRPr="03438676">
        <w:rPr>
          <w:rFonts w:cs="Arial"/>
        </w:rPr>
        <w:t xml:space="preserve"> </w:t>
      </w:r>
      <w:r>
        <w:rPr>
          <w:rFonts w:cs="Arial"/>
        </w:rPr>
        <w:t xml:space="preserve">to the annual VCDC. </w:t>
      </w:r>
    </w:p>
    <w:p w14:paraId="1D7C7AAB" w14:textId="77777777" w:rsidR="00BA575D" w:rsidRDefault="005B699B" w:rsidP="005B699B">
      <w:pPr>
        <w:pStyle w:val="Body"/>
        <w:rPr>
          <w:rFonts w:cs="Arial"/>
        </w:rPr>
      </w:pPr>
      <w:r>
        <w:rPr>
          <w:rFonts w:cs="Arial"/>
        </w:rPr>
        <w:t xml:space="preserve">Health services </w:t>
      </w:r>
      <w:r w:rsidR="0075054C">
        <w:rPr>
          <w:rFonts w:cs="Arial"/>
        </w:rPr>
        <w:t>must</w:t>
      </w:r>
      <w:r>
        <w:rPr>
          <w:rFonts w:cs="Arial"/>
        </w:rPr>
        <w:t xml:space="preserve"> maintain and report costed data</w:t>
      </w:r>
      <w:r w:rsidRPr="00363762">
        <w:t xml:space="preserve"> </w:t>
      </w:r>
      <w:r w:rsidRPr="00363762">
        <w:rPr>
          <w:rFonts w:cs="Arial"/>
        </w:rPr>
        <w:t>about the services used to deliver care across all hospital patient settings</w:t>
      </w:r>
      <w:r>
        <w:rPr>
          <w:rFonts w:cs="Arial"/>
        </w:rPr>
        <w:t xml:space="preserve"> for all patients treated</w:t>
      </w:r>
      <w:r w:rsidRPr="03438676">
        <w:rPr>
          <w:rFonts w:cs="Arial"/>
        </w:rPr>
        <w:t xml:space="preserve">. </w:t>
      </w:r>
    </w:p>
    <w:p w14:paraId="2E276116" w14:textId="6DB39588" w:rsidR="005B699B" w:rsidRPr="006A6767" w:rsidRDefault="005B699B" w:rsidP="005B699B">
      <w:pPr>
        <w:pStyle w:val="Body"/>
        <w:rPr>
          <w:rFonts w:cs="Arial"/>
        </w:rPr>
      </w:pPr>
      <w:r w:rsidRPr="03438676">
        <w:rPr>
          <w:rFonts w:cs="Arial"/>
        </w:rPr>
        <w:t>The data collection</w:t>
      </w:r>
      <w:r>
        <w:rPr>
          <w:rFonts w:cs="Arial"/>
        </w:rPr>
        <w:t xml:space="preserve"> </w:t>
      </w:r>
      <w:r w:rsidRPr="03438676">
        <w:rPr>
          <w:rFonts w:cs="Arial"/>
        </w:rPr>
        <w:t>include</w:t>
      </w:r>
      <w:r>
        <w:rPr>
          <w:rFonts w:cs="Arial"/>
        </w:rPr>
        <w:t>s</w:t>
      </w:r>
      <w:r w:rsidRPr="03438676">
        <w:rPr>
          <w:rFonts w:cs="Arial"/>
        </w:rPr>
        <w:t>:</w:t>
      </w:r>
    </w:p>
    <w:p w14:paraId="37C441CA" w14:textId="27F168CB" w:rsidR="005B699B" w:rsidRPr="00100A8D" w:rsidRDefault="005B699B" w:rsidP="004537E5">
      <w:pPr>
        <w:pStyle w:val="Bullet1"/>
        <w:numPr>
          <w:ilvl w:val="0"/>
          <w:numId w:val="24"/>
        </w:numPr>
      </w:pPr>
      <w:r w:rsidRPr="0088732A">
        <w:t>admitted including acute, subacute (</w:t>
      </w:r>
      <w:r w:rsidR="009F572B">
        <w:t>GEM</w:t>
      </w:r>
      <w:r w:rsidRPr="0088732A">
        <w:t>), palliative care (including at phase of care), rehabilitation (including paediatric) and mental health (including at phase of care)</w:t>
      </w:r>
    </w:p>
    <w:p w14:paraId="7F1CB014" w14:textId="77777777" w:rsidR="005B699B" w:rsidRPr="00100A8D" w:rsidRDefault="005B699B" w:rsidP="004537E5">
      <w:pPr>
        <w:pStyle w:val="Bullet1"/>
        <w:numPr>
          <w:ilvl w:val="0"/>
          <w:numId w:val="24"/>
        </w:numPr>
      </w:pPr>
      <w:r w:rsidRPr="0088732A">
        <w:t>non-admitted contacts including subacute and mental health</w:t>
      </w:r>
    </w:p>
    <w:p w14:paraId="0A9BFD55" w14:textId="77777777" w:rsidR="005B699B" w:rsidRPr="00100A8D" w:rsidRDefault="005B699B" w:rsidP="004537E5">
      <w:pPr>
        <w:pStyle w:val="Bullet1"/>
        <w:numPr>
          <w:ilvl w:val="0"/>
          <w:numId w:val="24"/>
        </w:numPr>
      </w:pPr>
      <w:r w:rsidRPr="0088732A">
        <w:t>home-based service delivery</w:t>
      </w:r>
    </w:p>
    <w:p w14:paraId="1D526858" w14:textId="77777777" w:rsidR="005B699B" w:rsidRPr="00100A8D" w:rsidRDefault="005B699B" w:rsidP="004537E5">
      <w:pPr>
        <w:pStyle w:val="Bullet1"/>
        <w:numPr>
          <w:ilvl w:val="0"/>
          <w:numId w:val="24"/>
        </w:numPr>
      </w:pPr>
      <w:r w:rsidRPr="0088732A">
        <w:t>emergency activity including all emergency department presentations and urgent care centre activities</w:t>
      </w:r>
    </w:p>
    <w:p w14:paraId="7D79AFDD" w14:textId="66F997A1" w:rsidR="005B699B" w:rsidRPr="00100A8D" w:rsidRDefault="005B699B" w:rsidP="004537E5">
      <w:pPr>
        <w:pStyle w:val="Bullet1"/>
        <w:numPr>
          <w:ilvl w:val="0"/>
          <w:numId w:val="24"/>
        </w:numPr>
      </w:pPr>
      <w:r w:rsidRPr="0088732A">
        <w:t>mental health community activity</w:t>
      </w:r>
      <w:r w:rsidR="0075054C">
        <w:t>,</w:t>
      </w:r>
      <w:r w:rsidRPr="0088732A">
        <w:t xml:space="preserve"> including subacute residential services (</w:t>
      </w:r>
      <w:r w:rsidR="008B228F">
        <w:t>P</w:t>
      </w:r>
      <w:r w:rsidRPr="0088732A">
        <w:t xml:space="preserve">revention and </w:t>
      </w:r>
      <w:r w:rsidR="008B228F">
        <w:t>R</w:t>
      </w:r>
      <w:r w:rsidRPr="0088732A">
        <w:t xml:space="preserve">ecovery </w:t>
      </w:r>
      <w:r w:rsidR="008B228F">
        <w:t>C</w:t>
      </w:r>
      <w:r w:rsidRPr="0088732A">
        <w:t>are</w:t>
      </w:r>
      <w:r w:rsidR="008B228F">
        <w:t xml:space="preserve"> </w:t>
      </w:r>
      <w:r w:rsidR="00094B65">
        <w:t>(</w:t>
      </w:r>
      <w:r w:rsidR="008B228F">
        <w:t>PARC</w:t>
      </w:r>
      <w:r w:rsidR="00094B65">
        <w:t>)</w:t>
      </w:r>
      <w:r w:rsidRPr="0088732A">
        <w:t>, community care units, aged persons residential) and consultation liaison services (including at phase of care)</w:t>
      </w:r>
    </w:p>
    <w:p w14:paraId="405C9E75" w14:textId="77777777" w:rsidR="005B699B" w:rsidRPr="00100A8D" w:rsidRDefault="005B699B" w:rsidP="004537E5">
      <w:pPr>
        <w:pStyle w:val="Bullet1"/>
        <w:numPr>
          <w:ilvl w:val="0"/>
          <w:numId w:val="24"/>
        </w:numPr>
      </w:pPr>
      <w:r w:rsidRPr="0088732A">
        <w:t>radiotherapy</w:t>
      </w:r>
    </w:p>
    <w:p w14:paraId="3C37BB02" w14:textId="77777777" w:rsidR="005B699B" w:rsidRPr="00100A8D" w:rsidRDefault="005B699B" w:rsidP="004537E5">
      <w:pPr>
        <w:pStyle w:val="Bullet1"/>
        <w:numPr>
          <w:ilvl w:val="0"/>
          <w:numId w:val="24"/>
        </w:numPr>
      </w:pPr>
      <w:r w:rsidRPr="0088732A">
        <w:t>community health services</w:t>
      </w:r>
    </w:p>
    <w:p w14:paraId="410E00A9" w14:textId="77777777" w:rsidR="005B699B" w:rsidRPr="00100A8D" w:rsidRDefault="005B699B" w:rsidP="004537E5">
      <w:pPr>
        <w:pStyle w:val="Bullet1"/>
        <w:numPr>
          <w:ilvl w:val="0"/>
          <w:numId w:val="24"/>
        </w:numPr>
      </w:pPr>
      <w:r w:rsidRPr="0088732A">
        <w:t>specialty programs such as the Victorian Perinatal Autopsy Service, statewide services and other diagnostic and therapeutic services and other specified programs</w:t>
      </w:r>
    </w:p>
    <w:p w14:paraId="513C316E" w14:textId="77777777" w:rsidR="005B699B" w:rsidRPr="00100A8D" w:rsidRDefault="005B699B" w:rsidP="004537E5">
      <w:pPr>
        <w:pStyle w:val="Bullet1"/>
        <w:numPr>
          <w:ilvl w:val="0"/>
          <w:numId w:val="24"/>
        </w:numPr>
      </w:pPr>
      <w:r w:rsidRPr="0088732A">
        <w:t>any other programs or settings where patients have received treatment.</w:t>
      </w:r>
    </w:p>
    <w:p w14:paraId="0D41213B" w14:textId="11346B02" w:rsidR="005B699B" w:rsidRDefault="005B699B" w:rsidP="005B699B">
      <w:pPr>
        <w:pStyle w:val="Bodyafterbullets"/>
      </w:pPr>
      <w:r w:rsidRPr="1D63C772">
        <w:t>Health services’ cost method is to allocate actual expenditure</w:t>
      </w:r>
      <w:r>
        <w:t xml:space="preserve"> (regardless of funding source)</w:t>
      </w:r>
      <w:r w:rsidRPr="1D63C772">
        <w:t xml:space="preserve"> to patients’ actual interactions and events (including allocation of hospital overhead expenses)</w:t>
      </w:r>
      <w:r>
        <w:t>,</w:t>
      </w:r>
      <w:r w:rsidRPr="1D63C772">
        <w:t xml:space="preserve"> known as patient-level costing. This approach is more direct and sophisticated because it uses service volumes (for example, actual tests and minutes in theatre) and minimises assumptions</w:t>
      </w:r>
      <w:r w:rsidR="0075054C">
        <w:t>.</w:t>
      </w:r>
      <w:r w:rsidR="0075054C" w:rsidRPr="1D63C772">
        <w:t xml:space="preserve"> </w:t>
      </w:r>
      <w:r w:rsidR="0075054C">
        <w:t>Thus</w:t>
      </w:r>
      <w:r w:rsidR="00BA575D">
        <w:t>,</w:t>
      </w:r>
      <w:r w:rsidR="0075054C">
        <w:t xml:space="preserve"> it provides for </w:t>
      </w:r>
      <w:r w:rsidRPr="1D63C772">
        <w:t>more accurate cost allocations at the individual patient level.</w:t>
      </w:r>
    </w:p>
    <w:p w14:paraId="16A486DD" w14:textId="77777777" w:rsidR="005B699B" w:rsidRDefault="005B699B" w:rsidP="005B699B">
      <w:pPr>
        <w:pStyle w:val="Body"/>
        <w:rPr>
          <w:rFonts w:cs="Arial"/>
        </w:rPr>
      </w:pPr>
      <w:r w:rsidRPr="1D63C772">
        <w:rPr>
          <w:rFonts w:cs="Arial"/>
        </w:rPr>
        <w:t xml:space="preserve">In Victoria, actual expenditure (direct and indirect/overhead) </w:t>
      </w:r>
      <w:r>
        <w:rPr>
          <w:rFonts w:cs="Arial"/>
        </w:rPr>
        <w:t>includes</w:t>
      </w:r>
      <w:r w:rsidRPr="2536E843">
        <w:rPr>
          <w:rFonts w:cs="Arial"/>
        </w:rPr>
        <w:t xml:space="preserve"> </w:t>
      </w:r>
      <w:r w:rsidRPr="1D63C772">
        <w:rPr>
          <w:rFonts w:cs="Arial"/>
        </w:rPr>
        <w:t>capital and depreciation costs</w:t>
      </w:r>
      <w:r>
        <w:rPr>
          <w:rFonts w:cs="Arial"/>
        </w:rPr>
        <w:t>.</w:t>
      </w:r>
      <w:r w:rsidRPr="1D63C772">
        <w:rPr>
          <w:rFonts w:cs="Arial"/>
        </w:rPr>
        <w:t xml:space="preserve"> </w:t>
      </w:r>
      <w:r>
        <w:rPr>
          <w:rFonts w:cs="Arial"/>
        </w:rPr>
        <w:t>H</w:t>
      </w:r>
      <w:r w:rsidRPr="7894A6CE">
        <w:rPr>
          <w:rFonts w:cs="Arial"/>
        </w:rPr>
        <w:t>owever</w:t>
      </w:r>
      <w:r>
        <w:rPr>
          <w:rFonts w:cs="Arial"/>
        </w:rPr>
        <w:t>,</w:t>
      </w:r>
      <w:r w:rsidRPr="2536E843">
        <w:rPr>
          <w:rFonts w:cs="Arial"/>
        </w:rPr>
        <w:t xml:space="preserve"> these</w:t>
      </w:r>
      <w:r w:rsidRPr="7894A6CE">
        <w:rPr>
          <w:rFonts w:cs="Arial"/>
        </w:rPr>
        <w:t xml:space="preserve"> are excluded from the total cost of patient</w:t>
      </w:r>
      <w:r>
        <w:rPr>
          <w:rFonts w:cs="Arial"/>
        </w:rPr>
        <w:t>.</w:t>
      </w:r>
      <w:r w:rsidRPr="7894A6CE">
        <w:rPr>
          <w:rFonts w:cs="Arial"/>
        </w:rPr>
        <w:t xml:space="preserve"> </w:t>
      </w:r>
      <w:r>
        <w:rPr>
          <w:rFonts w:cs="Arial"/>
        </w:rPr>
        <w:t>A</w:t>
      </w:r>
      <w:r w:rsidRPr="1D63C772">
        <w:rPr>
          <w:rFonts w:cs="Arial"/>
        </w:rPr>
        <w:t>ll allocated costs must reconcile with the general ledger</w:t>
      </w:r>
      <w:r>
        <w:rPr>
          <w:rFonts w:cs="Arial"/>
        </w:rPr>
        <w:t xml:space="preserve"> and annual financial statements</w:t>
      </w:r>
      <w:r w:rsidRPr="1D63C772">
        <w:rPr>
          <w:rFonts w:cs="Arial"/>
        </w:rPr>
        <w:t xml:space="preserve">. </w:t>
      </w:r>
    </w:p>
    <w:p w14:paraId="40D68921" w14:textId="12470E1B" w:rsidR="005B699B" w:rsidRDefault="005B699B" w:rsidP="005B699B">
      <w:pPr>
        <w:pStyle w:val="Body"/>
        <w:rPr>
          <w:rFonts w:cs="Arial"/>
        </w:rPr>
      </w:pPr>
      <w:r w:rsidRPr="1D63C772">
        <w:rPr>
          <w:rFonts w:cs="Arial"/>
        </w:rPr>
        <w:t xml:space="preserve">Costs are reported by service areas (cost centres as found in the </w:t>
      </w:r>
      <w:r>
        <w:rPr>
          <w:rFonts w:cs="Arial"/>
        </w:rPr>
        <w:t xml:space="preserve">standard </w:t>
      </w:r>
      <w:r w:rsidRPr="1D63C772">
        <w:rPr>
          <w:rFonts w:cs="Arial"/>
        </w:rPr>
        <w:t>chart of accounts) and by account types such as salary and wages (by professions), medical supplies or drugs</w:t>
      </w:r>
      <w:r>
        <w:rPr>
          <w:rFonts w:cs="Arial"/>
        </w:rPr>
        <w:t>,</w:t>
      </w:r>
      <w:r w:rsidRPr="1D63C772">
        <w:rPr>
          <w:rFonts w:cs="Arial"/>
        </w:rPr>
        <w:t xml:space="preserve"> </w:t>
      </w:r>
      <w:r>
        <w:rPr>
          <w:rFonts w:cs="Arial"/>
        </w:rPr>
        <w:t>et cetera</w:t>
      </w:r>
      <w:r w:rsidRPr="1D63C772">
        <w:rPr>
          <w:rFonts w:cs="Arial"/>
        </w:rPr>
        <w:t>. For ease of analysis</w:t>
      </w:r>
      <w:r w:rsidR="0075054C">
        <w:rPr>
          <w:rFonts w:cs="Arial"/>
        </w:rPr>
        <w:t>,</w:t>
      </w:r>
      <w:r w:rsidRPr="1D63C772">
        <w:rPr>
          <w:rFonts w:cs="Arial"/>
        </w:rPr>
        <w:t xml:space="preserve"> these are mapped into generic </w:t>
      </w:r>
      <w:r>
        <w:rPr>
          <w:rFonts w:cs="Arial"/>
        </w:rPr>
        <w:t>resource categories,</w:t>
      </w:r>
      <w:r w:rsidRPr="1D63C772">
        <w:rPr>
          <w:rFonts w:cs="Arial"/>
        </w:rPr>
        <w:t xml:space="preserve"> such as nursing, medical, theatre and pathology</w:t>
      </w:r>
      <w:r>
        <w:rPr>
          <w:rFonts w:cs="Arial"/>
        </w:rPr>
        <w:t xml:space="preserve"> et cetera</w:t>
      </w:r>
      <w:r w:rsidRPr="1D63C772">
        <w:rPr>
          <w:rFonts w:cs="Arial"/>
        </w:rPr>
        <w:t>.</w:t>
      </w:r>
    </w:p>
    <w:p w14:paraId="01577D5A" w14:textId="2526801A" w:rsidR="005B699B" w:rsidRDefault="005B699B" w:rsidP="005B699B">
      <w:pPr>
        <w:pStyle w:val="Body"/>
      </w:pPr>
      <w:r>
        <w:t xml:space="preserve">Health services must adhere to the specifications, business rules and costing guidance outlined in the documentation </w:t>
      </w:r>
      <w:r w:rsidR="00282871">
        <w:t xml:space="preserve">on the </w:t>
      </w:r>
      <w:r w:rsidR="00F70439">
        <w:t xml:space="preserve">department’s </w:t>
      </w:r>
      <w:hyperlink r:id="rId57">
        <w:r w:rsidRPr="1D63C772">
          <w:rPr>
            <w:rStyle w:val="Hyperlink"/>
            <w:rFonts w:cs="Arial"/>
          </w:rPr>
          <w:t>Victorian Cost Data Collectio</w:t>
        </w:r>
        <w:r w:rsidR="00F70439">
          <w:rPr>
            <w:rStyle w:val="Hyperlink"/>
            <w:rFonts w:cs="Arial"/>
          </w:rPr>
          <w:t>n webpage</w:t>
        </w:r>
      </w:hyperlink>
      <w:r>
        <w:t xml:space="preserve"> &lt;https://</w:t>
      </w:r>
      <w:r w:rsidRPr="006C4AEC">
        <w:t>www</w:t>
      </w:r>
      <w:r>
        <w:t>.health.vic.gov.au/data-reporting/</w:t>
      </w:r>
      <w:r w:rsidRPr="006C4AEC">
        <w:t>victorian-cost-data-collection-vcdc</w:t>
      </w:r>
      <w:r>
        <w:t xml:space="preserve">&gt;. </w:t>
      </w:r>
    </w:p>
    <w:p w14:paraId="14708851" w14:textId="3FACD252" w:rsidR="005B699B" w:rsidRDefault="005B699B" w:rsidP="005B699B">
      <w:pPr>
        <w:pStyle w:val="Body"/>
      </w:pPr>
      <w:r>
        <w:t xml:space="preserve">The VCDC is guided by the </w:t>
      </w:r>
      <w:r w:rsidRPr="1D63C772">
        <w:rPr>
          <w:i/>
          <w:iCs/>
        </w:rPr>
        <w:t>Australian hospital patient costing standards</w:t>
      </w:r>
      <w:r>
        <w:t xml:space="preserve"> (version 4.2 or the most recent version available). </w:t>
      </w:r>
      <w:r w:rsidRPr="00CE4986">
        <w:t>VCDC data is then submitted to the National Health Cost Data Collection via the IH</w:t>
      </w:r>
      <w:r>
        <w:t>AC</w:t>
      </w:r>
      <w:r w:rsidRPr="00CE4986">
        <w:t>PA</w:t>
      </w:r>
      <w:r>
        <w:t>.</w:t>
      </w:r>
    </w:p>
    <w:p w14:paraId="3C2A3BC2" w14:textId="79531E1D" w:rsidR="005B699B" w:rsidRDefault="005B699B" w:rsidP="005B699B">
      <w:pPr>
        <w:pStyle w:val="Body"/>
      </w:pPr>
      <w:r w:rsidRPr="00E33BCF">
        <w:t xml:space="preserve">To ensure the integrity and assurance of quality data </w:t>
      </w:r>
      <w:r>
        <w:t>and as part of good hospital management practice</w:t>
      </w:r>
      <w:r w:rsidR="0075054C">
        <w:t>,</w:t>
      </w:r>
      <w:r>
        <w:t xml:space="preserve"> health services </w:t>
      </w:r>
      <w:r w:rsidRPr="006A6767">
        <w:t>are expected to</w:t>
      </w:r>
      <w:r>
        <w:t>:</w:t>
      </w:r>
    </w:p>
    <w:p w14:paraId="3B434686" w14:textId="77777777" w:rsidR="005B699B" w:rsidRPr="00100A8D" w:rsidRDefault="005B699B" w:rsidP="004537E5">
      <w:pPr>
        <w:pStyle w:val="Bullet1"/>
        <w:numPr>
          <w:ilvl w:val="0"/>
          <w:numId w:val="24"/>
        </w:numPr>
      </w:pPr>
      <w:r w:rsidRPr="00DE053C">
        <w:t>maintain activity and costing systems</w:t>
      </w:r>
    </w:p>
    <w:p w14:paraId="1EF55806" w14:textId="77777777" w:rsidR="005B699B" w:rsidRPr="00100A8D" w:rsidRDefault="005B699B" w:rsidP="004537E5">
      <w:pPr>
        <w:pStyle w:val="Bullet1"/>
        <w:numPr>
          <w:ilvl w:val="0"/>
          <w:numId w:val="24"/>
        </w:numPr>
      </w:pPr>
      <w:r w:rsidRPr="00DE053C">
        <w:lastRenderedPageBreak/>
        <w:t>review allocation methodologies</w:t>
      </w:r>
    </w:p>
    <w:p w14:paraId="453EB3BF" w14:textId="77777777" w:rsidR="005B699B" w:rsidRPr="00100A8D" w:rsidRDefault="005B699B" w:rsidP="004537E5">
      <w:pPr>
        <w:pStyle w:val="Bullet1"/>
        <w:numPr>
          <w:ilvl w:val="0"/>
          <w:numId w:val="24"/>
        </w:numPr>
      </w:pPr>
      <w:r w:rsidRPr="00DE053C">
        <w:t>reconcile financial and non-financial information to source systems</w:t>
      </w:r>
    </w:p>
    <w:p w14:paraId="118290DD" w14:textId="77777777" w:rsidR="005B699B" w:rsidRPr="00100A8D" w:rsidRDefault="005B699B" w:rsidP="004537E5">
      <w:pPr>
        <w:pStyle w:val="Bullet1"/>
        <w:numPr>
          <w:ilvl w:val="0"/>
          <w:numId w:val="24"/>
        </w:numPr>
      </w:pPr>
      <w:r w:rsidRPr="00DE053C">
        <w:t xml:space="preserve">identify and review fluctuations in cost results </w:t>
      </w:r>
    </w:p>
    <w:p w14:paraId="58FC2608" w14:textId="77777777" w:rsidR="005B699B" w:rsidRPr="00100A8D" w:rsidRDefault="005B699B" w:rsidP="004537E5">
      <w:pPr>
        <w:pStyle w:val="Bullet1"/>
        <w:numPr>
          <w:ilvl w:val="0"/>
          <w:numId w:val="24"/>
        </w:numPr>
      </w:pPr>
      <w:r w:rsidRPr="00DE053C">
        <w:t>review the quality of data costed and submitted.</w:t>
      </w:r>
    </w:p>
    <w:p w14:paraId="5C4BE024" w14:textId="32932A65" w:rsidR="005B699B" w:rsidRDefault="005B699B" w:rsidP="00E35AD6">
      <w:pPr>
        <w:pStyle w:val="Heading2"/>
        <w:numPr>
          <w:ilvl w:val="1"/>
          <w:numId w:val="12"/>
        </w:numPr>
        <w:ind w:left="709" w:hanging="709"/>
      </w:pPr>
      <w:bookmarkStart w:id="1687" w:name="_Ref77709814"/>
      <w:bookmarkStart w:id="1688" w:name="_Toc100263285"/>
      <w:bookmarkStart w:id="1689" w:name="_Ref165637472"/>
      <w:bookmarkStart w:id="1690" w:name="_Ref165637495"/>
      <w:bookmarkStart w:id="1691" w:name="_Toc165961817"/>
      <w:bookmarkStart w:id="1692" w:name="_Toc201148251"/>
      <w:r>
        <w:t xml:space="preserve">Activity </w:t>
      </w:r>
      <w:bookmarkEnd w:id="1687"/>
      <w:bookmarkEnd w:id="1688"/>
      <w:r>
        <w:t>reporting</w:t>
      </w:r>
      <w:bookmarkEnd w:id="1689"/>
      <w:bookmarkEnd w:id="1690"/>
      <w:bookmarkEnd w:id="1691"/>
      <w:bookmarkEnd w:id="1692"/>
    </w:p>
    <w:p w14:paraId="65E299BF" w14:textId="736886BB" w:rsidR="005B699B" w:rsidRDefault="005B699B" w:rsidP="005B699B">
      <w:pPr>
        <w:pStyle w:val="Body"/>
      </w:pPr>
      <w:r>
        <w:t>It is a condition of funding that health services collect and report activity data that spans a range of healthcare settings</w:t>
      </w:r>
      <w:r w:rsidR="0075054C">
        <w:t>,</w:t>
      </w:r>
      <w:r>
        <w:t xml:space="preserve"> in accordance with the department’s health data collection specifications. These include, but are not limited to</w:t>
      </w:r>
      <w:r w:rsidR="0075054C">
        <w:t>,</w:t>
      </w:r>
      <w:r>
        <w:t xml:space="preserve"> the </w:t>
      </w:r>
      <w:r w:rsidRPr="00F67ACE">
        <w:t>VAED</w:t>
      </w:r>
      <w:r>
        <w:t>, the VEMD, the ESIS, the VINAH minimum dataset, AIMS</w:t>
      </w:r>
      <w:r w:rsidR="00352DFE">
        <w:t xml:space="preserve"> and the CMI/ODS</w:t>
      </w:r>
      <w:r w:rsidR="00F10F08">
        <w:t xml:space="preserve">. </w:t>
      </w:r>
    </w:p>
    <w:p w14:paraId="413117F7" w14:textId="01AC82F1" w:rsidR="005B699B" w:rsidRDefault="005B699B" w:rsidP="005B699B">
      <w:pPr>
        <w:pStyle w:val="Body"/>
      </w:pPr>
      <w:r>
        <w:t>Specifications for these data</w:t>
      </w:r>
      <w:r w:rsidR="00E87FAC">
        <w:t xml:space="preserve"> </w:t>
      </w:r>
      <w:r>
        <w:t>sets are</w:t>
      </w:r>
      <w:r w:rsidRPr="008B043B">
        <w:t xml:space="preserve"> </w:t>
      </w:r>
      <w:r>
        <w:t xml:space="preserve">on the </w:t>
      </w:r>
      <w:hyperlink r:id="rId58" w:history="1">
        <w:r w:rsidRPr="007C40A4">
          <w:rPr>
            <w:rStyle w:val="Hyperlink"/>
          </w:rPr>
          <w:t>Health data standards and systems webpage</w:t>
        </w:r>
      </w:hyperlink>
      <w:r>
        <w:t xml:space="preserve"> </w:t>
      </w:r>
      <w:r w:rsidRPr="008B043B">
        <w:t>&lt;</w:t>
      </w:r>
      <w:r w:rsidRPr="003D5EDC">
        <w:t>https://www.health.vic.gov.au/data-reporting/health-data-standards-and-systems</w:t>
      </w:r>
      <w:r w:rsidRPr="008B043B">
        <w:t>&gt;.</w:t>
      </w:r>
    </w:p>
    <w:p w14:paraId="13787340" w14:textId="031FAF4A" w:rsidR="00CF2535" w:rsidRPr="00CF2535" w:rsidRDefault="00CF2535" w:rsidP="00CF2535">
      <w:pPr>
        <w:pStyle w:val="Body"/>
      </w:pPr>
      <w:r w:rsidRPr="00ED2E82">
        <w:t>NWAU cannot be calculated for incomplete or uncoded records.</w:t>
      </w:r>
    </w:p>
    <w:p w14:paraId="137147EF" w14:textId="367282A1" w:rsidR="005B699B" w:rsidRDefault="005B699B" w:rsidP="004537E5">
      <w:pPr>
        <w:pStyle w:val="Heading3"/>
        <w:numPr>
          <w:ilvl w:val="2"/>
          <w:numId w:val="12"/>
        </w:numPr>
      </w:pPr>
      <w:r>
        <w:t>Admitted episodes</w:t>
      </w:r>
    </w:p>
    <w:p w14:paraId="7BE15032" w14:textId="77777777" w:rsidR="005B699B" w:rsidRPr="0091695C" w:rsidRDefault="005B699B" w:rsidP="005B699B">
      <w:pPr>
        <w:pStyle w:val="Body"/>
      </w:pPr>
      <w:r>
        <w:t>There is a distinction</w:t>
      </w:r>
      <w:r w:rsidRPr="0091695C">
        <w:t xml:space="preserve"> between admitted and non-admitted patients throughout the classification, coding and funding systems. </w:t>
      </w:r>
      <w:r w:rsidRPr="2536E843">
        <w:rPr>
          <w:rFonts w:eastAsia="Arial" w:cs="Arial"/>
          <w:color w:val="000000" w:themeColor="text1"/>
        </w:rPr>
        <w:t xml:space="preserve">An admitted patient is a patient who undergoes a hospital’s formal admission process to receive treatment and/or care. </w:t>
      </w:r>
      <w:r w:rsidRPr="0091695C">
        <w:t xml:space="preserve">Generally, admitted </w:t>
      </w:r>
      <w:r w:rsidRPr="00834B04">
        <w:t>patients</w:t>
      </w:r>
      <w:r w:rsidRPr="0091695C">
        <w:t xml:space="preserve"> are treated in wards and non-admitted patients in </w:t>
      </w:r>
      <w:r>
        <w:t>outpatient</w:t>
      </w:r>
      <w:r w:rsidRPr="0091695C">
        <w:t xml:space="preserve"> clinics. Care provided in an emergency department is not considered part of admitted care. </w:t>
      </w:r>
    </w:p>
    <w:p w14:paraId="108A7AFA" w14:textId="77777777" w:rsidR="00BA575D" w:rsidRDefault="005B699B" w:rsidP="005B699B">
      <w:pPr>
        <w:pStyle w:val="Body"/>
      </w:pPr>
      <w:r w:rsidRPr="006B2BCF">
        <w:t xml:space="preserve">The </w:t>
      </w:r>
      <w:r w:rsidR="00DF2830">
        <w:rPr>
          <w:i/>
          <w:iCs/>
        </w:rPr>
        <w:t>VAED</w:t>
      </w:r>
      <w:r w:rsidRPr="0020684A">
        <w:rPr>
          <w:i/>
          <w:iCs/>
        </w:rPr>
        <w:t xml:space="preserve">: </w:t>
      </w:r>
      <w:r>
        <w:rPr>
          <w:i/>
          <w:iCs/>
        </w:rPr>
        <w:t>c</w:t>
      </w:r>
      <w:r w:rsidRPr="0020684A">
        <w:rPr>
          <w:i/>
          <w:iCs/>
        </w:rPr>
        <w:t xml:space="preserve">riteria for </w:t>
      </w:r>
      <w:r>
        <w:rPr>
          <w:i/>
          <w:iCs/>
        </w:rPr>
        <w:t>r</w:t>
      </w:r>
      <w:r w:rsidRPr="0020684A">
        <w:rPr>
          <w:i/>
          <w:iCs/>
        </w:rPr>
        <w:t>eporting</w:t>
      </w:r>
      <w:r w:rsidRPr="006B2BCF">
        <w:t xml:space="preserve"> </w:t>
      </w:r>
      <w:r w:rsidR="00E87FAC">
        <w:t xml:space="preserve">2025-26 </w:t>
      </w:r>
      <w:r>
        <w:t xml:space="preserve">document </w:t>
      </w:r>
      <w:r w:rsidRPr="006B2BCF">
        <w:t>provides guidelines to enable health services to distinguish between admitted and non-admitted patient episodes for the purpose of data reporting.</w:t>
      </w:r>
      <w:r>
        <w:t xml:space="preserve"> </w:t>
      </w:r>
    </w:p>
    <w:p w14:paraId="6C6BD03A" w14:textId="77777777" w:rsidR="00BA575D" w:rsidRDefault="005B699B" w:rsidP="005B699B">
      <w:pPr>
        <w:pStyle w:val="Body"/>
      </w:pPr>
      <w:r>
        <w:t>To</w:t>
      </w:r>
      <w:r w:rsidRPr="0091695C">
        <w:t xml:space="preserve"> be reported to the VAED</w:t>
      </w:r>
      <w:r>
        <w:t>,</w:t>
      </w:r>
      <w:r w:rsidRPr="0091695C">
        <w:t xml:space="preserve"> patients must meet one of the </w:t>
      </w:r>
      <w:r>
        <w:t>admission c</w:t>
      </w:r>
      <w:r w:rsidRPr="0091695C">
        <w:t xml:space="preserve">riteria outlined in the </w:t>
      </w:r>
      <w:r>
        <w:t>document.</w:t>
      </w:r>
      <w:r w:rsidRPr="0091695C">
        <w:t xml:space="preserve"> Patients not meeting one of these criteria are non-admitted patients</w:t>
      </w:r>
      <w:r>
        <w:t>.</w:t>
      </w:r>
      <w:r w:rsidRPr="0091695C">
        <w:t xml:space="preserve"> </w:t>
      </w:r>
      <w:r>
        <w:t>N</w:t>
      </w:r>
      <w:r w:rsidRPr="0091695C">
        <w:t xml:space="preserve">o data for these encounters </w:t>
      </w:r>
      <w:r>
        <w:t>are</w:t>
      </w:r>
      <w:r w:rsidRPr="0091695C">
        <w:t xml:space="preserve"> to be reported to the VAED. </w:t>
      </w:r>
    </w:p>
    <w:p w14:paraId="0DCE8D19" w14:textId="68F73F39" w:rsidR="005B699B" w:rsidRDefault="005B699B" w:rsidP="005B699B">
      <w:pPr>
        <w:pStyle w:val="Body"/>
        <w:rPr>
          <w:rFonts w:ascii="Calibri" w:hAnsi="Calibri"/>
          <w:b/>
          <w:sz w:val="22"/>
          <w:szCs w:val="22"/>
        </w:rPr>
      </w:pPr>
      <w:r>
        <w:t xml:space="preserve">The criteria apply to public hospitals, and private health service establishments (private hospitals and day procedure centres) registered under the </w:t>
      </w:r>
      <w:r w:rsidRPr="00C41370">
        <w:rPr>
          <w:i/>
          <w:iCs/>
        </w:rPr>
        <w:t>Health Services Act 1988</w:t>
      </w:r>
      <w:r w:rsidR="00BB6971">
        <w:rPr>
          <w:i/>
          <w:iCs/>
        </w:rPr>
        <w:t xml:space="preserve"> </w:t>
      </w:r>
      <w:r w:rsidR="00BB6971">
        <w:t>(Vic)</w:t>
      </w:r>
      <w:r w:rsidRPr="00C41370">
        <w:t xml:space="preserve">. The reporting requirement for private health service establishments is set out in the </w:t>
      </w:r>
      <w:r w:rsidRPr="0013154B">
        <w:rPr>
          <w:i/>
        </w:rPr>
        <w:t>Health Services (Health Service Establishments) Regulations 20</w:t>
      </w:r>
      <w:r w:rsidR="006F7875">
        <w:rPr>
          <w:i/>
        </w:rPr>
        <w:t>24</w:t>
      </w:r>
      <w:r w:rsidR="00BB6971">
        <w:rPr>
          <w:i/>
          <w:iCs/>
        </w:rPr>
        <w:t xml:space="preserve"> </w:t>
      </w:r>
      <w:r w:rsidR="00BB6971">
        <w:t>(Vic)</w:t>
      </w:r>
      <w:r w:rsidRPr="0063519C">
        <w:t>.</w:t>
      </w:r>
    </w:p>
    <w:p w14:paraId="74DC070E" w14:textId="637B7164" w:rsidR="006C6635" w:rsidRDefault="006C6635" w:rsidP="006C6635">
      <w:pPr>
        <w:pStyle w:val="Body"/>
      </w:pPr>
      <w:r>
        <w:t xml:space="preserve">The </w:t>
      </w:r>
      <w:hyperlink r:id="rId59" w:history="1">
        <w:r w:rsidRPr="00160D4F">
          <w:rPr>
            <w:rStyle w:val="Hyperlink"/>
            <w:i/>
            <w:iCs/>
          </w:rPr>
          <w:t>VAED criteria</w:t>
        </w:r>
        <w:r w:rsidRPr="00160D4F">
          <w:rPr>
            <w:rStyle w:val="Hyperlink"/>
            <w:i/>
          </w:rPr>
          <w:t xml:space="preserve"> for reporting</w:t>
        </w:r>
        <w:r w:rsidRPr="00160D4F">
          <w:rPr>
            <w:rStyle w:val="Hyperlink"/>
          </w:rPr>
          <w:t xml:space="preserve"> </w:t>
        </w:r>
        <w:r>
          <w:rPr>
            <w:rStyle w:val="Hyperlink"/>
          </w:rPr>
          <w:t>2025-26</w:t>
        </w:r>
      </w:hyperlink>
      <w:r>
        <w:t xml:space="preserve"> document can be accessed on the HDSS webpage &lt;</w:t>
      </w:r>
      <w:r w:rsidRPr="002C61D2">
        <w:t>https://www.health.vic.gov.au/data-reporting/victorian-admitted-episodes-dataset</w:t>
      </w:r>
      <w:r>
        <w:t>&gt;.</w:t>
      </w:r>
    </w:p>
    <w:p w14:paraId="6792B289" w14:textId="77777777" w:rsidR="005B699B" w:rsidRPr="0091695C" w:rsidRDefault="005B699B" w:rsidP="005B699B">
      <w:pPr>
        <w:pStyle w:val="Body"/>
      </w:pPr>
      <w:r w:rsidRPr="0091695C">
        <w:t>Admissions are formal admissions, or statistical (when the care type may change). Admission practices must ensure that an eligible person’s priority for receiving health services is not determined by:</w:t>
      </w:r>
    </w:p>
    <w:p w14:paraId="01D81FFE" w14:textId="77777777" w:rsidR="005B699B" w:rsidRPr="00100A8D" w:rsidRDefault="005B699B" w:rsidP="004537E5">
      <w:pPr>
        <w:pStyle w:val="Bullet1"/>
        <w:numPr>
          <w:ilvl w:val="0"/>
          <w:numId w:val="24"/>
        </w:numPr>
      </w:pPr>
      <w:r w:rsidRPr="00DE053C">
        <w:t>whether the person has health insurance</w:t>
      </w:r>
    </w:p>
    <w:p w14:paraId="5B500E2A" w14:textId="77777777" w:rsidR="005B699B" w:rsidRPr="00100A8D" w:rsidRDefault="005B699B" w:rsidP="004537E5">
      <w:pPr>
        <w:pStyle w:val="Bullet1"/>
        <w:numPr>
          <w:ilvl w:val="0"/>
          <w:numId w:val="24"/>
        </w:numPr>
      </w:pPr>
      <w:r w:rsidRPr="00DE053C">
        <w:t>the person’s financial status or place of residence</w:t>
      </w:r>
    </w:p>
    <w:p w14:paraId="293C589F" w14:textId="77777777" w:rsidR="005B699B" w:rsidRPr="00100A8D" w:rsidRDefault="005B699B" w:rsidP="004537E5">
      <w:pPr>
        <w:pStyle w:val="Bullet1"/>
        <w:numPr>
          <w:ilvl w:val="0"/>
          <w:numId w:val="24"/>
        </w:numPr>
      </w:pPr>
      <w:r w:rsidRPr="00DE053C">
        <w:t>whether the person intends to elect or elects to be treated as a public or private patient</w:t>
      </w:r>
    </w:p>
    <w:p w14:paraId="0B20A3CE" w14:textId="25498367" w:rsidR="005B699B" w:rsidRPr="00100A8D" w:rsidRDefault="005B699B" w:rsidP="004537E5">
      <w:pPr>
        <w:pStyle w:val="Bullet1"/>
        <w:numPr>
          <w:ilvl w:val="0"/>
          <w:numId w:val="24"/>
        </w:numPr>
      </w:pPr>
      <w:r w:rsidRPr="00DE053C">
        <w:t>a person’s status as a Medicare-ineligible asylum seeker</w:t>
      </w:r>
      <w:r>
        <w:t xml:space="preserve">, </w:t>
      </w:r>
      <w:r w:rsidRPr="00DE053C">
        <w:t xml:space="preserve">refer to </w:t>
      </w:r>
      <w:hyperlink r:id="rId60" w:history="1">
        <w:r w:rsidRPr="00E25462">
          <w:rPr>
            <w:rStyle w:val="Hyperlink"/>
          </w:rPr>
          <w:t>Hospital access for people seeking asylum – policy</w:t>
        </w:r>
      </w:hyperlink>
      <w:r w:rsidRPr="00E25462">
        <w:rPr>
          <w:rStyle w:val="Hyperlink"/>
        </w:rPr>
        <w:t xml:space="preserve"> </w:t>
      </w:r>
      <w:r w:rsidRPr="00DE053C">
        <w:t>&lt;https://www.health.vic.gov.au/publications/hospital-access-for-people-seeking-asylum&gt;.</w:t>
      </w:r>
    </w:p>
    <w:p w14:paraId="7E38D9B8" w14:textId="77777777" w:rsidR="005B699B" w:rsidRPr="001F14E6" w:rsidRDefault="005B699B" w:rsidP="005B699B">
      <w:pPr>
        <w:pStyle w:val="Bodyafterbullets"/>
        <w:keepNext/>
      </w:pPr>
      <w:r w:rsidRPr="001F14E6">
        <w:t>As part of their admission practices, health services will:</w:t>
      </w:r>
    </w:p>
    <w:p w14:paraId="66055769" w14:textId="77777777" w:rsidR="005B699B" w:rsidRPr="00773FB4" w:rsidRDefault="005B699B" w:rsidP="004537E5">
      <w:pPr>
        <w:pStyle w:val="Bullet1"/>
        <w:numPr>
          <w:ilvl w:val="0"/>
          <w:numId w:val="24"/>
        </w:numPr>
      </w:pPr>
      <w:r w:rsidRPr="00773FB4">
        <w:t xml:space="preserve">ensure that an eligible person, at the time of admission or as soon as practical thereafter, elects or confirms in writing whether they wish to be treated as a public or private patient </w:t>
      </w:r>
      <w:r w:rsidRPr="00773FB4">
        <w:lastRenderedPageBreak/>
        <w:t>and that this election process conforms to the National standards for public hospitals admitted patient election processes</w:t>
      </w:r>
    </w:p>
    <w:p w14:paraId="75F742D0" w14:textId="77777777" w:rsidR="005B699B" w:rsidRPr="00773FB4" w:rsidRDefault="005B699B" w:rsidP="004537E5">
      <w:pPr>
        <w:pStyle w:val="Bullet1"/>
        <w:numPr>
          <w:ilvl w:val="0"/>
          <w:numId w:val="24"/>
        </w:numPr>
      </w:pPr>
      <w:r w:rsidRPr="00773FB4">
        <w:t>ensure that any ineligible person is appropriately identified as such in the VAED</w:t>
      </w:r>
    </w:p>
    <w:p w14:paraId="29CB2671" w14:textId="1D985F68" w:rsidR="005B699B" w:rsidRPr="00773FB4" w:rsidRDefault="005B699B" w:rsidP="004537E5">
      <w:pPr>
        <w:pStyle w:val="Bullet1"/>
        <w:numPr>
          <w:ilvl w:val="0"/>
          <w:numId w:val="24"/>
        </w:numPr>
      </w:pPr>
      <w:r w:rsidRPr="00773FB4">
        <w:t xml:space="preserve">report admitted Medicare-ineligible asylum seekers to the VAED with the account class code MF – </w:t>
      </w:r>
      <w:r w:rsidR="0075054C">
        <w:t>i</w:t>
      </w:r>
      <w:r w:rsidR="0075054C" w:rsidRPr="00773FB4">
        <w:t xml:space="preserve">neligible </w:t>
      </w:r>
      <w:r w:rsidR="0075054C">
        <w:t>a</w:t>
      </w:r>
      <w:r w:rsidR="0075054C" w:rsidRPr="00773FB4">
        <w:t xml:space="preserve">sylum </w:t>
      </w:r>
      <w:r w:rsidR="0075054C">
        <w:t>s</w:t>
      </w:r>
      <w:r w:rsidR="0075054C" w:rsidRPr="00773FB4">
        <w:t>eeker</w:t>
      </w:r>
    </w:p>
    <w:p w14:paraId="718E80B5" w14:textId="77777777" w:rsidR="005B699B" w:rsidRPr="00773FB4" w:rsidRDefault="005B699B" w:rsidP="004537E5">
      <w:pPr>
        <w:pStyle w:val="Bullet1"/>
        <w:numPr>
          <w:ilvl w:val="0"/>
          <w:numId w:val="24"/>
        </w:numPr>
      </w:pPr>
      <w:r w:rsidRPr="00773FB4">
        <w:t>make every effort to verify the place of residence of interstate patients</w:t>
      </w:r>
    </w:p>
    <w:p w14:paraId="02ECA0C9" w14:textId="7990ED72" w:rsidR="005B699B" w:rsidRPr="00773FB4" w:rsidRDefault="005B699B" w:rsidP="004537E5">
      <w:pPr>
        <w:pStyle w:val="Bullet1"/>
        <w:numPr>
          <w:ilvl w:val="0"/>
          <w:numId w:val="24"/>
        </w:numPr>
      </w:pPr>
      <w:r w:rsidRPr="00773FB4">
        <w:t>ensure that all patients admitted to hospital are asked whether they are of Aboriginal or Torres Strait Islander background. Identifying Indigenous status is a mandatory data item to be reported by hospitals to the VAED.</w:t>
      </w:r>
    </w:p>
    <w:p w14:paraId="4AE0EA41" w14:textId="3342E2BB" w:rsidR="005B699B" w:rsidRDefault="005B699B" w:rsidP="004537E5">
      <w:pPr>
        <w:pStyle w:val="Heading3"/>
        <w:numPr>
          <w:ilvl w:val="2"/>
          <w:numId w:val="12"/>
        </w:numPr>
      </w:pPr>
      <w:bookmarkStart w:id="1693" w:name="_Toc77588919"/>
      <w:r>
        <w:t>Admitted episodes and care type</w:t>
      </w:r>
      <w:bookmarkEnd w:id="1693"/>
    </w:p>
    <w:p w14:paraId="3187920A" w14:textId="77777777" w:rsidR="005B699B" w:rsidRPr="008B043B" w:rsidRDefault="005B699B" w:rsidP="005B699B">
      <w:pPr>
        <w:pStyle w:val="Body"/>
      </w:pPr>
      <w:r w:rsidRPr="008B043B">
        <w:t>Each time a patient is admitted and discharged from hospital during the year, it is counted as an episode of care. Episodes can also be called admissions or separations. A single patient may have a number of separations during the year.</w:t>
      </w:r>
      <w:r>
        <w:t xml:space="preserve"> </w:t>
      </w:r>
      <w:r w:rsidRPr="008B043B">
        <w:t xml:space="preserve">Separations can also occur when admitted patients are transferred to another hospital, change the type of care </w:t>
      </w:r>
      <w:r w:rsidRPr="001F7CEF">
        <w:t>required (see below) or</w:t>
      </w:r>
      <w:r w:rsidRPr="008B043B">
        <w:t xml:space="preserve"> die in hospital.</w:t>
      </w:r>
    </w:p>
    <w:p w14:paraId="38FA4C9F" w14:textId="77777777" w:rsidR="005B699B" w:rsidRDefault="005B699B" w:rsidP="005B699B">
      <w:pPr>
        <w:pStyle w:val="Body"/>
      </w:pPr>
      <w:r>
        <w:t xml:space="preserve">Care type refers to the nature of the clinical service provided to an admitted patient during an episode of admitted patient care, or the type of service provided by the hospital. </w:t>
      </w:r>
    </w:p>
    <w:p w14:paraId="755A3212" w14:textId="77777777" w:rsidR="005B699B" w:rsidRDefault="005B699B" w:rsidP="005B699B">
      <w:pPr>
        <w:pStyle w:val="Body"/>
      </w:pPr>
      <w:r>
        <w:t>The care type selected must reflect the primary clinical purpose or treatment goal of the care provided. Only one care type can be assigned at a time. If there is more than one focus of care, assign the care type that best describes the primary clinical purpose or treatment goal.</w:t>
      </w:r>
    </w:p>
    <w:p w14:paraId="203FD33A" w14:textId="707CB754" w:rsidR="005B699B" w:rsidRDefault="005B699B" w:rsidP="005B699B">
      <w:pPr>
        <w:pStyle w:val="Body"/>
      </w:pPr>
      <w:r>
        <w:t>The National Minimum Data</w:t>
      </w:r>
      <w:r w:rsidR="006C6635">
        <w:t xml:space="preserve"> </w:t>
      </w:r>
      <w:r w:rsidR="00175738">
        <w:t>S</w:t>
      </w:r>
      <w:r>
        <w:t xml:space="preserve">et definitions for care type can be found at the </w:t>
      </w:r>
      <w:hyperlink r:id="rId61">
        <w:r w:rsidRPr="5C12B015">
          <w:rPr>
            <w:rStyle w:val="Hyperlink"/>
          </w:rPr>
          <w:t>metadata online registry (METeOR)</w:t>
        </w:r>
      </w:hyperlink>
      <w:r>
        <w:t xml:space="preserve"> &lt;</w:t>
      </w:r>
      <w:r w:rsidRPr="00DE37A8">
        <w:t>https://meteor.aihw.gov.au</w:t>
      </w:r>
      <w:r>
        <w:t>&gt;.</w:t>
      </w:r>
    </w:p>
    <w:p w14:paraId="5C9D7A43" w14:textId="2A351A41" w:rsidR="002B5800" w:rsidRDefault="005B699B" w:rsidP="0049467D">
      <w:pPr>
        <w:pStyle w:val="Body"/>
      </w:pPr>
      <w:r>
        <w:t xml:space="preserve">Care-type code references within this document related to the ‘care type’ data element specification in the VAED manual, available on the </w:t>
      </w:r>
      <w:hyperlink r:id="rId62" w:history="1">
        <w:r w:rsidR="00BB1986" w:rsidRPr="00C46F8B">
          <w:rPr>
            <w:rStyle w:val="Hyperlink"/>
          </w:rPr>
          <w:t>Data Collections VAED webpage</w:t>
        </w:r>
      </w:hyperlink>
      <w:r w:rsidR="00BB1986">
        <w:t xml:space="preserve"> </w:t>
      </w:r>
      <w:r w:rsidR="00BB1986" w:rsidRPr="008B043B">
        <w:t>&lt;</w:t>
      </w:r>
      <w:r w:rsidR="00BB1986" w:rsidRPr="00030DBB">
        <w:t>https://</w:t>
      </w:r>
      <w:r w:rsidR="00BB1986" w:rsidRPr="00D45508">
        <w:t>www</w:t>
      </w:r>
      <w:r w:rsidR="00BB1986" w:rsidRPr="00030DBB">
        <w:t>.health.vic.gov.au/data-reporting/</w:t>
      </w:r>
      <w:r w:rsidR="00BB1986">
        <w:t>victorian-admittted-episodes-dataset</w:t>
      </w:r>
      <w:r w:rsidR="00BB1986" w:rsidRPr="008B043B">
        <w:t>&gt;</w:t>
      </w:r>
      <w:r w:rsidR="00BB1986">
        <w:t>.</w:t>
      </w:r>
    </w:p>
    <w:p w14:paraId="3F80D22D" w14:textId="77777777" w:rsidR="00E63FB2" w:rsidRPr="00A05AD8" w:rsidRDefault="00E63FB2" w:rsidP="004537E5">
      <w:pPr>
        <w:pStyle w:val="Heading3"/>
        <w:numPr>
          <w:ilvl w:val="2"/>
          <w:numId w:val="12"/>
        </w:numPr>
      </w:pPr>
      <w:r w:rsidRPr="00A05AD8">
        <w:t>Emergency services activity</w:t>
      </w:r>
    </w:p>
    <w:p w14:paraId="4C0BECD3" w14:textId="365CFAD7" w:rsidR="00E63FB2" w:rsidRPr="00A05AD8" w:rsidRDefault="00E63FB2" w:rsidP="00E63FB2">
      <w:pPr>
        <w:pStyle w:val="Body"/>
      </w:pPr>
      <w:r w:rsidRPr="00A05AD8">
        <w:t>Emergency department care is provided to patients registered for care in an emergency department in selected public hospitals.</w:t>
      </w:r>
      <w:r w:rsidR="00BE5F4A" w:rsidRPr="00A05AD8">
        <w:t xml:space="preserve"> Emergency department </w:t>
      </w:r>
      <w:r w:rsidR="00965C88" w:rsidRPr="00A05AD8">
        <w:t>presentation are</w:t>
      </w:r>
      <w:r w:rsidR="00BE5F4A" w:rsidRPr="00A05AD8">
        <w:t xml:space="preserve"> reported to the VEMD.</w:t>
      </w:r>
    </w:p>
    <w:p w14:paraId="00894AC0" w14:textId="77777777" w:rsidR="00E63FB2" w:rsidRPr="00A05AD8" w:rsidRDefault="00E63FB2" w:rsidP="00E63FB2">
      <w:pPr>
        <w:pStyle w:val="Body"/>
      </w:pPr>
      <w:r w:rsidRPr="00A05AD8">
        <w:t>Since 1 July 2024, health services, including Small Rural Health Services, that provide urgent care/unplanned emergency medical treatment are required to report presentations using the AIMS Urgent Care Centre form.</w:t>
      </w:r>
    </w:p>
    <w:p w14:paraId="2E055109" w14:textId="758D3701" w:rsidR="00E63FB2" w:rsidRPr="00A05AD8" w:rsidRDefault="007E23DA" w:rsidP="00E63FB2">
      <w:pPr>
        <w:pStyle w:val="Body"/>
      </w:pPr>
      <w:r w:rsidRPr="00A05AD8">
        <w:t>Urgent Care Centre a</w:t>
      </w:r>
      <w:r w:rsidR="00E63FB2" w:rsidRPr="00A05AD8">
        <w:t>ctivity which is MBS-billed must be reported as such to enable the department to monitor compliance with applicable legislation and to meet the department’s obligations under the NHRA.</w:t>
      </w:r>
    </w:p>
    <w:p w14:paraId="03BB34F0" w14:textId="06EA7BB9" w:rsidR="00D70E60" w:rsidRPr="00736CC1" w:rsidRDefault="00D70E60" w:rsidP="004537E5">
      <w:pPr>
        <w:pStyle w:val="Heading3"/>
        <w:numPr>
          <w:ilvl w:val="2"/>
          <w:numId w:val="12"/>
        </w:numPr>
      </w:pPr>
      <w:r w:rsidRPr="00736CC1">
        <w:t>Subacute and non-acute care</w:t>
      </w:r>
      <w:r w:rsidR="006108AF" w:rsidRPr="00736CC1">
        <w:t xml:space="preserve"> activity</w:t>
      </w:r>
    </w:p>
    <w:p w14:paraId="363C5FAB" w14:textId="09A38432" w:rsidR="00170F6D" w:rsidRDefault="00D70E60" w:rsidP="00D70E60">
      <w:pPr>
        <w:pStyle w:val="Body"/>
      </w:pPr>
      <w:r w:rsidRPr="00736CC1">
        <w:t xml:space="preserve">All metropolitan, regional and subregional health services are delineated to provide rehabilitation and GEM services through the </w:t>
      </w:r>
      <w:hyperlink r:id="rId63" w:history="1">
        <w:r w:rsidR="00170F6D" w:rsidRPr="00C46F8B">
          <w:rPr>
            <w:rStyle w:val="Hyperlink"/>
            <w:i/>
            <w:iCs/>
          </w:rPr>
          <w:t>Planning the future of Victoria’s subacute service system: a capability and access planning framework</w:t>
        </w:r>
        <w:r w:rsidR="00170F6D" w:rsidRPr="00170F6D">
          <w:rPr>
            <w:rStyle w:val="Hyperlink"/>
          </w:rPr>
          <w:t xml:space="preserve"> (2013)</w:t>
        </w:r>
      </w:hyperlink>
      <w:r w:rsidRPr="00736CC1">
        <w:t xml:space="preserve"> &lt;https://www.health.vic.gov.au/patient-care/subacute-planning-framework&gt;.</w:t>
      </w:r>
    </w:p>
    <w:p w14:paraId="26304D42" w14:textId="551D6204" w:rsidR="00D70E60" w:rsidRPr="00736CC1" w:rsidRDefault="00D70E60" w:rsidP="00D70E60">
      <w:pPr>
        <w:pStyle w:val="Body"/>
      </w:pPr>
      <w:r w:rsidRPr="00736CC1">
        <w:t xml:space="preserve">Local health services delineated as level 2 </w:t>
      </w:r>
      <w:r w:rsidR="00CF1CC3" w:rsidRPr="00736CC1">
        <w:t>can</w:t>
      </w:r>
      <w:r w:rsidRPr="00736CC1">
        <w:t xml:space="preserve"> provide and report maintenance care.</w:t>
      </w:r>
    </w:p>
    <w:p w14:paraId="2610994C" w14:textId="77777777" w:rsidR="00D70E60" w:rsidRPr="00736CC1" w:rsidRDefault="00D70E60" w:rsidP="00D70E60">
      <w:pPr>
        <w:pStyle w:val="Body"/>
      </w:pPr>
      <w:r w:rsidRPr="00736CC1">
        <w:lastRenderedPageBreak/>
        <w:t>Admitted GEM and rehabilitation provided in a person’s home must meet the same national METeOR definitions and required data elements as for admitted subacute GEM and rehabilitation hospital-based activity.</w:t>
      </w:r>
    </w:p>
    <w:p w14:paraId="65D5B48D" w14:textId="77777777" w:rsidR="00D70E60" w:rsidRPr="00736CC1" w:rsidRDefault="00D70E60" w:rsidP="00D70E60">
      <w:pPr>
        <w:pStyle w:val="Body"/>
      </w:pPr>
      <w:r w:rsidRPr="00736CC1">
        <w:t>Home-based GEM and rehabilitation-type services can also be delivered through the HIP non-admitted platform, with activity reported in the VINAH minimum dataset.</w:t>
      </w:r>
    </w:p>
    <w:p w14:paraId="527C6B0D" w14:textId="2CBFFA6E" w:rsidR="00D70E60" w:rsidRPr="00736CC1" w:rsidRDefault="004B6535" w:rsidP="00D70E60">
      <w:pPr>
        <w:pStyle w:val="Body"/>
      </w:pPr>
      <w:r w:rsidRPr="00736CC1">
        <w:t>Where a</w:t>
      </w:r>
      <w:r w:rsidR="00D70E60" w:rsidRPr="00736CC1">
        <w:t xml:space="preserve">dmitted palliative care services </w:t>
      </w:r>
      <w:r w:rsidRPr="00736CC1">
        <w:t>are</w:t>
      </w:r>
      <w:r w:rsidR="00D70E60" w:rsidRPr="00736CC1">
        <w:t xml:space="preserve"> delivered in the patient’s home, health services must ensure that all obligations, standards and requirements for admitted palliative care contained in the </w:t>
      </w:r>
      <w:r w:rsidR="00C46F8B" w:rsidRPr="00C46F8B">
        <w:t>P</w:t>
      </w:r>
      <w:r w:rsidR="00170F6D" w:rsidRPr="00C46F8B">
        <w:t xml:space="preserve">olicy </w:t>
      </w:r>
      <w:r w:rsidR="00C46F8B" w:rsidRPr="00C46F8B">
        <w:t>G</w:t>
      </w:r>
      <w:r w:rsidR="00D70E60" w:rsidRPr="00C46F8B">
        <w:t>uide</w:t>
      </w:r>
      <w:r w:rsidR="00D70E60" w:rsidRPr="00736CC1">
        <w:t xml:space="preserve"> are met.</w:t>
      </w:r>
    </w:p>
    <w:p w14:paraId="314C1F08" w14:textId="39217906" w:rsidR="002B2CAB" w:rsidRDefault="00881B71" w:rsidP="00C46F8B">
      <w:pPr>
        <w:pStyle w:val="Body"/>
      </w:pPr>
      <w:r w:rsidRPr="00736CC1">
        <w:t>While t</w:t>
      </w:r>
      <w:r w:rsidR="00474235" w:rsidRPr="00736CC1">
        <w:t>he Australian National Subacute and Non-Acute Patient (AN-SNAP) classification system version 5.0 will be used for the purposes of classifying admitted subacute care in 2025–26, in Victoria the psychogeriatric AN-SNAP classes will not be used in 2025–26.</w:t>
      </w:r>
      <w:r w:rsidR="00A751E0" w:rsidRPr="00736CC1">
        <w:t xml:space="preserve"> </w:t>
      </w:r>
      <w:r w:rsidR="00474235" w:rsidRPr="00736CC1">
        <w:t xml:space="preserve">Further information on AN-SNAP classification can be found on the </w:t>
      </w:r>
      <w:hyperlink r:id="rId64" w:history="1">
        <w:r w:rsidR="00474235" w:rsidRPr="00DD619C">
          <w:rPr>
            <w:rStyle w:val="Hyperlink"/>
          </w:rPr>
          <w:t>IHACPA subacute and non-acute care website</w:t>
        </w:r>
      </w:hyperlink>
      <w:r w:rsidR="00474235" w:rsidRPr="00736CC1">
        <w:t xml:space="preserve"> &lt;https://www.ihacpa.gov.au/health-care/classification/subacute-and-non-acute-care&gt;.</w:t>
      </w:r>
    </w:p>
    <w:p w14:paraId="1B72F8BE" w14:textId="457DE81C" w:rsidR="007C4595" w:rsidRPr="00D26196" w:rsidRDefault="007C4595" w:rsidP="004537E5">
      <w:pPr>
        <w:pStyle w:val="Heading3"/>
        <w:numPr>
          <w:ilvl w:val="2"/>
          <w:numId w:val="12"/>
        </w:numPr>
      </w:pPr>
      <w:r w:rsidRPr="00D26196">
        <w:t>Non-admitted</w:t>
      </w:r>
      <w:r w:rsidR="00BA1F55" w:rsidRPr="00D26196">
        <w:t xml:space="preserve"> activity</w:t>
      </w:r>
    </w:p>
    <w:p w14:paraId="0B83D97A" w14:textId="092AA67B" w:rsidR="007C4595" w:rsidRPr="00D26196" w:rsidRDefault="007C4595" w:rsidP="007C4595">
      <w:pPr>
        <w:pStyle w:val="Body"/>
      </w:pPr>
      <w:r w:rsidRPr="00D26196">
        <w:t xml:space="preserve">Health services </w:t>
      </w:r>
      <w:r w:rsidR="00170F6D" w:rsidRPr="00D26196">
        <w:t>in</w:t>
      </w:r>
      <w:r w:rsidR="00BC1E7E">
        <w:t xml:space="preserve"> </w:t>
      </w:r>
      <w:r w:rsidRPr="00D26196">
        <w:t>scope for activity-based funding in the non-admitted stream are advised that from 2025–26, aggregate non-admitted data submitted via AIMS will not be used for calculating health service achievement against NWAU target. Patient-level data was required for the calculation of NWAU against target from 1 January 2025.</w:t>
      </w:r>
    </w:p>
    <w:p w14:paraId="59AAB9C9" w14:textId="400B2B64" w:rsidR="007C4595" w:rsidRPr="00D26196" w:rsidRDefault="007C4595" w:rsidP="007C4595">
      <w:pPr>
        <w:pStyle w:val="Body"/>
        <w:rPr>
          <w:color w:val="709FDB" w:themeColor="text2" w:themeTint="80"/>
        </w:rPr>
      </w:pPr>
      <w:r w:rsidRPr="00D26196">
        <w:t xml:space="preserve">Health services in-scope for block funding in the non-admitted stream </w:t>
      </w:r>
      <w:r w:rsidRPr="00D26196">
        <w:rPr>
          <w:color w:val="000000" w:themeColor="text1"/>
        </w:rPr>
        <w:t>must report aggregate data on non-admitted activity using the AIMS S10, S11, S11A, S12 in accordance with the AIMS manual.</w:t>
      </w:r>
    </w:p>
    <w:p w14:paraId="14FEDA3A" w14:textId="44416153" w:rsidR="00A37A8C" w:rsidRPr="00D26196" w:rsidRDefault="00A37A8C" w:rsidP="00A37A8C">
      <w:pPr>
        <w:pStyle w:val="Body"/>
      </w:pPr>
      <w:r w:rsidRPr="00D26196">
        <w:t xml:space="preserve">Activity </w:t>
      </w:r>
      <w:r w:rsidR="00170F6D">
        <w:t>that</w:t>
      </w:r>
      <w:r w:rsidR="00170F6D" w:rsidRPr="00D26196">
        <w:t xml:space="preserve"> </w:t>
      </w:r>
      <w:r w:rsidRPr="00D26196">
        <w:t>is MBS-billed must be reported as such to enable the department to monitor compliance with applicable legislation and to meet the department’s obligations under the NHRA.</w:t>
      </w:r>
    </w:p>
    <w:p w14:paraId="6A23F269" w14:textId="77777777" w:rsidR="007C4595" w:rsidRPr="00D26196" w:rsidRDefault="007C4595" w:rsidP="007A509E">
      <w:pPr>
        <w:pStyle w:val="Heading4"/>
      </w:pPr>
      <w:r w:rsidRPr="00D26196">
        <w:t>Registration of clinics</w:t>
      </w:r>
    </w:p>
    <w:p w14:paraId="00179A10" w14:textId="77777777" w:rsidR="007C4595" w:rsidRPr="00D26196" w:rsidRDefault="007C4595" w:rsidP="00C46F8B">
      <w:pPr>
        <w:pStyle w:val="Body"/>
      </w:pPr>
      <w:r w:rsidRPr="00D26196">
        <w:t>All public health services in Victoria (NWAU activity-based or block funded) must register acute non-admitted clinics. Registration enables public hospitals to report non-admitted activity data via the AIMS and VINAH data collections.</w:t>
      </w:r>
    </w:p>
    <w:p w14:paraId="247E0B37" w14:textId="6F794EB0" w:rsidR="007C4595" w:rsidRPr="00D26196" w:rsidRDefault="007C4595" w:rsidP="007C4595">
      <w:pPr>
        <w:pStyle w:val="Bodyafterbullets"/>
      </w:pPr>
      <w:r w:rsidRPr="00D26196">
        <w:t xml:space="preserve">Clinics are registered in the Non-Admitted Clinic Management System (NACMS) via the </w:t>
      </w:r>
      <w:hyperlink r:id="rId65" w:history="1">
        <w:r w:rsidRPr="00D26196">
          <w:rPr>
            <w:rStyle w:val="Hyperlink"/>
          </w:rPr>
          <w:t>HealthCollect portal</w:t>
        </w:r>
      </w:hyperlink>
      <w:r w:rsidRPr="00D26196">
        <w:t xml:space="preserve"> &lt;https://www.healthcollect.vic.gov.au&gt;. </w:t>
      </w:r>
      <w:r w:rsidR="00170F6D">
        <w:t xml:space="preserve">Find out more about </w:t>
      </w:r>
      <w:r w:rsidR="00170F6D" w:rsidRPr="00C46F8B">
        <w:t>registering clinics</w:t>
      </w:r>
      <w:r w:rsidRPr="00D26196">
        <w:t xml:space="preserve"> </w:t>
      </w:r>
      <w:r w:rsidR="00D26CB5">
        <w:t>in</w:t>
      </w:r>
      <w:r w:rsidR="00170F6D">
        <w:t xml:space="preserve"> the department’s </w:t>
      </w:r>
      <w:hyperlink r:id="rId66" w:history="1">
        <w:r w:rsidR="00170F6D" w:rsidRPr="00D26CB5">
          <w:rPr>
            <w:rStyle w:val="Hyperlink"/>
          </w:rPr>
          <w:t>NAC</w:t>
        </w:r>
        <w:r w:rsidR="00D26CB5" w:rsidRPr="00D26CB5">
          <w:rPr>
            <w:rStyle w:val="Hyperlink"/>
          </w:rPr>
          <w:t>MS manual</w:t>
        </w:r>
      </w:hyperlink>
      <w:r w:rsidR="00170F6D" w:rsidRPr="00D26196">
        <w:t xml:space="preserve"> </w:t>
      </w:r>
      <w:r w:rsidRPr="00D26196">
        <w:t>&lt;</w:t>
      </w:r>
      <w:r w:rsidR="00D26CB5" w:rsidRPr="00C46F8B">
        <w:t>https://www.health.vic.gov.au/publications/non-admitted-clinic-management-system-nacms-manual</w:t>
      </w:r>
      <w:r w:rsidRPr="00D26196">
        <w:t>&gt;.</w:t>
      </w:r>
    </w:p>
    <w:p w14:paraId="128107B0" w14:textId="77777777" w:rsidR="007C4595" w:rsidRPr="00CC657E" w:rsidRDefault="007C4595" w:rsidP="00C46F8B">
      <w:pPr>
        <w:pStyle w:val="Heading4"/>
      </w:pPr>
      <w:r w:rsidRPr="00CC657E">
        <w:t>Service event and service event derivation rules</w:t>
      </w:r>
    </w:p>
    <w:p w14:paraId="49FAB362" w14:textId="12F6888F" w:rsidR="006A22FE" w:rsidRPr="00CC657E" w:rsidRDefault="003B1AE9" w:rsidP="00D26CB5">
      <w:pPr>
        <w:pStyle w:val="Body"/>
      </w:pPr>
      <w:r w:rsidRPr="00CC657E">
        <w:t>Under the national funding model t</w:t>
      </w:r>
      <w:r w:rsidR="007C4595" w:rsidRPr="00CC657E">
        <w:t>he unit of count adopted for all non-admitted services is ‘service event’</w:t>
      </w:r>
      <w:r w:rsidR="002D4829" w:rsidRPr="00CC657E">
        <w:t xml:space="preserve">. </w:t>
      </w:r>
      <w:r w:rsidR="00EC1551" w:rsidRPr="00CC657E">
        <w:t>I</w:t>
      </w:r>
      <w:r w:rsidR="006A22FE" w:rsidRPr="00CC657E">
        <w:t xml:space="preserve">nformation on non-admitted patient service event counting rules and examples of how these apply is available in the annual </w:t>
      </w:r>
      <w:hyperlink r:id="rId67" w:history="1">
        <w:r w:rsidR="006A22FE" w:rsidRPr="00CC657E">
          <w:rPr>
            <w:rStyle w:val="Hyperlink"/>
          </w:rPr>
          <w:t>Tier 2 publication</w:t>
        </w:r>
      </w:hyperlink>
      <w:r w:rsidR="006A22FE" w:rsidRPr="00CC657E">
        <w:t xml:space="preserve"> &lt;https://www.ihacpa.gov.au/health-care/classification/non-admitted-care/tier-2-non-admitted-services-classification&gt;.</w:t>
      </w:r>
    </w:p>
    <w:p w14:paraId="3C8C3550" w14:textId="662E0316" w:rsidR="005B699B" w:rsidRDefault="007C4595" w:rsidP="005B699B">
      <w:pPr>
        <w:pStyle w:val="Body"/>
      </w:pPr>
      <w:r w:rsidRPr="00CC657E">
        <w:t xml:space="preserve">The VINAH minimum dataset collects information about services provided to non-admitted patients at the lowest level, which is a contact. For activity-based funding, multiple contacts for one patient delivered on the same day may be bundled into one service event. For further information on service event derivation rules see section 2, ‘Concepts and derived items’ in the </w:t>
      </w:r>
      <w:hyperlink r:id="rId68" w:history="1">
        <w:r w:rsidRPr="00CC657E">
          <w:rPr>
            <w:rStyle w:val="Hyperlink"/>
          </w:rPr>
          <w:t>VINAH MDS manual</w:t>
        </w:r>
      </w:hyperlink>
      <w:r w:rsidRPr="00CC657E">
        <w:t xml:space="preserve"> &lt;https://www.health.vic.gov.au/data-reporting/victorian-integrated-non-admitted-health-vinah-dataset&gt;.</w:t>
      </w:r>
      <w:bookmarkStart w:id="1694" w:name="_Toc167651254"/>
      <w:bookmarkStart w:id="1695" w:name="_Toc167651255"/>
      <w:bookmarkStart w:id="1696" w:name="_Toc110949972"/>
      <w:bookmarkStart w:id="1697" w:name="_Toc110949973"/>
      <w:bookmarkStart w:id="1698" w:name="_Toc484461856"/>
      <w:bookmarkStart w:id="1699" w:name="_Toc484461859"/>
      <w:bookmarkStart w:id="1700" w:name="_Toc484461861"/>
      <w:bookmarkStart w:id="1701" w:name="_Toc77711254"/>
      <w:bookmarkStart w:id="1702" w:name="_Toc484461866"/>
      <w:bookmarkStart w:id="1703" w:name="_Toc37934578"/>
      <w:bookmarkStart w:id="1704" w:name="_Toc10144528"/>
      <w:bookmarkStart w:id="1705" w:name="_Toc10144798"/>
      <w:bookmarkStart w:id="1706" w:name="_Toc10145068"/>
      <w:bookmarkStart w:id="1707" w:name="_Toc10199091"/>
      <w:bookmarkStart w:id="1708" w:name="_Toc10199360"/>
      <w:bookmarkStart w:id="1709" w:name="_Toc10199629"/>
      <w:bookmarkStart w:id="1710" w:name="_Toc10459884"/>
      <w:bookmarkStart w:id="1711" w:name="_Toc8919126"/>
      <w:bookmarkStart w:id="1712" w:name="_Toc8930643"/>
      <w:bookmarkStart w:id="1713" w:name="_Toc8931029"/>
      <w:bookmarkStart w:id="1714" w:name="_Toc8931373"/>
      <w:bookmarkStart w:id="1715" w:name="_Toc8931754"/>
      <w:bookmarkStart w:id="1716" w:name="_Toc9441702"/>
      <w:bookmarkStart w:id="1717" w:name="_Toc8919127"/>
      <w:bookmarkStart w:id="1718" w:name="_Toc8930644"/>
      <w:bookmarkStart w:id="1719" w:name="_Toc8931030"/>
      <w:bookmarkStart w:id="1720" w:name="_Toc8931374"/>
      <w:bookmarkStart w:id="1721" w:name="_Toc8931755"/>
      <w:bookmarkStart w:id="1722" w:name="_Toc9441703"/>
      <w:bookmarkStart w:id="1723" w:name="_Toc418694969"/>
      <w:bookmarkStart w:id="1724" w:name="_Toc6215623"/>
      <w:bookmarkStart w:id="1725" w:name="_Ref9935718"/>
      <w:bookmarkStart w:id="1726" w:name="_Ref9935756"/>
      <w:bookmarkStart w:id="1727" w:name="_Toc10199696"/>
      <w:bookmarkStart w:id="1728" w:name="_Toc52892596"/>
      <w:bookmarkStart w:id="1729" w:name="_Toc100263328"/>
      <w:bookmarkEnd w:id="1519"/>
      <w:bookmarkEnd w:id="1520"/>
      <w:bookmarkEnd w:id="1521"/>
      <w:bookmarkEnd w:id="1667"/>
      <w:bookmarkEnd w:id="1668"/>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005B699B">
        <w:br w:type="page"/>
      </w:r>
    </w:p>
    <w:p w14:paraId="69E601F2" w14:textId="6B411C96" w:rsidR="005B699B" w:rsidRDefault="005B699B" w:rsidP="00FB14A6">
      <w:pPr>
        <w:pStyle w:val="Heading1"/>
        <w:numPr>
          <w:ilvl w:val="0"/>
          <w:numId w:val="12"/>
        </w:numPr>
        <w:ind w:left="567" w:hanging="567"/>
      </w:pPr>
      <w:bookmarkStart w:id="1730" w:name="_Toc100263277"/>
      <w:bookmarkStart w:id="1731" w:name="_Toc165961830"/>
      <w:bookmarkStart w:id="1732" w:name="_Toc201148252"/>
      <w:r>
        <w:lastRenderedPageBreak/>
        <w:t xml:space="preserve">National funding </w:t>
      </w:r>
      <w:bookmarkEnd w:id="1730"/>
      <w:r w:rsidR="005869F9">
        <w:t xml:space="preserve">model </w:t>
      </w:r>
      <w:r>
        <w:t>arrangements</w:t>
      </w:r>
      <w:bookmarkEnd w:id="1731"/>
      <w:bookmarkEnd w:id="1732"/>
    </w:p>
    <w:p w14:paraId="442E765E" w14:textId="04456267" w:rsidR="008907A9" w:rsidRPr="00EC1D86" w:rsidRDefault="008907A9" w:rsidP="00E35AD6">
      <w:pPr>
        <w:pStyle w:val="Heading2"/>
        <w:numPr>
          <w:ilvl w:val="1"/>
          <w:numId w:val="12"/>
        </w:numPr>
        <w:ind w:left="709" w:hanging="709"/>
      </w:pPr>
      <w:bookmarkStart w:id="1733" w:name="_Ref199252060"/>
      <w:bookmarkStart w:id="1734" w:name="_Ref199252665"/>
      <w:bookmarkStart w:id="1735" w:name="_Toc201148253"/>
      <w:bookmarkStart w:id="1736" w:name="_Ref165634918"/>
      <w:bookmarkStart w:id="1737" w:name="_Ref165634980"/>
      <w:bookmarkStart w:id="1738" w:name="_Ref165637179"/>
      <w:bookmarkStart w:id="1739" w:name="_Ref165637201"/>
      <w:bookmarkStart w:id="1740" w:name="_Toc165961831"/>
      <w:r w:rsidRPr="00EC1D86">
        <w:t xml:space="preserve">National </w:t>
      </w:r>
      <w:r>
        <w:t>classifications</w:t>
      </w:r>
      <w:bookmarkEnd w:id="1733"/>
      <w:bookmarkEnd w:id="1734"/>
      <w:bookmarkEnd w:id="1735"/>
    </w:p>
    <w:p w14:paraId="2E99A054" w14:textId="04B9DCAD" w:rsidR="00505907" w:rsidRDefault="002B5D6C" w:rsidP="002B5D6C">
      <w:pPr>
        <w:pStyle w:val="Bodyafterbullets"/>
      </w:pPr>
      <w:r>
        <w:t>The national funding model uses various classification systems to express the relative cost weights in terms of NWAUs for each ‘group’ of activity-based funding services.</w:t>
      </w:r>
    </w:p>
    <w:p w14:paraId="51F92C88" w14:textId="6953832E" w:rsidR="002B5D6C" w:rsidRDefault="002B5D6C" w:rsidP="002B5D6C">
      <w:pPr>
        <w:pStyle w:val="Bodyafterbullets"/>
      </w:pPr>
      <w:r>
        <w:t xml:space="preserve">The </w:t>
      </w:r>
      <w:r w:rsidR="00505907">
        <w:t>2025</w:t>
      </w:r>
      <w:r w:rsidR="00DD619C">
        <w:t>–</w:t>
      </w:r>
      <w:r w:rsidR="00505907">
        <w:t xml:space="preserve">26 </w:t>
      </w:r>
      <w:r>
        <w:t>national classification systems used to group patients for each activity-based funding service are:</w:t>
      </w:r>
    </w:p>
    <w:p w14:paraId="5F2E464E" w14:textId="77777777" w:rsidR="002B5D6C" w:rsidRPr="00E07A51" w:rsidRDefault="002B5D6C" w:rsidP="002B5D6C">
      <w:pPr>
        <w:pStyle w:val="Bullet1"/>
      </w:pPr>
      <w:r w:rsidRPr="00E07A51">
        <w:t xml:space="preserve">admitted acute patient services – AR-DRG </w:t>
      </w:r>
      <w:r>
        <w:t>v</w:t>
      </w:r>
      <w:r w:rsidRPr="00E07A51">
        <w:t>ersion 11.0</w:t>
      </w:r>
    </w:p>
    <w:p w14:paraId="0D4C0391" w14:textId="2B5302F3" w:rsidR="002B5D6C" w:rsidRPr="00E07A51" w:rsidRDefault="002B5D6C" w:rsidP="002B5D6C">
      <w:pPr>
        <w:pStyle w:val="Bullet1"/>
      </w:pPr>
      <w:r w:rsidRPr="00E07A51">
        <w:t>emergency department services –</w:t>
      </w:r>
      <w:r>
        <w:t xml:space="preserve"> </w:t>
      </w:r>
      <w:r w:rsidRPr="00E07A51">
        <w:t xml:space="preserve">AECC </w:t>
      </w:r>
      <w:r>
        <w:t>v</w:t>
      </w:r>
      <w:r w:rsidRPr="00E07A51">
        <w:t>ersion 1.</w:t>
      </w:r>
      <w:r>
        <w:t>1</w:t>
      </w:r>
      <w:r w:rsidRPr="00575686">
        <w:t xml:space="preserve"> </w:t>
      </w:r>
      <w:r w:rsidRPr="00E07A51">
        <w:t xml:space="preserve">(for recognised emergency departments at levels 3B–6) and urgency disposition groups (UDGs) </w:t>
      </w:r>
      <w:r>
        <w:t>v</w:t>
      </w:r>
      <w:r w:rsidRPr="00E07A51">
        <w:t>ersion 1.3 (for recognised emergency departments at levels 1–3A)</w:t>
      </w:r>
    </w:p>
    <w:p w14:paraId="3831945D" w14:textId="54E1A258" w:rsidR="002B5D6C" w:rsidRPr="00E07A51" w:rsidRDefault="002B5D6C" w:rsidP="002B5D6C">
      <w:pPr>
        <w:pStyle w:val="Bullet1"/>
      </w:pPr>
      <w:r w:rsidRPr="00E07A51">
        <w:t xml:space="preserve">admitted mental health </w:t>
      </w:r>
      <w:r>
        <w:t xml:space="preserve">services – </w:t>
      </w:r>
      <w:r w:rsidRPr="00E07A51">
        <w:t>AMHCC version 1.</w:t>
      </w:r>
      <w:r>
        <w:t>1</w:t>
      </w:r>
    </w:p>
    <w:p w14:paraId="61158096" w14:textId="77777777" w:rsidR="002B5D6C" w:rsidRPr="00E07A51" w:rsidRDefault="002B5D6C" w:rsidP="002B5D6C">
      <w:pPr>
        <w:pStyle w:val="Bullet1"/>
      </w:pPr>
      <w:r>
        <w:t>community mental health care consumers – AMHCC version 1.1</w:t>
      </w:r>
    </w:p>
    <w:p w14:paraId="10F2DB4E" w14:textId="6F1DF03E" w:rsidR="002B5D6C" w:rsidRPr="00E07A51" w:rsidRDefault="002B5D6C" w:rsidP="002B5D6C">
      <w:pPr>
        <w:pStyle w:val="Bullet1"/>
      </w:pPr>
      <w:r w:rsidRPr="00E07A51">
        <w:t xml:space="preserve">non-admitted patient services – </w:t>
      </w:r>
      <w:r>
        <w:t>Tier</w:t>
      </w:r>
      <w:r w:rsidRPr="00E07A51">
        <w:t xml:space="preserve"> 2 </w:t>
      </w:r>
      <w:r>
        <w:t>n</w:t>
      </w:r>
      <w:r w:rsidRPr="00E07A51">
        <w:t>on-</w:t>
      </w:r>
      <w:r>
        <w:t>a</w:t>
      </w:r>
      <w:r w:rsidRPr="00E07A51">
        <w:t xml:space="preserve">dmitted </w:t>
      </w:r>
      <w:r>
        <w:t>s</w:t>
      </w:r>
      <w:r w:rsidRPr="00E07A51">
        <w:t>ervices version 9.</w:t>
      </w:r>
      <w:r>
        <w:t>1</w:t>
      </w:r>
    </w:p>
    <w:p w14:paraId="51859086" w14:textId="1CF65EE4" w:rsidR="005F6783" w:rsidRDefault="002B5D6C" w:rsidP="005869F9">
      <w:pPr>
        <w:pStyle w:val="Bullet1"/>
      </w:pPr>
      <w:r w:rsidRPr="00E07A51">
        <w:t>admitted subacute and non-acute patient services –</w:t>
      </w:r>
      <w:r>
        <w:t xml:space="preserve"> </w:t>
      </w:r>
      <w:r w:rsidRPr="00E07A51">
        <w:t>AN-SNAP version 5.0.</w:t>
      </w:r>
      <w:bookmarkEnd w:id="1736"/>
      <w:bookmarkEnd w:id="1737"/>
      <w:bookmarkEnd w:id="1738"/>
      <w:bookmarkEnd w:id="1739"/>
      <w:bookmarkEnd w:id="1740"/>
    </w:p>
    <w:p w14:paraId="7B7A8E06" w14:textId="0244E930" w:rsidR="004206D0" w:rsidRDefault="004206D0" w:rsidP="00F4311A">
      <w:pPr>
        <w:pStyle w:val="Bodyafterbullets"/>
        <w:keepNext/>
      </w:pPr>
      <w:r>
        <w:t xml:space="preserve">Victoria uses the national classification systems to classify reported </w:t>
      </w:r>
      <w:r w:rsidR="00AB169F">
        <w:t>activity.</w:t>
      </w:r>
    </w:p>
    <w:p w14:paraId="6C9181D7" w14:textId="506F2B2F" w:rsidR="005B699B" w:rsidRPr="00EC1D86" w:rsidRDefault="005B699B" w:rsidP="00E35AD6">
      <w:pPr>
        <w:pStyle w:val="Heading2"/>
        <w:numPr>
          <w:ilvl w:val="1"/>
          <w:numId w:val="12"/>
        </w:numPr>
        <w:ind w:left="709" w:hanging="709"/>
      </w:pPr>
      <w:bookmarkStart w:id="1741" w:name="_Toc201148254"/>
      <w:r w:rsidRPr="00EC1D86">
        <w:t>National price weight</w:t>
      </w:r>
      <w:r w:rsidR="005F6783">
        <w:t>s</w:t>
      </w:r>
      <w:bookmarkEnd w:id="1741"/>
    </w:p>
    <w:p w14:paraId="252F17DB" w14:textId="77777777" w:rsidR="005B699B" w:rsidRPr="00EC1D86" w:rsidRDefault="005B699B" w:rsidP="005B699B">
      <w:pPr>
        <w:pStyle w:val="Body"/>
      </w:pPr>
      <w:r w:rsidRPr="00EC1D86">
        <w:t xml:space="preserve">Activity under the national model is measured in terms of the NWAU, which is a measure of health service activity expressed as a common unit against which a price is paid. The price weight per activity unit is calculated by the </w:t>
      </w:r>
      <w:r>
        <w:t>IHACPA</w:t>
      </w:r>
      <w:r w:rsidRPr="00EC1D86">
        <w:t xml:space="preserve"> through a staged process. </w:t>
      </w:r>
    </w:p>
    <w:p w14:paraId="1AB3050D" w14:textId="77777777" w:rsidR="005B699B" w:rsidRPr="00EC1D86" w:rsidRDefault="005B699B" w:rsidP="005B699B">
      <w:pPr>
        <w:pStyle w:val="Body"/>
      </w:pPr>
      <w:r w:rsidRPr="00EC1D86">
        <w:t>The process involves the calculation of cost-model parameters and then cost-weight values, by dividing the cost-model parameters by a reference cost. The cost-weight values, simply expressed, are the ratio of the average cost of all episodes in an AR-DRG to the average cost of all episodes across all DRGs. National price weights are derived once out-of-scope costs and activity are excluded, a reference (or average) cost is calculated, and model indexation rate is derived using the time series national hospital cost data collection. The Independent Health and Pricing Authority also determines adjustments to the NWAU.</w:t>
      </w:r>
    </w:p>
    <w:p w14:paraId="1DA207A4" w14:textId="46F35120" w:rsidR="005B699B" w:rsidRDefault="005B699B" w:rsidP="005B699B">
      <w:pPr>
        <w:pStyle w:val="Body"/>
      </w:pPr>
      <w:r w:rsidRPr="00EC1D86">
        <w:t xml:space="preserve">Additional detail describing the transformation of cost parameters to price weights and adjustments can be found in the </w:t>
      </w:r>
      <w:hyperlink r:id="rId69" w:history="1">
        <w:r w:rsidR="007C5676">
          <w:rPr>
            <w:rStyle w:val="Hyperlink"/>
          </w:rPr>
          <w:t>N</w:t>
        </w:r>
        <w:r w:rsidR="000234CE">
          <w:rPr>
            <w:rStyle w:val="Hyperlink"/>
          </w:rPr>
          <w:t xml:space="preserve">ational </w:t>
        </w:r>
        <w:r w:rsidR="007C5676">
          <w:rPr>
            <w:rStyle w:val="Hyperlink"/>
          </w:rPr>
          <w:t>E</w:t>
        </w:r>
        <w:r w:rsidR="000234CE">
          <w:rPr>
            <w:rStyle w:val="Hyperlink"/>
          </w:rPr>
          <w:t xml:space="preserve">fficient </w:t>
        </w:r>
        <w:r w:rsidR="007C5676">
          <w:rPr>
            <w:rStyle w:val="Hyperlink"/>
          </w:rPr>
          <w:t>P</w:t>
        </w:r>
        <w:r w:rsidR="000234CE">
          <w:rPr>
            <w:rStyle w:val="Hyperlink"/>
          </w:rPr>
          <w:t>rice</w:t>
        </w:r>
        <w:r w:rsidR="002B0B97" w:rsidRPr="000431EB">
          <w:rPr>
            <w:rStyle w:val="Hyperlink"/>
          </w:rPr>
          <w:t xml:space="preserve"> determination</w:t>
        </w:r>
      </w:hyperlink>
      <w:r w:rsidR="004A7294">
        <w:fldChar w:fldCharType="begin"/>
      </w:r>
      <w:r w:rsidR="004A7294">
        <w:fldChar w:fldCharType="separate"/>
      </w:r>
      <w:r w:rsidR="004A7294">
        <w:rPr>
          <w:rStyle w:val="Hyperlink"/>
        </w:rPr>
        <w:t>NEP</w:t>
      </w:r>
      <w:r w:rsidR="004A7294" w:rsidRPr="00EE33C7">
        <w:rPr>
          <w:rStyle w:val="Hyperlink"/>
        </w:rPr>
        <w:t xml:space="preserve"> </w:t>
      </w:r>
      <w:r w:rsidR="004A7294">
        <w:rPr>
          <w:rStyle w:val="Hyperlink"/>
        </w:rPr>
        <w:t>d</w:t>
      </w:r>
      <w:r w:rsidR="004A7294" w:rsidRPr="00EE33C7">
        <w:rPr>
          <w:rStyle w:val="Hyperlink"/>
        </w:rPr>
        <w:t xml:space="preserve">etermination and </w:t>
      </w:r>
      <w:r w:rsidR="004A7294">
        <w:rPr>
          <w:rStyle w:val="Hyperlink"/>
        </w:rPr>
        <w:t>t</w:t>
      </w:r>
      <w:r w:rsidR="004A7294" w:rsidRPr="00EE33C7">
        <w:rPr>
          <w:rStyle w:val="Hyperlink"/>
        </w:rPr>
        <w:t xml:space="preserve">echnical </w:t>
      </w:r>
      <w:r w:rsidR="004A7294">
        <w:rPr>
          <w:rStyle w:val="Hyperlink"/>
        </w:rPr>
        <w:t>s</w:t>
      </w:r>
      <w:r w:rsidR="004A7294" w:rsidRPr="00EE33C7">
        <w:rPr>
          <w:rStyle w:val="Hyperlink"/>
        </w:rPr>
        <w:t>pecifications</w:t>
      </w:r>
      <w:r w:rsidR="004A7294">
        <w:rPr>
          <w:rStyle w:val="Hyperlink"/>
        </w:rPr>
        <w:fldChar w:fldCharType="end"/>
      </w:r>
      <w:r w:rsidRPr="00EC1D86">
        <w:t xml:space="preserve"> &lt;</w:t>
      </w:r>
      <w:r w:rsidRPr="00EE33C7">
        <w:t>https://www.ihacpa.gov.au/health-care/pricing/national-efficient-price-determination</w:t>
      </w:r>
      <w:r w:rsidRPr="00EC1D86">
        <w:t>&gt;.</w:t>
      </w:r>
    </w:p>
    <w:p w14:paraId="6BD8B1D1" w14:textId="57C9D0CD" w:rsidR="00C04BF0" w:rsidRPr="00104CF7" w:rsidRDefault="00C04BF0" w:rsidP="00E35AD6">
      <w:pPr>
        <w:pStyle w:val="Heading2"/>
        <w:numPr>
          <w:ilvl w:val="1"/>
          <w:numId w:val="12"/>
        </w:numPr>
        <w:ind w:left="709" w:hanging="709"/>
      </w:pPr>
      <w:bookmarkStart w:id="1742" w:name="_Toc201148255"/>
      <w:r>
        <w:t>N</w:t>
      </w:r>
      <w:r w:rsidRPr="00104CF7">
        <w:t>ational efficient price</w:t>
      </w:r>
      <w:bookmarkEnd w:id="1742"/>
    </w:p>
    <w:p w14:paraId="0D354D56" w14:textId="495A6A4C" w:rsidR="00C04BF0" w:rsidRDefault="008537E5" w:rsidP="005B699B">
      <w:pPr>
        <w:pStyle w:val="Body"/>
      </w:pPr>
      <w:r>
        <w:t xml:space="preserve">The IHACPA </w:t>
      </w:r>
      <w:r w:rsidR="00377754">
        <w:t xml:space="preserve">sets an annual national efficient price (NEP) which is </w:t>
      </w:r>
      <w:r w:rsidR="00377754" w:rsidRPr="00377754">
        <w:t>publish</w:t>
      </w:r>
      <w:r w:rsidR="00377754">
        <w:t xml:space="preserve">ed in the </w:t>
      </w:r>
      <w:r w:rsidR="00377754" w:rsidRPr="00377754">
        <w:t>National Efficient Price Determination for public hospital services for each financial year. The NEP underpins activity</w:t>
      </w:r>
      <w:r w:rsidR="00377754">
        <w:t>-</w:t>
      </w:r>
      <w:r w:rsidR="00377754" w:rsidRPr="00377754">
        <w:t xml:space="preserve">based funding </w:t>
      </w:r>
      <w:r w:rsidR="00EB7915">
        <w:t xml:space="preserve">to states and jurisdictions </w:t>
      </w:r>
      <w:r w:rsidR="00377754" w:rsidRPr="00377754">
        <w:t>for Commonwealth funded public hospital services.</w:t>
      </w:r>
      <w:r w:rsidR="00EB7915">
        <w:t xml:space="preserve"> </w:t>
      </w:r>
    </w:p>
    <w:p w14:paraId="5A7F8740" w14:textId="7A7B337B" w:rsidR="00C04BF0" w:rsidRDefault="00F10FEC" w:rsidP="005B699B">
      <w:pPr>
        <w:pStyle w:val="Body"/>
      </w:pPr>
      <w:r>
        <w:t>As described in</w:t>
      </w:r>
      <w:r w:rsidR="0079716A">
        <w:t xml:space="preserve"> section </w:t>
      </w:r>
      <w:r w:rsidR="0079716A" w:rsidRPr="00551161">
        <w:fldChar w:fldCharType="begin"/>
      </w:r>
      <w:r w:rsidR="0079716A" w:rsidRPr="00551161">
        <w:instrText xml:space="preserve"> REF _Ref199409157 \r \h  \* MERGEFORMAT </w:instrText>
      </w:r>
      <w:r w:rsidR="0079716A" w:rsidRPr="00551161">
        <w:fldChar w:fldCharType="separate"/>
      </w:r>
      <w:r w:rsidR="007D262B">
        <w:t>2</w:t>
      </w:r>
      <w:r w:rsidR="0079716A" w:rsidRPr="00551161">
        <w:fldChar w:fldCharType="end"/>
      </w:r>
      <w:r>
        <w:t xml:space="preserve">, in Victorian public hospital services </w:t>
      </w:r>
      <w:r w:rsidR="00ED327F" w:rsidRPr="00ED327F">
        <w:t xml:space="preserve">the VEP </w:t>
      </w:r>
      <w:r w:rsidR="00ED327F">
        <w:t xml:space="preserve">is </w:t>
      </w:r>
      <w:r w:rsidR="00ED327F" w:rsidRPr="00ED327F">
        <w:t>the price paid per NWAU by Victoria</w:t>
      </w:r>
      <w:r w:rsidR="00ED327F">
        <w:t>.</w:t>
      </w:r>
    </w:p>
    <w:p w14:paraId="21AC50BB" w14:textId="77777777" w:rsidR="00104CF7" w:rsidRPr="00104CF7" w:rsidRDefault="00104CF7" w:rsidP="00E35AD6">
      <w:pPr>
        <w:pStyle w:val="Heading2"/>
        <w:numPr>
          <w:ilvl w:val="1"/>
          <w:numId w:val="12"/>
        </w:numPr>
        <w:ind w:left="709" w:hanging="709"/>
      </w:pPr>
      <w:bookmarkStart w:id="1743" w:name="_Toc201148256"/>
      <w:r w:rsidRPr="00104CF7">
        <w:lastRenderedPageBreak/>
        <w:t>Adjustments to the national efficient price</w:t>
      </w:r>
      <w:bookmarkEnd w:id="1743"/>
    </w:p>
    <w:p w14:paraId="6AA1E37B" w14:textId="0952DD5E" w:rsidR="00104CF7" w:rsidRDefault="00104CF7" w:rsidP="00104CF7">
      <w:pPr>
        <w:pStyle w:val="Body"/>
      </w:pPr>
      <w:r>
        <w:t xml:space="preserve">The </w:t>
      </w:r>
      <w:r w:rsidR="0062287A">
        <w:t xml:space="preserve">national pricing </w:t>
      </w:r>
      <w:r>
        <w:t>framework articulates various a</w:t>
      </w:r>
      <w:r w:rsidRPr="007F70B3">
        <w:t xml:space="preserve">djustments to the </w:t>
      </w:r>
      <w:r w:rsidR="00245A77">
        <w:t>NEP</w:t>
      </w:r>
      <w:r>
        <w:t xml:space="preserve"> to reflect legitimate and unavoidable cost variations in the delivery of public hospital services.</w:t>
      </w:r>
      <w:r w:rsidR="00FC391F">
        <w:t xml:space="preserve"> </w:t>
      </w:r>
      <w:r w:rsidR="00FC391F" w:rsidRPr="00D453C7">
        <w:t>These adjustments are applied in Victoria.</w:t>
      </w:r>
    </w:p>
    <w:p w14:paraId="5FA0E5CF" w14:textId="4B031339" w:rsidR="00104CF7" w:rsidRDefault="00104CF7" w:rsidP="00104CF7">
      <w:pPr>
        <w:pStyle w:val="Body"/>
      </w:pPr>
      <w:r>
        <w:t>Adjustments include the intensive care unit adjustment, which was introduced to address cost variations associated with treating patients in specified</w:t>
      </w:r>
      <w:r w:rsidR="00F70439">
        <w:t xml:space="preserve"> intensive care units</w:t>
      </w:r>
      <w:r>
        <w:t xml:space="preserve"> </w:t>
      </w:r>
      <w:r w:rsidR="00F70439">
        <w:t>(</w:t>
      </w:r>
      <w:r>
        <w:t>ICUs</w:t>
      </w:r>
      <w:r w:rsidR="00F70439">
        <w:t>)</w:t>
      </w:r>
      <w:r>
        <w:t xml:space="preserve"> compared </w:t>
      </w:r>
      <w:r w:rsidR="00F70439">
        <w:t xml:space="preserve">with </w:t>
      </w:r>
      <w:r>
        <w:t xml:space="preserve">other admitted patients. </w:t>
      </w:r>
    </w:p>
    <w:p w14:paraId="454CD72F" w14:textId="77777777" w:rsidR="00B0507F" w:rsidRDefault="00104CF7" w:rsidP="005B699B">
      <w:pPr>
        <w:pStyle w:val="Body"/>
      </w:pPr>
      <w:r>
        <w:t xml:space="preserve">The framework specifies </w:t>
      </w:r>
      <w:r w:rsidRPr="0099022F">
        <w:t>eligibility criteria for the ICU adjustment</w:t>
      </w:r>
      <w:r>
        <w:t>, and the IHACPA and jurisdictions work together to determine whether a hospital meets the eligibility criteria for inclusion or exclusion from the ICU adjustment.</w:t>
      </w:r>
    </w:p>
    <w:p w14:paraId="126A652F" w14:textId="50B4EBC2" w:rsidR="00104CF7" w:rsidRDefault="0060191A" w:rsidP="005B699B">
      <w:pPr>
        <w:pStyle w:val="Body"/>
      </w:pPr>
      <w:r>
        <w:t xml:space="preserve">Some health </w:t>
      </w:r>
      <w:r w:rsidR="00104CF7">
        <w:t xml:space="preserve">services operate an ICU not on the list of specified ICUs eligible for the ICU adjustment as per Appendix D of the </w:t>
      </w:r>
      <w:hyperlink r:id="rId70" w:history="1">
        <w:r w:rsidR="00104CF7" w:rsidRPr="000234CE">
          <w:rPr>
            <w:rStyle w:val="Hyperlink"/>
          </w:rPr>
          <w:t>National Efficient Price Determination 2025</w:t>
        </w:r>
        <w:r w:rsidR="000234CE" w:rsidRPr="000234CE">
          <w:rPr>
            <w:rStyle w:val="Hyperlink"/>
          </w:rPr>
          <w:t>–</w:t>
        </w:r>
        <w:r w:rsidR="00104CF7" w:rsidRPr="000234CE">
          <w:rPr>
            <w:rStyle w:val="Hyperlink"/>
          </w:rPr>
          <w:t>26</w:t>
        </w:r>
      </w:hyperlink>
      <w:r w:rsidR="00104CF7">
        <w:t xml:space="preserve"> &lt;</w:t>
      </w:r>
      <w:r w:rsidR="00104CF7" w:rsidRPr="00072C05">
        <w:t>https://www.ihacpa.gov.au/resources/national-efficient-price-determination-2025-26</w:t>
      </w:r>
      <w:r>
        <w:t xml:space="preserve">&gt;. Health services </w:t>
      </w:r>
      <w:r w:rsidR="00104CF7">
        <w:t>can contact the department to review potential eligibility if they believe their ICU meets IHACPA’s eligibility criteria.</w:t>
      </w:r>
    </w:p>
    <w:p w14:paraId="7A0F06D4" w14:textId="73846779" w:rsidR="005B699B" w:rsidRPr="003F2312" w:rsidRDefault="005B699B" w:rsidP="00E35AD6">
      <w:pPr>
        <w:pStyle w:val="Heading2"/>
        <w:numPr>
          <w:ilvl w:val="1"/>
          <w:numId w:val="12"/>
        </w:numPr>
        <w:ind w:left="709" w:hanging="709"/>
      </w:pPr>
      <w:bookmarkStart w:id="1744" w:name="_Ref77679727"/>
      <w:bookmarkStart w:id="1745" w:name="_Toc165961832"/>
      <w:bookmarkStart w:id="1746" w:name="_Toc201148257"/>
      <w:r>
        <w:t xml:space="preserve">Payment flows under the </w:t>
      </w:r>
      <w:r w:rsidRPr="0009796D">
        <w:t>national</w:t>
      </w:r>
      <w:r>
        <w:t xml:space="preserve"> funding approach</w:t>
      </w:r>
      <w:bookmarkEnd w:id="1744"/>
      <w:bookmarkEnd w:id="1745"/>
      <w:bookmarkEnd w:id="1746"/>
      <w:r w:rsidR="00F61527">
        <w:t xml:space="preserve"> </w:t>
      </w:r>
    </w:p>
    <w:p w14:paraId="2D85E3A2" w14:textId="1BB400BD" w:rsidR="005B699B" w:rsidRPr="004B3FD8" w:rsidRDefault="005B699B" w:rsidP="005B699B">
      <w:pPr>
        <w:pStyle w:val="Body"/>
      </w:pPr>
      <w:r>
        <w:t xml:space="preserve">Commonwealth </w:t>
      </w:r>
      <w:r w:rsidDel="004F47B5">
        <w:t>activity-based funding</w:t>
      </w:r>
      <w:r w:rsidR="004F47B5">
        <w:t xml:space="preserve"> </w:t>
      </w:r>
      <w:r>
        <w:t xml:space="preserve">flows to health services through Victoria’s State Pool Account managed by the Administrator of the National Health Funding Pool. The Administrator (established as an independent statutory office holder) oversees both the Commonwealth and state and territory funding of the public hospital services </w:t>
      </w:r>
      <w:r w:rsidR="004A7294">
        <w:t xml:space="preserve">within the scope of </w:t>
      </w:r>
      <w:r>
        <w:t>the NHRA</w:t>
      </w:r>
      <w:r w:rsidR="004A7294">
        <w:t>. It</w:t>
      </w:r>
      <w:r w:rsidDel="004A7294">
        <w:t xml:space="preserve"> </w:t>
      </w:r>
      <w:r>
        <w:t>publicly reports on funding provided to each health service and for which services.</w:t>
      </w:r>
    </w:p>
    <w:p w14:paraId="79185399" w14:textId="77777777" w:rsidR="0060191A" w:rsidRDefault="005B699B" w:rsidP="00795F6A">
      <w:pPr>
        <w:pStyle w:val="Body"/>
      </w:pPr>
      <w:r>
        <w:t xml:space="preserve">As system manager, the Victorian Government instructs when payments are to be made out of the pool in accordance with the activity levels agreed between the state and each health service in their Statement of Priorities. </w:t>
      </w:r>
    </w:p>
    <w:p w14:paraId="373BFB69" w14:textId="77882CDA" w:rsidR="005B699B" w:rsidRPr="00860197" w:rsidRDefault="005B699B" w:rsidP="00795F6A">
      <w:pPr>
        <w:pStyle w:val="Body"/>
      </w:pPr>
      <w:r>
        <w:t xml:space="preserve">The Victorian Government will continue to manage National Health Reform block funding for block-funded services and hospitals, including small rural services. Block-funded payments will be paid to health services by the department through the </w:t>
      </w:r>
      <w:hyperlink r:id="rId71" w:history="1">
        <w:r w:rsidRPr="00795F6A">
          <w:rPr>
            <w:rStyle w:val="Hyperlink"/>
          </w:rPr>
          <w:t>State</w:t>
        </w:r>
        <w:r w:rsidR="004A7294" w:rsidRPr="00795F6A">
          <w:rPr>
            <w:rStyle w:val="Hyperlink"/>
          </w:rPr>
          <w:t xml:space="preserve"> </w:t>
        </w:r>
        <w:r w:rsidRPr="00795F6A">
          <w:rPr>
            <w:rStyle w:val="Hyperlink"/>
          </w:rPr>
          <w:t>Managed Fund</w:t>
        </w:r>
      </w:hyperlink>
      <w:r>
        <w:t xml:space="preserve"> </w:t>
      </w:r>
      <w:r w:rsidR="00795F6A">
        <w:t>&lt;</w:t>
      </w:r>
      <w:r w:rsidR="00795F6A" w:rsidRPr="00795F6A">
        <w:t>https://www.publichospitalfunding.gov.au/public-hospital-funding/pay</w:t>
      </w:r>
      <w:r w:rsidR="00795F6A">
        <w:t xml:space="preserve">&gt;. </w:t>
      </w:r>
    </w:p>
    <w:p w14:paraId="1328BAF2" w14:textId="77777777" w:rsidR="005B699B" w:rsidRDefault="005B699B" w:rsidP="00A528F7">
      <w:pPr>
        <w:pStyle w:val="Bodyafterbullets"/>
        <w:spacing w:before="240"/>
      </w:pPr>
      <w:r>
        <w:t xml:space="preserve">For more information, refer to: </w:t>
      </w:r>
    </w:p>
    <w:p w14:paraId="1C989A8D" w14:textId="7853879C" w:rsidR="005B699B" w:rsidRDefault="005B699B" w:rsidP="00AF2B1A">
      <w:pPr>
        <w:pStyle w:val="Bullet1"/>
      </w:pPr>
      <w:hyperlink r:id="rId72">
        <w:r w:rsidRPr="00A528F7">
          <w:rPr>
            <w:rStyle w:val="Hyperlink"/>
          </w:rPr>
          <w:t xml:space="preserve">Pricing framework for Australian </w:t>
        </w:r>
        <w:r w:rsidRPr="00A528F7">
          <w:rPr>
            <w:rStyle w:val="Hyperlink"/>
            <w:rFonts w:eastAsia="Arial" w:cs="Arial"/>
          </w:rPr>
          <w:t>public hospital services</w:t>
        </w:r>
      </w:hyperlink>
      <w:r>
        <w:t xml:space="preserve"> &lt;</w:t>
      </w:r>
      <w:r w:rsidRPr="002F1A19">
        <w:t>https://</w:t>
      </w:r>
      <w:r w:rsidRPr="00EA18DD">
        <w:t>www</w:t>
      </w:r>
      <w:r w:rsidRPr="002F1A19">
        <w:t>.ihacpa.gov.au/health-care/pricing/pricing-framework-australian-public-hospital-services</w:t>
      </w:r>
      <w:r>
        <w:t xml:space="preserve">&gt; </w:t>
      </w:r>
    </w:p>
    <w:p w14:paraId="256DD563" w14:textId="390537A5" w:rsidR="005B699B" w:rsidRDefault="00C47408" w:rsidP="00EA18DD">
      <w:pPr>
        <w:pStyle w:val="Bullet1"/>
      </w:pPr>
      <w:hyperlink r:id="rId73" w:history="1">
        <w:r w:rsidRPr="000431EB">
          <w:rPr>
            <w:rStyle w:val="Hyperlink"/>
          </w:rPr>
          <w:t xml:space="preserve">National </w:t>
        </w:r>
        <w:r w:rsidR="004B7269">
          <w:rPr>
            <w:rStyle w:val="Hyperlink"/>
          </w:rPr>
          <w:t>E</w:t>
        </w:r>
        <w:r w:rsidRPr="000431EB">
          <w:rPr>
            <w:rStyle w:val="Hyperlink"/>
          </w:rPr>
          <w:t xml:space="preserve">fficient </w:t>
        </w:r>
        <w:r w:rsidR="004B7269">
          <w:rPr>
            <w:rStyle w:val="Hyperlink"/>
          </w:rPr>
          <w:t>P</w:t>
        </w:r>
        <w:r w:rsidRPr="000431EB">
          <w:rPr>
            <w:rStyle w:val="Hyperlink"/>
          </w:rPr>
          <w:t xml:space="preserve">rice </w:t>
        </w:r>
        <w:r w:rsidR="004B7269">
          <w:rPr>
            <w:rStyle w:val="Hyperlink"/>
          </w:rPr>
          <w:t>D</w:t>
        </w:r>
        <w:r w:rsidRPr="000431EB">
          <w:rPr>
            <w:rStyle w:val="Hyperlink"/>
          </w:rPr>
          <w:t>etermination</w:t>
        </w:r>
      </w:hyperlink>
      <w:r>
        <w:t xml:space="preserve"> </w:t>
      </w:r>
      <w:r w:rsidR="00A67651" w:rsidRPr="00A528F7">
        <w:fldChar w:fldCharType="begin"/>
      </w:r>
      <w:r w:rsidR="00A67651" w:rsidRPr="00A528F7">
        <w:fldChar w:fldCharType="separate"/>
      </w:r>
      <w:r w:rsidR="00A67651" w:rsidRPr="00A528F7">
        <w:rPr>
          <w:rStyle w:val="Hyperlink"/>
          <w:rFonts w:cs="Arial"/>
        </w:rPr>
        <w:t>NEP determination</w:t>
      </w:r>
      <w:r w:rsidR="00A67651" w:rsidRPr="00A528F7">
        <w:rPr>
          <w:rStyle w:val="Hyperlink"/>
          <w:rFonts w:cs="Arial"/>
        </w:rPr>
        <w:fldChar w:fldCharType="end"/>
      </w:r>
      <w:r w:rsidR="005B699B" w:rsidRPr="00A67651">
        <w:t>&lt;</w:t>
      </w:r>
      <w:r w:rsidR="005B699B" w:rsidRPr="00975297">
        <w:t>https://www.ihacpa.gov.au/health-care/pricing/national-efficient-price-determination</w:t>
      </w:r>
      <w:r w:rsidR="005B699B">
        <w:t>&gt;</w:t>
      </w:r>
    </w:p>
    <w:p w14:paraId="019FF95B" w14:textId="32EC051D" w:rsidR="005B699B" w:rsidRDefault="00265CD2" w:rsidP="00EA18DD">
      <w:pPr>
        <w:pStyle w:val="Bullet1"/>
      </w:pPr>
      <w:hyperlink r:id="rId74">
        <w:r>
          <w:rPr>
            <w:rStyle w:val="Hyperlink"/>
            <w:rFonts w:cs="Arial"/>
          </w:rPr>
          <w:t>N</w:t>
        </w:r>
        <w:r w:rsidR="00824155">
          <w:rPr>
            <w:rStyle w:val="Hyperlink"/>
            <w:rFonts w:cs="Arial"/>
          </w:rPr>
          <w:t xml:space="preserve">ational </w:t>
        </w:r>
        <w:r>
          <w:rPr>
            <w:rStyle w:val="Hyperlink"/>
            <w:rFonts w:cs="Arial"/>
          </w:rPr>
          <w:t>E</w:t>
        </w:r>
        <w:r w:rsidR="00824155">
          <w:rPr>
            <w:rStyle w:val="Hyperlink"/>
            <w:rFonts w:cs="Arial"/>
          </w:rPr>
          <w:t>fficient Cost</w:t>
        </w:r>
        <w:r w:rsidRPr="00A528F7">
          <w:rPr>
            <w:rStyle w:val="Hyperlink"/>
            <w:rFonts w:cs="Arial"/>
          </w:rPr>
          <w:t xml:space="preserve"> </w:t>
        </w:r>
        <w:r>
          <w:rPr>
            <w:rStyle w:val="Hyperlink"/>
            <w:rFonts w:cs="Arial"/>
          </w:rPr>
          <w:t>D</w:t>
        </w:r>
        <w:r w:rsidRPr="00A528F7">
          <w:rPr>
            <w:rStyle w:val="Hyperlink"/>
            <w:rFonts w:cs="Arial"/>
          </w:rPr>
          <w:t>etermination</w:t>
        </w:r>
      </w:hyperlink>
      <w:r w:rsidR="005B699B" w:rsidRPr="00A67651">
        <w:t xml:space="preserve"> &lt;https</w:t>
      </w:r>
      <w:r w:rsidR="005B699B" w:rsidRPr="00B93E05">
        <w:t>://www.ihacpa.gov.au/health-care/pricing/national-efficient-cost-determination</w:t>
      </w:r>
      <w:r w:rsidR="005B699B">
        <w:t>&gt;</w:t>
      </w:r>
    </w:p>
    <w:p w14:paraId="712DC8FC" w14:textId="7390AE00" w:rsidR="00A67651" w:rsidRPr="00EA18DD" w:rsidRDefault="005B699B" w:rsidP="00EA18DD">
      <w:pPr>
        <w:pStyle w:val="Bullet1"/>
      </w:pPr>
      <w:hyperlink r:id="rId75" w:history="1">
        <w:r w:rsidRPr="00EA18DD">
          <w:rPr>
            <w:rStyle w:val="Hyperlink"/>
          </w:rPr>
          <w:t>National pricing model technical specifications</w:t>
        </w:r>
        <w:r w:rsidRPr="00EA18DD">
          <w:rPr>
            <w:rStyle w:val="Hyperlink"/>
            <w:color w:val="auto"/>
            <w:u w:val="none"/>
          </w:rPr>
          <w:t xml:space="preserve"> </w:t>
        </w:r>
      </w:hyperlink>
      <w:r w:rsidRPr="00EA18DD">
        <w:t>&lt;https://www.ihacpa.gov.au/health-care/pricing/national-pricing-model-technical-specifications&gt;.</w:t>
      </w:r>
    </w:p>
    <w:p w14:paraId="1DF095B0" w14:textId="77777777" w:rsidR="00A67651" w:rsidRDefault="00A67651" w:rsidP="00E8437D">
      <w:pPr>
        <w:pStyle w:val="Bullet1"/>
      </w:pPr>
      <w:r>
        <w:br w:type="page"/>
      </w:r>
    </w:p>
    <w:p w14:paraId="04845CD8" w14:textId="4AE4A259" w:rsidR="005B699B" w:rsidRDefault="005B699B" w:rsidP="00B718DB">
      <w:pPr>
        <w:pStyle w:val="Heading1"/>
        <w:numPr>
          <w:ilvl w:val="0"/>
          <w:numId w:val="12"/>
        </w:numPr>
        <w:ind w:left="851" w:hanging="851"/>
      </w:pPr>
      <w:bookmarkStart w:id="1747" w:name="_Toc167651270"/>
      <w:bookmarkStart w:id="1748" w:name="_Ref142493085"/>
      <w:bookmarkStart w:id="1749" w:name="_Ref142493761"/>
      <w:bookmarkStart w:id="1750" w:name="_Ref143004120"/>
      <w:bookmarkStart w:id="1751" w:name="_Toc165961833"/>
      <w:bookmarkStart w:id="1752" w:name="_Toc201148258"/>
      <w:bookmarkEnd w:id="1747"/>
      <w:r>
        <w:lastRenderedPageBreak/>
        <w:t>Prior-year adjustment: activity-based funding reconciliation</w:t>
      </w:r>
      <w:bookmarkEnd w:id="1748"/>
      <w:bookmarkEnd w:id="1749"/>
      <w:bookmarkEnd w:id="1750"/>
      <w:bookmarkEnd w:id="1751"/>
      <w:bookmarkEnd w:id="1752"/>
    </w:p>
    <w:p w14:paraId="64EA7BB2" w14:textId="564C3830" w:rsidR="005B699B" w:rsidRDefault="005B699B" w:rsidP="005B699B">
      <w:pPr>
        <w:pStyle w:val="Body"/>
      </w:pPr>
      <w:bookmarkStart w:id="1753" w:name="_Toc418694970"/>
      <w:bookmarkStart w:id="1754" w:name="_Ref419741339"/>
      <w:bookmarkStart w:id="1755" w:name="_Ref419741349"/>
      <w:r w:rsidRPr="000244B9">
        <w:t xml:space="preserve">The department allocates funding according to expected </w:t>
      </w:r>
      <w:r>
        <w:t>deliverables</w:t>
      </w:r>
      <w:r w:rsidRPr="000244B9">
        <w:t>. In general, funded organisations are cash</w:t>
      </w:r>
      <w:r>
        <w:t>-</w:t>
      </w:r>
      <w:r w:rsidRPr="000244B9">
        <w:t>flowed during the financial year according to their funding allocations. Where required, adjustments to this funding for over- and underactivity are made in the following</w:t>
      </w:r>
      <w:r>
        <w:t xml:space="preserve"> </w:t>
      </w:r>
      <w:r w:rsidRPr="000244B9">
        <w:t>financial year according to the policies set out in this section.</w:t>
      </w:r>
    </w:p>
    <w:p w14:paraId="12984278" w14:textId="3BAEB791" w:rsidR="005B699B" w:rsidRPr="0007156B" w:rsidRDefault="005B699B" w:rsidP="0084378F">
      <w:pPr>
        <w:pStyle w:val="Heading2"/>
        <w:numPr>
          <w:ilvl w:val="1"/>
          <w:numId w:val="12"/>
        </w:numPr>
        <w:ind w:left="851" w:hanging="851"/>
      </w:pPr>
      <w:bookmarkStart w:id="1756" w:name="_Toc110950017"/>
      <w:bookmarkStart w:id="1757" w:name="_Toc100263330"/>
      <w:bookmarkStart w:id="1758" w:name="_Ref111538488"/>
      <w:bookmarkStart w:id="1759" w:name="_Ref111538507"/>
      <w:bookmarkStart w:id="1760" w:name="_Toc165961834"/>
      <w:bookmarkStart w:id="1761" w:name="_Toc201148259"/>
      <w:bookmarkEnd w:id="1753"/>
      <w:bookmarkEnd w:id="1754"/>
      <w:bookmarkEnd w:id="1755"/>
      <w:bookmarkEnd w:id="1756"/>
      <w:r w:rsidRPr="0007156B">
        <w:t>Victorian funding recall policy</w:t>
      </w:r>
      <w:bookmarkEnd w:id="1757"/>
      <w:bookmarkEnd w:id="1758"/>
      <w:bookmarkEnd w:id="1759"/>
      <w:bookmarkEnd w:id="1760"/>
      <w:bookmarkEnd w:id="1761"/>
      <w:r w:rsidR="005065E9">
        <w:t xml:space="preserve"> </w:t>
      </w:r>
    </w:p>
    <w:p w14:paraId="763AB129" w14:textId="10E68A5A" w:rsidR="005B699B" w:rsidRDefault="005B699B" w:rsidP="005B699B">
      <w:pPr>
        <w:pStyle w:val="Body"/>
      </w:pPr>
      <w:r>
        <w:t xml:space="preserve">Funding recall will be triggered when activity is below target levels. Recall rates are set out in </w:t>
      </w:r>
      <w:r w:rsidR="00891A8D">
        <w:fldChar w:fldCharType="begin"/>
      </w:r>
      <w:r w:rsidR="00891A8D">
        <w:instrText xml:space="preserve"> REF _Ref199409343 \h </w:instrText>
      </w:r>
      <w:r w:rsidR="00891A8D">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891A8D">
        <w:fldChar w:fldCharType="end"/>
      </w:r>
      <w:r w:rsidR="00891A8D">
        <w:t>.</w:t>
      </w:r>
    </w:p>
    <w:p w14:paraId="44AB5B3E" w14:textId="5A615211" w:rsidR="005B699B" w:rsidRPr="007229CD" w:rsidRDefault="005B699B" w:rsidP="005B699B">
      <w:pPr>
        <w:pStyle w:val="Body"/>
      </w:pPr>
      <w:r>
        <w:t xml:space="preserve">Recalling funds depends on accurate and timely data submission. Funded organisations should </w:t>
      </w:r>
      <w:r w:rsidRPr="007229CD">
        <w:t xml:space="preserve">ensure they adhere to the data requirements specified in these guidelines. Significant </w:t>
      </w:r>
      <w:r w:rsidR="001D2A96">
        <w:t>over</w:t>
      </w:r>
      <w:r w:rsidRPr="007229CD">
        <w:t xml:space="preserve">- or </w:t>
      </w:r>
      <w:r w:rsidR="001D2A96">
        <w:t>under</w:t>
      </w:r>
      <w:r w:rsidR="001D2A96" w:rsidRPr="007229CD">
        <w:t xml:space="preserve">activity </w:t>
      </w:r>
      <w:r w:rsidRPr="007229CD">
        <w:t xml:space="preserve">should be discussed with the department </w:t>
      </w:r>
      <w:r w:rsidR="00D96A4B">
        <w:t>before the end of the year</w:t>
      </w:r>
      <w:r w:rsidRPr="007229CD">
        <w:t>.</w:t>
      </w:r>
    </w:p>
    <w:p w14:paraId="7CD84232" w14:textId="79527D5E" w:rsidR="005B699B" w:rsidRPr="007229CD" w:rsidRDefault="005B699B" w:rsidP="005B699B">
      <w:pPr>
        <w:pStyle w:val="Body"/>
      </w:pPr>
      <w:r w:rsidRPr="006C7F5F" w:rsidDel="00BD3D1D">
        <w:t xml:space="preserve">In </w:t>
      </w:r>
      <w:r w:rsidR="00A67651" w:rsidRPr="006C7F5F">
        <w:t>202</w:t>
      </w:r>
      <w:r w:rsidR="00253DE5">
        <w:t>5</w:t>
      </w:r>
      <w:r w:rsidRPr="006C7F5F">
        <w:t>–</w:t>
      </w:r>
      <w:r w:rsidR="00A67651" w:rsidRPr="006C7F5F">
        <w:t>2</w:t>
      </w:r>
      <w:r w:rsidR="00253DE5">
        <w:t>6</w:t>
      </w:r>
      <w:r w:rsidRPr="007229CD">
        <w:t>,</w:t>
      </w:r>
      <w:r w:rsidRPr="007229CD">
        <w:rPr>
          <w:lang w:val="en-US"/>
        </w:rPr>
        <w:t xml:space="preserve"> </w:t>
      </w:r>
      <w:r w:rsidRPr="007229CD">
        <w:t>based on the rates detailed</w:t>
      </w:r>
      <w:r>
        <w:t xml:space="preserve"> in </w:t>
      </w:r>
      <w:r w:rsidR="00891A8D">
        <w:fldChar w:fldCharType="begin"/>
      </w:r>
      <w:r w:rsidR="00891A8D">
        <w:instrText xml:space="preserve"> REF _Ref199409374 \h </w:instrText>
      </w:r>
      <w:r w:rsidR="00891A8D">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891A8D">
        <w:fldChar w:fldCharType="end"/>
      </w:r>
      <w:r w:rsidR="002F20F1">
        <w:t>,</w:t>
      </w:r>
      <w:r w:rsidR="00D24017">
        <w:t xml:space="preserve"> </w:t>
      </w:r>
      <w:r w:rsidRPr="007229CD">
        <w:t>the marginal</w:t>
      </w:r>
      <w:r w:rsidRPr="007229CD" w:rsidDel="00684BC3">
        <w:t xml:space="preserve"> </w:t>
      </w:r>
      <w:r w:rsidRPr="007229CD">
        <w:t>NWAU policy aims to maintain minimal levels of funding for underactivity</w:t>
      </w:r>
      <w:r w:rsidR="001D2A96">
        <w:t>.</w:t>
      </w:r>
      <w:r w:rsidRPr="007229CD">
        <w:t xml:space="preserve"> </w:t>
      </w:r>
      <w:r w:rsidR="001D2A96">
        <w:t>This</w:t>
      </w:r>
      <w:r w:rsidR="001D2A96" w:rsidRPr="007229CD">
        <w:t xml:space="preserve"> </w:t>
      </w:r>
      <w:r w:rsidR="001D2A96">
        <w:t>recognises</w:t>
      </w:r>
      <w:r w:rsidRPr="007229CD">
        <w:t xml:space="preserve"> fixed costs and variable demand</w:t>
      </w:r>
      <w:r w:rsidR="001D2A96">
        <w:t xml:space="preserve">, and it </w:t>
      </w:r>
      <w:r w:rsidR="00D96A4B">
        <w:t xml:space="preserve">also </w:t>
      </w:r>
      <w:r w:rsidRPr="007229CD">
        <w:t>incentivise</w:t>
      </w:r>
      <w:r w:rsidR="001D2A96">
        <w:t>s</w:t>
      </w:r>
      <w:r w:rsidRPr="007229CD">
        <w:t xml:space="preserve"> efficient service delivery above target where </w:t>
      </w:r>
      <w:r w:rsidR="00D96A4B">
        <w:t>this is</w:t>
      </w:r>
      <w:r w:rsidRPr="007229CD">
        <w:t xml:space="preserve"> cost-effective and up to a capped amount.</w:t>
      </w:r>
    </w:p>
    <w:p w14:paraId="0F706EDB" w14:textId="14C9176E" w:rsidR="005B699B" w:rsidRPr="007229CD" w:rsidRDefault="005B699B" w:rsidP="005B699B">
      <w:pPr>
        <w:pStyle w:val="Body"/>
      </w:pPr>
      <w:r w:rsidRPr="007229CD">
        <w:t xml:space="preserve">Department of Veterans’ Affairs and </w:t>
      </w:r>
      <w:r w:rsidR="00C37171">
        <w:t>TAC</w:t>
      </w:r>
      <w:r w:rsidRPr="007229CD">
        <w:t xml:space="preserve"> activity will continue to be funded </w:t>
      </w:r>
      <w:r w:rsidR="00D96A4B">
        <w:t>for</w:t>
      </w:r>
      <w:r w:rsidR="00D96A4B" w:rsidRPr="007229CD">
        <w:t xml:space="preserve"> </w:t>
      </w:r>
      <w:r w:rsidRPr="007229CD">
        <w:t xml:space="preserve">actual activity that is approved by the Department of Veterans’ Affairs and the </w:t>
      </w:r>
      <w:r w:rsidR="00C37171">
        <w:t>TAC</w:t>
      </w:r>
      <w:r w:rsidRPr="007229CD">
        <w:t xml:space="preserve"> respectively. Health services are expected to update the VAED for any rejected or denied episodes of care prior to reconciliation. Any denied or rejected records that are not amended will not be paid as either public or Department of Veterans’ Affairs when the </w:t>
      </w:r>
      <w:r w:rsidRPr="006C7F5F">
        <w:t>202</w:t>
      </w:r>
      <w:r w:rsidR="00EA6FBB">
        <w:t>5</w:t>
      </w:r>
      <w:r w:rsidRPr="006C7F5F">
        <w:rPr>
          <w:szCs w:val="21"/>
        </w:rPr>
        <w:t>–</w:t>
      </w:r>
      <w:r w:rsidRPr="006C7F5F">
        <w:t>2</w:t>
      </w:r>
      <w:r w:rsidR="00EA6FBB">
        <w:t>6</w:t>
      </w:r>
      <w:r w:rsidRPr="007229CD">
        <w:rPr>
          <w:lang w:val="en-US"/>
        </w:rPr>
        <w:t xml:space="preserve"> </w:t>
      </w:r>
      <w:r w:rsidRPr="007229CD">
        <w:t>prior-year adjustment is calculated.</w:t>
      </w:r>
    </w:p>
    <w:p w14:paraId="6759703E" w14:textId="7F222E91" w:rsidR="005B699B" w:rsidRDefault="005B699B" w:rsidP="005B699B">
      <w:pPr>
        <w:pStyle w:val="Body"/>
      </w:pPr>
      <w:r>
        <w:t xml:space="preserve">Recall rates are based on a proportion of the price, rather than a specified dollar value. This enables rates to be applied consistently </w:t>
      </w:r>
      <w:r w:rsidR="00D96A4B">
        <w:t xml:space="preserve">between </w:t>
      </w:r>
      <w:r>
        <w:t>services and</w:t>
      </w:r>
      <w:r w:rsidR="00D96A4B">
        <w:t xml:space="preserve"> to</w:t>
      </w:r>
      <w:r>
        <w:t xml:space="preserve"> reflect price adjustments.</w:t>
      </w:r>
    </w:p>
    <w:p w14:paraId="6D33EC90" w14:textId="457B86E3" w:rsidR="005B699B" w:rsidRDefault="005B699B" w:rsidP="005B699B">
      <w:pPr>
        <w:pStyle w:val="Body"/>
      </w:pPr>
      <w:r>
        <w:t xml:space="preserve">Small rural health services are exempt from the recall policy for acute, subacute, primary health and home and community care. Recall applies to Department of Veterans’ Affairs, </w:t>
      </w:r>
      <w:r w:rsidR="00DE739E">
        <w:t>TAC</w:t>
      </w:r>
      <w:r>
        <w:t>, Aged Care Assessment (Aged Care Assessment Service and Regional Assessment Service), and residential aged care services for small rural health services in the same way as other services.</w:t>
      </w:r>
    </w:p>
    <w:p w14:paraId="7C073BAE" w14:textId="31D68BD4" w:rsidR="005B699B" w:rsidRPr="003B41AA" w:rsidRDefault="005B699B" w:rsidP="005B699B">
      <w:pPr>
        <w:pStyle w:val="Body"/>
      </w:pPr>
      <w:r>
        <w:t xml:space="preserve">A recall policy also applies to programs funded under the Ageing, Aged and Home Care Services output. This includes </w:t>
      </w:r>
      <w:r w:rsidRPr="008F3AB4">
        <w:t>Home and Community Care Program for Younger People</w:t>
      </w:r>
      <w:r>
        <w:t>, and Aged Care and Aged Care Assessment (Aged Care Assessment Service and Regional Assessment Service)</w:t>
      </w:r>
      <w:r w:rsidR="001D2A96">
        <w:t xml:space="preserve">, </w:t>
      </w:r>
      <w:r>
        <w:t xml:space="preserve">as outlined in </w:t>
      </w:r>
      <w:r w:rsidR="00EA11B5">
        <w:fldChar w:fldCharType="begin"/>
      </w:r>
      <w:r w:rsidR="00EA11B5">
        <w:instrText xml:space="preserve"> REF _Ref199409398 \h </w:instrText>
      </w:r>
      <w:r w:rsidR="00EA11B5">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EA11B5">
        <w:fldChar w:fldCharType="end"/>
      </w:r>
      <w:r w:rsidR="00F30C16">
        <w:t>.</w:t>
      </w:r>
    </w:p>
    <w:p w14:paraId="65079478" w14:textId="05BA61CA" w:rsidR="005B699B" w:rsidRDefault="005B699B" w:rsidP="005B699B">
      <w:pPr>
        <w:pStyle w:val="Body"/>
      </w:pPr>
      <w:r>
        <w:t>NFCs activity will continue to be funded to actual activity. The</w:t>
      </w:r>
      <w:r w:rsidDel="00684BC3">
        <w:t xml:space="preserve"> </w:t>
      </w:r>
      <w:r>
        <w:t xml:space="preserve">NWAU associated with the NFCs, including procedures undertaken up to </w:t>
      </w:r>
      <w:r w:rsidR="007D775F">
        <w:t>3</w:t>
      </w:r>
      <w:r>
        <w:t xml:space="preserve"> months post discharge, will not be recognised as public</w:t>
      </w:r>
      <w:r w:rsidR="00D96A4B">
        <w:t>–</w:t>
      </w:r>
      <w:r>
        <w:t>private NWAU for the purposes of calculated funding recall for acute admitted services.</w:t>
      </w:r>
    </w:p>
    <w:p w14:paraId="6ED7BEAB" w14:textId="64065544" w:rsidR="005B699B" w:rsidRPr="00E7554A" w:rsidRDefault="005B699B" w:rsidP="005B699B">
      <w:pPr>
        <w:pStyle w:val="Body"/>
      </w:pPr>
      <w:r>
        <w:t xml:space="preserve">An overview of the calculation process for recall can be found in section </w:t>
      </w:r>
      <w:r>
        <w:fldChar w:fldCharType="begin"/>
      </w:r>
      <w:r>
        <w:instrText xml:space="preserve"> REF _Ref111538889 \r \h </w:instrText>
      </w:r>
      <w:r>
        <w:fldChar w:fldCharType="separate"/>
      </w:r>
      <w:r w:rsidR="007D262B">
        <w:t>10</w:t>
      </w:r>
      <w:r>
        <w:fldChar w:fldCharType="end"/>
      </w:r>
      <w:r>
        <w:t xml:space="preserve"> </w:t>
      </w:r>
      <w:r>
        <w:fldChar w:fldCharType="begin"/>
      </w:r>
      <w:r>
        <w:instrText xml:space="preserve"> REF _Ref111538889 \h </w:instrText>
      </w:r>
      <w:r>
        <w:fldChar w:fldCharType="separate"/>
      </w:r>
      <w:r w:rsidR="007D262B">
        <w:t>Calculating funding recall</w:t>
      </w:r>
      <w:r>
        <w:fldChar w:fldCharType="end"/>
      </w:r>
      <w:r>
        <w:t xml:space="preserve">. </w:t>
      </w:r>
    </w:p>
    <w:p w14:paraId="1CAB7495" w14:textId="00064DC6" w:rsidR="0002554E" w:rsidRDefault="0002554E" w:rsidP="004C7D25">
      <w:pPr>
        <w:pStyle w:val="Tablecaption"/>
      </w:pPr>
      <w:bookmarkStart w:id="1762" w:name="_Ref170115643"/>
      <w:bookmarkStart w:id="1763" w:name="_Ref170115693"/>
      <w:bookmarkStart w:id="1764" w:name="_Ref170115711"/>
      <w:bookmarkStart w:id="1765" w:name="_Ref170115731"/>
      <w:bookmarkStart w:id="1766" w:name="_Ref199409343"/>
      <w:bookmarkStart w:id="1767" w:name="_Ref199409374"/>
      <w:bookmarkStart w:id="1768" w:name="_Ref199409398"/>
      <w:bookmarkStart w:id="1769" w:name="_Toc201148565"/>
      <w:r>
        <w:lastRenderedPageBreak/>
        <w:t xml:space="preserve">Table </w:t>
      </w:r>
      <w:r w:rsidR="006E3CDF">
        <w:fldChar w:fldCharType="begin"/>
      </w:r>
      <w:r w:rsidR="006E3CDF">
        <w:instrText xml:space="preserve"> </w:instrText>
      </w:r>
      <w:r w:rsidR="00972799">
        <w:instrText>REF Part \* MERGEFORMAT</w:instrText>
      </w:r>
      <w:r w:rsidR="006E3CDF">
        <w:instrText xml:space="preserve"> </w:instrText>
      </w:r>
      <w:r w:rsidR="006E3CDF">
        <w:fldChar w:fldCharType="separate"/>
      </w:r>
      <w:r w:rsidR="007D262B">
        <w:rPr>
          <w:noProof/>
        </w:rPr>
        <w:t>1</w:t>
      </w:r>
      <w:r w:rsidR="006E3CDF">
        <w:fldChar w:fldCharType="end"/>
      </w:r>
      <w:r>
        <w:t>.</w:t>
      </w:r>
      <w:r>
        <w:fldChar w:fldCharType="begin"/>
      </w:r>
      <w:r>
        <w:instrText>SEQ Table \* ARABIC</w:instrText>
      </w:r>
      <w:r>
        <w:fldChar w:fldCharType="separate"/>
      </w:r>
      <w:r w:rsidR="007D262B">
        <w:rPr>
          <w:noProof/>
        </w:rPr>
        <w:t>3</w:t>
      </w:r>
      <w:r>
        <w:fldChar w:fldCharType="end"/>
      </w:r>
      <w:r>
        <w:t xml:space="preserve">: </w:t>
      </w:r>
      <w:r w:rsidRPr="00E36558">
        <w:t>Victorian funding recall rates 202</w:t>
      </w:r>
      <w:r w:rsidR="00CC3C98">
        <w:t>5</w:t>
      </w:r>
      <w:r w:rsidRPr="00E36558">
        <w:t>–2</w:t>
      </w:r>
      <w:bookmarkEnd w:id="1762"/>
      <w:bookmarkEnd w:id="1763"/>
      <w:bookmarkEnd w:id="1764"/>
      <w:bookmarkEnd w:id="1765"/>
      <w:r w:rsidR="00CC3C98">
        <w:t>6</w:t>
      </w:r>
      <w:bookmarkEnd w:id="1766"/>
      <w:bookmarkEnd w:id="1767"/>
      <w:bookmarkEnd w:id="1768"/>
      <w:bookmarkEnd w:id="1769"/>
      <w:r w:rsidR="007751E8">
        <w:t xml:space="preserve"> </w:t>
      </w:r>
    </w:p>
    <w:tbl>
      <w:tblPr>
        <w:tblStyle w:val="GridTable4-Accent1"/>
        <w:tblW w:w="9615" w:type="dxa"/>
        <w:tblLook w:val="04A0" w:firstRow="1" w:lastRow="0" w:firstColumn="1" w:lastColumn="0" w:noHBand="0" w:noVBand="1"/>
      </w:tblPr>
      <w:tblGrid>
        <w:gridCol w:w="4390"/>
        <w:gridCol w:w="5225"/>
      </w:tblGrid>
      <w:tr w:rsidR="00E8761B" w:rsidRPr="00CC47B2" w14:paraId="4B2E5AAA" w14:textId="77777777" w:rsidTr="000B12B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390" w:type="dxa"/>
          </w:tcPr>
          <w:p w14:paraId="279E3FC9" w14:textId="77777777" w:rsidR="00E8761B" w:rsidRPr="00560381" w:rsidRDefault="00E8761B" w:rsidP="00C46F8B">
            <w:pPr>
              <w:pStyle w:val="Tablecolhead"/>
              <w:keepNext/>
              <w:keepLines/>
              <w:rPr>
                <w:color w:val="FFFFFF" w:themeColor="background1"/>
              </w:rPr>
            </w:pPr>
            <w:r w:rsidRPr="00560381">
              <w:rPr>
                <w:color w:val="FFFFFF" w:themeColor="background1"/>
              </w:rPr>
              <w:t>Service</w:t>
            </w:r>
          </w:p>
        </w:tc>
        <w:tc>
          <w:tcPr>
            <w:tcW w:w="5225" w:type="dxa"/>
          </w:tcPr>
          <w:p w14:paraId="7D01DAA8" w14:textId="77777777" w:rsidR="00E8761B" w:rsidRPr="00560381" w:rsidRDefault="00E8761B" w:rsidP="00C46F8B">
            <w:pPr>
              <w:pStyle w:val="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560381">
              <w:rPr>
                <w:color w:val="FFFFFF" w:themeColor="background1"/>
              </w:rPr>
              <w:t>Funding recall policy</w:t>
            </w:r>
          </w:p>
        </w:tc>
      </w:tr>
      <w:tr w:rsidR="00E8761B" w:rsidRPr="005D4304" w14:paraId="37C1D17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4C58FA82" w14:textId="2F268E49" w:rsidR="00E8761B" w:rsidRPr="00AC68A2" w:rsidRDefault="00E8761B" w:rsidP="00C46F8B">
            <w:pPr>
              <w:pStyle w:val="Tabletext9pt"/>
              <w:keepNext/>
              <w:keepLines/>
              <w:rPr>
                <w:b w:val="0"/>
                <w:bCs/>
              </w:rPr>
            </w:pPr>
            <w:r w:rsidRPr="00AC68A2">
              <w:rPr>
                <w:b w:val="0"/>
                <w:bCs/>
              </w:rPr>
              <w:t>Acute admitted services (including mental health)</w:t>
            </w:r>
            <w:r w:rsidR="008D18FE" w:rsidRPr="00AC68A2">
              <w:rPr>
                <w:b w:val="0"/>
                <w:bCs/>
              </w:rPr>
              <w:t xml:space="preserve"> except planned surgery activity</w:t>
            </w:r>
            <w:r w:rsidR="002A557C" w:rsidRPr="00AC68A2">
              <w:rPr>
                <w:b w:val="0"/>
                <w:bCs/>
              </w:rPr>
              <w:t xml:space="preserve"> (refer to ‘Planned surgery activity (admissions targets in </w:t>
            </w:r>
            <w:r w:rsidR="00C46F8B" w:rsidRPr="00AC68A2">
              <w:rPr>
                <w:b w:val="0"/>
                <w:bCs/>
              </w:rPr>
              <w:t>Statement of Priorities (SOP)</w:t>
            </w:r>
            <w:r w:rsidR="002A557C" w:rsidRPr="00AC68A2">
              <w:rPr>
                <w:b w:val="0"/>
                <w:bCs/>
              </w:rPr>
              <w:t xml:space="preserve"> row)</w:t>
            </w:r>
          </w:p>
          <w:p w14:paraId="0C8F2366" w14:textId="77777777" w:rsidR="00E8761B" w:rsidRPr="00AC68A2" w:rsidRDefault="00E8761B" w:rsidP="00C46F8B">
            <w:pPr>
              <w:pStyle w:val="Tabletext9pt"/>
              <w:keepNext/>
              <w:keepLines/>
              <w:rPr>
                <w:b w:val="0"/>
                <w:bCs/>
              </w:rPr>
            </w:pPr>
            <w:r w:rsidRPr="00AC68A2">
              <w:rPr>
                <w:b w:val="0"/>
                <w:bCs/>
              </w:rPr>
              <w:t>Subacute admitted services (wrap includes GEM, rehabilitation and palliative care)</w:t>
            </w:r>
          </w:p>
          <w:p w14:paraId="6A4DAF2F" w14:textId="23668965" w:rsidR="00E8761B" w:rsidRPr="00AC68A2" w:rsidRDefault="00E8761B" w:rsidP="00C46F8B">
            <w:pPr>
              <w:pStyle w:val="Tabletext9pt"/>
              <w:keepNext/>
              <w:keepLines/>
              <w:rPr>
                <w:b w:val="0"/>
                <w:bCs/>
              </w:rPr>
            </w:pPr>
            <w:r w:rsidRPr="00AC68A2">
              <w:rPr>
                <w:b w:val="0"/>
                <w:bCs/>
              </w:rPr>
              <w:t xml:space="preserve">Non-admitted services (includes </w:t>
            </w:r>
            <w:r w:rsidR="002E0808" w:rsidRPr="00AC68A2">
              <w:rPr>
                <w:b w:val="0"/>
                <w:bCs/>
              </w:rPr>
              <w:t xml:space="preserve">mental health, </w:t>
            </w:r>
            <w:r w:rsidRPr="00AC68A2">
              <w:rPr>
                <w:b w:val="0"/>
                <w:bCs/>
              </w:rPr>
              <w:t xml:space="preserve">HIP, genomics and specialist clinics) </w:t>
            </w:r>
          </w:p>
          <w:p w14:paraId="41468194" w14:textId="77777777" w:rsidR="00E8761B" w:rsidRPr="00AC68A2" w:rsidRDefault="00E8761B" w:rsidP="00C46F8B">
            <w:pPr>
              <w:pStyle w:val="Tabletext9pt"/>
              <w:keepNext/>
              <w:keepLines/>
              <w:rPr>
                <w:b w:val="0"/>
                <w:bCs/>
              </w:rPr>
            </w:pPr>
            <w:r w:rsidRPr="00AC68A2">
              <w:rPr>
                <w:b w:val="0"/>
                <w:bCs/>
              </w:rPr>
              <w:t>Emergency non-admitted</w:t>
            </w:r>
          </w:p>
        </w:tc>
        <w:tc>
          <w:tcPr>
            <w:tcW w:w="5225" w:type="dxa"/>
          </w:tcPr>
          <w:p w14:paraId="235FF6DC" w14:textId="77777777" w:rsidR="00E8761B" w:rsidRDefault="00E8761B" w:rsidP="00C46F8B">
            <w:pPr>
              <w:pStyle w:val="Tabletext9pt"/>
              <w:keepNext/>
              <w:keepLines/>
              <w:cnfStyle w:val="000000100000" w:firstRow="0" w:lastRow="0" w:firstColumn="0" w:lastColumn="0" w:oddVBand="0" w:evenVBand="0" w:oddHBand="1" w:evenHBand="0" w:firstRowFirstColumn="0" w:firstRowLastColumn="0" w:lastRowFirstColumn="0" w:lastRowLastColumn="0"/>
            </w:pPr>
            <w:r w:rsidRPr="005A7F8D">
              <w:t>Activity delivered below 99% of NWAU target is recalled at a rate of 100% of VEP</w:t>
            </w:r>
            <w:r w:rsidR="003639CA" w:rsidRPr="005A7F8D">
              <w:t xml:space="preserve">. </w:t>
            </w:r>
          </w:p>
          <w:p w14:paraId="73532847" w14:textId="03A73737" w:rsidR="006A238D" w:rsidRPr="005A7F8D" w:rsidRDefault="006A238D" w:rsidP="00C46F8B">
            <w:pPr>
              <w:pStyle w:val="Tabletext9pt"/>
              <w:keepNext/>
              <w:keepLines/>
              <w:cnfStyle w:val="000000100000" w:firstRow="0" w:lastRow="0" w:firstColumn="0" w:lastColumn="0" w:oddVBand="0" w:evenVBand="0" w:oddHBand="1" w:evenHBand="0" w:firstRowFirstColumn="0" w:firstRowLastColumn="0" w:lastRowFirstColumn="0" w:lastRowLastColumn="0"/>
            </w:pPr>
            <w:r>
              <w:t>Activity</w:t>
            </w:r>
            <w:r w:rsidR="00F704CC">
              <w:t xml:space="preserve"> delivered</w:t>
            </w:r>
            <w:r>
              <w:t xml:space="preserve"> between 99% and 100%</w:t>
            </w:r>
            <w:r w:rsidR="005A1D8C">
              <w:t xml:space="preserve"> </w:t>
            </w:r>
            <w:r w:rsidR="00F704CC">
              <w:t xml:space="preserve">of NWAU target is recalled at a rate of 50% of </w:t>
            </w:r>
            <w:r w:rsidR="008B0B35">
              <w:t>the</w:t>
            </w:r>
            <w:r w:rsidR="00F704CC">
              <w:t xml:space="preserve"> VEP. </w:t>
            </w:r>
          </w:p>
          <w:p w14:paraId="48E5ECFF" w14:textId="4714E47B" w:rsidR="00E8761B" w:rsidRPr="005A7F8D" w:rsidRDefault="00E8761B" w:rsidP="00C46F8B">
            <w:pPr>
              <w:pStyle w:val="Tabletext9pt"/>
              <w:keepNext/>
              <w:keepLines/>
              <w:cnfStyle w:val="000000100000" w:firstRow="0" w:lastRow="0" w:firstColumn="0" w:lastColumn="0" w:oddVBand="0" w:evenVBand="0" w:oddHBand="1" w:evenHBand="0" w:firstRowFirstColumn="0" w:firstRowLastColumn="0" w:lastRowFirstColumn="0" w:lastRowLastColumn="0"/>
            </w:pPr>
          </w:p>
        </w:tc>
      </w:tr>
      <w:tr w:rsidR="008D18FE" w:rsidRPr="005D4304" w14:paraId="4AF82DAF"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3C5C574" w14:textId="02871947" w:rsidR="008D18FE" w:rsidRPr="00AC68A2" w:rsidRDefault="002A557C" w:rsidP="009E4D2B">
            <w:pPr>
              <w:pStyle w:val="Tablebullet9pt"/>
              <w:numPr>
                <w:ilvl w:val="0"/>
                <w:numId w:val="0"/>
              </w:numPr>
              <w:ind w:left="227" w:hanging="227"/>
              <w:rPr>
                <w:b w:val="0"/>
                <w:bCs/>
              </w:rPr>
            </w:pPr>
            <w:r w:rsidRPr="00AC68A2">
              <w:rPr>
                <w:b w:val="0"/>
                <w:bCs/>
              </w:rPr>
              <w:t>P</w:t>
            </w:r>
            <w:r w:rsidR="0055380A" w:rsidRPr="00AC68A2">
              <w:rPr>
                <w:b w:val="0"/>
                <w:bCs/>
              </w:rPr>
              <w:t xml:space="preserve">lanned surgery activity (admissions targets in </w:t>
            </w:r>
            <w:r w:rsidR="00C46F8B" w:rsidRPr="00AC68A2">
              <w:rPr>
                <w:b w:val="0"/>
                <w:bCs/>
              </w:rPr>
              <w:t>SOP</w:t>
            </w:r>
            <w:r w:rsidR="0055380A" w:rsidRPr="00AC68A2">
              <w:rPr>
                <w:b w:val="0"/>
                <w:bCs/>
              </w:rPr>
              <w:t>)</w:t>
            </w:r>
          </w:p>
        </w:tc>
        <w:tc>
          <w:tcPr>
            <w:tcW w:w="5225" w:type="dxa"/>
          </w:tcPr>
          <w:p w14:paraId="01BECE1C" w14:textId="1BFDB992"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In-year recall may be applied to health services that </w:t>
            </w:r>
            <w:r w:rsidR="00591926">
              <w:t xml:space="preserve">are forecast to </w:t>
            </w:r>
            <w:r w:rsidRPr="005A7F8D">
              <w:t>not achieve their end of financial year admissions target (as set out in the SOP</w:t>
            </w:r>
            <w:r w:rsidR="000249DC">
              <w:t>, as the ‘</w:t>
            </w:r>
            <w:r w:rsidR="000249DC" w:rsidRPr="000249DC">
              <w:t>Number of patients admitted from the planned surgery waiting list</w:t>
            </w:r>
            <w:r w:rsidR="000249DC">
              <w:t>’</w:t>
            </w:r>
            <w:r w:rsidRPr="005A7F8D">
              <w:t xml:space="preserve">). </w:t>
            </w:r>
          </w:p>
          <w:p w14:paraId="0FF5C7A4" w14:textId="01ADE0A8"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The recallable amount will accord with the projected shortfall as against the outlined SOP target</w:t>
            </w:r>
            <w:r w:rsidR="00A32E84">
              <w:t>, with a</w:t>
            </w:r>
            <w:r w:rsidR="00811E77">
              <w:t xml:space="preserve">ssociated NWAU target and NWAU funding </w:t>
            </w:r>
            <w:r w:rsidR="00676469">
              <w:t>potentially</w:t>
            </w:r>
            <w:r w:rsidR="00811E77">
              <w:t xml:space="preserve"> recalled.</w:t>
            </w:r>
          </w:p>
          <w:p w14:paraId="6ACAAE1E" w14:textId="77777777" w:rsidR="00EF268E"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A decision will be made as early as possible (such as the mid-year point of the financial year)</w:t>
            </w:r>
            <w:r w:rsidR="00EF268E">
              <w:t>.</w:t>
            </w:r>
            <w:r w:rsidRPr="005A7F8D">
              <w:t xml:space="preserve"> </w:t>
            </w:r>
          </w:p>
          <w:p w14:paraId="62F88C49" w14:textId="2CBACE1A" w:rsidR="00F473D8" w:rsidRPr="005A7F8D" w:rsidRDefault="00EF268E" w:rsidP="00545910">
            <w:pPr>
              <w:pStyle w:val="Tabletext9pt"/>
              <w:cnfStyle w:val="000000000000" w:firstRow="0" w:lastRow="0" w:firstColumn="0" w:lastColumn="0" w:oddVBand="0" w:evenVBand="0" w:oddHBand="0" w:evenHBand="0" w:firstRowFirstColumn="0" w:firstRowLastColumn="0" w:lastRowFirstColumn="0" w:lastRowLastColumn="0"/>
            </w:pPr>
            <w:r>
              <w:t>The application of this in-year recall will consider</w:t>
            </w:r>
            <w:r w:rsidR="00F473D8" w:rsidRPr="005A7F8D">
              <w:t xml:space="preserve"> </w:t>
            </w:r>
            <w:r>
              <w:t xml:space="preserve">potential </w:t>
            </w:r>
            <w:r w:rsidR="00F473D8" w:rsidRPr="005A7F8D">
              <w:t xml:space="preserve">financial </w:t>
            </w:r>
            <w:r w:rsidR="00FD0277">
              <w:t>impact</w:t>
            </w:r>
            <w:r w:rsidR="00D13D44">
              <w:t>s</w:t>
            </w:r>
            <w:r w:rsidR="00FD0277">
              <w:t xml:space="preserve"> </w:t>
            </w:r>
            <w:r w:rsidR="00D62C59">
              <w:t>in light of the financial position of the health services.</w:t>
            </w:r>
          </w:p>
          <w:p w14:paraId="742AB5B7" w14:textId="77777777"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Prior to actioning any in-year recall, the department will: </w:t>
            </w:r>
          </w:p>
          <w:p w14:paraId="258A2E95" w14:textId="04A1F08D" w:rsidR="00F473D8"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rsidRPr="001D2A96">
              <w:t>undertake</w:t>
            </w:r>
            <w:r>
              <w:t xml:space="preserve"> a comprehensive analysis of the health service’s performance and develop a detailed projected forecast</w:t>
            </w:r>
          </w:p>
          <w:p w14:paraId="5286F1BA" w14:textId="4CA084CC" w:rsidR="0092347B" w:rsidRDefault="0092347B" w:rsidP="00C46F8B">
            <w:pPr>
              <w:pStyle w:val="Tablebullet9pt"/>
              <w:cnfStyle w:val="000000000000" w:firstRow="0" w:lastRow="0" w:firstColumn="0" w:lastColumn="0" w:oddVBand="0" w:evenVBand="0" w:oddHBand="0" w:evenHBand="0" w:firstRowFirstColumn="0" w:firstRowLastColumn="0" w:lastRowFirstColumn="0" w:lastRowLastColumn="0"/>
            </w:pPr>
            <w:r>
              <w:t>analyse the f</w:t>
            </w:r>
            <w:r w:rsidR="00CD65FD">
              <w:t>inancial position of the health service</w:t>
            </w:r>
          </w:p>
          <w:p w14:paraId="4129E2C5" w14:textId="539602E6" w:rsidR="00F473D8"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t xml:space="preserve">work with health </w:t>
            </w:r>
            <w:r w:rsidRPr="001D2A96">
              <w:t>services</w:t>
            </w:r>
            <w:r>
              <w:t xml:space="preserve"> to implement non-financial interventions to support the achievement of the target </w:t>
            </w:r>
          </w:p>
          <w:p w14:paraId="3534F06C" w14:textId="3CFA1BCE" w:rsidR="008D18FE" w:rsidRPr="001375BD"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t xml:space="preserve">take a </w:t>
            </w:r>
            <w:r w:rsidRPr="001D2A96">
              <w:t>system</w:t>
            </w:r>
            <w:r w:rsidR="00857CBB">
              <w:t>-</w:t>
            </w:r>
            <w:r>
              <w:t>wide view to determine if recall is necessary to support the achievement of the statewide admissions target.</w:t>
            </w:r>
          </w:p>
        </w:tc>
      </w:tr>
      <w:tr w:rsidR="00E8761B" w:rsidRPr="00E63D9B" w14:paraId="79733A5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729B21A" w14:textId="77777777" w:rsidR="00E8761B" w:rsidRPr="00AC68A2" w:rsidRDefault="00E8761B" w:rsidP="00545910">
            <w:pPr>
              <w:pStyle w:val="Tabletext9pt"/>
              <w:rPr>
                <w:b w:val="0"/>
                <w:bCs/>
              </w:rPr>
            </w:pPr>
            <w:r w:rsidRPr="00AC68A2">
              <w:rPr>
                <w:b w:val="0"/>
                <w:bCs/>
              </w:rPr>
              <w:t>Department of Veterans’ Affairs</w:t>
            </w:r>
          </w:p>
          <w:p w14:paraId="35A23CA1" w14:textId="77777777" w:rsidR="00E8761B" w:rsidRPr="00AC68A2" w:rsidRDefault="00E8761B" w:rsidP="00545910">
            <w:pPr>
              <w:pStyle w:val="Tablebullet9pt"/>
              <w:rPr>
                <w:b w:val="0"/>
                <w:bCs/>
              </w:rPr>
            </w:pPr>
            <w:r w:rsidRPr="00AC68A2">
              <w:rPr>
                <w:b w:val="0"/>
                <w:bCs/>
              </w:rPr>
              <w:t>Acute admitted services</w:t>
            </w:r>
          </w:p>
          <w:p w14:paraId="2BFCB445" w14:textId="77777777" w:rsidR="00E8761B" w:rsidRPr="00AC68A2" w:rsidRDefault="00E8761B" w:rsidP="00545910">
            <w:pPr>
              <w:pStyle w:val="Tablebullet9pt"/>
              <w:rPr>
                <w:b w:val="0"/>
                <w:bCs/>
              </w:rPr>
            </w:pPr>
            <w:r w:rsidRPr="00AC68A2">
              <w:rPr>
                <w:b w:val="0"/>
                <w:bCs/>
              </w:rPr>
              <w:t>Subacute admitted services (wrap includes GEM, rehabilitation, and palliative care)</w:t>
            </w:r>
          </w:p>
          <w:p w14:paraId="189C955C" w14:textId="77777777" w:rsidR="00E8761B" w:rsidRPr="00AC68A2" w:rsidRDefault="00E8761B" w:rsidP="00545910">
            <w:pPr>
              <w:pStyle w:val="Tablebullet9pt"/>
              <w:rPr>
                <w:b w:val="0"/>
                <w:bCs/>
              </w:rPr>
            </w:pPr>
            <w:r w:rsidRPr="00AC68A2">
              <w:rPr>
                <w:b w:val="0"/>
                <w:bCs/>
              </w:rPr>
              <w:t xml:space="preserve">Non-admitted (acute) services </w:t>
            </w:r>
          </w:p>
        </w:tc>
        <w:tc>
          <w:tcPr>
            <w:tcW w:w="5225" w:type="dxa"/>
          </w:tcPr>
          <w:p w14:paraId="10D4C52C" w14:textId="3E83EEA8"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w:t>
            </w:r>
            <w:r w:rsidRPr="005A7F8D">
              <w:t>ull recall of underactivity</w:t>
            </w:r>
            <w:r w:rsidR="00D859D2" w:rsidRPr="005A7F8D">
              <w:t xml:space="preserve"> and rejected claims</w:t>
            </w:r>
            <w:r w:rsidR="001D2A96" w:rsidRPr="005A7F8D">
              <w:t>.</w:t>
            </w:r>
          </w:p>
          <w:p w14:paraId="4A1A992D" w14:textId="550526BC" w:rsidR="00E8761B" w:rsidRPr="006F1365" w:rsidRDefault="008B2C47" w:rsidP="00C46F8B">
            <w:pPr>
              <w:pStyle w:val="Tabletext9pt"/>
              <w:cnfStyle w:val="000000100000" w:firstRow="0" w:lastRow="0" w:firstColumn="0" w:lastColumn="0" w:oddVBand="0" w:evenVBand="0" w:oddHBand="1" w:evenHBand="0" w:firstRowFirstColumn="0" w:firstRowLastColumn="0" w:lastRowFirstColumn="0" w:lastRowLastColumn="0"/>
            </w:pPr>
            <w:r w:rsidRPr="005A7F8D">
              <w:t>Activity must meet Department of Veterans’ Affairs requirements</w:t>
            </w:r>
            <w:r w:rsidR="001D2A96" w:rsidRPr="005A7F8D">
              <w:t>.</w:t>
            </w:r>
          </w:p>
        </w:tc>
      </w:tr>
      <w:tr w:rsidR="00E8761B" w:rsidRPr="00E63D9B" w14:paraId="47AB679C"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4934559" w14:textId="57C74A64" w:rsidR="00E8761B" w:rsidRPr="00AC68A2" w:rsidRDefault="00E8761B" w:rsidP="00545910">
            <w:pPr>
              <w:pStyle w:val="Tabletext9pt"/>
              <w:rPr>
                <w:b w:val="0"/>
                <w:bCs/>
              </w:rPr>
            </w:pPr>
            <w:r w:rsidRPr="00AC68A2">
              <w:rPr>
                <w:b w:val="0"/>
                <w:bCs/>
              </w:rPr>
              <w:t>Transport Accident Commission and WorkSafe</w:t>
            </w:r>
          </w:p>
          <w:p w14:paraId="30D84478" w14:textId="77777777" w:rsidR="00E8761B" w:rsidRPr="00AC68A2" w:rsidRDefault="00E8761B" w:rsidP="00545910">
            <w:pPr>
              <w:pStyle w:val="Tablebullet9pt"/>
              <w:rPr>
                <w:b w:val="0"/>
                <w:bCs/>
              </w:rPr>
            </w:pPr>
            <w:r w:rsidRPr="00AC68A2">
              <w:rPr>
                <w:b w:val="0"/>
                <w:bCs/>
              </w:rPr>
              <w:t>Acute admitted services</w:t>
            </w:r>
          </w:p>
        </w:tc>
        <w:tc>
          <w:tcPr>
            <w:tcW w:w="5225" w:type="dxa"/>
          </w:tcPr>
          <w:p w14:paraId="6478591A" w14:textId="13DCA976"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Full recall of underactivity</w:t>
            </w:r>
            <w:r w:rsidR="00D859D2" w:rsidRPr="005A7F8D">
              <w:t xml:space="preserve"> and rejected claims</w:t>
            </w:r>
            <w:r w:rsidR="001D2A96" w:rsidRPr="005A7F8D">
              <w:t>.</w:t>
            </w:r>
          </w:p>
          <w:p w14:paraId="73C780F7" w14:textId="5927DD27" w:rsidR="00E8761B" w:rsidRPr="006F1365" w:rsidRDefault="008B2C47" w:rsidP="00C46F8B">
            <w:pPr>
              <w:pStyle w:val="Tabletext9pt"/>
              <w:cnfStyle w:val="000000000000" w:firstRow="0" w:lastRow="0" w:firstColumn="0" w:lastColumn="0" w:oddVBand="0" w:evenVBand="0" w:oddHBand="0" w:evenHBand="0" w:firstRowFirstColumn="0" w:firstRowLastColumn="0" w:lastRowFirstColumn="0" w:lastRowLastColumn="0"/>
            </w:pPr>
            <w:r w:rsidRPr="005A7F8D">
              <w:t>Activity must meet Transport Accident Commission and WorkSafe requirements</w:t>
            </w:r>
            <w:r w:rsidR="001D2A96" w:rsidRPr="005A7F8D">
              <w:t>.</w:t>
            </w:r>
          </w:p>
        </w:tc>
      </w:tr>
      <w:tr w:rsidR="00D8753C" w:rsidRPr="00E63D9B" w14:paraId="6EE4BE09"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8BDA993" w14:textId="54A9F437" w:rsidR="00D8753C" w:rsidRPr="00AC68A2" w:rsidRDefault="00D8753C" w:rsidP="00545910">
            <w:pPr>
              <w:pStyle w:val="Tabletext9pt"/>
              <w:rPr>
                <w:b w:val="0"/>
                <w:bCs/>
              </w:rPr>
            </w:pPr>
            <w:r w:rsidRPr="00AC68A2">
              <w:rPr>
                <w:b w:val="0"/>
                <w:bCs/>
              </w:rPr>
              <w:t>High</w:t>
            </w:r>
            <w:r w:rsidR="004E0E0A" w:rsidRPr="00AC68A2">
              <w:rPr>
                <w:b w:val="0"/>
                <w:bCs/>
              </w:rPr>
              <w:t>-</w:t>
            </w:r>
            <w:r w:rsidR="006154BE" w:rsidRPr="00AC68A2">
              <w:rPr>
                <w:b w:val="0"/>
                <w:bCs/>
              </w:rPr>
              <w:t>cost, highly specialised therapies</w:t>
            </w:r>
          </w:p>
        </w:tc>
        <w:tc>
          <w:tcPr>
            <w:tcW w:w="5225" w:type="dxa"/>
          </w:tcPr>
          <w:p w14:paraId="7F1F4D48" w14:textId="7F3A3F37" w:rsidR="00D8753C" w:rsidRPr="005A7F8D" w:rsidRDefault="009B3F45"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Funding will be reconciled to</w:t>
            </w:r>
            <w:r w:rsidR="0059590E" w:rsidRPr="005A7F8D">
              <w:t xml:space="preserve"> actual </w:t>
            </w:r>
            <w:r w:rsidR="00336FFB" w:rsidRPr="005A7F8D">
              <w:t>costs</w:t>
            </w:r>
            <w:r w:rsidR="0059590E" w:rsidRPr="005A7F8D">
              <w:t xml:space="preserve"> as per </w:t>
            </w:r>
            <w:r w:rsidR="00336FFB" w:rsidRPr="005A7F8D">
              <w:t xml:space="preserve">acquittal </w:t>
            </w:r>
            <w:r w:rsidRPr="005A7F8D">
              <w:t>(</w:t>
            </w:r>
            <w:r w:rsidR="00336FFB" w:rsidRPr="005A7F8D">
              <w:t xml:space="preserve">process outlined in section </w:t>
            </w:r>
            <w:r w:rsidR="000B12B0">
              <w:fldChar w:fldCharType="begin"/>
            </w:r>
            <w:r w:rsidR="000B12B0">
              <w:instrText xml:space="preserve"> REF _Ref199324736 \r \h </w:instrText>
            </w:r>
            <w:r w:rsidR="000B12B0">
              <w:fldChar w:fldCharType="separate"/>
            </w:r>
            <w:r w:rsidR="007D262B">
              <w:t>3.7</w:t>
            </w:r>
            <w:r w:rsidR="000B12B0">
              <w:fldChar w:fldCharType="end"/>
            </w:r>
            <w:r w:rsidRPr="005A7F8D">
              <w:t>)</w:t>
            </w:r>
            <w:r w:rsidR="001D2A96" w:rsidRPr="005A7F8D">
              <w:t>.</w:t>
            </w:r>
          </w:p>
        </w:tc>
      </w:tr>
      <w:tr w:rsidR="00E8761B" w:rsidRPr="006F501A" w14:paraId="3C9E7C8B"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5B2AA76" w14:textId="77777777" w:rsidR="00E8761B" w:rsidRPr="00AC68A2" w:rsidRDefault="00E8761B" w:rsidP="00545910">
            <w:pPr>
              <w:pStyle w:val="Tabletext9pt"/>
              <w:rPr>
                <w:b w:val="0"/>
                <w:bCs/>
              </w:rPr>
            </w:pPr>
            <w:r w:rsidRPr="00AC68A2">
              <w:rPr>
                <w:b w:val="0"/>
                <w:bCs/>
              </w:rPr>
              <w:t>Small rural health services</w:t>
            </w:r>
          </w:p>
        </w:tc>
        <w:tc>
          <w:tcPr>
            <w:tcW w:w="5225" w:type="dxa"/>
          </w:tcPr>
          <w:p w14:paraId="02421BBB" w14:textId="59F3A3B2"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Recall applies to ACA, Department of Veterans’ Affairs, TAC and residential aged care services.</w:t>
            </w:r>
          </w:p>
          <w:p w14:paraId="3D2E8483"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No recall applies for public and private acute, subacute, primary health and Home and Community Care.</w:t>
            </w:r>
          </w:p>
        </w:tc>
      </w:tr>
      <w:tr w:rsidR="00E8761B" w:rsidRPr="00E63D9B" w14:paraId="4B9928AA"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71CC101" w14:textId="77777777" w:rsidR="00E8761B" w:rsidRPr="00AC68A2" w:rsidRDefault="00E8761B" w:rsidP="00545910">
            <w:pPr>
              <w:pStyle w:val="Tabletext9pt"/>
              <w:rPr>
                <w:b w:val="0"/>
                <w:bCs/>
              </w:rPr>
            </w:pPr>
            <w:r w:rsidRPr="00AC68A2">
              <w:rPr>
                <w:b w:val="0"/>
                <w:bCs/>
              </w:rPr>
              <w:t>Acquired brain injury unit</w:t>
            </w:r>
          </w:p>
        </w:tc>
        <w:tc>
          <w:tcPr>
            <w:tcW w:w="5225" w:type="dxa"/>
          </w:tcPr>
          <w:p w14:paraId="15251B68" w14:textId="37A6CE66"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Full recall of underactivity at the full rate</w:t>
            </w:r>
            <w:r w:rsidR="001D2A96" w:rsidRPr="005A7F8D">
              <w:t>.</w:t>
            </w:r>
          </w:p>
        </w:tc>
      </w:tr>
      <w:tr w:rsidR="00E8761B" w:rsidRPr="006F501A" w14:paraId="75EBE876"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4DB9F153" w14:textId="77777777" w:rsidR="00E8761B" w:rsidRPr="00AC68A2" w:rsidRDefault="00E8761B" w:rsidP="00545910">
            <w:pPr>
              <w:pStyle w:val="Tabletext9pt"/>
              <w:rPr>
                <w:b w:val="0"/>
                <w:bCs/>
              </w:rPr>
            </w:pPr>
            <w:r w:rsidRPr="00AC68A2">
              <w:rPr>
                <w:b w:val="0"/>
                <w:bCs/>
              </w:rPr>
              <w:t>Mental health subacute and residential services</w:t>
            </w:r>
          </w:p>
        </w:tc>
        <w:tc>
          <w:tcPr>
            <w:tcW w:w="5225" w:type="dxa"/>
          </w:tcPr>
          <w:p w14:paraId="716BE8BF"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The department may recall funds associated with funded beds, which remain unopened or have been temporarily closed.</w:t>
            </w:r>
          </w:p>
          <w:p w14:paraId="53CCE14B" w14:textId="304791D9"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Recall will depend on statewide priorities and the need for funding redistribution to </w:t>
            </w:r>
            <w:r w:rsidR="001D2A96" w:rsidRPr="005A7F8D">
              <w:t xml:space="preserve">achieve </w:t>
            </w:r>
            <w:r w:rsidRPr="005A7F8D">
              <w:t>these priorities as defined by the department.</w:t>
            </w:r>
          </w:p>
        </w:tc>
      </w:tr>
      <w:tr w:rsidR="00E8761B" w:rsidRPr="006F501A" w14:paraId="1937A27D"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6E99638" w14:textId="77777777" w:rsidR="00E8761B" w:rsidRPr="00AC68A2" w:rsidRDefault="00E8761B" w:rsidP="00545910">
            <w:pPr>
              <w:pStyle w:val="Tabletext9pt"/>
              <w:rPr>
                <w:b w:val="0"/>
                <w:bCs/>
              </w:rPr>
            </w:pPr>
            <w:r w:rsidRPr="00AC68A2">
              <w:rPr>
                <w:b w:val="0"/>
                <w:bCs/>
              </w:rPr>
              <w:t>Transition Care Program</w:t>
            </w:r>
            <w:r w:rsidRPr="00AC68A2">
              <w:rPr>
                <w:b w:val="0"/>
                <w:bCs/>
              </w:rPr>
              <w:br/>
              <w:t>(bed-based and home-based wrapped)</w:t>
            </w:r>
          </w:p>
        </w:tc>
        <w:tc>
          <w:tcPr>
            <w:tcW w:w="5225" w:type="dxa"/>
          </w:tcPr>
          <w:p w14:paraId="5A34C759" w14:textId="0EEC36A7" w:rsidR="00E8761B" w:rsidRPr="005A7F8D"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5A7F8D">
              <w:t>0–5% below target: no recall</w:t>
            </w:r>
            <w:r w:rsidR="001D2A96" w:rsidRPr="005A7F8D">
              <w:t>.</w:t>
            </w:r>
          </w:p>
          <w:p w14:paraId="35D0757A" w14:textId="77777777"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5A7F8D">
              <w:lastRenderedPageBreak/>
              <w:t>&gt; 5% below target: the department may apply recall. The amount subject to recall is that beyond the 5% underperformance.</w:t>
            </w:r>
          </w:p>
        </w:tc>
      </w:tr>
      <w:tr w:rsidR="00E8761B" w:rsidRPr="006F501A" w14:paraId="14D7A194"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6614EBC" w14:textId="77777777" w:rsidR="00E8761B" w:rsidRPr="00AC68A2" w:rsidRDefault="00E8761B" w:rsidP="00545910">
            <w:pPr>
              <w:pStyle w:val="Tabletext9pt"/>
              <w:rPr>
                <w:b w:val="0"/>
                <w:bCs/>
              </w:rPr>
            </w:pPr>
            <w:r w:rsidRPr="00AC68A2">
              <w:rPr>
                <w:b w:val="0"/>
                <w:bCs/>
              </w:rPr>
              <w:lastRenderedPageBreak/>
              <w:t>Non-admitted radiotherapy</w:t>
            </w:r>
          </w:p>
        </w:tc>
        <w:tc>
          <w:tcPr>
            <w:tcW w:w="5225" w:type="dxa"/>
          </w:tcPr>
          <w:p w14:paraId="5E16340C"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recalled at the full rate for performance below target.</w:t>
            </w:r>
          </w:p>
        </w:tc>
      </w:tr>
      <w:tr w:rsidR="00E8761B" w:rsidRPr="006F501A" w14:paraId="736585DB"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F5E6FDA" w14:textId="77777777" w:rsidR="00E8761B" w:rsidRPr="00AC68A2" w:rsidRDefault="00E8761B" w:rsidP="00545910">
            <w:pPr>
              <w:pStyle w:val="Tabletext9pt"/>
              <w:rPr>
                <w:b w:val="0"/>
                <w:bCs/>
              </w:rPr>
            </w:pPr>
            <w:r w:rsidRPr="00AC68A2">
              <w:rPr>
                <w:b w:val="0"/>
                <w:bCs/>
              </w:rPr>
              <w:t>Integrated cancer services</w:t>
            </w:r>
          </w:p>
        </w:tc>
        <w:tc>
          <w:tcPr>
            <w:tcW w:w="5225" w:type="dxa"/>
          </w:tcPr>
          <w:p w14:paraId="54F5C3CE" w14:textId="7777777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The department may recall unexpended integrated cancer services funds. Recall will depend on statewide cancer reform priorities and the need for funding redistribution to achieve these priorities as defined by the department.</w:t>
            </w:r>
          </w:p>
        </w:tc>
      </w:tr>
      <w:tr w:rsidR="00E8761B" w:rsidRPr="006F501A" w14:paraId="41256A7D"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8CD2277" w14:textId="167BEB4D" w:rsidR="00E8761B" w:rsidRPr="00AC68A2" w:rsidRDefault="00E8761B" w:rsidP="00545910">
            <w:pPr>
              <w:pStyle w:val="Tabletext9pt"/>
              <w:rPr>
                <w:b w:val="0"/>
                <w:bCs/>
              </w:rPr>
            </w:pPr>
            <w:r w:rsidRPr="00AC68A2">
              <w:rPr>
                <w:b w:val="0"/>
                <w:bCs/>
              </w:rPr>
              <w:t xml:space="preserve">Community Health Care Program </w:t>
            </w:r>
          </w:p>
        </w:tc>
        <w:tc>
          <w:tcPr>
            <w:tcW w:w="5225" w:type="dxa"/>
          </w:tcPr>
          <w:p w14:paraId="10AFE51B" w14:textId="4A5ACE16"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46F5074A" w14:textId="77777777"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1BD440DE"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373179F" w14:textId="77777777" w:rsidR="00E8761B" w:rsidRPr="00AC68A2" w:rsidRDefault="00E8761B" w:rsidP="00545910">
            <w:pPr>
              <w:pStyle w:val="Tabletext9pt"/>
              <w:rPr>
                <w:b w:val="0"/>
                <w:bCs/>
              </w:rPr>
            </w:pPr>
            <w:r w:rsidRPr="00AC68A2">
              <w:rPr>
                <w:b w:val="0"/>
                <w:bCs/>
              </w:rPr>
              <w:t>Home and Community Care Program for Younger People</w:t>
            </w:r>
          </w:p>
        </w:tc>
        <w:tc>
          <w:tcPr>
            <w:tcW w:w="5225" w:type="dxa"/>
          </w:tcPr>
          <w:p w14:paraId="015E2348" w14:textId="620E705D"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137C1F95" w14:textId="77777777"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481FBD55"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38C94A4C" w14:textId="77777777" w:rsidR="00E8761B" w:rsidRPr="00AC68A2" w:rsidRDefault="00E8761B" w:rsidP="00545910">
            <w:pPr>
              <w:pStyle w:val="Tabletext9pt"/>
              <w:rPr>
                <w:b w:val="0"/>
                <w:bCs/>
              </w:rPr>
            </w:pPr>
            <w:r w:rsidRPr="00AC68A2">
              <w:rPr>
                <w:b w:val="0"/>
                <w:bCs/>
              </w:rPr>
              <w:t xml:space="preserve">Community Health – </w:t>
            </w:r>
            <w:r w:rsidRPr="00AC68A2" w:rsidDel="008F470B">
              <w:rPr>
                <w:b w:val="0"/>
                <w:bCs/>
              </w:rPr>
              <w:t xml:space="preserve">Health </w:t>
            </w:r>
            <w:r w:rsidRPr="00AC68A2">
              <w:rPr>
                <w:b w:val="0"/>
                <w:bCs/>
              </w:rPr>
              <w:t xml:space="preserve">Promotion </w:t>
            </w:r>
          </w:p>
        </w:tc>
        <w:tc>
          <w:tcPr>
            <w:tcW w:w="5225" w:type="dxa"/>
          </w:tcPr>
          <w:p w14:paraId="1D3405F0" w14:textId="04D393D1"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6FD48C85" w14:textId="77777777"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4C9C678A"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4AF38D4" w14:textId="77777777" w:rsidR="00E8761B" w:rsidRPr="00AC68A2" w:rsidRDefault="00E8761B" w:rsidP="00545910">
            <w:pPr>
              <w:pStyle w:val="Tabletext9pt"/>
              <w:rPr>
                <w:b w:val="0"/>
                <w:bCs/>
              </w:rPr>
            </w:pPr>
            <w:r w:rsidRPr="00AC68A2">
              <w:rPr>
                <w:b w:val="0"/>
                <w:bCs/>
              </w:rPr>
              <w:t>Dental Health services</w:t>
            </w:r>
          </w:p>
        </w:tc>
        <w:tc>
          <w:tcPr>
            <w:tcW w:w="5225" w:type="dxa"/>
          </w:tcPr>
          <w:p w14:paraId="5123D36A" w14:textId="298764BE"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66725E66" w14:textId="77777777" w:rsidR="00E8761B" w:rsidRPr="00F97016"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2B580A93"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73CF5F9" w14:textId="77777777" w:rsidR="00E8761B" w:rsidRPr="00AC68A2" w:rsidRDefault="00E8761B" w:rsidP="00545910">
            <w:pPr>
              <w:pStyle w:val="Tabletext9pt"/>
              <w:rPr>
                <w:b w:val="0"/>
                <w:bCs/>
              </w:rPr>
            </w:pPr>
            <w:r w:rsidRPr="00AC68A2">
              <w:rPr>
                <w:b w:val="0"/>
                <w:bCs/>
              </w:rPr>
              <w:t>BreastScreen Victoria services</w:t>
            </w:r>
          </w:p>
        </w:tc>
        <w:tc>
          <w:tcPr>
            <w:tcW w:w="5225" w:type="dxa"/>
          </w:tcPr>
          <w:p w14:paraId="68B506F4"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recalled at the full rate for performance below the department funded target.</w:t>
            </w:r>
          </w:p>
          <w:p w14:paraId="03D8B302" w14:textId="77777777" w:rsidR="00E8761B" w:rsidRPr="005A7F8D" w:rsidRDefault="00E8761B" w:rsidP="00C46F8B">
            <w:pPr>
              <w:pStyle w:val="Tabletext9pt"/>
              <w:cnfStyle w:val="000000000000" w:firstRow="0" w:lastRow="0" w:firstColumn="0" w:lastColumn="0" w:oddVBand="0" w:evenVBand="0" w:oddHBand="0" w:evenHBand="0" w:firstRowFirstColumn="0" w:firstRowLastColumn="0" w:lastRowFirstColumn="0" w:lastRowLastColumn="0"/>
            </w:pPr>
            <w:r w:rsidRPr="005A7F8D">
              <w:t>Recall policy is subject to the terms and conditions of BreastScreen Victoria’s Funding and Service Agreement with the department.</w:t>
            </w:r>
          </w:p>
        </w:tc>
      </w:tr>
      <w:tr w:rsidR="00E8761B" w:rsidRPr="006F501A" w14:paraId="78E3B77E"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B9A81BE" w14:textId="1763112A" w:rsidR="00E8761B" w:rsidRPr="00AC68A2" w:rsidRDefault="00E8761B" w:rsidP="00545910">
            <w:pPr>
              <w:pStyle w:val="Tabletext9pt"/>
              <w:rPr>
                <w:b w:val="0"/>
                <w:bCs/>
              </w:rPr>
            </w:pPr>
            <w:r w:rsidRPr="00AC68A2">
              <w:rPr>
                <w:b w:val="0"/>
                <w:bCs/>
              </w:rPr>
              <w:t>Aged Care Assessment</w:t>
            </w:r>
          </w:p>
        </w:tc>
        <w:tc>
          <w:tcPr>
            <w:tcW w:w="5225" w:type="dxa"/>
          </w:tcPr>
          <w:p w14:paraId="217035C9" w14:textId="1548E73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While the department recognises that ACA may find it difficult to meet the exact annual targets for the number of assessments, in the case of sustained under-performance compared with annual targets of more than 5% for </w:t>
            </w:r>
            <w:r w:rsidR="001D2A96" w:rsidRPr="005A7F8D">
              <w:t xml:space="preserve">2 </w:t>
            </w:r>
            <w:r w:rsidRPr="005A7F8D">
              <w:t>years or longer, a funding reduction may be applied that corresponds to the level of under-performance.</w:t>
            </w:r>
          </w:p>
          <w:p w14:paraId="68CC18E3" w14:textId="28DAD963" w:rsidR="00E8761B" w:rsidRPr="005A7F8D" w:rsidRDefault="0077383B" w:rsidP="00545910">
            <w:pPr>
              <w:pStyle w:val="Tabletext9pt"/>
              <w:cnfStyle w:val="000000100000" w:firstRow="0" w:lastRow="0" w:firstColumn="0" w:lastColumn="0" w:oddVBand="0" w:evenVBand="0" w:oddHBand="1" w:evenHBand="0" w:firstRowFirstColumn="0" w:firstRowLastColumn="0" w:lastRowFirstColumn="0" w:lastRowLastColumn="0"/>
            </w:pPr>
            <w:r w:rsidRPr="005A7F8D">
              <w:t>ACA transitioned to the Single Assessment System in December 2024 which included updated performance measures and requirements.</w:t>
            </w:r>
          </w:p>
        </w:tc>
      </w:tr>
      <w:tr w:rsidR="00E8761B" w:rsidRPr="006F501A" w14:paraId="3F67C4D2"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30366B7" w14:textId="77777777" w:rsidR="00E8761B" w:rsidRPr="00AC68A2" w:rsidRDefault="00E8761B" w:rsidP="00545910">
            <w:pPr>
              <w:pStyle w:val="Tabletext9pt"/>
              <w:rPr>
                <w:b w:val="0"/>
                <w:bCs/>
              </w:rPr>
            </w:pPr>
            <w:r w:rsidRPr="00AC68A2">
              <w:rPr>
                <w:b w:val="0"/>
                <w:bCs/>
              </w:rPr>
              <w:t>Diabetes prevention</w:t>
            </w:r>
          </w:p>
        </w:tc>
        <w:tc>
          <w:tcPr>
            <w:tcW w:w="5225" w:type="dxa"/>
          </w:tcPr>
          <w:p w14:paraId="448863C1"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Program funding recalled per participant target not met or when program deliverables are not met.</w:t>
            </w:r>
          </w:p>
        </w:tc>
      </w:tr>
      <w:tr w:rsidR="00E8761B" w:rsidRPr="006F501A" w14:paraId="263B71A8"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AF680BD" w14:textId="77777777" w:rsidR="00E8761B" w:rsidRPr="00AC68A2" w:rsidRDefault="00E8761B" w:rsidP="00545910">
            <w:pPr>
              <w:pStyle w:val="Tabletext9pt"/>
              <w:rPr>
                <w:b w:val="0"/>
                <w:bCs/>
              </w:rPr>
            </w:pPr>
            <w:r w:rsidRPr="00AC68A2">
              <w:rPr>
                <w:b w:val="0"/>
                <w:bCs/>
              </w:rPr>
              <w:t>Residential aged care</w:t>
            </w:r>
          </w:p>
        </w:tc>
        <w:tc>
          <w:tcPr>
            <w:tcW w:w="5225" w:type="dxa"/>
          </w:tcPr>
          <w:p w14:paraId="2DB57AF9" w14:textId="7777777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Recurrent funds may be recalled from service providers, including small rural residential aged care services where they reduce the number of operational places. As funding is calculated on the basis of operational places any reduction will result in a corresponding adjustment to funding.</w:t>
            </w:r>
          </w:p>
        </w:tc>
      </w:tr>
      <w:tr w:rsidR="00E8761B" w14:paraId="682FE658"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18413A5" w14:textId="77777777" w:rsidR="00E8761B" w:rsidRPr="00AC68A2" w:rsidRDefault="00E8761B" w:rsidP="00545910">
            <w:pPr>
              <w:pStyle w:val="Tabletext9pt"/>
              <w:rPr>
                <w:b w:val="0"/>
                <w:bCs/>
              </w:rPr>
            </w:pPr>
            <w:r w:rsidRPr="00AC68A2">
              <w:rPr>
                <w:b w:val="0"/>
                <w:bCs/>
              </w:rPr>
              <w:t>LPHU core operations</w:t>
            </w:r>
          </w:p>
        </w:tc>
        <w:tc>
          <w:tcPr>
            <w:tcW w:w="5225" w:type="dxa"/>
          </w:tcPr>
          <w:p w14:paraId="3CC18C4B" w14:textId="6ED26B7A" w:rsidR="00E8761B" w:rsidRPr="005A7F8D" w:rsidRDefault="009B1588"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Full recall for underspend</w:t>
            </w:r>
            <w:r w:rsidR="004E0E0A" w:rsidRPr="005A7F8D">
              <w:t>.</w:t>
            </w:r>
          </w:p>
        </w:tc>
      </w:tr>
      <w:tr w:rsidR="00E8761B" w14:paraId="077AE890"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0A4BAA7" w14:textId="77777777" w:rsidR="00E8761B" w:rsidRPr="00AC68A2" w:rsidRDefault="00E8761B" w:rsidP="00545910">
            <w:pPr>
              <w:pStyle w:val="Tabletext9pt"/>
              <w:rPr>
                <w:b w:val="0"/>
                <w:bCs/>
              </w:rPr>
            </w:pPr>
            <w:r w:rsidRPr="00AC68A2">
              <w:rPr>
                <w:b w:val="0"/>
                <w:bCs/>
              </w:rPr>
              <w:t>Health advancement</w:t>
            </w:r>
          </w:p>
        </w:tc>
        <w:tc>
          <w:tcPr>
            <w:tcW w:w="5225" w:type="dxa"/>
          </w:tcPr>
          <w:p w14:paraId="1A9955BD" w14:textId="19721039"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Full recall for </w:t>
            </w:r>
            <w:r w:rsidR="009B1588" w:rsidRPr="005A7F8D">
              <w:t>underspend</w:t>
            </w:r>
            <w:r w:rsidR="004E0E0A" w:rsidRPr="005A7F8D">
              <w:t>.</w:t>
            </w:r>
          </w:p>
        </w:tc>
      </w:tr>
      <w:tr w:rsidR="00E8761B" w14:paraId="5E594D99"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A7A1348" w14:textId="77777777" w:rsidR="00E8761B" w:rsidRPr="00AC68A2" w:rsidRDefault="00E8761B" w:rsidP="00545910">
            <w:pPr>
              <w:pStyle w:val="Tabletext9pt"/>
              <w:rPr>
                <w:b w:val="0"/>
                <w:bCs/>
              </w:rPr>
            </w:pPr>
            <w:r w:rsidRPr="00AC68A2">
              <w:rPr>
                <w:b w:val="0"/>
                <w:bCs/>
              </w:rPr>
              <w:t>Victorian Virtual Emergency Department</w:t>
            </w:r>
          </w:p>
        </w:tc>
        <w:tc>
          <w:tcPr>
            <w:tcW w:w="5225" w:type="dxa"/>
          </w:tcPr>
          <w:p w14:paraId="68429BA1" w14:textId="234B3B64"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rPr>
                <w:rFonts w:eastAsia="Arial"/>
              </w:rPr>
            </w:pPr>
            <w:r w:rsidRPr="005A7F8D">
              <w:t>A recall adjustment will be applied at an agreed partial rate at the end of 202</w:t>
            </w:r>
            <w:r w:rsidR="0077383B" w:rsidRPr="005A7F8D">
              <w:t>5</w:t>
            </w:r>
            <w:r w:rsidRPr="005A7F8D">
              <w:t>–2</w:t>
            </w:r>
            <w:r w:rsidR="0077383B" w:rsidRPr="005A7F8D">
              <w:t>6</w:t>
            </w:r>
            <w:r w:rsidRPr="005A7F8D">
              <w:t xml:space="preserve"> for Northern Health based on overall call volumes.</w:t>
            </w:r>
          </w:p>
        </w:tc>
      </w:tr>
      <w:tr w:rsidR="006C07CA" w14:paraId="2AD9BE2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37619E6B" w14:textId="30BF928E" w:rsidR="006C07CA" w:rsidRPr="00AC68A2" w:rsidRDefault="006C07CA" w:rsidP="00545910">
            <w:pPr>
              <w:pStyle w:val="Tabletext9pt"/>
              <w:rPr>
                <w:b w:val="0"/>
                <w:bCs/>
              </w:rPr>
            </w:pPr>
            <w:r w:rsidRPr="00AC68A2">
              <w:rPr>
                <w:b w:val="0"/>
                <w:bCs/>
              </w:rPr>
              <w:t xml:space="preserve">Gambling Harm Prevention and Response </w:t>
            </w:r>
          </w:p>
        </w:tc>
        <w:tc>
          <w:tcPr>
            <w:tcW w:w="5225" w:type="dxa"/>
          </w:tcPr>
          <w:p w14:paraId="3707371A" w14:textId="5A3DC832" w:rsidR="006C07CA" w:rsidRPr="005A7F8D" w:rsidRDefault="006C07CA"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The </w:t>
            </w:r>
            <w:r w:rsidR="00B833B6" w:rsidRPr="005A7F8D">
              <w:t>d</w:t>
            </w:r>
            <w:r w:rsidRPr="005A7F8D">
              <w:t>epartment may recall unspent funds due to performance issues pursuant to the Common Funding Agreement</w:t>
            </w:r>
            <w:r w:rsidR="004E0E0A" w:rsidRPr="005A7F8D">
              <w:t>.</w:t>
            </w:r>
          </w:p>
        </w:tc>
      </w:tr>
    </w:tbl>
    <w:p w14:paraId="012236CC" w14:textId="01332AE7" w:rsidR="005B699B" w:rsidRPr="000244B9" w:rsidRDefault="005B699B" w:rsidP="004537E5">
      <w:pPr>
        <w:pStyle w:val="Heading3"/>
        <w:numPr>
          <w:ilvl w:val="2"/>
          <w:numId w:val="12"/>
        </w:numPr>
      </w:pPr>
      <w:r w:rsidRPr="000244B9">
        <w:lastRenderedPageBreak/>
        <w:t xml:space="preserve">Exceptional </w:t>
      </w:r>
      <w:r w:rsidRPr="00790025">
        <w:t>events</w:t>
      </w:r>
      <w:r w:rsidR="005426D0">
        <w:t xml:space="preserve"> </w:t>
      </w:r>
    </w:p>
    <w:p w14:paraId="189CDC9F" w14:textId="77777777" w:rsidR="005B699B" w:rsidRPr="000244B9" w:rsidRDefault="005B699B" w:rsidP="005B699B">
      <w:pPr>
        <w:pStyle w:val="Body"/>
      </w:pPr>
      <w:r w:rsidRPr="000244B9">
        <w:t xml:space="preserve">There may be circumstances (including industrial action and natural disasters) beyond the reasonable control of </w:t>
      </w:r>
      <w:r w:rsidRPr="008A7D13">
        <w:t>health</w:t>
      </w:r>
      <w:r w:rsidRPr="000244B9">
        <w:t xml:space="preserve"> service management that prevent targeted throughput being met. At its discretion, and on a case-by-case basis, the department will consider submissions to adjust funding to health services, irrespective of throughput, for </w:t>
      </w:r>
      <w:r>
        <w:t>as</w:t>
      </w:r>
      <w:r w:rsidRPr="000244B9">
        <w:t xml:space="preserve"> long as such events continue.</w:t>
      </w:r>
    </w:p>
    <w:p w14:paraId="54C86F31" w14:textId="77777777" w:rsidR="005B699B" w:rsidRPr="000244B9" w:rsidRDefault="005B699B" w:rsidP="005B699B">
      <w:pPr>
        <w:pStyle w:val="Body"/>
      </w:pPr>
      <w:r w:rsidRPr="000244B9">
        <w:t>Health services are expected to actively mitigate their financial exposure and throughput decline during and following such events.</w:t>
      </w:r>
    </w:p>
    <w:p w14:paraId="285E8F52" w14:textId="77777777" w:rsidR="005B699B" w:rsidRPr="000244B9" w:rsidRDefault="005B699B" w:rsidP="005B699B">
      <w:pPr>
        <w:pStyle w:val="Body"/>
      </w:pPr>
      <w:r w:rsidRPr="000244B9">
        <w:t>The department will take into consideration the net change to health service finances and resources caused by exceptional events. However, health services will not receive additional funding for catch-up throughput</w:t>
      </w:r>
      <w:r>
        <w:t>,</w:t>
      </w:r>
      <w:r w:rsidRPr="000244B9">
        <w:t xml:space="preserve"> nor will health services receive funding for additional throughput in service areas not directly affected by these events. The department assesses the net impact of such events by assessing the data it collects on health service performance and other indicators.</w:t>
      </w:r>
    </w:p>
    <w:p w14:paraId="4EACF6DC" w14:textId="6CF9FE6E" w:rsidR="005B699B" w:rsidRDefault="005B699B" w:rsidP="0084378F">
      <w:pPr>
        <w:pStyle w:val="Heading2"/>
        <w:numPr>
          <w:ilvl w:val="1"/>
          <w:numId w:val="12"/>
        </w:numPr>
        <w:ind w:left="851" w:hanging="851"/>
      </w:pPr>
      <w:bookmarkStart w:id="1770" w:name="_Toc418694971"/>
      <w:bookmarkStart w:id="1771" w:name="_Toc6215625"/>
      <w:bookmarkStart w:id="1772" w:name="_Toc10199698"/>
      <w:bookmarkStart w:id="1773" w:name="_Toc52892598"/>
      <w:bookmarkStart w:id="1774" w:name="_Toc100263331"/>
      <w:bookmarkStart w:id="1775" w:name="_Toc165961835"/>
      <w:bookmarkStart w:id="1776" w:name="_Toc201148260"/>
      <w:r>
        <w:t>Funding for throughput above target</w:t>
      </w:r>
      <w:bookmarkEnd w:id="1770"/>
      <w:bookmarkEnd w:id="1771"/>
      <w:bookmarkEnd w:id="1772"/>
      <w:bookmarkEnd w:id="1773"/>
      <w:bookmarkEnd w:id="1774"/>
      <w:bookmarkEnd w:id="1775"/>
      <w:bookmarkEnd w:id="1776"/>
      <w:r w:rsidR="0054474B">
        <w:t xml:space="preserve"> </w:t>
      </w:r>
    </w:p>
    <w:p w14:paraId="5C8726FE" w14:textId="680C41DB" w:rsidR="005B699B" w:rsidRDefault="005B699B" w:rsidP="005B699B">
      <w:pPr>
        <w:pStyle w:val="Body"/>
      </w:pPr>
      <w:r>
        <w:t>Funding for health service throughput above target will be based on a proportion of the funding rate (refer to</w:t>
      </w:r>
      <w:r w:rsidR="000B12B0">
        <w:t xml:space="preserve"> </w:t>
      </w:r>
      <w:r w:rsidR="000B12B0">
        <w:fldChar w:fldCharType="begin"/>
      </w:r>
      <w:r w:rsidR="000B12B0">
        <w:instrText xml:space="preserve"> REF _Ref199324791 \h </w:instrText>
      </w:r>
      <w:r w:rsidR="000B12B0">
        <w:fldChar w:fldCharType="separate"/>
      </w:r>
      <w:r w:rsidR="007D262B">
        <w:t xml:space="preserve">Table </w:t>
      </w:r>
      <w:r w:rsidR="007D262B">
        <w:rPr>
          <w:noProof/>
        </w:rPr>
        <w:t>1</w:t>
      </w:r>
      <w:r w:rsidR="007D262B">
        <w:t>.</w:t>
      </w:r>
      <w:r w:rsidR="007D262B">
        <w:rPr>
          <w:noProof/>
        </w:rPr>
        <w:t>4</w:t>
      </w:r>
      <w:r w:rsidR="007D262B">
        <w:t xml:space="preserve">: </w:t>
      </w:r>
      <w:r w:rsidR="007D262B" w:rsidRPr="00592817">
        <w:t>Funding for throughput above target 202</w:t>
      </w:r>
      <w:r w:rsidR="007D262B">
        <w:t>5</w:t>
      </w:r>
      <w:r w:rsidR="007D262B" w:rsidRPr="00592817">
        <w:t>–2</w:t>
      </w:r>
      <w:r w:rsidR="007D262B">
        <w:t>6</w:t>
      </w:r>
      <w:r w:rsidR="000B12B0">
        <w:fldChar w:fldCharType="end"/>
      </w:r>
      <w:r>
        <w:t>)</w:t>
      </w:r>
      <w:r w:rsidRPr="00801262">
        <w:t>.</w:t>
      </w:r>
    </w:p>
    <w:p w14:paraId="47EFCCA5" w14:textId="2A761894" w:rsidR="005B699B" w:rsidRDefault="005B699B" w:rsidP="005B699B">
      <w:pPr>
        <w:pStyle w:val="Body"/>
      </w:pPr>
      <w:r>
        <w:t xml:space="preserve">The </w:t>
      </w:r>
      <w:r w:rsidRPr="001A31E2">
        <w:t xml:space="preserve">Department of Veterans’ Affairs </w:t>
      </w:r>
      <w:r>
        <w:t xml:space="preserve">and the </w:t>
      </w:r>
      <w:r w:rsidR="004F5FA5">
        <w:t>TAC</w:t>
      </w:r>
      <w:r>
        <w:t xml:space="preserve"> will continue to be funded to actual activity and will therefore attract additional funding for throughout above target.</w:t>
      </w:r>
    </w:p>
    <w:p w14:paraId="558A9EC5" w14:textId="603C7846" w:rsidR="005B699B" w:rsidRDefault="005B699B" w:rsidP="0075347D">
      <w:pPr>
        <w:pStyle w:val="Body"/>
      </w:pPr>
      <w:r>
        <w:t>Significant under- or overactivity should be discussed with the department. TCP, nursing-home-type activity and non-</w:t>
      </w:r>
      <w:r w:rsidRPr="00E84319">
        <w:t>admitted</w:t>
      </w:r>
      <w:r>
        <w:t xml:space="preserve"> services are not included in the subacute wrap.</w:t>
      </w:r>
    </w:p>
    <w:p w14:paraId="41F9DAAF" w14:textId="41549D09" w:rsidR="005B699B" w:rsidRDefault="005B699B" w:rsidP="005B699B">
      <w:pPr>
        <w:pStyle w:val="Body"/>
      </w:pPr>
      <w:r>
        <w:t>There is no funding for any overactivity for non-acute care (Community Health Program, Home and Community Care Program for Younger People, TCP, or nursing home activity).</w:t>
      </w:r>
    </w:p>
    <w:p w14:paraId="3C2D24BF" w14:textId="22BF57CB" w:rsidR="0002554E" w:rsidRDefault="0002554E" w:rsidP="0002554E">
      <w:pPr>
        <w:pStyle w:val="Tablecaption"/>
        <w:spacing w:line="250" w:lineRule="atLeast"/>
      </w:pPr>
      <w:bookmarkStart w:id="1777" w:name="_Ref170115761"/>
      <w:bookmarkStart w:id="1778" w:name="_Ref199324791"/>
      <w:bookmarkStart w:id="1779" w:name="_Toc201148566"/>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4</w:t>
      </w:r>
      <w:r>
        <w:fldChar w:fldCharType="end"/>
      </w:r>
      <w:r>
        <w:t xml:space="preserve">: </w:t>
      </w:r>
      <w:r w:rsidRPr="00592817">
        <w:t>Funding for throughput above target 202</w:t>
      </w:r>
      <w:r w:rsidR="007032E9">
        <w:t>5</w:t>
      </w:r>
      <w:r w:rsidRPr="00592817">
        <w:t>–2</w:t>
      </w:r>
      <w:bookmarkEnd w:id="1777"/>
      <w:r w:rsidR="007032E9">
        <w:t>6</w:t>
      </w:r>
      <w:bookmarkEnd w:id="1778"/>
      <w:bookmarkEnd w:id="1779"/>
    </w:p>
    <w:tbl>
      <w:tblPr>
        <w:tblStyle w:val="GridTable4-Accent1"/>
        <w:tblW w:w="9299" w:type="dxa"/>
        <w:tblLook w:val="04A0" w:firstRow="1" w:lastRow="0" w:firstColumn="1" w:lastColumn="0" w:noHBand="0" w:noVBand="1"/>
      </w:tblPr>
      <w:tblGrid>
        <w:gridCol w:w="4407"/>
        <w:gridCol w:w="4892"/>
      </w:tblGrid>
      <w:tr w:rsidR="00E8761B" w:rsidRPr="00CC47B2" w14:paraId="0FDF3407" w14:textId="77777777" w:rsidTr="008C0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45EADC1" w14:textId="77777777" w:rsidR="00E8761B" w:rsidRPr="008C04EF" w:rsidRDefault="00E8761B" w:rsidP="00A21959">
            <w:pPr>
              <w:pStyle w:val="Tablecolhead"/>
              <w:rPr>
                <w:color w:val="FFFFFF" w:themeColor="background1"/>
              </w:rPr>
            </w:pPr>
            <w:r w:rsidRPr="008C04EF">
              <w:rPr>
                <w:color w:val="FFFFFF" w:themeColor="background1"/>
              </w:rPr>
              <w:t>Service</w:t>
            </w:r>
          </w:p>
        </w:tc>
        <w:tc>
          <w:tcPr>
            <w:tcW w:w="4892" w:type="dxa"/>
          </w:tcPr>
          <w:p w14:paraId="3F3C85A0" w14:textId="77777777" w:rsidR="00E8761B" w:rsidRPr="008C04EF" w:rsidRDefault="00E8761B" w:rsidP="00A21959">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8C04EF">
              <w:rPr>
                <w:color w:val="FFFFFF" w:themeColor="background1"/>
              </w:rPr>
              <w:t>Funding for throughout above target</w:t>
            </w:r>
          </w:p>
        </w:tc>
      </w:tr>
      <w:tr w:rsidR="00E8761B" w:rsidRPr="005D4304" w14:paraId="37B8BB46"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0DBAF69" w14:textId="77777777" w:rsidR="00E8761B" w:rsidRPr="00AC68A2" w:rsidRDefault="00E8761B" w:rsidP="00545910">
            <w:pPr>
              <w:pStyle w:val="Tabletext9pt"/>
              <w:rPr>
                <w:b w:val="0"/>
                <w:bCs/>
              </w:rPr>
            </w:pPr>
            <w:r w:rsidRPr="00AC68A2">
              <w:rPr>
                <w:b w:val="0"/>
                <w:bCs/>
              </w:rPr>
              <w:t>Acute admitted services (including mental health)</w:t>
            </w:r>
          </w:p>
          <w:p w14:paraId="06E511D6" w14:textId="77777777" w:rsidR="00E8761B" w:rsidRPr="00AC68A2" w:rsidRDefault="00E8761B" w:rsidP="00545910">
            <w:pPr>
              <w:pStyle w:val="Tabletext9pt"/>
              <w:rPr>
                <w:b w:val="0"/>
                <w:bCs/>
              </w:rPr>
            </w:pPr>
            <w:r w:rsidRPr="00AC68A2">
              <w:rPr>
                <w:b w:val="0"/>
                <w:bCs/>
              </w:rPr>
              <w:t>Subacute admitted services (wrap includes GEM, rehabilitation and palliative care)</w:t>
            </w:r>
          </w:p>
          <w:p w14:paraId="1CE9E52F" w14:textId="77777777" w:rsidR="00E8761B" w:rsidRPr="00AC68A2" w:rsidRDefault="00E8761B" w:rsidP="00545910">
            <w:pPr>
              <w:pStyle w:val="Tabletext9pt"/>
              <w:rPr>
                <w:b w:val="0"/>
                <w:bCs/>
              </w:rPr>
            </w:pPr>
            <w:r w:rsidRPr="00AC68A2">
              <w:rPr>
                <w:b w:val="0"/>
                <w:bCs/>
              </w:rPr>
              <w:t xml:space="preserve">Non-admitted services (includes HIP, genomics and specialist clinics) </w:t>
            </w:r>
          </w:p>
          <w:p w14:paraId="540A0205" w14:textId="77777777" w:rsidR="00E8761B" w:rsidRPr="00AC68A2" w:rsidRDefault="00E8761B" w:rsidP="00545910">
            <w:pPr>
              <w:pStyle w:val="Tabletext9pt"/>
              <w:rPr>
                <w:b w:val="0"/>
                <w:bCs/>
              </w:rPr>
            </w:pPr>
            <w:r w:rsidRPr="00AC68A2">
              <w:rPr>
                <w:b w:val="0"/>
                <w:bCs/>
              </w:rPr>
              <w:t>Emergency non-admitted planned (elective) surgery base activity</w:t>
            </w:r>
          </w:p>
        </w:tc>
        <w:tc>
          <w:tcPr>
            <w:tcW w:w="4892" w:type="dxa"/>
          </w:tcPr>
          <w:p w14:paraId="641D0C9A" w14:textId="7F6949F8" w:rsidR="00A172AE" w:rsidRPr="005A7F8D" w:rsidRDefault="00A172AE"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Funding at 50% of the VEP for activity in excess of targets up to a cap of 10</w:t>
            </w:r>
            <w:r w:rsidR="00CE5EC6">
              <w:t>1</w:t>
            </w:r>
            <w:r w:rsidRPr="005A7F8D">
              <w:t>%</w:t>
            </w:r>
            <w:r w:rsidR="004E0E0A" w:rsidRPr="005A7F8D">
              <w:t>.</w:t>
            </w:r>
          </w:p>
          <w:p w14:paraId="517CB1AB" w14:textId="30CE0A9B" w:rsidR="003348F1" w:rsidRPr="005A7F8D" w:rsidRDefault="003348F1" w:rsidP="00545910">
            <w:pPr>
              <w:pStyle w:val="Tabletext9pt"/>
              <w:cnfStyle w:val="000000100000" w:firstRow="0" w:lastRow="0" w:firstColumn="0" w:lastColumn="0" w:oddVBand="0" w:evenVBand="0" w:oddHBand="1" w:evenHBand="0" w:firstRowFirstColumn="0" w:firstRowLastColumn="0" w:lastRowFirstColumn="0" w:lastRowLastColumn="0"/>
            </w:pPr>
          </w:p>
        </w:tc>
      </w:tr>
      <w:tr w:rsidR="00336FFB" w:rsidRPr="005D4304" w14:paraId="55006DD1"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08155BB2" w14:textId="5E6B5024" w:rsidR="00336FFB" w:rsidRPr="00AC68A2" w:rsidRDefault="00336FFB" w:rsidP="00545910">
            <w:pPr>
              <w:pStyle w:val="Tabletext9pt"/>
              <w:rPr>
                <w:b w:val="0"/>
                <w:bCs/>
              </w:rPr>
            </w:pPr>
            <w:r w:rsidRPr="00AC68A2">
              <w:rPr>
                <w:b w:val="0"/>
                <w:bCs/>
              </w:rPr>
              <w:t>High</w:t>
            </w:r>
            <w:r w:rsidR="004E0E0A" w:rsidRPr="00AC68A2">
              <w:rPr>
                <w:b w:val="0"/>
                <w:bCs/>
              </w:rPr>
              <w:t>-</w:t>
            </w:r>
            <w:r w:rsidRPr="00AC68A2">
              <w:rPr>
                <w:b w:val="0"/>
                <w:bCs/>
              </w:rPr>
              <w:t>cost, highly specialised therapies</w:t>
            </w:r>
          </w:p>
        </w:tc>
        <w:tc>
          <w:tcPr>
            <w:tcW w:w="4892" w:type="dxa"/>
          </w:tcPr>
          <w:p w14:paraId="366B7F53" w14:textId="031AEFE8" w:rsidR="00336FFB" w:rsidRPr="005A7F8D" w:rsidRDefault="00336FF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reconciled to actual costs as per</w:t>
            </w:r>
            <w:r w:rsidR="003D3A5F" w:rsidRPr="005A7F8D">
              <w:t xml:space="preserve"> </w:t>
            </w:r>
            <w:r w:rsidRPr="005A7F8D">
              <w:t>ac</w:t>
            </w:r>
            <w:r w:rsidR="009B3F45" w:rsidRPr="005A7F8D">
              <w:t>quittal (process outlined in section</w:t>
            </w:r>
            <w:r w:rsidR="000B12B0">
              <w:t xml:space="preserve"> </w:t>
            </w:r>
            <w:r w:rsidR="000B12B0">
              <w:fldChar w:fldCharType="begin"/>
            </w:r>
            <w:r w:rsidR="000B12B0">
              <w:instrText xml:space="preserve"> REF _Ref199324695 \r \h </w:instrText>
            </w:r>
            <w:r w:rsidR="000B12B0">
              <w:fldChar w:fldCharType="separate"/>
            </w:r>
            <w:r w:rsidR="007D262B">
              <w:t>3.7</w:t>
            </w:r>
            <w:r w:rsidR="000B12B0">
              <w:fldChar w:fldCharType="end"/>
            </w:r>
            <w:r w:rsidR="009B3F45" w:rsidRPr="005A7F8D">
              <w:t>)</w:t>
            </w:r>
            <w:r w:rsidR="004E0E0A" w:rsidRPr="005A7F8D">
              <w:t>.</w:t>
            </w:r>
          </w:p>
        </w:tc>
      </w:tr>
      <w:tr w:rsidR="00E8761B" w14:paraId="4A7A6EC6"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7" w:type="dxa"/>
          </w:tcPr>
          <w:p w14:paraId="44F53137" w14:textId="77777777" w:rsidR="00E8761B" w:rsidRPr="00AC68A2" w:rsidRDefault="00E8761B" w:rsidP="00545910">
            <w:pPr>
              <w:pStyle w:val="Tabletext9pt"/>
              <w:rPr>
                <w:b w:val="0"/>
                <w:bCs/>
              </w:rPr>
            </w:pPr>
            <w:r w:rsidRPr="00AC68A2">
              <w:rPr>
                <w:b w:val="0"/>
                <w:bCs/>
              </w:rPr>
              <w:t>Acute admitted Hospital Acquired Complications</w:t>
            </w:r>
          </w:p>
        </w:tc>
        <w:tc>
          <w:tcPr>
            <w:tcW w:w="4892" w:type="dxa"/>
          </w:tcPr>
          <w:p w14:paraId="0D6DDB15" w14:textId="596D895B" w:rsidR="008C7D07"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Full payment at VEP for an annual decrease in the HAC NWAU adjustment</w:t>
            </w:r>
          </w:p>
        </w:tc>
      </w:tr>
      <w:tr w:rsidR="00E8761B" w:rsidRPr="00E63D9B" w14:paraId="23AF3E2D"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55F879F8" w14:textId="77777777" w:rsidR="00E8761B" w:rsidRPr="00AC68A2" w:rsidRDefault="00E8761B" w:rsidP="00545910">
            <w:pPr>
              <w:pStyle w:val="Tabletext9pt"/>
              <w:rPr>
                <w:b w:val="0"/>
                <w:bCs/>
              </w:rPr>
            </w:pPr>
            <w:r w:rsidRPr="00AC68A2">
              <w:rPr>
                <w:b w:val="0"/>
                <w:bCs/>
              </w:rPr>
              <w:t xml:space="preserve">Nationally funded centres </w:t>
            </w:r>
          </w:p>
        </w:tc>
        <w:tc>
          <w:tcPr>
            <w:tcW w:w="4892" w:type="dxa"/>
          </w:tcPr>
          <w:p w14:paraId="386C0958" w14:textId="5D14F6F2" w:rsidR="00021C1A"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reconciled to actual activity.</w:t>
            </w:r>
          </w:p>
        </w:tc>
      </w:tr>
      <w:tr w:rsidR="00E8761B" w:rsidRPr="00E63D9B" w14:paraId="1E131BF4"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14F10996" w14:textId="77777777" w:rsidR="00E8761B" w:rsidRPr="00AC68A2" w:rsidRDefault="00E8761B" w:rsidP="00545910">
            <w:pPr>
              <w:pStyle w:val="Tabletext9pt"/>
              <w:rPr>
                <w:b w:val="0"/>
                <w:bCs/>
              </w:rPr>
            </w:pPr>
            <w:r w:rsidRPr="00AC68A2">
              <w:rPr>
                <w:b w:val="0"/>
                <w:bCs/>
              </w:rPr>
              <w:t>Transport Accident Commission</w:t>
            </w:r>
          </w:p>
          <w:p w14:paraId="7E096CAC" w14:textId="77777777" w:rsidR="00E8761B" w:rsidRPr="00AC68A2" w:rsidRDefault="00E8761B" w:rsidP="00545910">
            <w:pPr>
              <w:pStyle w:val="Tabletext9pt"/>
              <w:rPr>
                <w:b w:val="0"/>
                <w:bCs/>
              </w:rPr>
            </w:pPr>
            <w:r w:rsidRPr="00AC68A2">
              <w:rPr>
                <w:b w:val="0"/>
                <w:bCs/>
              </w:rPr>
              <w:t>WorkSafe</w:t>
            </w:r>
          </w:p>
        </w:tc>
        <w:tc>
          <w:tcPr>
            <w:tcW w:w="4892" w:type="dxa"/>
          </w:tcPr>
          <w:p w14:paraId="4A9AF0A1" w14:textId="77777777" w:rsidR="00E8761B" w:rsidRPr="0075347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t xml:space="preserve">Funding </w:t>
            </w:r>
            <w:r w:rsidRPr="005A7F8D">
              <w:t>will</w:t>
            </w:r>
            <w:r>
              <w:t xml:space="preserve"> be reconciled to actual activity </w:t>
            </w:r>
            <w:r w:rsidRPr="0075347D">
              <w:t>for:</w:t>
            </w:r>
          </w:p>
          <w:p w14:paraId="350E2AED" w14:textId="77777777" w:rsidR="00E8761B" w:rsidRPr="00252924"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t>acute admitted services</w:t>
            </w:r>
          </w:p>
          <w:p w14:paraId="18470ACF" w14:textId="198C1FEC" w:rsidR="00FA2E4F" w:rsidRDefault="00FA2E4F" w:rsidP="00545910">
            <w:pPr>
              <w:pStyle w:val="Tablebullet9pt"/>
              <w:cnfStyle w:val="000000100000" w:firstRow="0" w:lastRow="0" w:firstColumn="0" w:lastColumn="0" w:oddVBand="0" w:evenVBand="0" w:oddHBand="1" w:evenHBand="0" w:firstRowFirstColumn="0" w:firstRowLastColumn="0" w:lastRowFirstColumn="0" w:lastRowLastColumn="0"/>
            </w:pPr>
            <w:r>
              <w:t>emergency department services</w:t>
            </w:r>
          </w:p>
          <w:p w14:paraId="4DD635F1" w14:textId="72F3014F" w:rsidR="008A524D"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t>subacute admitted services (wrap includes GEM, rehabilitation, and palliative care)</w:t>
            </w:r>
          </w:p>
          <w:p w14:paraId="7B91A926" w14:textId="13F4B440" w:rsidR="00021C1A" w:rsidRPr="00252924" w:rsidRDefault="008A524D" w:rsidP="00545910">
            <w:pPr>
              <w:pStyle w:val="Tablebullet9pt"/>
              <w:cnfStyle w:val="000000100000" w:firstRow="0" w:lastRow="0" w:firstColumn="0" w:lastColumn="0" w:oddVBand="0" w:evenVBand="0" w:oddHBand="1" w:evenHBand="0" w:firstRowFirstColumn="0" w:firstRowLastColumn="0" w:lastRowFirstColumn="0" w:lastRowLastColumn="0"/>
            </w:pPr>
            <w:r>
              <w:t>mental health services</w:t>
            </w:r>
            <w:r w:rsidR="00E8761B">
              <w:t>.</w:t>
            </w:r>
          </w:p>
        </w:tc>
      </w:tr>
      <w:tr w:rsidR="00E8761B" w:rsidRPr="00022E60" w14:paraId="5DBA03A6"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2D76441A" w14:textId="33977A7B" w:rsidR="00E8761B" w:rsidRPr="00AC68A2" w:rsidRDefault="00E8761B" w:rsidP="00545910">
            <w:pPr>
              <w:pStyle w:val="Tabletext9pt"/>
              <w:rPr>
                <w:b w:val="0"/>
                <w:bCs/>
              </w:rPr>
            </w:pPr>
            <w:r w:rsidRPr="00AC68A2">
              <w:rPr>
                <w:b w:val="0"/>
                <w:bCs/>
              </w:rPr>
              <w:t>Department of Veterans’ Affairs</w:t>
            </w:r>
          </w:p>
        </w:tc>
        <w:tc>
          <w:tcPr>
            <w:tcW w:w="4892" w:type="dxa"/>
          </w:tcPr>
          <w:p w14:paraId="2D1F55EA" w14:textId="77777777" w:rsidR="00E8761B" w:rsidRPr="00252924"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252924">
              <w:t xml:space="preserve">Funding will be </w:t>
            </w:r>
            <w:r w:rsidRPr="005A7F8D">
              <w:t>reconciled</w:t>
            </w:r>
            <w:r w:rsidRPr="00252924">
              <w:t xml:space="preserve"> to actual activity for:</w:t>
            </w:r>
          </w:p>
          <w:p w14:paraId="262FBBE4" w14:textId="77777777" w:rsidR="00E8761B" w:rsidRPr="005A7F8D"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t>acu</w:t>
            </w:r>
            <w:r w:rsidRPr="005A7F8D">
              <w:t>te admitted services</w:t>
            </w:r>
          </w:p>
          <w:p w14:paraId="1047D10E" w14:textId="1E40A84F" w:rsidR="00E8761B" w:rsidRPr="005A7F8D"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5A7F8D">
              <w:lastRenderedPageBreak/>
              <w:t>subacute admitted services (wrap includes GEM, rehabilitation, and palliative care)</w:t>
            </w:r>
          </w:p>
          <w:p w14:paraId="2E2BB48B" w14:textId="26CBA04E" w:rsidR="002E6254" w:rsidRPr="00252924"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5A7F8D">
              <w:t>non-admitted (acute) services.</w:t>
            </w:r>
          </w:p>
        </w:tc>
      </w:tr>
      <w:tr w:rsidR="009F6A71" w:rsidRPr="00022E60" w14:paraId="4AD722E0"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6B91928" w14:textId="41975BDD" w:rsidR="009F6A71" w:rsidRPr="00AC68A2" w:rsidRDefault="009F6A71" w:rsidP="00545910">
            <w:pPr>
              <w:pStyle w:val="Tabletext9pt"/>
              <w:rPr>
                <w:b w:val="0"/>
                <w:bCs/>
              </w:rPr>
            </w:pPr>
            <w:r w:rsidRPr="00AC68A2">
              <w:rPr>
                <w:b w:val="0"/>
                <w:bCs/>
              </w:rPr>
              <w:lastRenderedPageBreak/>
              <w:t>Diabetes prevention</w:t>
            </w:r>
          </w:p>
        </w:tc>
        <w:tc>
          <w:tcPr>
            <w:tcW w:w="4892" w:type="dxa"/>
          </w:tcPr>
          <w:p w14:paraId="0606B840" w14:textId="553878B4" w:rsidR="009F6A71" w:rsidRPr="00252924" w:rsidRDefault="00FD612D" w:rsidP="00545910">
            <w:pPr>
              <w:pStyle w:val="Tabletext9pt"/>
              <w:cnfStyle w:val="000000100000" w:firstRow="0" w:lastRow="0" w:firstColumn="0" w:lastColumn="0" w:oddVBand="0" w:evenVBand="0" w:oddHBand="1" w:evenHBand="0" w:firstRowFirstColumn="0" w:firstRowLastColumn="0" w:lastRowFirstColumn="0" w:lastRowLastColumn="0"/>
            </w:pPr>
            <w:r>
              <w:t>Contingency funding is available if the participant target is exceeded by no more than 5% and the department has been informed in advance.</w:t>
            </w:r>
          </w:p>
        </w:tc>
      </w:tr>
    </w:tbl>
    <w:p w14:paraId="2D2F5651" w14:textId="28AE2C8C" w:rsidR="005B699B" w:rsidRDefault="005B699B" w:rsidP="0084378F">
      <w:pPr>
        <w:pStyle w:val="Heading2"/>
        <w:numPr>
          <w:ilvl w:val="1"/>
          <w:numId w:val="12"/>
        </w:numPr>
        <w:ind w:left="851" w:hanging="851"/>
      </w:pPr>
      <w:bookmarkStart w:id="1780" w:name="_Toc165961836"/>
      <w:bookmarkStart w:id="1781" w:name="_Toc201148261"/>
      <w:bookmarkStart w:id="1782" w:name="_Toc455836075"/>
      <w:bookmarkStart w:id="1783" w:name="_Toc6215626"/>
      <w:bookmarkStart w:id="1784" w:name="_Toc10199699"/>
      <w:bookmarkStart w:id="1785" w:name="_Toc52892599"/>
      <w:bookmarkStart w:id="1786" w:name="_Toc100263332"/>
      <w:r>
        <w:t>Recall with respect to public and private activity mix changes</w:t>
      </w:r>
      <w:bookmarkEnd w:id="1780"/>
      <w:bookmarkEnd w:id="1781"/>
    </w:p>
    <w:p w14:paraId="0C0F23BE" w14:textId="77777777" w:rsidR="005B699B" w:rsidRDefault="005B699B" w:rsidP="005B699B">
      <w:pPr>
        <w:pStyle w:val="Body"/>
      </w:pPr>
      <w:r w:rsidRPr="00E05D10">
        <w:t>The</w:t>
      </w:r>
      <w:r>
        <w:t xml:space="preserve"> </w:t>
      </w:r>
      <w:r w:rsidRPr="00E05D10">
        <w:t xml:space="preserve">recall and throughput </w:t>
      </w:r>
      <w:r>
        <w:t xml:space="preserve">adjustment </w:t>
      </w:r>
      <w:r w:rsidRPr="00E05D10">
        <w:t>will no longer explicit</w:t>
      </w:r>
      <w:r>
        <w:t>ly</w:t>
      </w:r>
      <w:r w:rsidRPr="00E05D10">
        <w:t xml:space="preserve"> account for </w:t>
      </w:r>
      <w:r>
        <w:t xml:space="preserve">changed levels of private patient activity relative to public activity. </w:t>
      </w:r>
      <w:r w:rsidRPr="00E05D10">
        <w:t xml:space="preserve">There is no </w:t>
      </w:r>
      <w:r>
        <w:t xml:space="preserve">differentiation for </w:t>
      </w:r>
      <w:r w:rsidRPr="00E05D10">
        <w:t xml:space="preserve">public </w:t>
      </w:r>
      <w:r>
        <w:t xml:space="preserve">and </w:t>
      </w:r>
      <w:r w:rsidRPr="00E05D10">
        <w:t xml:space="preserve">private activity in the </w:t>
      </w:r>
      <w:r>
        <w:t xml:space="preserve">NWAU </w:t>
      </w:r>
      <w:r w:rsidRPr="00E05D10">
        <w:t>activity target</w:t>
      </w:r>
      <w:r>
        <w:t>. T</w:t>
      </w:r>
      <w:r w:rsidRPr="00E05D10">
        <w:t>herefore</w:t>
      </w:r>
      <w:r>
        <w:t>,</w:t>
      </w:r>
      <w:r w:rsidRPr="00E05D10">
        <w:t xml:space="preserve"> a price</w:t>
      </w:r>
      <w:r>
        <w:t>-</w:t>
      </w:r>
      <w:r w:rsidRPr="00E05D10">
        <w:t>based funding adjustment cannot apply.</w:t>
      </w:r>
    </w:p>
    <w:p w14:paraId="5AF990B9" w14:textId="77777777" w:rsidR="004E0E0A" w:rsidRDefault="005B699B" w:rsidP="005B699B">
      <w:pPr>
        <w:pStyle w:val="Body"/>
      </w:pPr>
      <w:r w:rsidRPr="00E05D10">
        <w:t xml:space="preserve">If the public to private ratio of activity changes over the course of the year, the resultant impact is to the NWAU per separation yield. </w:t>
      </w:r>
    </w:p>
    <w:p w14:paraId="3BDAD9FC" w14:textId="479C8726" w:rsidR="005B699B" w:rsidRDefault="005B699B" w:rsidP="005B699B">
      <w:pPr>
        <w:pStyle w:val="Body"/>
      </w:pPr>
      <w:r w:rsidRPr="00E05D10">
        <w:t>A change in yield will impact the speed at which health services achieve thresholds associated with the throughput or recall policies.</w:t>
      </w:r>
      <w:bookmarkStart w:id="1787" w:name="_Toc111713580"/>
      <w:bookmarkEnd w:id="1787"/>
    </w:p>
    <w:p w14:paraId="55E96798" w14:textId="29EE9D33" w:rsidR="005B699B" w:rsidRDefault="005B699B" w:rsidP="0084378F">
      <w:pPr>
        <w:pStyle w:val="Heading2"/>
        <w:numPr>
          <w:ilvl w:val="1"/>
          <w:numId w:val="12"/>
        </w:numPr>
        <w:ind w:left="851" w:hanging="851"/>
      </w:pPr>
      <w:bookmarkStart w:id="1788" w:name="_Toc201148262"/>
      <w:bookmarkStart w:id="1789" w:name="_Toc165961837"/>
      <w:r>
        <w:t xml:space="preserve">Reconciliation of </w:t>
      </w:r>
      <w:r w:rsidRPr="00790025">
        <w:t>National</w:t>
      </w:r>
      <w:r>
        <w:t xml:space="preserve"> Health Reform Commonwealth </w:t>
      </w:r>
      <w:bookmarkEnd w:id="1782"/>
      <w:bookmarkEnd w:id="1783"/>
      <w:bookmarkEnd w:id="1784"/>
      <w:bookmarkEnd w:id="1785"/>
      <w:bookmarkEnd w:id="1786"/>
      <w:r>
        <w:t>contributions</w:t>
      </w:r>
      <w:bookmarkEnd w:id="1788"/>
      <w:r>
        <w:t xml:space="preserve"> </w:t>
      </w:r>
      <w:bookmarkEnd w:id="1789"/>
    </w:p>
    <w:p w14:paraId="76382442" w14:textId="5C9DF686" w:rsidR="005B699B" w:rsidRDefault="005B699B" w:rsidP="005B699B">
      <w:pPr>
        <w:pStyle w:val="Body"/>
      </w:pPr>
      <w:bookmarkStart w:id="1790" w:name="_Toc100263333"/>
      <w:r>
        <w:t xml:space="preserve">The NHRA requires a </w:t>
      </w:r>
      <w:r w:rsidR="004E0E0A">
        <w:t>6</w:t>
      </w:r>
      <w:r>
        <w:t xml:space="preserve">-month and annual reconciliation of Commonwealth contributions to </w:t>
      </w:r>
      <w:r w:rsidDel="004F47B5">
        <w:t>activity-based funding</w:t>
      </w:r>
      <w:r>
        <w:t xml:space="preserve">. Monthly </w:t>
      </w:r>
      <w:r w:rsidDel="004F47B5">
        <w:t xml:space="preserve">activity-based funding </w:t>
      </w:r>
      <w:r>
        <w:t>payments are based on estimated activity (that is, local hospital network activity targets), with the reconciliation process determining funding adjustments to align to actual activity delivered by each local hospital network.</w:t>
      </w:r>
    </w:p>
    <w:p w14:paraId="62D3E359" w14:textId="77777777" w:rsidR="005B699B" w:rsidRDefault="005B699B" w:rsidP="005B699B">
      <w:pPr>
        <w:pStyle w:val="Body"/>
      </w:pPr>
      <w:r>
        <w:t>The Administrator of the National Health Funding Pool calculates reconciliation adjustments and advises the Commonwealth Treasurer, who makes a final determination of Commonwealth national health reform funding entitlements. Adjustment of Commonwealth national health reform funding is spread equally across payments for a subsequent quarter.</w:t>
      </w:r>
    </w:p>
    <w:p w14:paraId="564FAE2B" w14:textId="15E1CCF9" w:rsidR="00413D09" w:rsidRDefault="00712988" w:rsidP="0084378F">
      <w:pPr>
        <w:pStyle w:val="Heading2"/>
        <w:numPr>
          <w:ilvl w:val="1"/>
          <w:numId w:val="12"/>
        </w:numPr>
        <w:ind w:left="851" w:hanging="851"/>
      </w:pPr>
      <w:bookmarkStart w:id="1791" w:name="_Toc201148263"/>
      <w:r>
        <w:t xml:space="preserve">Reconciliation </w:t>
      </w:r>
      <w:r w:rsidR="00CA2163">
        <w:t xml:space="preserve">of </w:t>
      </w:r>
      <w:r w:rsidR="00F71EB5">
        <w:t>pricing for safety and quality adjustments</w:t>
      </w:r>
      <w:bookmarkEnd w:id="1791"/>
    </w:p>
    <w:p w14:paraId="2AB7AFE6" w14:textId="6CBF09D7" w:rsidR="00E63859" w:rsidRDefault="00E63859" w:rsidP="00E63859">
      <w:pPr>
        <w:pStyle w:val="Body"/>
      </w:pPr>
      <w:r>
        <w:t>A funding adjustment will be applied to each NWAU</w:t>
      </w:r>
      <w:r w:rsidR="007022DE">
        <w:t>-</w:t>
      </w:r>
      <w:r>
        <w:t xml:space="preserve">funded </w:t>
      </w:r>
      <w:r w:rsidR="00532A7A">
        <w:t>h</w:t>
      </w:r>
      <w:r>
        <w:t xml:space="preserve">ealth </w:t>
      </w:r>
      <w:r w:rsidR="00532A7A">
        <w:t>s</w:t>
      </w:r>
      <w:r>
        <w:t xml:space="preserve">ervice where there is a change in the number of HACs and/or AHRs relative to the previous year, after adjusting for risk and complexity. </w:t>
      </w:r>
    </w:p>
    <w:p w14:paraId="6D67D43F" w14:textId="5A02DF05" w:rsidR="00F71EB5" w:rsidRDefault="00E63859" w:rsidP="005B699B">
      <w:pPr>
        <w:pStyle w:val="Body"/>
      </w:pPr>
      <w:r>
        <w:t xml:space="preserve">This adjustment will be paid or recalled at the full rate of VEP for the relevant health service for the annual change in HACs and/or AHRs. </w:t>
      </w:r>
      <w:r w:rsidR="000C15E4">
        <w:t>HAC and AHR a</w:t>
      </w:r>
      <w:r w:rsidR="00530211">
        <w:t>djustments w</w:t>
      </w:r>
      <w:r w:rsidR="000C15E4">
        <w:t xml:space="preserve">hile </w:t>
      </w:r>
      <w:r w:rsidR="00530211">
        <w:t>calculated</w:t>
      </w:r>
      <w:r>
        <w:t xml:space="preserve"> individually</w:t>
      </w:r>
      <w:r w:rsidR="00921AFC">
        <w:t xml:space="preserve">, </w:t>
      </w:r>
      <w:r w:rsidR="000C15E4">
        <w:t xml:space="preserve">will be </w:t>
      </w:r>
      <w:r>
        <w:t xml:space="preserve">netted off each other to </w:t>
      </w:r>
      <w:r w:rsidR="000C15E4">
        <w:t>form</w:t>
      </w:r>
      <w:r>
        <w:t xml:space="preserve"> one annual adjustment.</w:t>
      </w:r>
    </w:p>
    <w:p w14:paraId="75C5B268" w14:textId="47EEB8AD" w:rsidR="005B699B" w:rsidRDefault="005B699B" w:rsidP="0084378F">
      <w:pPr>
        <w:pStyle w:val="Heading2"/>
        <w:numPr>
          <w:ilvl w:val="1"/>
          <w:numId w:val="12"/>
        </w:numPr>
        <w:ind w:left="851" w:hanging="851"/>
      </w:pPr>
      <w:bookmarkStart w:id="1792" w:name="_Toc455836076"/>
      <w:bookmarkStart w:id="1793" w:name="_Toc6215627"/>
      <w:bookmarkStart w:id="1794" w:name="_Toc10199700"/>
      <w:bookmarkStart w:id="1795" w:name="_Toc52892600"/>
      <w:bookmarkStart w:id="1796" w:name="_Toc165961838"/>
      <w:bookmarkStart w:id="1797" w:name="_Toc201148264"/>
      <w:bookmarkEnd w:id="1790"/>
      <w:r>
        <w:t xml:space="preserve">NWAU </w:t>
      </w:r>
      <w:bookmarkEnd w:id="1792"/>
      <w:bookmarkEnd w:id="1793"/>
      <w:bookmarkEnd w:id="1794"/>
      <w:bookmarkEnd w:id="1795"/>
      <w:r>
        <w:t>reports</w:t>
      </w:r>
      <w:bookmarkEnd w:id="1796"/>
      <w:bookmarkEnd w:id="1797"/>
    </w:p>
    <w:p w14:paraId="66800D72" w14:textId="486D3B22" w:rsidR="007832F1" w:rsidRPr="00824155" w:rsidRDefault="007832F1" w:rsidP="00824155">
      <w:pPr>
        <w:pStyle w:val="Body"/>
      </w:pPr>
      <w:bookmarkStart w:id="1798" w:name="_Toc418694972"/>
      <w:r w:rsidRPr="005C5D1E">
        <w:t>The NWAU values reported in Monitor will be used to assess a Health Service performance and any funding recall.</w:t>
      </w:r>
    </w:p>
    <w:p w14:paraId="5990B404" w14:textId="2DA44F20" w:rsidR="007832F1" w:rsidRPr="00824155" w:rsidRDefault="007832F1" w:rsidP="00824155">
      <w:pPr>
        <w:pStyle w:val="Body"/>
      </w:pPr>
      <w:r w:rsidRPr="005C5D1E">
        <w:t xml:space="preserve">Other NWAU reports are provided to public health services via secure data exchange (Managed File Transfer portal). These reports provide NWAU information at aggregate level, broken down by various categories. These reports were developed to assist health services to submit accurate data to administrative datasets and are not intended to be used for NWAU funding reconciliation. The </w:t>
      </w:r>
      <w:r w:rsidRPr="005C5D1E">
        <w:lastRenderedPageBreak/>
        <w:t>department intends to develop and release consolidated reports of NWAU across all service streams during 2025</w:t>
      </w:r>
      <w:r w:rsidR="004E0E0A">
        <w:t>–</w:t>
      </w:r>
      <w:r w:rsidRPr="005C5D1E">
        <w:t>26.</w:t>
      </w:r>
    </w:p>
    <w:p w14:paraId="1F56E2FC" w14:textId="137C3D58" w:rsidR="007832F1" w:rsidRPr="008E3266" w:rsidRDefault="007832F1" w:rsidP="00824155">
      <w:pPr>
        <w:pStyle w:val="Body"/>
      </w:pPr>
      <w:r w:rsidRPr="005C5D1E">
        <w:t>Patient</w:t>
      </w:r>
      <w:r w:rsidR="004E0E0A">
        <w:t>-l</w:t>
      </w:r>
      <w:r w:rsidRPr="005C5D1E">
        <w:t>evel extracts that include data items to support the reconciliation of NWAU values and adjustments are also available and distributed to health services.</w:t>
      </w:r>
    </w:p>
    <w:p w14:paraId="559EDDE0" w14:textId="1D59D209" w:rsidR="005B699B" w:rsidRDefault="005B699B" w:rsidP="008E3266">
      <w:pPr>
        <w:pStyle w:val="Body"/>
      </w:pPr>
      <w:r w:rsidRPr="0050093F">
        <w:rPr>
          <w:lang w:eastAsia="en-AU"/>
        </w:rPr>
        <w:t xml:space="preserve">Further information regarding NWAU reports are available at </w:t>
      </w:r>
      <w:hyperlink r:id="rId76" w:history="1">
        <w:r w:rsidRPr="0050093F">
          <w:rPr>
            <w:rStyle w:val="Hyperlink"/>
            <w:rFonts w:cs="Arial"/>
            <w:szCs w:val="21"/>
            <w:lang w:eastAsia="en-AU"/>
          </w:rPr>
          <w:t>National Funding Model implementation resources page</w:t>
        </w:r>
      </w:hyperlink>
      <w:r w:rsidRPr="0050093F">
        <w:rPr>
          <w:lang w:eastAsia="en-AU"/>
        </w:rPr>
        <w:t xml:space="preserve"> </w:t>
      </w:r>
      <w:r>
        <w:rPr>
          <w:lang w:eastAsia="en-AU"/>
        </w:rPr>
        <w:t>&lt;</w:t>
      </w:r>
      <w:r w:rsidRPr="00F20C48">
        <w:rPr>
          <w:lang w:eastAsia="en-AU"/>
        </w:rPr>
        <w:t>https://www.health.vic.gov.au/data-reporting/national-funding-model-implementation-resources</w:t>
      </w:r>
      <w:r>
        <w:rPr>
          <w:lang w:eastAsia="en-AU"/>
        </w:rPr>
        <w:t>&gt;.</w:t>
      </w:r>
    </w:p>
    <w:p w14:paraId="4AB2AEF8" w14:textId="77777777" w:rsidR="005B699B" w:rsidRDefault="005B699B" w:rsidP="005B699B">
      <w:pPr>
        <w:pStyle w:val="Body"/>
      </w:pPr>
      <w:r>
        <w:br w:type="page"/>
      </w:r>
    </w:p>
    <w:p w14:paraId="483A07BC" w14:textId="042102AF" w:rsidR="005B699B" w:rsidRPr="00F96DD9" w:rsidRDefault="005B699B" w:rsidP="00B718DB">
      <w:pPr>
        <w:pStyle w:val="Heading1"/>
        <w:numPr>
          <w:ilvl w:val="0"/>
          <w:numId w:val="12"/>
        </w:numPr>
        <w:ind w:left="851" w:hanging="851"/>
      </w:pPr>
      <w:bookmarkStart w:id="1799" w:name="_Ref111538889"/>
      <w:bookmarkStart w:id="1800" w:name="_Ref111538897"/>
      <w:bookmarkStart w:id="1801" w:name="_Toc165961840"/>
      <w:bookmarkStart w:id="1802" w:name="_Toc201148265"/>
      <w:r>
        <w:lastRenderedPageBreak/>
        <w:t>Calculating funding recall</w:t>
      </w:r>
      <w:bookmarkEnd w:id="1799"/>
      <w:bookmarkEnd w:id="1800"/>
      <w:bookmarkEnd w:id="1801"/>
      <w:r w:rsidR="004613A4" w:rsidRPr="0013154B">
        <w:t xml:space="preserve"> and adjustment</w:t>
      </w:r>
      <w:bookmarkEnd w:id="1802"/>
    </w:p>
    <w:p w14:paraId="754790AF" w14:textId="1424F964" w:rsidR="005B699B" w:rsidRDefault="005B699B" w:rsidP="0084378F">
      <w:pPr>
        <w:pStyle w:val="Heading2"/>
        <w:numPr>
          <w:ilvl w:val="1"/>
          <w:numId w:val="12"/>
        </w:numPr>
        <w:ind w:left="851" w:hanging="851"/>
      </w:pPr>
      <w:bookmarkStart w:id="1803" w:name="_Toc487742054"/>
      <w:bookmarkStart w:id="1804" w:name="_Toc14172285"/>
      <w:bookmarkStart w:id="1805" w:name="_Toc55381149"/>
      <w:bookmarkStart w:id="1806" w:name="_Toc100263356"/>
      <w:bookmarkStart w:id="1807" w:name="_Toc165961841"/>
      <w:bookmarkStart w:id="1808" w:name="_Toc201148266"/>
      <w:r>
        <w:t xml:space="preserve">Calculating NWAU funding </w:t>
      </w:r>
      <w:bookmarkEnd w:id="1803"/>
      <w:bookmarkEnd w:id="1804"/>
      <w:bookmarkEnd w:id="1805"/>
      <w:bookmarkEnd w:id="1806"/>
      <w:r>
        <w:t>recall</w:t>
      </w:r>
      <w:bookmarkEnd w:id="1807"/>
      <w:bookmarkEnd w:id="1808"/>
      <w:r w:rsidR="009670A7">
        <w:t xml:space="preserve"> </w:t>
      </w:r>
    </w:p>
    <w:p w14:paraId="55867E29" w14:textId="77777777" w:rsidR="005B699B" w:rsidRPr="00F9087B" w:rsidRDefault="005B699B" w:rsidP="008362B2">
      <w:pPr>
        <w:pStyle w:val="Body"/>
      </w:pPr>
      <w:r w:rsidRPr="00F9087B">
        <w:t>Step 1: Calculate the full-year total NWAU activity.</w:t>
      </w:r>
    </w:p>
    <w:p w14:paraId="23A2DD03" w14:textId="77777777" w:rsidR="005B699B" w:rsidRPr="00F9087B" w:rsidRDefault="005B699B" w:rsidP="008362B2">
      <w:pPr>
        <w:pStyle w:val="Body"/>
      </w:pPr>
      <w:r w:rsidRPr="00F9087B">
        <w:t>Step 2: Calculate full-year NWAU activity targets.</w:t>
      </w:r>
    </w:p>
    <w:p w14:paraId="3A058811" w14:textId="77777777" w:rsidR="005B699B" w:rsidRPr="00F9087B" w:rsidRDefault="005B699B" w:rsidP="008362B2">
      <w:pPr>
        <w:pStyle w:val="Body"/>
      </w:pPr>
      <w:r w:rsidRPr="00F9087B" w:rsidDel="00F65C42">
        <w:t xml:space="preserve">Step 3: Calculate the </w:t>
      </w:r>
      <w:r w:rsidRPr="00F9087B">
        <w:t>total performance percentage.</w:t>
      </w:r>
    </w:p>
    <w:p w14:paraId="0141D510" w14:textId="77777777" w:rsidR="005B699B" w:rsidRPr="00AC7D3A" w:rsidRDefault="005B699B" w:rsidP="00EA18DD">
      <w:pPr>
        <w:pStyle w:val="Bullet1"/>
      </w:pPr>
      <w:r>
        <w:t>Express the actual value as a percentage of the revised target value. This will show the extent to which the health service has performed above or below target.</w:t>
      </w:r>
    </w:p>
    <w:p w14:paraId="559774F8" w14:textId="77777777" w:rsidR="005B699B" w:rsidRPr="00631BCD" w:rsidRDefault="005B699B" w:rsidP="002C4282">
      <w:pPr>
        <w:pStyle w:val="Bodyafterbullets"/>
      </w:pPr>
      <w:r w:rsidRPr="00631BCD" w:rsidDel="00F65C42">
        <w:t xml:space="preserve">Step </w:t>
      </w:r>
      <w:r>
        <w:t>4</w:t>
      </w:r>
      <w:r w:rsidRPr="00631BCD">
        <w:t>: Calculate the adjustment.</w:t>
      </w:r>
    </w:p>
    <w:p w14:paraId="2E6F23BD" w14:textId="77777777" w:rsidR="005B699B" w:rsidRPr="00AC7D3A" w:rsidRDefault="005B699B" w:rsidP="005B699B">
      <w:pPr>
        <w:pStyle w:val="Body"/>
      </w:pPr>
      <w:r w:rsidRPr="00AC7D3A">
        <w:t xml:space="preserve">To calculate the dollar amount of the </w:t>
      </w:r>
      <w:r>
        <w:t xml:space="preserve">throughput recall/payment </w:t>
      </w:r>
      <w:r w:rsidRPr="00AC7D3A">
        <w:t>adjustment:</w:t>
      </w:r>
    </w:p>
    <w:p w14:paraId="78BAE033" w14:textId="44B53CCE" w:rsidR="005B699B" w:rsidRDefault="005B699B" w:rsidP="00EA18DD">
      <w:pPr>
        <w:pStyle w:val="Bullet1"/>
      </w:pPr>
      <w:r>
        <w:t xml:space="preserve">Multiply the performance percentage falling within the recall/payment threshold (in section </w:t>
      </w:r>
      <w:r>
        <w:fldChar w:fldCharType="begin"/>
      </w:r>
      <w:r>
        <w:instrText xml:space="preserve"> REF _Ref111538488 \r \h </w:instrText>
      </w:r>
      <w:r>
        <w:fldChar w:fldCharType="separate"/>
      </w:r>
      <w:r w:rsidR="007D262B">
        <w:t>9.1</w:t>
      </w:r>
      <w:r>
        <w:fldChar w:fldCharType="end"/>
      </w:r>
      <w:r>
        <w:t xml:space="preserve"> </w:t>
      </w:r>
      <w:r>
        <w:fldChar w:fldCharType="begin"/>
      </w:r>
      <w:r>
        <w:instrText xml:space="preserve"> REF _Ref111538507 \h </w:instrText>
      </w:r>
      <w:r>
        <w:fldChar w:fldCharType="separate"/>
      </w:r>
      <w:r w:rsidR="007D262B" w:rsidRPr="0007156B">
        <w:t>Victorian funding recall policy</w:t>
      </w:r>
      <w:r>
        <w:fldChar w:fldCharType="end"/>
      </w:r>
      <w:r>
        <w:t xml:space="preserve">) by the target value (calculated in step 2). </w:t>
      </w:r>
    </w:p>
    <w:p w14:paraId="3437FCDD" w14:textId="18E1869C" w:rsidR="005B699B" w:rsidRPr="00AC7D3A" w:rsidRDefault="005B699B" w:rsidP="00EA18DD">
      <w:pPr>
        <w:pStyle w:val="Bullet1"/>
      </w:pPr>
      <w:r>
        <w:t>Multiply this by the VEP.</w:t>
      </w:r>
    </w:p>
    <w:p w14:paraId="62EC792F" w14:textId="77777777" w:rsidR="005B699B" w:rsidRDefault="005B699B" w:rsidP="00EA18DD">
      <w:pPr>
        <w:pStyle w:val="Bullet1"/>
      </w:pPr>
      <w:r>
        <w:t>Multiply that amount by the recall/payment percentage.</w:t>
      </w:r>
    </w:p>
    <w:p w14:paraId="24F1E42E" w14:textId="15412A75" w:rsidR="005B699B" w:rsidRPr="00AC7D3A" w:rsidRDefault="005B699B" w:rsidP="0084378F">
      <w:pPr>
        <w:pStyle w:val="Heading2"/>
        <w:numPr>
          <w:ilvl w:val="1"/>
          <w:numId w:val="12"/>
        </w:numPr>
        <w:ind w:left="851" w:hanging="851"/>
      </w:pPr>
      <w:bookmarkStart w:id="1809" w:name="_Ref143004077"/>
      <w:bookmarkStart w:id="1810" w:name="_Toc165961842"/>
      <w:bookmarkStart w:id="1811" w:name="_Toc201148267"/>
      <w:r w:rsidRPr="0084197D">
        <w:t xml:space="preserve">Calculating </w:t>
      </w:r>
      <w:r>
        <w:t>HAC</w:t>
      </w:r>
      <w:r w:rsidRPr="0084197D">
        <w:t xml:space="preserve"> NWAU</w:t>
      </w:r>
      <w:r>
        <w:t xml:space="preserve"> growth-funding adjustment</w:t>
      </w:r>
      <w:bookmarkEnd w:id="1809"/>
      <w:bookmarkEnd w:id="1810"/>
      <w:bookmarkEnd w:id="1811"/>
      <w:r w:rsidR="009670A7">
        <w:t xml:space="preserve"> </w:t>
      </w:r>
    </w:p>
    <w:p w14:paraId="6ECB85F6" w14:textId="77777777" w:rsidR="005B699B" w:rsidRDefault="005B699B" w:rsidP="002C4282">
      <w:pPr>
        <w:pStyle w:val="Body"/>
      </w:pPr>
      <w:r w:rsidRPr="68F9D2E4">
        <w:t xml:space="preserve">Step 1: </w:t>
      </w:r>
      <w:r>
        <w:t>For the current year, c</w:t>
      </w:r>
      <w:r w:rsidRPr="68F9D2E4">
        <w:t xml:space="preserve">alculate the full-year total </w:t>
      </w:r>
      <w:r>
        <w:t>HAC</w:t>
      </w:r>
      <w:r w:rsidRPr="68F9D2E4">
        <w:t xml:space="preserve"> NWAU adjustment</w:t>
      </w:r>
      <w:r>
        <w:t>.</w:t>
      </w:r>
    </w:p>
    <w:p w14:paraId="06170B85" w14:textId="05D4F9FA" w:rsidR="005B699B" w:rsidRDefault="005B699B" w:rsidP="002C4282">
      <w:pPr>
        <w:pStyle w:val="Body"/>
      </w:pPr>
      <w:r w:rsidRPr="68F9D2E4">
        <w:t xml:space="preserve">Step 2: </w:t>
      </w:r>
      <w:r>
        <w:t>For the prior year, c</w:t>
      </w:r>
      <w:r w:rsidRPr="68F9D2E4">
        <w:t xml:space="preserve">alculate </w:t>
      </w:r>
      <w:r>
        <w:t>the full-year HAC</w:t>
      </w:r>
      <w:r w:rsidRPr="68F9D2E4">
        <w:t xml:space="preserve"> NWAU adjustment</w:t>
      </w:r>
      <w:r>
        <w:t xml:space="preserve"> </w:t>
      </w:r>
    </w:p>
    <w:p w14:paraId="58DA38F3" w14:textId="7F583333" w:rsidR="005B699B" w:rsidRDefault="005B699B" w:rsidP="002C4282">
      <w:pPr>
        <w:pStyle w:val="Body"/>
      </w:pPr>
      <w:r w:rsidRPr="68F9D2E4">
        <w:t xml:space="preserve">Step 3: Calculate the </w:t>
      </w:r>
      <w:r>
        <w:t xml:space="preserve">change </w:t>
      </w:r>
      <w:r w:rsidRPr="68F9D2E4">
        <w:t>in the HAC NWAU adjustment as the difference between Step 1 and Step 2</w:t>
      </w:r>
      <w:r>
        <w:t>.</w:t>
      </w:r>
    </w:p>
    <w:p w14:paraId="46C79E4A" w14:textId="77777777" w:rsidR="005B699B" w:rsidRDefault="005B699B" w:rsidP="002C4282">
      <w:pPr>
        <w:pStyle w:val="Body"/>
      </w:pPr>
      <w:r w:rsidRPr="68F9D2E4">
        <w:t xml:space="preserve">Step 4: Calculate the HAC </w:t>
      </w:r>
      <w:r>
        <w:t>growth-funding</w:t>
      </w:r>
      <w:r w:rsidRPr="68F9D2E4">
        <w:t xml:space="preserve"> adjustment.</w:t>
      </w:r>
    </w:p>
    <w:p w14:paraId="731058D1" w14:textId="77777777" w:rsidR="005B699B" w:rsidRDefault="005B699B" w:rsidP="00EA18DD">
      <w:pPr>
        <w:pStyle w:val="Bullet1"/>
      </w:pPr>
      <w:r>
        <w:t xml:space="preserve">Multiply Step 3 by VEP to derive the HAC NWAU </w:t>
      </w:r>
      <w:r w:rsidRPr="00F9087B">
        <w:t>funding</w:t>
      </w:r>
      <w:r>
        <w:t xml:space="preserve"> adjustment.</w:t>
      </w:r>
    </w:p>
    <w:p w14:paraId="2EF017C1" w14:textId="6C8C950A" w:rsidR="00D94241" w:rsidRPr="00736CC1" w:rsidRDefault="00D94241" w:rsidP="00D94241">
      <w:pPr>
        <w:pStyle w:val="Bodyafterbullets"/>
      </w:pPr>
      <w:r w:rsidRPr="00736CC1">
        <w:t>The funding adjustment is applied as a prior</w:t>
      </w:r>
      <w:r>
        <w:t>-</w:t>
      </w:r>
      <w:r w:rsidRPr="004E0E0A">
        <w:t>year</w:t>
      </w:r>
      <w:r w:rsidRPr="00736CC1">
        <w:t xml:space="preserve"> adjustment at the same</w:t>
      </w:r>
      <w:r>
        <w:t xml:space="preserve"> time</w:t>
      </w:r>
      <w:r w:rsidRPr="00736CC1">
        <w:t xml:space="preserve"> as the throughput and recall adjustment</w:t>
      </w:r>
      <w:r>
        <w:t>.</w:t>
      </w:r>
    </w:p>
    <w:p w14:paraId="0B297610" w14:textId="7D7D8B33" w:rsidR="00F640A9" w:rsidRDefault="00FF6B62" w:rsidP="0084378F">
      <w:pPr>
        <w:pStyle w:val="Heading2"/>
        <w:numPr>
          <w:ilvl w:val="1"/>
          <w:numId w:val="12"/>
        </w:numPr>
        <w:ind w:left="851" w:hanging="851"/>
      </w:pPr>
      <w:bookmarkStart w:id="1812" w:name="_Ref167781452"/>
      <w:bookmarkStart w:id="1813" w:name="_Toc201148268"/>
      <w:bookmarkStart w:id="1814" w:name="_Toc487742055"/>
      <w:bookmarkStart w:id="1815" w:name="_Toc14172286"/>
      <w:bookmarkStart w:id="1816" w:name="_Toc55381150"/>
      <w:bookmarkStart w:id="1817" w:name="_Toc100263357"/>
      <w:bookmarkStart w:id="1818" w:name="_Toc165961843"/>
      <w:r>
        <w:t>Cal</w:t>
      </w:r>
      <w:r w:rsidR="0063477B">
        <w:t>culating AHR NWAU growth</w:t>
      </w:r>
      <w:r w:rsidR="00582323">
        <w:t xml:space="preserve">-funding </w:t>
      </w:r>
      <w:r w:rsidR="00E356FA">
        <w:t>adjustment</w:t>
      </w:r>
      <w:bookmarkEnd w:id="1812"/>
      <w:bookmarkEnd w:id="1813"/>
      <w:r w:rsidR="009670A7">
        <w:t xml:space="preserve"> </w:t>
      </w:r>
    </w:p>
    <w:p w14:paraId="261471B3" w14:textId="21AB323F" w:rsidR="00FF6B62" w:rsidRDefault="00FF6B62" w:rsidP="00FF6B62">
      <w:pPr>
        <w:pStyle w:val="Body"/>
      </w:pPr>
      <w:r w:rsidRPr="68F9D2E4">
        <w:t xml:space="preserve">Step 1: </w:t>
      </w:r>
      <w:r>
        <w:t>For the current year, c</w:t>
      </w:r>
      <w:r w:rsidRPr="68F9D2E4">
        <w:t xml:space="preserve">alculate the full-year total </w:t>
      </w:r>
      <w:r w:rsidR="00C71027">
        <w:t>AHR</w:t>
      </w:r>
      <w:r w:rsidRPr="68F9D2E4">
        <w:t xml:space="preserve"> NWAU adjustment</w:t>
      </w:r>
      <w:r>
        <w:t>.</w:t>
      </w:r>
    </w:p>
    <w:p w14:paraId="795AA7A8" w14:textId="24A5677E" w:rsidR="00FF6B62" w:rsidRDefault="00FF6B62" w:rsidP="00FF6B62">
      <w:pPr>
        <w:pStyle w:val="Body"/>
      </w:pPr>
      <w:r w:rsidRPr="68F9D2E4">
        <w:t xml:space="preserve">Step 2: </w:t>
      </w:r>
      <w:r>
        <w:t>For the prior year, c</w:t>
      </w:r>
      <w:r w:rsidRPr="68F9D2E4">
        <w:t xml:space="preserve">alculate </w:t>
      </w:r>
      <w:r>
        <w:t xml:space="preserve">the full-year </w:t>
      </w:r>
      <w:r w:rsidR="00C71027">
        <w:t>AHR</w:t>
      </w:r>
      <w:r w:rsidRPr="68F9D2E4">
        <w:t xml:space="preserve"> NWAU adjustment</w:t>
      </w:r>
      <w:r>
        <w:t xml:space="preserve"> and</w:t>
      </w:r>
      <w:r w:rsidRPr="68F9D2E4">
        <w:t xml:space="preserve"> </w:t>
      </w:r>
      <w:r w:rsidR="20BB0E50">
        <w:t>back cast</w:t>
      </w:r>
      <w:r w:rsidRPr="68F9D2E4">
        <w:t xml:space="preserve"> to </w:t>
      </w:r>
      <w:r>
        <w:t>align NWAU between the current and prior year.</w:t>
      </w:r>
    </w:p>
    <w:p w14:paraId="25DED640" w14:textId="2006696B" w:rsidR="00FF6B62" w:rsidRDefault="00FF6B62" w:rsidP="00FF6B62">
      <w:pPr>
        <w:pStyle w:val="Body"/>
      </w:pPr>
      <w:r w:rsidRPr="68F9D2E4">
        <w:t xml:space="preserve">Step 3: Calculate the </w:t>
      </w:r>
      <w:r>
        <w:t xml:space="preserve">change </w:t>
      </w:r>
      <w:r w:rsidRPr="68F9D2E4">
        <w:t xml:space="preserve">in the </w:t>
      </w:r>
      <w:r w:rsidR="00C71027">
        <w:t>AHR</w:t>
      </w:r>
      <w:r w:rsidRPr="68F9D2E4">
        <w:t xml:space="preserve"> NWAU adjustment as the difference between Step 1 and Step 2</w:t>
      </w:r>
      <w:r>
        <w:t>.</w:t>
      </w:r>
    </w:p>
    <w:p w14:paraId="70CE1B01" w14:textId="2497278E" w:rsidR="00FF6B62" w:rsidRDefault="00FF6B62" w:rsidP="00FF6B62">
      <w:pPr>
        <w:pStyle w:val="Body"/>
      </w:pPr>
      <w:r w:rsidRPr="68F9D2E4">
        <w:t xml:space="preserve">Step 4: Calculate the </w:t>
      </w:r>
      <w:r w:rsidR="00C71027">
        <w:t>AHR</w:t>
      </w:r>
      <w:r w:rsidRPr="68F9D2E4">
        <w:t xml:space="preserve"> </w:t>
      </w:r>
      <w:r>
        <w:t>growth-funding</w:t>
      </w:r>
      <w:r w:rsidRPr="68F9D2E4">
        <w:t xml:space="preserve"> adjustment.</w:t>
      </w:r>
    </w:p>
    <w:p w14:paraId="0FE5B869" w14:textId="5837AF52" w:rsidR="00F640A9" w:rsidRPr="00F640A9" w:rsidRDefault="00FF6B62" w:rsidP="00EA18DD">
      <w:pPr>
        <w:pStyle w:val="Bullet1"/>
      </w:pPr>
      <w:r>
        <w:t xml:space="preserve">Multiply Step 3 by VEP to derive the </w:t>
      </w:r>
      <w:r w:rsidR="00C71027">
        <w:t>AHR</w:t>
      </w:r>
      <w:r>
        <w:t xml:space="preserve"> NWAU </w:t>
      </w:r>
      <w:r w:rsidRPr="00F9087B">
        <w:t>funding</w:t>
      </w:r>
      <w:r>
        <w:t xml:space="preserve"> adjustment.</w:t>
      </w:r>
    </w:p>
    <w:p w14:paraId="552C4542" w14:textId="5C829B4F" w:rsidR="005B699B" w:rsidRDefault="005B699B" w:rsidP="0084378F">
      <w:pPr>
        <w:pStyle w:val="Heading2"/>
        <w:numPr>
          <w:ilvl w:val="1"/>
          <w:numId w:val="12"/>
        </w:numPr>
        <w:ind w:left="851" w:hanging="851"/>
      </w:pPr>
      <w:bookmarkStart w:id="1819" w:name="_Toc201148269"/>
      <w:r>
        <w:t>Calculating TAC</w:t>
      </w:r>
      <w:r w:rsidR="00D652E1">
        <w:t>, WorkSafe</w:t>
      </w:r>
      <w:r>
        <w:t xml:space="preserve"> or Department of </w:t>
      </w:r>
      <w:r w:rsidRPr="00790025">
        <w:t>Veterans’</w:t>
      </w:r>
      <w:r>
        <w:t xml:space="preserve"> Affairs NWAU funding </w:t>
      </w:r>
      <w:bookmarkEnd w:id="1814"/>
      <w:bookmarkEnd w:id="1815"/>
      <w:bookmarkEnd w:id="1816"/>
      <w:bookmarkEnd w:id="1817"/>
      <w:r>
        <w:t>recall</w:t>
      </w:r>
      <w:bookmarkEnd w:id="1818"/>
      <w:bookmarkEnd w:id="1819"/>
    </w:p>
    <w:p w14:paraId="1E69CE12" w14:textId="77777777" w:rsidR="005B699B" w:rsidRDefault="005B699B" w:rsidP="005B699B">
      <w:pPr>
        <w:pStyle w:val="Body"/>
      </w:pPr>
      <w:r w:rsidRPr="00AC7D3A">
        <w:t>Funding adjustments are calculated as follows</w:t>
      </w:r>
      <w:r>
        <w:t>.</w:t>
      </w:r>
    </w:p>
    <w:p w14:paraId="5C133AE4" w14:textId="61032BCC" w:rsidR="005B699B" w:rsidRPr="00631BCD" w:rsidRDefault="005B699B" w:rsidP="002C4282">
      <w:pPr>
        <w:pStyle w:val="Body"/>
      </w:pPr>
      <w:r w:rsidRPr="00572AF9">
        <w:t>Step 1: Calculate the over</w:t>
      </w:r>
      <w:r>
        <w:t xml:space="preserve">- </w:t>
      </w:r>
      <w:r w:rsidRPr="00572AF9">
        <w:t xml:space="preserve">or </w:t>
      </w:r>
      <w:r w:rsidRPr="00F9087B">
        <w:t>under</w:t>
      </w:r>
      <w:r w:rsidRPr="00572AF9">
        <w:t>activity.</w:t>
      </w:r>
    </w:p>
    <w:p w14:paraId="68C71910" w14:textId="08B91027" w:rsidR="005B699B" w:rsidRPr="00F9087B" w:rsidRDefault="005B699B" w:rsidP="00EA18DD">
      <w:pPr>
        <w:pStyle w:val="Bullet1"/>
      </w:pPr>
      <w:r w:rsidRPr="00F9087B">
        <w:lastRenderedPageBreak/>
        <w:t>Calculate the over- or underactivity</w:t>
      </w:r>
      <w:r w:rsidRPr="002C4282">
        <w:t xml:space="preserve"> </w:t>
      </w:r>
      <w:r w:rsidRPr="00F9087B">
        <w:t>by subtracting the total full-year target from total full-year activity.</w:t>
      </w:r>
    </w:p>
    <w:p w14:paraId="39196BA8" w14:textId="451469F2" w:rsidR="005B699B" w:rsidRPr="00F9087B" w:rsidRDefault="005B699B" w:rsidP="00592031">
      <w:pPr>
        <w:pStyle w:val="Bullet1"/>
        <w:spacing w:after="120"/>
        <w:ind w:left="357" w:hanging="357"/>
      </w:pPr>
      <w:r w:rsidRPr="00F9087B">
        <w:t>A negative variance indicates that actual activity is less than the funded target (under-performance), and a positive variance indicated activity is greater than funded performance (overactivity).</w:t>
      </w:r>
    </w:p>
    <w:p w14:paraId="1F43D4A4" w14:textId="77777777" w:rsidR="005B699B" w:rsidRPr="00631BCD" w:rsidRDefault="005B699B" w:rsidP="00593CD6">
      <w:r w:rsidRPr="00631BCD">
        <w:t>Step 2: Calculate the amount of funding to be recalled or paid.</w:t>
      </w:r>
    </w:p>
    <w:p w14:paraId="663CCD4D" w14:textId="5B9A16CE" w:rsidR="005B699B" w:rsidRDefault="005B699B" w:rsidP="005B699B">
      <w:pPr>
        <w:pStyle w:val="Body"/>
      </w:pPr>
      <w:r>
        <w:t xml:space="preserve">Calculate the amount of funding to be recalled (health service liability to department) or paid (department liability to health service) by multiplying the variance calculated in step 1 by the TAC / </w:t>
      </w:r>
      <w:r w:rsidR="000C7F0E">
        <w:t xml:space="preserve">WorkSafe / </w:t>
      </w:r>
      <w:r>
        <w:t>Department of Veterans’ Affairs NWAU unit rate.</w:t>
      </w:r>
    </w:p>
    <w:p w14:paraId="4183E450" w14:textId="77777777" w:rsidR="005D246D" w:rsidRDefault="005D246D">
      <w:pPr>
        <w:spacing w:after="0" w:line="240" w:lineRule="auto"/>
        <w:rPr>
          <w:rFonts w:eastAsia="Times"/>
        </w:rPr>
      </w:pPr>
      <w:bookmarkStart w:id="1820" w:name="_Toc452819097"/>
      <w:bookmarkStart w:id="1821" w:name="_Toc452822067"/>
      <w:bookmarkStart w:id="1822" w:name="_Toc452819098"/>
      <w:bookmarkStart w:id="1823" w:name="_Toc452822068"/>
      <w:bookmarkStart w:id="1824" w:name="_Toc452819099"/>
      <w:bookmarkStart w:id="1825" w:name="_Toc452822069"/>
      <w:bookmarkStart w:id="1826" w:name="_Toc452819100"/>
      <w:bookmarkStart w:id="1827" w:name="_Toc452822070"/>
      <w:bookmarkStart w:id="1828" w:name="_Toc452819101"/>
      <w:bookmarkStart w:id="1829" w:name="_Toc452822071"/>
      <w:bookmarkStart w:id="1830" w:name="_Toc452819102"/>
      <w:bookmarkStart w:id="1831" w:name="_Toc452822072"/>
      <w:bookmarkStart w:id="1832" w:name="_Toc452819103"/>
      <w:bookmarkStart w:id="1833" w:name="_Toc452822073"/>
      <w:bookmarkStart w:id="1834" w:name="_Toc452819104"/>
      <w:bookmarkStart w:id="1835" w:name="_Toc452822074"/>
      <w:bookmarkStart w:id="1836" w:name="_Toc452819105"/>
      <w:bookmarkStart w:id="1837" w:name="_Toc452822075"/>
      <w:bookmarkStart w:id="1838" w:name="_Toc452819106"/>
      <w:bookmarkStart w:id="1839" w:name="_Toc452822076"/>
      <w:bookmarkStart w:id="1840" w:name="_Toc452819107"/>
      <w:bookmarkStart w:id="1841" w:name="_Toc452822077"/>
      <w:bookmarkStart w:id="1842" w:name="_Toc452819108"/>
      <w:bookmarkStart w:id="1843" w:name="_Toc452822078"/>
      <w:bookmarkStart w:id="1844" w:name="_Toc452819109"/>
      <w:bookmarkStart w:id="1845" w:name="_Toc452822079"/>
      <w:bookmarkStart w:id="1846" w:name="_Toc452819110"/>
      <w:bookmarkStart w:id="1847" w:name="_Toc452822080"/>
      <w:bookmarkStart w:id="1848" w:name="_Toc452819111"/>
      <w:bookmarkStart w:id="1849" w:name="_Toc452822081"/>
      <w:bookmarkStart w:id="1850" w:name="_Toc452819112"/>
      <w:bookmarkStart w:id="1851" w:name="_Toc452822082"/>
      <w:bookmarkStart w:id="1852" w:name="_Toc484327540"/>
      <w:bookmarkStart w:id="1853" w:name="_Toc484327542"/>
      <w:bookmarkStart w:id="1854" w:name="_Toc484327544"/>
      <w:bookmarkStart w:id="1855" w:name="_Toc484327545"/>
      <w:bookmarkStart w:id="1856" w:name="_Toc484327547"/>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br w:type="page"/>
      </w:r>
    </w:p>
    <w:p w14:paraId="171E33E4" w14:textId="763B9129" w:rsidR="005B699B" w:rsidRDefault="005B699B" w:rsidP="00B718DB">
      <w:pPr>
        <w:pStyle w:val="Heading1"/>
        <w:numPr>
          <w:ilvl w:val="0"/>
          <w:numId w:val="12"/>
        </w:numPr>
        <w:ind w:left="851" w:hanging="851"/>
      </w:pPr>
      <w:bookmarkStart w:id="1857" w:name="_Toc59472682"/>
      <w:bookmarkStart w:id="1858" w:name="_Toc5810315"/>
      <w:bookmarkStart w:id="1859" w:name="_Toc5810484"/>
      <w:bookmarkStart w:id="1860" w:name="_Toc5871391"/>
      <w:bookmarkStart w:id="1861" w:name="_Toc5871662"/>
      <w:bookmarkStart w:id="1862" w:name="_Toc5810316"/>
      <w:bookmarkStart w:id="1863" w:name="_Toc5810485"/>
      <w:bookmarkStart w:id="1864" w:name="_Toc5871392"/>
      <w:bookmarkStart w:id="1865" w:name="_Toc5871663"/>
      <w:bookmarkStart w:id="1866" w:name="_Toc5810317"/>
      <w:bookmarkStart w:id="1867" w:name="_Toc5810486"/>
      <w:bookmarkStart w:id="1868" w:name="_Toc5871393"/>
      <w:bookmarkStart w:id="1869" w:name="_Toc5871664"/>
      <w:bookmarkStart w:id="1870" w:name="_Toc5810318"/>
      <w:bookmarkStart w:id="1871" w:name="_Toc5810487"/>
      <w:bookmarkStart w:id="1872" w:name="_Toc5871394"/>
      <w:bookmarkStart w:id="1873" w:name="_Toc5871665"/>
      <w:bookmarkStart w:id="1874" w:name="_Toc51061162"/>
      <w:bookmarkStart w:id="1875" w:name="_Toc51062423"/>
      <w:bookmarkStart w:id="1876" w:name="_Toc51082066"/>
      <w:bookmarkStart w:id="1877" w:name="_Toc52897457"/>
      <w:bookmarkStart w:id="1878" w:name="_Toc52898836"/>
      <w:bookmarkStart w:id="1879" w:name="_Toc52900291"/>
      <w:bookmarkStart w:id="1880" w:name="_Toc52901634"/>
      <w:bookmarkStart w:id="1881" w:name="_Toc52903097"/>
      <w:bookmarkStart w:id="1882" w:name="_Toc53058074"/>
      <w:bookmarkStart w:id="1883" w:name="_Toc53059418"/>
      <w:bookmarkStart w:id="1884" w:name="_Toc53060760"/>
      <w:bookmarkStart w:id="1885" w:name="_Toc53062223"/>
      <w:bookmarkStart w:id="1886" w:name="_Toc53063600"/>
      <w:bookmarkStart w:id="1887" w:name="_Toc53064978"/>
      <w:bookmarkStart w:id="1888" w:name="_Toc54261562"/>
      <w:bookmarkStart w:id="1889" w:name="_Toc54615378"/>
      <w:bookmarkStart w:id="1890" w:name="_Toc55380961"/>
      <w:bookmarkStart w:id="1891" w:name="_Toc51061230"/>
      <w:bookmarkStart w:id="1892" w:name="_Toc51062491"/>
      <w:bookmarkStart w:id="1893" w:name="_Toc51082134"/>
      <w:bookmarkStart w:id="1894" w:name="_Toc51061313"/>
      <w:bookmarkStart w:id="1895" w:name="_Toc51062574"/>
      <w:bookmarkStart w:id="1896" w:name="_Toc51082217"/>
      <w:bookmarkStart w:id="1897" w:name="_Toc52897600"/>
      <w:bookmarkStart w:id="1898" w:name="_Toc52898979"/>
      <w:bookmarkStart w:id="1899" w:name="_Toc52900434"/>
      <w:bookmarkStart w:id="1900" w:name="_Toc52901777"/>
      <w:bookmarkStart w:id="1901" w:name="_Toc52903240"/>
      <w:bookmarkStart w:id="1902" w:name="_Toc53058217"/>
      <w:bookmarkStart w:id="1903" w:name="_Toc53059561"/>
      <w:bookmarkStart w:id="1904" w:name="_Toc53060903"/>
      <w:bookmarkStart w:id="1905" w:name="_Toc53062366"/>
      <w:bookmarkStart w:id="1906" w:name="_Toc53063743"/>
      <w:bookmarkStart w:id="1907" w:name="_Toc53065121"/>
      <w:bookmarkStart w:id="1908" w:name="_Toc53387630"/>
      <w:bookmarkStart w:id="1909" w:name="_Toc51062183"/>
      <w:bookmarkStart w:id="1910" w:name="_Toc51063444"/>
      <w:bookmarkStart w:id="1911" w:name="_Toc51083087"/>
      <w:bookmarkStart w:id="1912" w:name="_Toc52898470"/>
      <w:bookmarkStart w:id="1913" w:name="_Toc52899849"/>
      <w:bookmarkStart w:id="1914" w:name="_Toc52901304"/>
      <w:bookmarkStart w:id="1915" w:name="_Toc52902647"/>
      <w:bookmarkStart w:id="1916" w:name="_Toc52904110"/>
      <w:bookmarkStart w:id="1917" w:name="_Toc53059087"/>
      <w:bookmarkStart w:id="1918" w:name="_Toc53060431"/>
      <w:bookmarkStart w:id="1919" w:name="_Toc53061773"/>
      <w:bookmarkStart w:id="1920" w:name="_Toc53063236"/>
      <w:bookmarkStart w:id="1921" w:name="_Toc53064613"/>
      <w:bookmarkStart w:id="1922" w:name="_Toc53065991"/>
      <w:bookmarkStart w:id="1923" w:name="_Toc6408403"/>
      <w:bookmarkStart w:id="1924" w:name="_Toc10199774"/>
      <w:bookmarkStart w:id="1925" w:name="_Toc37862571"/>
      <w:bookmarkStart w:id="1926" w:name="_Toc52892655"/>
      <w:bookmarkStart w:id="1927" w:name="_Toc100263339"/>
      <w:bookmarkStart w:id="1928" w:name="_Toc165961844"/>
      <w:bookmarkStart w:id="1929" w:name="_Toc201148270"/>
      <w:bookmarkEnd w:id="1723"/>
      <w:bookmarkEnd w:id="1724"/>
      <w:bookmarkEnd w:id="1725"/>
      <w:bookmarkEnd w:id="1726"/>
      <w:bookmarkEnd w:id="1727"/>
      <w:bookmarkEnd w:id="1728"/>
      <w:bookmarkEnd w:id="1729"/>
      <w:bookmarkEnd w:id="1798"/>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lastRenderedPageBreak/>
        <w:t xml:space="preserve">Payments </w:t>
      </w:r>
      <w:r w:rsidRPr="00790025">
        <w:t>and</w:t>
      </w:r>
      <w:r>
        <w:t xml:space="preserve"> cash </w:t>
      </w:r>
      <w:bookmarkEnd w:id="1923"/>
      <w:bookmarkEnd w:id="1924"/>
      <w:bookmarkEnd w:id="1925"/>
      <w:bookmarkEnd w:id="1926"/>
      <w:bookmarkEnd w:id="1927"/>
      <w:r>
        <w:t>flow</w:t>
      </w:r>
      <w:bookmarkEnd w:id="1928"/>
      <w:bookmarkEnd w:id="1929"/>
    </w:p>
    <w:p w14:paraId="7CB96C0B" w14:textId="5B7FC431" w:rsidR="005B699B" w:rsidRDefault="005B699B" w:rsidP="0084378F">
      <w:pPr>
        <w:pStyle w:val="Heading2"/>
        <w:numPr>
          <w:ilvl w:val="1"/>
          <w:numId w:val="12"/>
        </w:numPr>
        <w:ind w:left="851" w:hanging="851"/>
      </w:pPr>
      <w:bookmarkStart w:id="1930" w:name="_Toc100263341"/>
      <w:bookmarkStart w:id="1931" w:name="_Toc6408406"/>
      <w:bookmarkStart w:id="1932" w:name="_Toc10199777"/>
      <w:bookmarkStart w:id="1933" w:name="_Toc37862574"/>
      <w:bookmarkStart w:id="1934" w:name="_Toc52892658"/>
      <w:bookmarkStart w:id="1935" w:name="_Toc165961845"/>
      <w:bookmarkStart w:id="1936" w:name="_Toc201148271"/>
      <w:r>
        <w:t xml:space="preserve">Use of </w:t>
      </w:r>
      <w:bookmarkEnd w:id="1930"/>
      <w:bookmarkEnd w:id="1931"/>
      <w:bookmarkEnd w:id="1932"/>
      <w:bookmarkEnd w:id="1933"/>
      <w:bookmarkEnd w:id="1934"/>
      <w:r w:rsidRPr="00790025">
        <w:t>contracts</w:t>
      </w:r>
      <w:bookmarkEnd w:id="1935"/>
      <w:bookmarkEnd w:id="1936"/>
      <w:r w:rsidR="00A67432">
        <w:t xml:space="preserve"> </w:t>
      </w:r>
    </w:p>
    <w:p w14:paraId="7072E75E" w14:textId="257AA1B1" w:rsidR="005B699B" w:rsidRDefault="00F9087B" w:rsidP="005B699B">
      <w:pPr>
        <w:pStyle w:val="Body"/>
      </w:pPr>
      <w:r>
        <w:t>Sometimes when</w:t>
      </w:r>
      <w:r w:rsidR="005B699B">
        <w:t xml:space="preserve"> a health service has reduced capacity (for example, due to workforce shortages or capital works)</w:t>
      </w:r>
      <w:r>
        <w:t>,</w:t>
      </w:r>
      <w:r w:rsidR="005B699B">
        <w:t xml:space="preserve"> it may contract with another service to undertake activity for a limited period. Contract arrangements of this type must be approved </w:t>
      </w:r>
      <w:r w:rsidR="00B774A2">
        <w:t xml:space="preserve">by the health service’s Performance </w:t>
      </w:r>
      <w:r w:rsidR="004E0E0A">
        <w:t xml:space="preserve">and </w:t>
      </w:r>
      <w:r w:rsidR="00B774A2">
        <w:t>Commissioning Director.</w:t>
      </w:r>
    </w:p>
    <w:p w14:paraId="7A8B55D0" w14:textId="06DBC951" w:rsidR="00F9087B" w:rsidRDefault="00B774A2" w:rsidP="005B699B">
      <w:pPr>
        <w:pStyle w:val="Body"/>
      </w:pPr>
      <w:r w:rsidRPr="00E678A6">
        <w:t>Approval will only be granted where the health service can demonstrate that the capacity reduction is temporary and that the contract is an appropriate use of allocated NWAU, taking into account local demand for services</w:t>
      </w:r>
      <w:r w:rsidR="005B699B" w:rsidRPr="00E678A6">
        <w:t>.</w:t>
      </w:r>
    </w:p>
    <w:p w14:paraId="23CF229A" w14:textId="77777777" w:rsidR="007F5834" w:rsidRDefault="001420C8" w:rsidP="001420C8">
      <w:pPr>
        <w:pStyle w:val="Body"/>
      </w:pPr>
      <w:r>
        <w:t>Reporting guidelines and business rules for reporting of contracted care episodes</w:t>
      </w:r>
      <w:r w:rsidRPr="00E678A6">
        <w:t xml:space="preserve"> </w:t>
      </w:r>
      <w:r>
        <w:t>are</w:t>
      </w:r>
      <w:r w:rsidRPr="00E678A6">
        <w:t xml:space="preserve"> available in the VAED manual</w:t>
      </w:r>
      <w:r>
        <w:t>.</w:t>
      </w:r>
      <w:r w:rsidR="004D32E7">
        <w:t xml:space="preserve"> </w:t>
      </w:r>
    </w:p>
    <w:p w14:paraId="735FF86A" w14:textId="57DBAE00" w:rsidR="001F38EF" w:rsidRPr="001F38EF" w:rsidRDefault="004D32E7" w:rsidP="001F38EF">
      <w:pPr>
        <w:pStyle w:val="Body"/>
      </w:pPr>
      <w:r>
        <w:t xml:space="preserve">Episodes at the </w:t>
      </w:r>
      <w:r w:rsidR="00A0557D">
        <w:t xml:space="preserve">contracted hospital, that is the </w:t>
      </w:r>
      <w:r>
        <w:t xml:space="preserve">service </w:t>
      </w:r>
      <w:r w:rsidR="004A6A86">
        <w:t xml:space="preserve">provider </w:t>
      </w:r>
      <w:r w:rsidR="007F5834">
        <w:t>hospital</w:t>
      </w:r>
      <w:r w:rsidR="00A0557D">
        <w:t>,</w:t>
      </w:r>
      <w:r w:rsidR="007F5834">
        <w:t xml:space="preserve"> are not eligible for NWAU activity-based funding.</w:t>
      </w:r>
    </w:p>
    <w:p w14:paraId="00C0FC77" w14:textId="3E6A2A82" w:rsidR="005B699B" w:rsidRDefault="005B699B" w:rsidP="0084378F">
      <w:pPr>
        <w:pStyle w:val="Heading2"/>
        <w:numPr>
          <w:ilvl w:val="1"/>
          <w:numId w:val="12"/>
        </w:numPr>
        <w:ind w:left="851" w:hanging="851"/>
      </w:pPr>
      <w:bookmarkStart w:id="1937" w:name="_Toc197452758"/>
      <w:bookmarkStart w:id="1938" w:name="_Toc6408407"/>
      <w:bookmarkStart w:id="1939" w:name="_Ref9933651"/>
      <w:bookmarkStart w:id="1940" w:name="_Ref9933660"/>
      <w:bookmarkStart w:id="1941" w:name="_Toc10199778"/>
      <w:bookmarkStart w:id="1942" w:name="_Toc37862575"/>
      <w:bookmarkStart w:id="1943" w:name="_Toc52892659"/>
      <w:bookmarkStart w:id="1944" w:name="_Toc100263342"/>
      <w:bookmarkStart w:id="1945" w:name="_Ref144128947"/>
      <w:bookmarkStart w:id="1946" w:name="_Toc165961846"/>
      <w:bookmarkStart w:id="1947" w:name="_Ref199318532"/>
      <w:bookmarkStart w:id="1948" w:name="_Ref199318544"/>
      <w:bookmarkStart w:id="1949" w:name="_Ref199318547"/>
      <w:bookmarkStart w:id="1950" w:name="_Toc201148272"/>
      <w:bookmarkEnd w:id="1937"/>
      <w:r>
        <w:t>Health service fees and charges</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00A67432">
        <w:t xml:space="preserve"> </w:t>
      </w:r>
    </w:p>
    <w:p w14:paraId="11CAC366" w14:textId="5C7ED732" w:rsidR="005B699B" w:rsidRPr="00B61A4E" w:rsidRDefault="005B699B" w:rsidP="004E0E0A">
      <w:pPr>
        <w:pStyle w:val="Body"/>
      </w:pPr>
      <w:r w:rsidRPr="00B61A4E">
        <w:t xml:space="preserve">Any fees and charges raised by health services must be in accordance with the department’s </w:t>
      </w:r>
      <w:hyperlink r:id="rId77" w:history="1">
        <w:r w:rsidR="004B4264" w:rsidRPr="008E3266">
          <w:rPr>
            <w:rStyle w:val="Hyperlink"/>
            <w:i/>
            <w:iCs/>
          </w:rPr>
          <w:t xml:space="preserve">Patient fees </w:t>
        </w:r>
        <w:r w:rsidRPr="008E3266">
          <w:rPr>
            <w:rStyle w:val="Hyperlink"/>
            <w:i/>
            <w:iCs/>
          </w:rPr>
          <w:t xml:space="preserve">and charges for </w:t>
        </w:r>
        <w:r w:rsidR="004B4264" w:rsidRPr="008E3266">
          <w:rPr>
            <w:rStyle w:val="Hyperlink"/>
            <w:i/>
            <w:iCs/>
          </w:rPr>
          <w:t xml:space="preserve">public </w:t>
        </w:r>
        <w:r w:rsidRPr="008E3266">
          <w:rPr>
            <w:rStyle w:val="Hyperlink"/>
            <w:i/>
            <w:iCs/>
          </w:rPr>
          <w:t xml:space="preserve">health services </w:t>
        </w:r>
        <w:r w:rsidR="00A25CF8" w:rsidRPr="008E3266">
          <w:rPr>
            <w:rStyle w:val="Hyperlink"/>
            <w:i/>
            <w:iCs/>
          </w:rPr>
          <w:t>poli</w:t>
        </w:r>
        <w:r w:rsidR="00D35B20" w:rsidRPr="008E3266">
          <w:rPr>
            <w:rStyle w:val="Hyperlink"/>
            <w:i/>
            <w:iCs/>
          </w:rPr>
          <w:t>cy</w:t>
        </w:r>
      </w:hyperlink>
      <w:r w:rsidRPr="008E3266">
        <w:t xml:space="preserve"> </w:t>
      </w:r>
      <w:r w:rsidRPr="00940EE5">
        <w:t>&lt;https://www.health.vic.gov.au/hospitals-and-health-services/patient-fees-and-charges-for-public-health-services&gt;.</w:t>
      </w:r>
    </w:p>
    <w:p w14:paraId="2AB6CF4C" w14:textId="77777777" w:rsidR="005B699B" w:rsidRPr="00B61A4E" w:rsidRDefault="005B699B" w:rsidP="005B699B">
      <w:pPr>
        <w:pStyle w:val="Body"/>
        <w:keepNext/>
      </w:pPr>
      <w:r w:rsidRPr="00B61A4E">
        <w:t>Health services are permitted to raise fees for the following non-admitted patient services:</w:t>
      </w:r>
    </w:p>
    <w:p w14:paraId="423B7163" w14:textId="77777777" w:rsidR="005B699B" w:rsidRPr="003D68A7" w:rsidRDefault="005B699B" w:rsidP="003D68A7">
      <w:pPr>
        <w:pStyle w:val="Bullet1"/>
      </w:pPr>
      <w:r w:rsidRPr="003D68A7">
        <w:t>dental services</w:t>
      </w:r>
    </w:p>
    <w:p w14:paraId="7D79ABD4" w14:textId="77777777" w:rsidR="005B699B" w:rsidRPr="003D68A7" w:rsidRDefault="005B699B" w:rsidP="003D68A7">
      <w:pPr>
        <w:pStyle w:val="Bullet1"/>
      </w:pPr>
      <w:r w:rsidRPr="003D68A7">
        <w:t>spectacles and hearing aids</w:t>
      </w:r>
    </w:p>
    <w:p w14:paraId="3FC1E9D6" w14:textId="77777777" w:rsidR="005B699B" w:rsidRPr="003D68A7" w:rsidRDefault="005B699B" w:rsidP="003D68A7">
      <w:pPr>
        <w:pStyle w:val="Bullet1"/>
      </w:pPr>
      <w:r w:rsidRPr="003D68A7">
        <w:t>surgical supplies</w:t>
      </w:r>
    </w:p>
    <w:p w14:paraId="0D34A052" w14:textId="1FFA70F3" w:rsidR="005B699B" w:rsidRPr="003D68A7" w:rsidRDefault="005B699B" w:rsidP="003D68A7">
      <w:pPr>
        <w:pStyle w:val="Bullet1"/>
      </w:pPr>
      <w:r w:rsidRPr="003D68A7">
        <w:t>prostheses – however, the following categories of prostheses must be provided free of charge</w:t>
      </w:r>
      <w:r w:rsidR="004E0E0A">
        <w:t xml:space="preserve"> –</w:t>
      </w:r>
    </w:p>
    <w:p w14:paraId="36F71AA5" w14:textId="77777777" w:rsidR="005B699B" w:rsidRPr="00AE6427" w:rsidRDefault="005B699B" w:rsidP="001016A2">
      <w:pPr>
        <w:pStyle w:val="Bullet2"/>
      </w:pPr>
      <w:r w:rsidRPr="00C369DB">
        <w:t>artificial limbs</w:t>
      </w:r>
    </w:p>
    <w:p w14:paraId="40C5EFE7" w14:textId="77777777" w:rsidR="005B699B" w:rsidRPr="00AE6427" w:rsidRDefault="005B699B" w:rsidP="001016A2">
      <w:pPr>
        <w:pStyle w:val="Bullet2"/>
      </w:pPr>
      <w:r w:rsidRPr="00C369DB">
        <w:t xml:space="preserve">prostheses that are surgically </w:t>
      </w:r>
      <w:r w:rsidRPr="00790025">
        <w:t>implanted</w:t>
      </w:r>
      <w:r w:rsidRPr="00C369DB">
        <w:t>, either permanently or temporarily, or are directly related to a clinically necessary surgical procedure</w:t>
      </w:r>
    </w:p>
    <w:p w14:paraId="04914118" w14:textId="77777777" w:rsidR="005B699B" w:rsidRPr="00B61A4E" w:rsidRDefault="005B699B" w:rsidP="004537E5">
      <w:pPr>
        <w:pStyle w:val="Bullet1"/>
        <w:numPr>
          <w:ilvl w:val="0"/>
          <w:numId w:val="32"/>
        </w:numPr>
      </w:pPr>
      <w:r>
        <w:t>external breast prostheses funded by the National External Breast Prostheses Reimbursement Program</w:t>
      </w:r>
    </w:p>
    <w:p w14:paraId="537AF6D5" w14:textId="77777777" w:rsidR="005B699B" w:rsidRPr="000B2822" w:rsidRDefault="005B699B" w:rsidP="004537E5">
      <w:pPr>
        <w:pStyle w:val="Bullet1"/>
        <w:numPr>
          <w:ilvl w:val="0"/>
          <w:numId w:val="32"/>
        </w:numPr>
      </w:pPr>
      <w:r>
        <w:t>aids, appliances, and home modifications</w:t>
      </w:r>
    </w:p>
    <w:p w14:paraId="7BDCD73B" w14:textId="71868180" w:rsidR="005B699B" w:rsidRDefault="005B699B" w:rsidP="004537E5">
      <w:pPr>
        <w:pStyle w:val="Bullet1"/>
        <w:numPr>
          <w:ilvl w:val="0"/>
          <w:numId w:val="32"/>
        </w:numPr>
      </w:pPr>
      <w:r>
        <w:t>other services, as agreed between the Commonwealth and Victoria.</w:t>
      </w:r>
    </w:p>
    <w:p w14:paraId="6239DE7A" w14:textId="70379DA9" w:rsidR="005B699B" w:rsidRPr="00B61A4E" w:rsidRDefault="005B699B" w:rsidP="00123197">
      <w:pPr>
        <w:pStyle w:val="Bodyafterbullets"/>
      </w:pPr>
      <w:r w:rsidRPr="00476F24">
        <w:t xml:space="preserve">Upon an admitted </w:t>
      </w:r>
      <w:r w:rsidRPr="00731B6C">
        <w:t>patient</w:t>
      </w:r>
      <w:r w:rsidRPr="00476F24">
        <w:t xml:space="preserve"> </w:t>
      </w:r>
      <w:r w:rsidR="3F42DC19">
        <w:t>being discharged</w:t>
      </w:r>
      <w:r w:rsidRPr="00476F24">
        <w:t>, a health service may raise fees for:</w:t>
      </w:r>
    </w:p>
    <w:p w14:paraId="6118EBAC" w14:textId="65CBCBF4" w:rsidR="005B699B" w:rsidRPr="000B2822" w:rsidRDefault="005B699B" w:rsidP="004537E5">
      <w:pPr>
        <w:pStyle w:val="Bullet1"/>
        <w:numPr>
          <w:ilvl w:val="0"/>
          <w:numId w:val="33"/>
        </w:numPr>
      </w:pPr>
      <w:r>
        <w:t>pharmaceuticals</w:t>
      </w:r>
      <w:r w:rsidR="00B774A2">
        <w:t>,</w:t>
      </w:r>
      <w:r>
        <w:t xml:space="preserve"> at a level consistent with the </w:t>
      </w:r>
      <w:r w:rsidR="00F70439">
        <w:t xml:space="preserve">Pharmaceutical Benefits Scheme </w:t>
      </w:r>
      <w:r>
        <w:t>statutory co-payments</w:t>
      </w:r>
      <w:r w:rsidR="00B774A2">
        <w:t>, for use outside the admitted patient separation</w:t>
      </w:r>
      <w:r>
        <w:t>.</w:t>
      </w:r>
    </w:p>
    <w:p w14:paraId="3E618E1A" w14:textId="705393FC" w:rsidR="005B699B" w:rsidRPr="000B2822" w:rsidRDefault="005B699B" w:rsidP="005B699B">
      <w:pPr>
        <w:pStyle w:val="Bodyafterbullets"/>
      </w:pPr>
      <w:r w:rsidRPr="000B2822">
        <w:t>This is set out in the business rules schedule of the NHRA.</w:t>
      </w:r>
    </w:p>
    <w:p w14:paraId="4A15F3EB" w14:textId="31C0C25E" w:rsidR="00346E80" w:rsidRDefault="002634A9" w:rsidP="0084378F">
      <w:pPr>
        <w:pStyle w:val="Heading2"/>
        <w:numPr>
          <w:ilvl w:val="1"/>
          <w:numId w:val="12"/>
        </w:numPr>
        <w:ind w:left="851" w:hanging="851"/>
      </w:pPr>
      <w:bookmarkStart w:id="1951" w:name="_Toc37862576"/>
      <w:bookmarkStart w:id="1952" w:name="_Toc37862577"/>
      <w:bookmarkStart w:id="1953" w:name="_Toc37862578"/>
      <w:bookmarkStart w:id="1954" w:name="_Toc37862579"/>
      <w:bookmarkStart w:id="1955" w:name="_Toc37862580"/>
      <w:bookmarkStart w:id="1956" w:name="_Toc201148273"/>
      <w:bookmarkStart w:id="1957" w:name="_Toc6408408"/>
      <w:bookmarkStart w:id="1958" w:name="_Toc10199779"/>
      <w:bookmarkStart w:id="1959" w:name="_Toc37862581"/>
      <w:bookmarkStart w:id="1960" w:name="_Toc52892660"/>
      <w:bookmarkStart w:id="1961" w:name="_Toc100263343"/>
      <w:bookmarkStart w:id="1962" w:name="_Toc165961847"/>
      <w:bookmarkEnd w:id="1951"/>
      <w:bookmarkEnd w:id="1952"/>
      <w:bookmarkEnd w:id="1953"/>
      <w:bookmarkEnd w:id="1954"/>
      <w:bookmarkEnd w:id="1955"/>
      <w:r>
        <w:t>Facility-based renal dialysis</w:t>
      </w:r>
      <w:bookmarkEnd w:id="1956"/>
    </w:p>
    <w:p w14:paraId="2B7DC7CF" w14:textId="77777777" w:rsidR="00321A07" w:rsidRDefault="00321A07" w:rsidP="00321A07">
      <w:pPr>
        <w:pStyle w:val="Body"/>
      </w:pPr>
      <w:r>
        <w:t>Health services providing satellite facility-based renal dialysis are required to pay their hubs a set rate for each L61Z dialysis separation based on expected activity levels, as follows:</w:t>
      </w:r>
    </w:p>
    <w:p w14:paraId="13671E5A" w14:textId="77777777" w:rsidR="00321A07" w:rsidRDefault="00321A07" w:rsidP="004537E5">
      <w:pPr>
        <w:pStyle w:val="Bullet1"/>
        <w:numPr>
          <w:ilvl w:val="0"/>
          <w:numId w:val="33"/>
        </w:numPr>
      </w:pPr>
      <w:r>
        <w:t>$123 to cover haemodialysis equipment and consumables (including equipment maintenance and servicing and real water testing)</w:t>
      </w:r>
    </w:p>
    <w:p w14:paraId="7604277A" w14:textId="77777777" w:rsidR="00321A07" w:rsidRDefault="00321A07" w:rsidP="004537E5">
      <w:pPr>
        <w:pStyle w:val="Bullet1"/>
        <w:numPr>
          <w:ilvl w:val="0"/>
          <w:numId w:val="33"/>
        </w:numPr>
      </w:pPr>
      <w:r>
        <w:lastRenderedPageBreak/>
        <w:t>$86 to cover specialist services (including review and 24-hour on-call service including emergency, specialist renal coordination and services).</w:t>
      </w:r>
    </w:p>
    <w:p w14:paraId="30070A3E" w14:textId="33006595" w:rsidR="005B699B" w:rsidRDefault="005B699B" w:rsidP="0084378F">
      <w:pPr>
        <w:pStyle w:val="Heading2"/>
        <w:numPr>
          <w:ilvl w:val="1"/>
          <w:numId w:val="12"/>
        </w:numPr>
        <w:ind w:left="851" w:hanging="851"/>
      </w:pPr>
      <w:bookmarkStart w:id="1963" w:name="_Toc201148274"/>
      <w:r>
        <w:t xml:space="preserve">Private patient accommodation </w:t>
      </w:r>
      <w:r w:rsidRPr="00731B6C">
        <w:t>charges</w:t>
      </w:r>
      <w:bookmarkEnd w:id="1957"/>
      <w:bookmarkEnd w:id="1958"/>
      <w:bookmarkEnd w:id="1959"/>
      <w:bookmarkEnd w:id="1960"/>
      <w:bookmarkEnd w:id="1961"/>
      <w:bookmarkEnd w:id="1962"/>
      <w:bookmarkEnd w:id="1963"/>
      <w:r w:rsidR="00A67432">
        <w:t xml:space="preserve"> </w:t>
      </w:r>
    </w:p>
    <w:p w14:paraId="0CE152D3" w14:textId="77777777" w:rsidR="004E0E0A" w:rsidRDefault="005B699B" w:rsidP="005B699B">
      <w:pPr>
        <w:pStyle w:val="Body"/>
      </w:pPr>
      <w:r w:rsidRPr="00B61A4E">
        <w:t xml:space="preserve">Section 72.1(2) of the </w:t>
      </w:r>
      <w:r w:rsidRPr="00D20B88">
        <w:rPr>
          <w:rStyle w:val="Emphasis"/>
        </w:rPr>
        <w:t>Private Health Insurance Act 2007</w:t>
      </w:r>
      <w:r w:rsidRPr="00B61A4E">
        <w:t xml:space="preserve"> states that an insurance policy covering hospital treatment must provide at least the ‘minimum benefit’ for that treatment. </w:t>
      </w:r>
    </w:p>
    <w:p w14:paraId="1920AC84" w14:textId="7D24EE92" w:rsidR="005B699B" w:rsidRPr="00B61A4E" w:rsidRDefault="005B699B" w:rsidP="005B699B">
      <w:pPr>
        <w:pStyle w:val="Body"/>
      </w:pPr>
      <w:r w:rsidRPr="00B61A4E">
        <w:t xml:space="preserve">The Commonwealth Minister for Health stipulates the minimum benefits payable by private health insurers for </w:t>
      </w:r>
      <w:r w:rsidRPr="00B61A4E" w:rsidDel="00F9087B">
        <w:t>shared</w:t>
      </w:r>
      <w:r w:rsidR="00F9087B">
        <w:t>-</w:t>
      </w:r>
      <w:r w:rsidRPr="00B61A4E">
        <w:t xml:space="preserve">ward accommodation in public hospitals through the private health insurance (benefit requirements) rules. The </w:t>
      </w:r>
      <w:r>
        <w:t>C</w:t>
      </w:r>
      <w:r w:rsidRPr="00B61A4E">
        <w:t>ommonwealth does not set a minimum benefit for single room accommodation.</w:t>
      </w:r>
    </w:p>
    <w:p w14:paraId="1586FC14" w14:textId="60A6F3FC" w:rsidR="005B699B" w:rsidRPr="00B61A4E" w:rsidRDefault="005B699B" w:rsidP="005B699B">
      <w:pPr>
        <w:pStyle w:val="Body"/>
      </w:pPr>
      <w:r w:rsidRPr="00B61A4E">
        <w:t xml:space="preserve">Health services </w:t>
      </w:r>
      <w:r w:rsidR="00F9087B">
        <w:t>may</w:t>
      </w:r>
      <w:r w:rsidRPr="00B61A4E">
        <w:t xml:space="preserve"> make their own determination on accommodation fees to be charged to private patients who receive treatment at their campuses. In </w:t>
      </w:r>
      <w:r w:rsidR="00F9087B">
        <w:t>setting this fee</w:t>
      </w:r>
      <w:r w:rsidRPr="00B61A4E">
        <w:t>, health services should consider:</w:t>
      </w:r>
    </w:p>
    <w:p w14:paraId="7681409D" w14:textId="77777777" w:rsidR="005B699B" w:rsidRPr="00B61A4E" w:rsidRDefault="005B699B" w:rsidP="004537E5">
      <w:pPr>
        <w:pStyle w:val="Bullet1"/>
        <w:numPr>
          <w:ilvl w:val="0"/>
          <w:numId w:val="33"/>
        </w:numPr>
      </w:pPr>
      <w:r>
        <w:t>the benefit that private health insurance funds will assign to the public hospital in their health insurance products</w:t>
      </w:r>
    </w:p>
    <w:p w14:paraId="5798AD76" w14:textId="77777777" w:rsidR="005B699B" w:rsidRPr="00B61A4E" w:rsidRDefault="005B699B" w:rsidP="004537E5">
      <w:pPr>
        <w:pStyle w:val="Bullet1"/>
        <w:numPr>
          <w:ilvl w:val="0"/>
          <w:numId w:val="33"/>
        </w:numPr>
      </w:pPr>
      <w:r>
        <w:t>any co-payment a patient may be willing to pay as a private patient</w:t>
      </w:r>
    </w:p>
    <w:p w14:paraId="17436D66" w14:textId="21E6D500" w:rsidR="005B699B" w:rsidRPr="00B61A4E" w:rsidRDefault="005B699B" w:rsidP="004537E5">
      <w:pPr>
        <w:pStyle w:val="Bullet1"/>
        <w:numPr>
          <w:ilvl w:val="0"/>
          <w:numId w:val="33"/>
        </w:numPr>
      </w:pPr>
      <w:r>
        <w:t>the amount of any co-payment or excess the hospital can viably forgo.</w:t>
      </w:r>
    </w:p>
    <w:p w14:paraId="10C89A41" w14:textId="23150793" w:rsidR="005B699B" w:rsidRPr="00B61A4E" w:rsidRDefault="005B699B" w:rsidP="005B699B">
      <w:pPr>
        <w:pStyle w:val="Bodyafterbullets"/>
      </w:pPr>
      <w:r w:rsidRPr="00B61A4E">
        <w:t xml:space="preserve">To assist health services with this decision, the department provides a guide to average costs and nominal cost recovery rates for private patient accommodation in the </w:t>
      </w:r>
      <w:r w:rsidRPr="0038163D">
        <w:t xml:space="preserve">department’s </w:t>
      </w:r>
      <w:hyperlink r:id="rId78" w:history="1">
        <w:r w:rsidRPr="0003441E">
          <w:rPr>
            <w:rStyle w:val="Hyperlinkitalic"/>
          </w:rPr>
          <w:t>Fees manual</w:t>
        </w:r>
      </w:hyperlink>
      <w:r w:rsidRPr="00B61A4E">
        <w:t xml:space="preserve"> &lt;</w:t>
      </w:r>
      <w:r w:rsidRPr="0003441E">
        <w:t>https</w:t>
      </w:r>
      <w:r w:rsidRPr="003513C7">
        <w:t>://www.hea</w:t>
      </w:r>
      <w:r>
        <w:t>lth.vic.gov.au/</w:t>
      </w:r>
      <w:r w:rsidRPr="0003441E">
        <w:t>patient-fees-charges/private-patients</w:t>
      </w:r>
      <w:r w:rsidRPr="00B61A4E">
        <w:t>&gt;.</w:t>
      </w:r>
    </w:p>
    <w:p w14:paraId="7AD26BED" w14:textId="77777777" w:rsidR="005B699B" w:rsidRPr="00B61A4E" w:rsidRDefault="005B699B" w:rsidP="005B699B">
      <w:pPr>
        <w:pStyle w:val="Body"/>
      </w:pPr>
      <w:r w:rsidRPr="00B61A4E">
        <w:t>At a minimum, these rates would be reasonable to apply to private patient charges.</w:t>
      </w:r>
    </w:p>
    <w:p w14:paraId="75836BC4" w14:textId="5BF2479A" w:rsidR="005B699B" w:rsidRPr="00F9087B" w:rsidRDefault="005B699B" w:rsidP="00F9087B">
      <w:pPr>
        <w:pStyle w:val="Body"/>
      </w:pPr>
      <w:r w:rsidRPr="00F9087B">
        <w:t>Health services should note the</w:t>
      </w:r>
      <w:r w:rsidRPr="0039015C">
        <w:t xml:space="preserve"> </w:t>
      </w:r>
      <w:r w:rsidRPr="008E3266">
        <w:rPr>
          <w:iCs/>
        </w:rPr>
        <w:t>Private Health Insurance (Health Insurance Business) Rules</w:t>
      </w:r>
      <w:r w:rsidRPr="0039015C">
        <w:t xml:space="preserve"> 20</w:t>
      </w:r>
      <w:r w:rsidR="002775A7">
        <w:t>18</w:t>
      </w:r>
      <w:r w:rsidR="006A7CF0">
        <w:t xml:space="preserve"> </w:t>
      </w:r>
      <w:r w:rsidR="002B09EB">
        <w:t>(</w:t>
      </w:r>
      <w:r w:rsidR="006A7CF0">
        <w:t>Cth)</w:t>
      </w:r>
      <w:r w:rsidRPr="0039015C">
        <w:t>,</w:t>
      </w:r>
      <w:r w:rsidRPr="00F9087B">
        <w:t xml:space="preserve"> </w:t>
      </w:r>
      <w:r w:rsidR="00A176A2">
        <w:t>part</w:t>
      </w:r>
      <w:r w:rsidR="00A176A2" w:rsidRPr="00F9087B">
        <w:t xml:space="preserve"> </w:t>
      </w:r>
      <w:r w:rsidRPr="00F9087B">
        <w:t>3, s</w:t>
      </w:r>
      <w:r w:rsidR="00A176A2">
        <w:t xml:space="preserve">ection </w:t>
      </w:r>
      <w:r w:rsidRPr="00F9087B">
        <w:t>8(b</w:t>
      </w:r>
      <w:r w:rsidR="00F9087B" w:rsidRPr="00F9087B">
        <w:t>)</w:t>
      </w:r>
      <w:r w:rsidR="00F9087B">
        <w:t>.</w:t>
      </w:r>
      <w:r w:rsidRPr="00F9087B" w:rsidDel="00F9087B">
        <w:t xml:space="preserve"> </w:t>
      </w:r>
      <w:r w:rsidR="00F9087B">
        <w:t>This</w:t>
      </w:r>
      <w:r w:rsidR="00F9087B" w:rsidRPr="00F9087B">
        <w:t xml:space="preserve"> </w:t>
      </w:r>
      <w:r w:rsidRPr="00F9087B">
        <w:t>states that treatment provided to a person at an emergency department is excluded treatment for the purposes of private health insurance. Health services should ensure that private health funds are not billed for accommodation or services provided to admitted private patients at an emergency department.</w:t>
      </w:r>
    </w:p>
    <w:p w14:paraId="10F1D627" w14:textId="23A61457" w:rsidR="005B699B" w:rsidRDefault="005B699B" w:rsidP="0084378F">
      <w:pPr>
        <w:pStyle w:val="Heading2"/>
        <w:numPr>
          <w:ilvl w:val="1"/>
          <w:numId w:val="12"/>
        </w:numPr>
        <w:ind w:left="851" w:hanging="851"/>
      </w:pPr>
      <w:bookmarkStart w:id="1964" w:name="_Redirection_of_Funds"/>
      <w:bookmarkStart w:id="1965" w:name="_Toc197452763"/>
      <w:bookmarkStart w:id="1966" w:name="_Toc197452764"/>
      <w:bookmarkStart w:id="1967" w:name="_Toc6408410"/>
      <w:bookmarkStart w:id="1968" w:name="_Toc10199781"/>
      <w:bookmarkStart w:id="1969" w:name="_Toc37862583"/>
      <w:bookmarkStart w:id="1970" w:name="_Toc52892662"/>
      <w:bookmarkStart w:id="1971" w:name="_Toc100263345"/>
      <w:bookmarkStart w:id="1972" w:name="_Toc165961849"/>
      <w:bookmarkStart w:id="1973" w:name="_Toc201148275"/>
      <w:bookmarkEnd w:id="1964"/>
      <w:bookmarkEnd w:id="1965"/>
      <w:bookmarkEnd w:id="1966"/>
      <w:r>
        <w:t>Doctors in training secondment arrangements</w:t>
      </w:r>
      <w:bookmarkEnd w:id="1967"/>
      <w:bookmarkEnd w:id="1968"/>
      <w:bookmarkEnd w:id="1969"/>
      <w:bookmarkEnd w:id="1970"/>
      <w:bookmarkEnd w:id="1971"/>
      <w:bookmarkEnd w:id="1972"/>
      <w:bookmarkEnd w:id="1973"/>
      <w:r w:rsidR="00A67432">
        <w:t xml:space="preserve"> </w:t>
      </w:r>
    </w:p>
    <w:p w14:paraId="3AA8CDF5" w14:textId="77777777" w:rsidR="00A176A2" w:rsidRDefault="005B699B" w:rsidP="005B699B">
      <w:pPr>
        <w:pStyle w:val="Body"/>
        <w:rPr>
          <w:lang w:eastAsia="en-AU"/>
        </w:rPr>
      </w:pPr>
      <w:r w:rsidRPr="66DFC114">
        <w:rPr>
          <w:lang w:eastAsia="en-AU"/>
        </w:rPr>
        <w:t xml:space="preserve">Many training programs for junior doctors involve a rotation to a site other than their parent hospital. </w:t>
      </w:r>
    </w:p>
    <w:p w14:paraId="4D9A4F1C" w14:textId="66CDBB8E" w:rsidR="00A176A2" w:rsidRDefault="005B699B" w:rsidP="005B699B">
      <w:pPr>
        <w:pStyle w:val="Body"/>
        <w:rPr>
          <w:lang w:eastAsia="en-AU"/>
        </w:rPr>
      </w:pPr>
      <w:r w:rsidRPr="66DFC114">
        <w:rPr>
          <w:lang w:eastAsia="en-AU"/>
        </w:rPr>
        <w:t>The parent hospital is responsible for managing and paying the annual leave of doctors in training while on rotation</w:t>
      </w:r>
      <w:r>
        <w:rPr>
          <w:lang w:eastAsia="en-AU"/>
        </w:rPr>
        <w:t>.</w:t>
      </w:r>
      <w:r w:rsidRPr="66DFC114">
        <w:rPr>
          <w:lang w:eastAsia="en-AU"/>
        </w:rPr>
        <w:t xml:space="preserve"> </w:t>
      </w:r>
      <w:r w:rsidR="00A176A2">
        <w:rPr>
          <w:lang w:eastAsia="en-AU"/>
        </w:rPr>
        <w:t>If</w:t>
      </w:r>
      <w:r w:rsidR="00A176A2" w:rsidRPr="66DFC114">
        <w:rPr>
          <w:lang w:eastAsia="en-AU"/>
        </w:rPr>
        <w:t xml:space="preserve"> </w:t>
      </w:r>
      <w:r w:rsidRPr="66DFC114">
        <w:rPr>
          <w:lang w:eastAsia="en-AU"/>
        </w:rPr>
        <w:t xml:space="preserve">annual (or other) leave is planned within the rotation period, both hospitals should approve this leave. </w:t>
      </w:r>
    </w:p>
    <w:p w14:paraId="28B147EC" w14:textId="6A4AAB4B" w:rsidR="005B699B" w:rsidRPr="00B61A4E" w:rsidRDefault="005B699B" w:rsidP="005B699B">
      <w:pPr>
        <w:pStyle w:val="Body"/>
        <w:rPr>
          <w:lang w:eastAsia="en-AU"/>
        </w:rPr>
      </w:pPr>
      <w:r w:rsidRPr="66DFC114">
        <w:rPr>
          <w:lang w:eastAsia="en-AU"/>
        </w:rPr>
        <w:t xml:space="preserve">Only the parent hospital is to pay out annual leave, as this is included in the overheads paid to the parent hospital (refer to </w:t>
      </w:r>
      <w:r w:rsidRPr="00F551B9">
        <w:rPr>
          <w:rStyle w:val="Emphasis"/>
        </w:rPr>
        <w:t>Doctors in Training (Victorian Public Health Sector) (AMA Victoria/SMOF) (Single Interest Employers) Enterprise Agreement 2022</w:t>
      </w:r>
      <w:r w:rsidR="00F9087B">
        <w:rPr>
          <w:rStyle w:val="Emphasis"/>
        </w:rPr>
        <w:t>–</w:t>
      </w:r>
      <w:r w:rsidRPr="00F551B9">
        <w:rPr>
          <w:rStyle w:val="Emphasis"/>
        </w:rPr>
        <w:t>2026</w:t>
      </w:r>
      <w:r w:rsidRPr="66DFC114">
        <w:rPr>
          <w:lang w:eastAsia="en-AU"/>
        </w:rPr>
        <w:t>)</w:t>
      </w:r>
      <w:r w:rsidR="00706DF3">
        <w:rPr>
          <w:lang w:eastAsia="en-AU"/>
        </w:rPr>
        <w:t xml:space="preserve"> (2022)</w:t>
      </w:r>
      <w:r w:rsidRPr="66DFC114">
        <w:rPr>
          <w:lang w:eastAsia="en-AU"/>
        </w:rPr>
        <w:t>.</w:t>
      </w:r>
    </w:p>
    <w:p w14:paraId="6AEFBE55" w14:textId="7DA12D45" w:rsidR="006E70D6" w:rsidRDefault="005B699B" w:rsidP="008E3266">
      <w:pPr>
        <w:pStyle w:val="Body"/>
        <w:rPr>
          <w:lang w:eastAsia="en-AU"/>
        </w:rPr>
      </w:pPr>
      <w:r w:rsidRPr="00B61A4E">
        <w:rPr>
          <w:lang w:eastAsia="en-AU"/>
        </w:rPr>
        <w:t>The parent hospital will make every endeavour to organise suitable relief when a doctor in training takes other leave (either planned or unexpected) for a period longer than one week. The parent hospital should also make every endeavour to ensure the relieving doctor has commensurate experience and skills to ensure the expected level of service in the external hospital can continue to be provided.</w:t>
      </w:r>
      <w:r w:rsidR="006E70D6">
        <w:rPr>
          <w:lang w:eastAsia="en-AU"/>
        </w:rPr>
        <w:br w:type="page"/>
      </w:r>
    </w:p>
    <w:p w14:paraId="46505F29" w14:textId="298583CE" w:rsidR="005B699B" w:rsidRDefault="005B699B" w:rsidP="00B718DB">
      <w:pPr>
        <w:pStyle w:val="Heading1"/>
        <w:numPr>
          <w:ilvl w:val="0"/>
          <w:numId w:val="12"/>
        </w:numPr>
        <w:ind w:left="851" w:hanging="851"/>
      </w:pPr>
      <w:bookmarkStart w:id="1974" w:name="_Toc450839104"/>
      <w:bookmarkStart w:id="1975" w:name="_Toc451801406"/>
      <w:bookmarkStart w:id="1976" w:name="_Toc451802013"/>
      <w:bookmarkStart w:id="1977" w:name="_Toc452211490"/>
      <w:bookmarkStart w:id="1978" w:name="_Toc452227856"/>
      <w:bookmarkStart w:id="1979" w:name="_Toc13040179"/>
      <w:bookmarkStart w:id="1980" w:name="_Toc13040180"/>
      <w:bookmarkStart w:id="1981" w:name="_Toc13040181"/>
      <w:bookmarkStart w:id="1982" w:name="_Toc13040182"/>
      <w:bookmarkStart w:id="1983" w:name="_Toc13040183"/>
      <w:bookmarkStart w:id="1984" w:name="_Toc13040184"/>
      <w:bookmarkStart w:id="1985" w:name="_Toc13040185"/>
      <w:bookmarkStart w:id="1986" w:name="_Toc13040186"/>
      <w:bookmarkStart w:id="1987" w:name="_Toc13040187"/>
      <w:bookmarkStart w:id="1988" w:name="_Toc13040188"/>
      <w:bookmarkStart w:id="1989" w:name="_Toc13040189"/>
      <w:bookmarkStart w:id="1990" w:name="_Toc13040190"/>
      <w:bookmarkStart w:id="1991" w:name="_Toc13040191"/>
      <w:bookmarkStart w:id="1992" w:name="_Toc13040192"/>
      <w:bookmarkStart w:id="1993" w:name="_Toc13040193"/>
      <w:bookmarkStart w:id="1994" w:name="_Toc13040194"/>
      <w:bookmarkStart w:id="1995" w:name="_Toc13040195"/>
      <w:bookmarkStart w:id="1996" w:name="_Toc13040196"/>
      <w:bookmarkStart w:id="1997" w:name="_Toc13040197"/>
      <w:bookmarkStart w:id="1998" w:name="_Toc13040198"/>
      <w:bookmarkStart w:id="1999" w:name="_Toc13040199"/>
      <w:bookmarkStart w:id="2000" w:name="_Toc13040200"/>
      <w:bookmarkStart w:id="2001" w:name="_Toc13040201"/>
      <w:bookmarkStart w:id="2002" w:name="_Toc13040202"/>
      <w:bookmarkStart w:id="2003" w:name="_Toc13040203"/>
      <w:bookmarkStart w:id="2004" w:name="_Toc13040204"/>
      <w:bookmarkStart w:id="2005" w:name="_Toc13040205"/>
      <w:bookmarkStart w:id="2006" w:name="_Toc13040206"/>
      <w:bookmarkStart w:id="2007" w:name="_Toc13040213"/>
      <w:bookmarkStart w:id="2008" w:name="_Toc13040214"/>
      <w:bookmarkStart w:id="2009" w:name="_Toc13040215"/>
      <w:bookmarkStart w:id="2010" w:name="_Toc13040216"/>
      <w:bookmarkStart w:id="2011" w:name="_Toc13040217"/>
      <w:bookmarkStart w:id="2012" w:name="_Toc13040218"/>
      <w:bookmarkStart w:id="2013" w:name="_Toc13040219"/>
      <w:bookmarkStart w:id="2014" w:name="_Toc13040220"/>
      <w:bookmarkStart w:id="2015" w:name="_Toc13040271"/>
      <w:bookmarkStart w:id="2016" w:name="_Toc13040272"/>
      <w:bookmarkStart w:id="2017" w:name="_Toc13040273"/>
      <w:bookmarkStart w:id="2018" w:name="_Toc13040274"/>
      <w:bookmarkStart w:id="2019" w:name="_Toc13040275"/>
      <w:bookmarkStart w:id="2020" w:name="_Toc13040276"/>
      <w:bookmarkStart w:id="2021" w:name="_Toc13040277"/>
      <w:bookmarkStart w:id="2022" w:name="_Toc13040278"/>
      <w:bookmarkStart w:id="2023" w:name="_Toc13040279"/>
      <w:bookmarkStart w:id="2024" w:name="_Toc13040280"/>
      <w:bookmarkStart w:id="2025" w:name="_Toc13040281"/>
      <w:bookmarkStart w:id="2026" w:name="_Toc13040282"/>
      <w:bookmarkStart w:id="2027" w:name="_Toc13040283"/>
      <w:bookmarkStart w:id="2028" w:name="_Toc13040284"/>
      <w:bookmarkStart w:id="2029" w:name="_Toc13040285"/>
      <w:bookmarkStart w:id="2030" w:name="_Toc13040286"/>
      <w:bookmarkStart w:id="2031" w:name="_Toc13040287"/>
      <w:bookmarkStart w:id="2032" w:name="_Toc13040288"/>
      <w:bookmarkStart w:id="2033" w:name="_Toc13040289"/>
      <w:bookmarkStart w:id="2034" w:name="_Toc13040290"/>
      <w:bookmarkStart w:id="2035" w:name="_Toc13040291"/>
      <w:bookmarkStart w:id="2036" w:name="_Toc13040292"/>
      <w:bookmarkStart w:id="2037" w:name="_Toc13040293"/>
      <w:bookmarkStart w:id="2038" w:name="_Toc13040294"/>
      <w:bookmarkStart w:id="2039" w:name="_Toc13040295"/>
      <w:bookmarkStart w:id="2040" w:name="_Toc13040296"/>
      <w:bookmarkStart w:id="2041" w:name="_Toc13040297"/>
      <w:bookmarkStart w:id="2042" w:name="_Toc13040298"/>
      <w:bookmarkStart w:id="2043" w:name="_Toc13040299"/>
      <w:bookmarkStart w:id="2044" w:name="_Toc13040300"/>
      <w:bookmarkStart w:id="2045" w:name="_Toc13040301"/>
      <w:bookmarkStart w:id="2046" w:name="_Toc13040302"/>
      <w:bookmarkStart w:id="2047" w:name="_Toc13040303"/>
      <w:bookmarkStart w:id="2048" w:name="_Toc13040304"/>
      <w:bookmarkStart w:id="2049" w:name="_Toc13040305"/>
      <w:bookmarkStart w:id="2050" w:name="_Toc13040306"/>
      <w:bookmarkStart w:id="2051" w:name="_Toc13040307"/>
      <w:bookmarkStart w:id="2052" w:name="_Toc13040308"/>
      <w:bookmarkStart w:id="2053" w:name="_Toc13040309"/>
      <w:bookmarkStart w:id="2054" w:name="_Toc13040310"/>
      <w:bookmarkStart w:id="2055" w:name="_Toc13040311"/>
      <w:bookmarkStart w:id="2056" w:name="_Toc13040312"/>
      <w:bookmarkStart w:id="2057" w:name="_Toc13040313"/>
      <w:bookmarkStart w:id="2058" w:name="_Toc13040314"/>
      <w:bookmarkStart w:id="2059" w:name="_Toc13040315"/>
      <w:bookmarkStart w:id="2060" w:name="_Toc13040316"/>
      <w:bookmarkStart w:id="2061" w:name="_Toc13040317"/>
      <w:bookmarkStart w:id="2062" w:name="_Toc13040318"/>
      <w:bookmarkStart w:id="2063" w:name="_Toc13040376"/>
      <w:bookmarkStart w:id="2064" w:name="_Toc13040385"/>
      <w:bookmarkStart w:id="2065" w:name="_Toc13040398"/>
      <w:bookmarkStart w:id="2066" w:name="_Toc13040407"/>
      <w:bookmarkStart w:id="2067" w:name="_Toc13040416"/>
      <w:bookmarkStart w:id="2068" w:name="_Toc13040417"/>
      <w:bookmarkStart w:id="2069" w:name="_Toc13040418"/>
      <w:bookmarkStart w:id="2070" w:name="_Toc13040419"/>
      <w:bookmarkStart w:id="2071" w:name="_Toc13040420"/>
      <w:bookmarkStart w:id="2072" w:name="_Toc418694984"/>
      <w:bookmarkStart w:id="2073" w:name="_Ref423019815"/>
      <w:bookmarkStart w:id="2074" w:name="_Ref423019825"/>
      <w:bookmarkStart w:id="2075" w:name="_Ref423019949"/>
      <w:bookmarkStart w:id="2076" w:name="_Ref423019957"/>
      <w:bookmarkStart w:id="2077" w:name="_Ref423020094"/>
      <w:bookmarkStart w:id="2078" w:name="_Ref423020103"/>
      <w:bookmarkStart w:id="2079" w:name="_Toc487742005"/>
      <w:bookmarkStart w:id="2080" w:name="_Ref12022946"/>
      <w:bookmarkStart w:id="2081" w:name="_Ref12022951"/>
      <w:bookmarkStart w:id="2082" w:name="_Ref12023799"/>
      <w:bookmarkStart w:id="2083" w:name="_Toc14172235"/>
      <w:bookmarkStart w:id="2084" w:name="_Ref70881789"/>
      <w:bookmarkStart w:id="2085" w:name="_Ref70881795"/>
      <w:bookmarkStart w:id="2086" w:name="_Ref70881989"/>
      <w:bookmarkStart w:id="2087" w:name="_Ref70881998"/>
      <w:bookmarkStart w:id="2088" w:name="_Ref70882094"/>
      <w:bookmarkStart w:id="2089" w:name="_Ref70882107"/>
      <w:bookmarkStart w:id="2090" w:name="_Ref70882154"/>
      <w:bookmarkStart w:id="2091" w:name="_Ref70882163"/>
      <w:bookmarkStart w:id="2092" w:name="_Ref70960639"/>
      <w:bookmarkStart w:id="2093" w:name="_Ref70960640"/>
      <w:bookmarkStart w:id="2094" w:name="_Ref77777659"/>
      <w:bookmarkStart w:id="2095" w:name="_Ref77777682"/>
      <w:bookmarkStart w:id="2096" w:name="_Ref88483663"/>
      <w:bookmarkStart w:id="2097" w:name="_Ref96635540"/>
      <w:bookmarkStart w:id="2098" w:name="_Toc100263346"/>
      <w:bookmarkStart w:id="2099" w:name="_Ref144043389"/>
      <w:bookmarkStart w:id="2100" w:name="_Ref165637299"/>
      <w:bookmarkStart w:id="2101" w:name="_Toc165961850"/>
      <w:bookmarkStart w:id="2102" w:name="_Toc201148276"/>
      <w:bookmarkEnd w:id="1522"/>
      <w:bookmarkEnd w:id="1523"/>
      <w:bookmarkEnd w:id="1524"/>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lastRenderedPageBreak/>
        <w:t xml:space="preserve">Price </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r>
        <w:t>tables</w:t>
      </w:r>
      <w:bookmarkEnd w:id="2100"/>
      <w:bookmarkEnd w:id="2101"/>
      <w:bookmarkEnd w:id="2102"/>
    </w:p>
    <w:p w14:paraId="145F77FF" w14:textId="42B33FE3" w:rsidR="005B699B" w:rsidRPr="007E1AE2" w:rsidRDefault="005B699B" w:rsidP="0084378F">
      <w:pPr>
        <w:pStyle w:val="Heading2"/>
        <w:numPr>
          <w:ilvl w:val="1"/>
          <w:numId w:val="12"/>
        </w:numPr>
        <w:ind w:left="851" w:hanging="851"/>
      </w:pPr>
      <w:bookmarkStart w:id="2103" w:name="_Toc100263347"/>
      <w:bookmarkStart w:id="2104" w:name="_Toc165961851"/>
      <w:bookmarkStart w:id="2105" w:name="_Toc201148277"/>
      <w:r>
        <w:t>NWAU 202</w:t>
      </w:r>
      <w:bookmarkEnd w:id="2103"/>
      <w:r w:rsidR="009C5176">
        <w:t>5</w:t>
      </w:r>
      <w:r>
        <w:t>–2</w:t>
      </w:r>
      <w:bookmarkEnd w:id="2104"/>
      <w:r w:rsidR="009C5176">
        <w:t>6</w:t>
      </w:r>
      <w:bookmarkEnd w:id="2105"/>
    </w:p>
    <w:p w14:paraId="3283F0EB" w14:textId="0BBCE60C" w:rsidR="0002554E" w:rsidRPr="0002554E" w:rsidRDefault="0002554E" w:rsidP="0002554E">
      <w:pPr>
        <w:pStyle w:val="Tablecaption"/>
        <w:spacing w:line="250" w:lineRule="atLeast"/>
      </w:pPr>
      <w:bookmarkStart w:id="2106" w:name="_Toc201148567"/>
      <w:r>
        <w:t>Table</w:t>
      </w:r>
      <w:r w:rsidR="00972799">
        <w:t xml:space="preserve"> </w:t>
      </w:r>
      <w:fldSimple w:instr="REF Part \* MERGEFORMAT">
        <w:r w:rsidR="007D262B">
          <w:rPr>
            <w:noProof/>
          </w:rPr>
          <w:t>1</w:t>
        </w:r>
      </w:fldSimple>
      <w:r>
        <w:t>.</w:t>
      </w:r>
      <w:r w:rsidR="00F36B0C">
        <w:fldChar w:fldCharType="begin"/>
      </w:r>
      <w:r w:rsidR="00F36B0C">
        <w:instrText>SEQ Table \* ARABIC</w:instrText>
      </w:r>
      <w:r w:rsidR="00F36B0C">
        <w:fldChar w:fldCharType="separate"/>
      </w:r>
      <w:r w:rsidR="007D262B">
        <w:rPr>
          <w:noProof/>
        </w:rPr>
        <w:t>5</w:t>
      </w:r>
      <w:r w:rsidR="00F36B0C">
        <w:fldChar w:fldCharType="end"/>
      </w:r>
      <w:r>
        <w:t>: NWAU VEP 202</w:t>
      </w:r>
      <w:r w:rsidR="008002D9">
        <w:t>5</w:t>
      </w:r>
      <w:r>
        <w:t>–2</w:t>
      </w:r>
      <w:r w:rsidR="008002D9">
        <w:t>6</w:t>
      </w:r>
      <w:bookmarkEnd w:id="2106"/>
      <w:r w:rsidR="002C58EA">
        <w:t xml:space="preserve"> </w:t>
      </w:r>
    </w:p>
    <w:tbl>
      <w:tblPr>
        <w:tblStyle w:val="GridTable4-Accent1"/>
        <w:tblW w:w="9298" w:type="dxa"/>
        <w:tblLook w:val="04A0" w:firstRow="1" w:lastRow="0" w:firstColumn="1" w:lastColumn="0" w:noHBand="0" w:noVBand="1"/>
      </w:tblPr>
      <w:tblGrid>
        <w:gridCol w:w="1928"/>
        <w:gridCol w:w="4195"/>
        <w:gridCol w:w="3175"/>
      </w:tblGrid>
      <w:tr w:rsidR="00A60C2B" w:rsidRPr="00DA49B0" w14:paraId="5ECE4CE8" w14:textId="77777777" w:rsidTr="00A26CC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928" w:type="dxa"/>
          </w:tcPr>
          <w:p w14:paraId="1BDB0AEC" w14:textId="77777777" w:rsidR="00474BA3" w:rsidRPr="008B1D7D" w:rsidRDefault="00474BA3">
            <w:pPr>
              <w:pStyle w:val="Tablecolhead"/>
              <w:rPr>
                <w:color w:val="FFFFFF" w:themeColor="background1"/>
                <w:szCs w:val="21"/>
              </w:rPr>
            </w:pPr>
            <w:r w:rsidRPr="008B1D7D">
              <w:rPr>
                <w:rFonts w:eastAsia="Arial"/>
                <w:color w:val="FFFFFF" w:themeColor="background1"/>
                <w:szCs w:val="21"/>
              </w:rPr>
              <w:t>Payment</w:t>
            </w:r>
          </w:p>
        </w:tc>
        <w:tc>
          <w:tcPr>
            <w:tcW w:w="4195" w:type="dxa"/>
          </w:tcPr>
          <w:p w14:paraId="3D3EBF80" w14:textId="778ADF97" w:rsidR="00474BA3" w:rsidRPr="008B1D7D" w:rsidRDefault="00474BA3">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Metropolitan and Large Regional ($)</w:t>
            </w:r>
          </w:p>
        </w:tc>
        <w:tc>
          <w:tcPr>
            <w:tcW w:w="3175" w:type="dxa"/>
          </w:tcPr>
          <w:p w14:paraId="1EC3F658" w14:textId="5837A04D" w:rsidR="00474BA3" w:rsidRPr="008B1D7D" w:rsidRDefault="00474BA3">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Subregional</w:t>
            </w:r>
            <w:r w:rsidR="00B21E50" w:rsidRPr="008B1D7D">
              <w:rPr>
                <w:rFonts w:eastAsia="Arial"/>
                <w:color w:val="FFFFFF" w:themeColor="background1"/>
                <w:szCs w:val="21"/>
              </w:rPr>
              <w:t xml:space="preserve"> ($)</w:t>
            </w:r>
          </w:p>
        </w:tc>
      </w:tr>
      <w:tr w:rsidR="00A60C2B" w:rsidRPr="00DA49B0" w14:paraId="4CF8573B" w14:textId="77777777" w:rsidTr="00A26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2B69504D" w14:textId="77777777" w:rsidR="00474BA3" w:rsidRPr="0033297E" w:rsidRDefault="00474BA3" w:rsidP="00545910">
            <w:pPr>
              <w:pStyle w:val="Tabletext9pt"/>
              <w:rPr>
                <w:b w:val="0"/>
                <w:bCs/>
              </w:rPr>
            </w:pPr>
            <w:r w:rsidRPr="0033297E">
              <w:rPr>
                <w:b w:val="0"/>
                <w:bCs/>
              </w:rPr>
              <w:t>VEP NWAU</w:t>
            </w:r>
          </w:p>
        </w:tc>
        <w:tc>
          <w:tcPr>
            <w:tcW w:w="4195" w:type="dxa"/>
          </w:tcPr>
          <w:p w14:paraId="023A62A8" w14:textId="22C229FC" w:rsidR="00474BA3" w:rsidRPr="00A26CCE" w:rsidRDefault="00CE6BEF" w:rsidP="00B43D68">
            <w:pPr>
              <w:pStyle w:val="Tabletext9pt"/>
              <w:jc w:val="right"/>
              <w:cnfStyle w:val="000000100000" w:firstRow="0" w:lastRow="0" w:firstColumn="0" w:lastColumn="0" w:oddVBand="0" w:evenVBand="0" w:oddHBand="1" w:evenHBand="0" w:firstRowFirstColumn="0" w:firstRowLastColumn="0" w:lastRowFirstColumn="0" w:lastRowLastColumn="0"/>
            </w:pPr>
            <w:r w:rsidRPr="00A26CCE">
              <w:t>6</w:t>
            </w:r>
            <w:r w:rsidR="00B43D68" w:rsidRPr="00A26CCE">
              <w:t>,516</w:t>
            </w:r>
          </w:p>
        </w:tc>
        <w:tc>
          <w:tcPr>
            <w:tcW w:w="3175" w:type="dxa"/>
          </w:tcPr>
          <w:p w14:paraId="106D523B" w14:textId="1B1CDE05" w:rsidR="00474BA3" w:rsidRPr="00A26CCE" w:rsidRDefault="00A26CCE" w:rsidP="00A26CCE">
            <w:pPr>
              <w:pStyle w:val="Tabletext9pt"/>
              <w:jc w:val="right"/>
              <w:cnfStyle w:val="000000100000" w:firstRow="0" w:lastRow="0" w:firstColumn="0" w:lastColumn="0" w:oddVBand="0" w:evenVBand="0" w:oddHBand="1" w:evenHBand="0" w:firstRowFirstColumn="0" w:firstRowLastColumn="0" w:lastRowFirstColumn="0" w:lastRowLastColumn="0"/>
            </w:pPr>
            <w:r w:rsidRPr="00A26CCE">
              <w:t>7,177</w:t>
            </w:r>
          </w:p>
        </w:tc>
      </w:tr>
    </w:tbl>
    <w:p w14:paraId="4328B625" w14:textId="49F02A5E" w:rsidR="006123E1" w:rsidRDefault="00F30468" w:rsidP="008E3266">
      <w:pPr>
        <w:pStyle w:val="Bodyafterbullets"/>
        <w:rPr>
          <w:lang w:eastAsia="en-AU"/>
        </w:rPr>
      </w:pPr>
      <w:r>
        <w:rPr>
          <w:lang w:eastAsia="en-AU"/>
        </w:rPr>
        <w:t>Note</w:t>
      </w:r>
      <w:r w:rsidR="00F36B0C">
        <w:rPr>
          <w:lang w:eastAsia="en-AU"/>
        </w:rPr>
        <w:t xml:space="preserve">: </w:t>
      </w:r>
      <w:r w:rsidR="0068216C">
        <w:rPr>
          <w:lang w:eastAsia="en-AU"/>
        </w:rPr>
        <w:t xml:space="preserve">NWAU VEP prices </w:t>
      </w:r>
      <w:r w:rsidR="00F14761">
        <w:rPr>
          <w:lang w:eastAsia="en-AU"/>
        </w:rPr>
        <w:t>apply at the whole of health service level</w:t>
      </w:r>
      <w:r w:rsidR="006925D9">
        <w:rPr>
          <w:lang w:eastAsia="en-AU"/>
        </w:rPr>
        <w:t>, not individual campuses.</w:t>
      </w:r>
    </w:p>
    <w:p w14:paraId="53053B5A" w14:textId="056B41F7" w:rsidR="0002554E" w:rsidRPr="0002554E" w:rsidRDefault="0002554E" w:rsidP="0002554E">
      <w:pPr>
        <w:pStyle w:val="Tablecaption"/>
        <w:spacing w:line="250" w:lineRule="atLeast"/>
      </w:pPr>
      <w:bookmarkStart w:id="2107" w:name="_Toc201148568"/>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6</w:t>
      </w:r>
      <w:r>
        <w:fldChar w:fldCharType="end"/>
      </w:r>
      <w:r>
        <w:t xml:space="preserve">: </w:t>
      </w:r>
      <w:r w:rsidRPr="00C14F8D">
        <w:t xml:space="preserve">NWAU </w:t>
      </w:r>
      <w:r>
        <w:t>c</w:t>
      </w:r>
      <w:r w:rsidRPr="00C14F8D">
        <w:t xml:space="preserve">ompensable </w:t>
      </w:r>
      <w:r>
        <w:t>p</w:t>
      </w:r>
      <w:r w:rsidRPr="00C14F8D">
        <w:t xml:space="preserve">rice </w:t>
      </w:r>
      <w:r>
        <w:t>r</w:t>
      </w:r>
      <w:r w:rsidRPr="00C14F8D">
        <w:t>ates 202</w:t>
      </w:r>
      <w:r w:rsidR="008002D9">
        <w:t>5</w:t>
      </w:r>
      <w:r w:rsidRPr="00C14F8D">
        <w:t>–2</w:t>
      </w:r>
      <w:r w:rsidR="008002D9">
        <w:t>6</w:t>
      </w:r>
      <w:bookmarkEnd w:id="2107"/>
      <w:r w:rsidR="001C0DC6">
        <w:t xml:space="preserve"> </w:t>
      </w:r>
    </w:p>
    <w:tbl>
      <w:tblPr>
        <w:tblStyle w:val="GridTable4-Accent1"/>
        <w:tblW w:w="9287" w:type="dxa"/>
        <w:tblLook w:val="04A0" w:firstRow="1" w:lastRow="0" w:firstColumn="1" w:lastColumn="0" w:noHBand="0" w:noVBand="1"/>
      </w:tblPr>
      <w:tblGrid>
        <w:gridCol w:w="6091"/>
        <w:gridCol w:w="3196"/>
      </w:tblGrid>
      <w:tr w:rsidR="00FF1419" w:rsidRPr="0090298C" w14:paraId="681BF8E1" w14:textId="77777777" w:rsidTr="007C44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0C1A501"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tcPr>
          <w:p w14:paraId="7FE3FADD"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F1419" w:rsidRPr="00100C88" w14:paraId="254B16A5" w14:textId="77777777" w:rsidTr="007C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tcPr>
          <w:p w14:paraId="1427AEAD" w14:textId="77777777" w:rsidR="00FF1419" w:rsidRPr="0033297E" w:rsidRDefault="00FF1419" w:rsidP="00545910">
            <w:pPr>
              <w:pStyle w:val="Tabletext9pt"/>
              <w:rPr>
                <w:b w:val="0"/>
                <w:bCs/>
              </w:rPr>
            </w:pPr>
            <w:r w:rsidRPr="0033297E">
              <w:rPr>
                <w:b w:val="0"/>
                <w:bCs/>
              </w:rPr>
              <w:t xml:space="preserve">Department of Veterans’ Affairs: acute and subacute NWAU </w:t>
            </w:r>
          </w:p>
        </w:tc>
        <w:tc>
          <w:tcPr>
            <w:tcW w:w="3196" w:type="dxa"/>
          </w:tcPr>
          <w:p w14:paraId="5164DBA4" w14:textId="16F7E84C" w:rsidR="00FF1419" w:rsidRPr="0002715F" w:rsidRDefault="730B3BED" w:rsidP="008E3266">
            <w:pPr>
              <w:pStyle w:val="Tabletext9pt"/>
              <w:jc w:val="right"/>
              <w:cnfStyle w:val="000000100000" w:firstRow="0" w:lastRow="0" w:firstColumn="0" w:lastColumn="0" w:oddVBand="0" w:evenVBand="0" w:oddHBand="1" w:evenHBand="0" w:firstRowFirstColumn="0" w:firstRowLastColumn="0" w:lastRowFirstColumn="0" w:lastRowLastColumn="0"/>
            </w:pPr>
            <w:r>
              <w:t>7,258</w:t>
            </w:r>
          </w:p>
        </w:tc>
      </w:tr>
      <w:tr w:rsidR="00FF1419" w:rsidRPr="00100C88" w14:paraId="385E68A9" w14:textId="77777777" w:rsidTr="007C442F">
        <w:tc>
          <w:tcPr>
            <w:cnfStyle w:val="001000000000" w:firstRow="0" w:lastRow="0" w:firstColumn="1" w:lastColumn="0" w:oddVBand="0" w:evenVBand="0" w:oddHBand="0" w:evenHBand="0" w:firstRowFirstColumn="0" w:firstRowLastColumn="0" w:lastRowFirstColumn="0" w:lastRowLastColumn="0"/>
            <w:tcW w:w="6091" w:type="dxa"/>
            <w:noWrap/>
          </w:tcPr>
          <w:p w14:paraId="4CB07947" w14:textId="4020DF74" w:rsidR="00FF1419" w:rsidRPr="0033297E" w:rsidRDefault="00FF1419" w:rsidP="00545910">
            <w:pPr>
              <w:pStyle w:val="Tabletext9pt"/>
              <w:rPr>
                <w:b w:val="0"/>
                <w:bCs/>
                <w:lang w:eastAsia="en-US"/>
              </w:rPr>
            </w:pPr>
            <w:r w:rsidRPr="0033297E">
              <w:rPr>
                <w:b w:val="0"/>
                <w:bCs/>
              </w:rPr>
              <w:t xml:space="preserve">Transport Accident Commission admitted NWAU </w:t>
            </w:r>
          </w:p>
        </w:tc>
        <w:tc>
          <w:tcPr>
            <w:tcW w:w="3196" w:type="dxa"/>
          </w:tcPr>
          <w:p w14:paraId="2929819F" w14:textId="16DDBEC3" w:rsidR="00FF1419" w:rsidRPr="008E3266" w:rsidRDefault="00156B9F"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156B9F">
              <w:t>6,</w:t>
            </w:r>
            <w:r w:rsidR="00974117">
              <w:t>259</w:t>
            </w:r>
            <w:r w:rsidR="0070536C">
              <w:rPr>
                <w:rStyle w:val="FootnoteReference"/>
              </w:rPr>
              <w:footnoteReference w:id="5"/>
            </w:r>
          </w:p>
        </w:tc>
      </w:tr>
      <w:tr w:rsidR="00FF1419" w:rsidRPr="00100C88" w14:paraId="6B3254C1" w14:textId="77777777" w:rsidTr="007C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tcPr>
          <w:p w14:paraId="18E1E234" w14:textId="77777777" w:rsidR="00FF1419" w:rsidRPr="0033297E" w:rsidRDefault="00FF1419" w:rsidP="00545910">
            <w:pPr>
              <w:pStyle w:val="Tabletext9pt"/>
              <w:rPr>
                <w:b w:val="0"/>
                <w:bCs/>
              </w:rPr>
            </w:pPr>
            <w:r w:rsidRPr="0033297E">
              <w:rPr>
                <w:b w:val="0"/>
                <w:bCs/>
              </w:rPr>
              <w:t>WorkSafe NWAU</w:t>
            </w:r>
          </w:p>
        </w:tc>
        <w:tc>
          <w:tcPr>
            <w:tcW w:w="3196" w:type="dxa"/>
          </w:tcPr>
          <w:p w14:paraId="2CAFB152" w14:textId="1273E999" w:rsidR="00FF1419" w:rsidRPr="0002715F" w:rsidRDefault="0051001F" w:rsidP="008E3266">
            <w:pPr>
              <w:pStyle w:val="Tabletext9pt"/>
              <w:jc w:val="right"/>
              <w:cnfStyle w:val="000000100000" w:firstRow="0" w:lastRow="0" w:firstColumn="0" w:lastColumn="0" w:oddVBand="0" w:evenVBand="0" w:oddHBand="1" w:evenHBand="0" w:firstRowFirstColumn="0" w:firstRowLastColumn="0" w:lastRowFirstColumn="0" w:lastRowLastColumn="0"/>
            </w:pPr>
            <w:r>
              <w:t>6,056</w:t>
            </w:r>
          </w:p>
        </w:tc>
      </w:tr>
    </w:tbl>
    <w:p w14:paraId="1C1561E7" w14:textId="2EB51BE3" w:rsidR="00915D49" w:rsidRDefault="00915D49" w:rsidP="0084378F">
      <w:pPr>
        <w:pStyle w:val="Heading2"/>
        <w:numPr>
          <w:ilvl w:val="1"/>
          <w:numId w:val="12"/>
        </w:numPr>
        <w:ind w:left="851" w:hanging="851"/>
      </w:pPr>
      <w:bookmarkStart w:id="2108" w:name="_Toc201148278"/>
      <w:r>
        <w:t>Other price-based activity</w:t>
      </w:r>
      <w:bookmarkEnd w:id="2108"/>
    </w:p>
    <w:p w14:paraId="59170D8B" w14:textId="5A18DBAA" w:rsidR="0002554E" w:rsidRDefault="0002554E" w:rsidP="0002554E">
      <w:pPr>
        <w:pStyle w:val="Tablecaption"/>
        <w:spacing w:line="250" w:lineRule="atLeast"/>
      </w:pPr>
      <w:bookmarkStart w:id="2109" w:name="_Toc201148569"/>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7</w:t>
      </w:r>
      <w:r>
        <w:fldChar w:fldCharType="end"/>
      </w:r>
      <w:r>
        <w:t xml:space="preserve">: </w:t>
      </w:r>
      <w:r w:rsidRPr="00A510B3">
        <w:t xml:space="preserve">Transitional Care </w:t>
      </w:r>
      <w:r w:rsidRPr="007E1AE2">
        <w:t>Program 202</w:t>
      </w:r>
      <w:r w:rsidR="008002D9">
        <w:t>5</w:t>
      </w:r>
      <w:r w:rsidRPr="00DA49B0">
        <w:t>–</w:t>
      </w:r>
      <w:r w:rsidRPr="007E1AE2">
        <w:t>2</w:t>
      </w:r>
      <w:r w:rsidR="008002D9">
        <w:t>6</w:t>
      </w:r>
      <w:bookmarkEnd w:id="2109"/>
      <w:r w:rsidR="00640706">
        <w:t xml:space="preserve"> </w:t>
      </w:r>
    </w:p>
    <w:tbl>
      <w:tblPr>
        <w:tblStyle w:val="GridTable4-Accent1"/>
        <w:tblW w:w="9287" w:type="dxa"/>
        <w:tblLook w:val="04A0" w:firstRow="1" w:lastRow="0" w:firstColumn="1" w:lastColumn="0" w:noHBand="0" w:noVBand="1"/>
      </w:tblPr>
      <w:tblGrid>
        <w:gridCol w:w="6091"/>
        <w:gridCol w:w="3196"/>
      </w:tblGrid>
      <w:tr w:rsidR="00F36B0C" w14:paraId="04393BFC"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1D25353A"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3777A672"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36B0C" w14:paraId="73A7E26B"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2BEDA7C" w14:textId="77777777" w:rsidR="00FF1419" w:rsidRPr="00AC68A2" w:rsidRDefault="00FF1419" w:rsidP="00545910">
            <w:pPr>
              <w:pStyle w:val="Tabletext9pt"/>
              <w:rPr>
                <w:b w:val="0"/>
                <w:bCs/>
              </w:rPr>
            </w:pPr>
            <w:r w:rsidRPr="00AC68A2">
              <w:rPr>
                <w:b w:val="0"/>
                <w:bCs/>
              </w:rPr>
              <w:t>TCP bed places</w:t>
            </w:r>
            <w:r w:rsidRPr="00AC68A2">
              <w:rPr>
                <w:b w:val="0"/>
                <w:bCs/>
                <w:szCs w:val="18"/>
                <w:vertAlign w:val="superscript"/>
              </w:rPr>
              <w:footnoteReference w:id="6"/>
            </w:r>
            <w:r w:rsidRPr="00AC68A2">
              <w:rPr>
                <w:b w:val="0"/>
                <w:bCs/>
              </w:rPr>
              <w:t xml:space="preserve"> (per diem rate)</w:t>
            </w:r>
          </w:p>
        </w:tc>
        <w:tc>
          <w:tcPr>
            <w:tcW w:w="3196" w:type="dxa"/>
            <w:hideMark/>
          </w:tcPr>
          <w:p w14:paraId="0ED099C5" w14:textId="62EA139C" w:rsidR="00FF1419" w:rsidRPr="0EC1DC23" w:rsidRDefault="276A673B" w:rsidP="008E3266">
            <w:pPr>
              <w:pStyle w:val="Tabletext9pt"/>
              <w:jc w:val="right"/>
              <w:cnfStyle w:val="000000100000" w:firstRow="0" w:lastRow="0" w:firstColumn="0" w:lastColumn="0" w:oddVBand="0" w:evenVBand="0" w:oddHBand="1" w:evenHBand="0" w:firstRowFirstColumn="0" w:firstRowLastColumn="0" w:lastRowFirstColumn="0" w:lastRowLastColumn="0"/>
            </w:pPr>
            <w:r>
              <w:t>178.15</w:t>
            </w:r>
          </w:p>
        </w:tc>
      </w:tr>
      <w:tr w:rsidR="00F36B0C" w14:paraId="0998D0B6"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0AA62A7F" w14:textId="77777777" w:rsidR="00FF1419" w:rsidRPr="00AC68A2" w:rsidRDefault="00FF1419" w:rsidP="00545910">
            <w:pPr>
              <w:pStyle w:val="Tabletext9pt"/>
              <w:rPr>
                <w:b w:val="0"/>
                <w:bCs/>
              </w:rPr>
            </w:pPr>
            <w:r w:rsidRPr="00AC68A2">
              <w:rPr>
                <w:b w:val="0"/>
                <w:bCs/>
              </w:rPr>
              <w:t>TCP home places (per diem rate)</w:t>
            </w:r>
          </w:p>
        </w:tc>
        <w:tc>
          <w:tcPr>
            <w:tcW w:w="3196" w:type="dxa"/>
            <w:hideMark/>
          </w:tcPr>
          <w:p w14:paraId="23B8F4EC" w14:textId="307A6E0A" w:rsidR="00FF1419" w:rsidRPr="0EC1DC23" w:rsidRDefault="404D0FAA" w:rsidP="008E3266">
            <w:pPr>
              <w:pStyle w:val="Tabletext9pt"/>
              <w:jc w:val="right"/>
              <w:cnfStyle w:val="000000000000" w:firstRow="0" w:lastRow="0" w:firstColumn="0" w:lastColumn="0" w:oddVBand="0" w:evenVBand="0" w:oddHBand="0" w:evenHBand="0" w:firstRowFirstColumn="0" w:firstRowLastColumn="0" w:lastRowFirstColumn="0" w:lastRowLastColumn="0"/>
            </w:pPr>
            <w:r>
              <w:t>65.32</w:t>
            </w:r>
          </w:p>
        </w:tc>
      </w:tr>
    </w:tbl>
    <w:p w14:paraId="71A54458" w14:textId="4B5D59CD" w:rsidR="0002554E" w:rsidRDefault="0002554E" w:rsidP="0002554E">
      <w:pPr>
        <w:pStyle w:val="Tablecaption"/>
        <w:spacing w:line="250" w:lineRule="atLeast"/>
      </w:pPr>
      <w:bookmarkStart w:id="2110" w:name="_Toc110944646"/>
      <w:bookmarkStart w:id="2111" w:name="_Toc201148570"/>
      <w:bookmarkStart w:id="2112" w:name="_Toc419644511"/>
      <w:bookmarkStart w:id="2113" w:name="_Toc487742067"/>
      <w:bookmarkEnd w:id="2110"/>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8</w:t>
      </w:r>
      <w:r>
        <w:fldChar w:fldCharType="end"/>
      </w:r>
      <w:r>
        <w:t xml:space="preserve">: </w:t>
      </w:r>
      <w:r w:rsidRPr="007E1AE2">
        <w:t>Non-admitted radiotherapy 202</w:t>
      </w:r>
      <w:r w:rsidR="008002D9">
        <w:t>5</w:t>
      </w:r>
      <w:r w:rsidRPr="00DA49B0">
        <w:rPr>
          <w:szCs w:val="21"/>
        </w:rPr>
        <w:t>–</w:t>
      </w:r>
      <w:r w:rsidRPr="007E1AE2">
        <w:t>2</w:t>
      </w:r>
      <w:r w:rsidR="008002D9">
        <w:t>6</w:t>
      </w:r>
      <w:bookmarkEnd w:id="2111"/>
    </w:p>
    <w:tbl>
      <w:tblPr>
        <w:tblStyle w:val="GridTable4-Accent1"/>
        <w:tblW w:w="9287" w:type="dxa"/>
        <w:tblLayout w:type="fixed"/>
        <w:tblLook w:val="04A0" w:firstRow="1" w:lastRow="0" w:firstColumn="1" w:lastColumn="0" w:noHBand="0" w:noVBand="1"/>
      </w:tblPr>
      <w:tblGrid>
        <w:gridCol w:w="6091"/>
        <w:gridCol w:w="3196"/>
      </w:tblGrid>
      <w:tr w:rsidR="00F36B0C" w14:paraId="0041622D"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5D2E4552"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532652C0"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36B0C" w14:paraId="46E44DD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hideMark/>
          </w:tcPr>
          <w:p w14:paraId="67600454" w14:textId="41E47A55" w:rsidR="00FF1419" w:rsidRPr="00AC68A2" w:rsidRDefault="00FF1419" w:rsidP="00545910">
            <w:pPr>
              <w:pStyle w:val="Tabletext9pt"/>
              <w:rPr>
                <w:b w:val="0"/>
                <w:bCs/>
              </w:rPr>
            </w:pPr>
            <w:r w:rsidRPr="00AC68A2">
              <w:rPr>
                <w:b w:val="0"/>
                <w:bCs/>
              </w:rPr>
              <w:t>WAU</w:t>
            </w:r>
          </w:p>
        </w:tc>
        <w:tc>
          <w:tcPr>
            <w:tcW w:w="3196" w:type="dxa"/>
            <w:hideMark/>
          </w:tcPr>
          <w:p w14:paraId="6992FC42" w14:textId="278B1B71"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02715F">
              <w:t>2</w:t>
            </w:r>
            <w:r w:rsidR="00E72BD2">
              <w:t>71.</w:t>
            </w:r>
            <w:r w:rsidR="00A90E00">
              <w:t>97</w:t>
            </w:r>
          </w:p>
        </w:tc>
      </w:tr>
      <w:tr w:rsidR="00F36B0C" w14:paraId="67A9DFA1" w14:textId="77777777" w:rsidTr="008B1D7D">
        <w:tc>
          <w:tcPr>
            <w:cnfStyle w:val="001000000000" w:firstRow="0" w:lastRow="0" w:firstColumn="1" w:lastColumn="0" w:oddVBand="0" w:evenVBand="0" w:oddHBand="0" w:evenHBand="0" w:firstRowFirstColumn="0" w:firstRowLastColumn="0" w:lastRowFirstColumn="0" w:lastRowLastColumn="0"/>
            <w:tcW w:w="6091" w:type="dxa"/>
            <w:hideMark/>
          </w:tcPr>
          <w:p w14:paraId="3F8BE19D" w14:textId="77777777" w:rsidR="00FF1419" w:rsidRPr="00AC68A2" w:rsidRDefault="00FF1419" w:rsidP="00545910">
            <w:pPr>
              <w:pStyle w:val="Tabletext9pt"/>
              <w:rPr>
                <w:b w:val="0"/>
                <w:bCs/>
              </w:rPr>
            </w:pPr>
            <w:r w:rsidRPr="00AC68A2">
              <w:rPr>
                <w:b w:val="0"/>
                <w:bCs/>
              </w:rPr>
              <w:t>Department of Veterans’ Affairs WAU</w:t>
            </w:r>
          </w:p>
        </w:tc>
        <w:tc>
          <w:tcPr>
            <w:tcW w:w="3196" w:type="dxa"/>
          </w:tcPr>
          <w:p w14:paraId="745B2510" w14:textId="51AE5B9A" w:rsidR="00FF1419" w:rsidRPr="0002715F" w:rsidRDefault="21245F5D" w:rsidP="008E3266">
            <w:pPr>
              <w:pStyle w:val="Tabletext9pt"/>
              <w:jc w:val="right"/>
              <w:cnfStyle w:val="000000000000" w:firstRow="0" w:lastRow="0" w:firstColumn="0" w:lastColumn="0" w:oddVBand="0" w:evenVBand="0" w:oddHBand="0" w:evenHBand="0" w:firstRowFirstColumn="0" w:firstRowLastColumn="0" w:lastRowFirstColumn="0" w:lastRowLastColumn="0"/>
            </w:pPr>
            <w:r>
              <w:t>336.11</w:t>
            </w:r>
          </w:p>
        </w:tc>
      </w:tr>
      <w:tr w:rsidR="00F36B0C" w14:paraId="4C9A69E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hideMark/>
          </w:tcPr>
          <w:p w14:paraId="7AF51766" w14:textId="77777777" w:rsidR="00FF1419" w:rsidRPr="00AC68A2" w:rsidRDefault="00FF1419" w:rsidP="00545910">
            <w:pPr>
              <w:pStyle w:val="Tabletext9pt"/>
              <w:rPr>
                <w:b w:val="0"/>
                <w:bCs/>
              </w:rPr>
            </w:pPr>
            <w:r w:rsidRPr="00AC68A2">
              <w:rPr>
                <w:b w:val="0"/>
                <w:bCs/>
              </w:rPr>
              <w:t>Shared care</w:t>
            </w:r>
          </w:p>
        </w:tc>
        <w:tc>
          <w:tcPr>
            <w:tcW w:w="3196" w:type="dxa"/>
          </w:tcPr>
          <w:p w14:paraId="278FA42F" w14:textId="75A1C1CA"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02715F">
              <w:t>1,</w:t>
            </w:r>
            <w:r w:rsidR="00182EBF">
              <w:t>935</w:t>
            </w:r>
            <w:r w:rsidRPr="0002715F">
              <w:t>.00</w:t>
            </w:r>
          </w:p>
        </w:tc>
      </w:tr>
    </w:tbl>
    <w:p w14:paraId="7E4B94CF" w14:textId="0CC06E33" w:rsidR="0002554E" w:rsidRDefault="0002554E" w:rsidP="0002554E">
      <w:pPr>
        <w:pStyle w:val="Tablecaption"/>
        <w:spacing w:line="250" w:lineRule="atLeast"/>
      </w:pPr>
      <w:bookmarkStart w:id="2114" w:name="_Toc110944648"/>
      <w:bookmarkStart w:id="2115" w:name="_Toc110944649"/>
      <w:bookmarkStart w:id="2116" w:name="Table1_9"/>
      <w:bookmarkStart w:id="2117" w:name="_Toc201148571"/>
      <w:bookmarkStart w:id="2118" w:name="_Toc487742069"/>
      <w:bookmarkStart w:id="2119" w:name="_Toc418694986"/>
      <w:bookmarkEnd w:id="2112"/>
      <w:bookmarkEnd w:id="2113"/>
      <w:bookmarkEnd w:id="2114"/>
      <w:bookmarkEnd w:id="2115"/>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9</w:t>
      </w:r>
      <w:r>
        <w:fldChar w:fldCharType="end"/>
      </w:r>
      <w:bookmarkEnd w:id="2116"/>
      <w:r>
        <w:t xml:space="preserve">: </w:t>
      </w:r>
      <w:r w:rsidRPr="005D4343">
        <w:t>Nationally</w:t>
      </w:r>
      <w:r>
        <w:t xml:space="preserve"> Funded Centres Program </w:t>
      </w:r>
      <w:r w:rsidRPr="008F2ED0">
        <w:t>202</w:t>
      </w:r>
      <w:r w:rsidR="008002D9">
        <w:t>5</w:t>
      </w:r>
      <w:r w:rsidRPr="008F2ED0">
        <w:rPr>
          <w:szCs w:val="21"/>
        </w:rPr>
        <w:t>–</w:t>
      </w:r>
      <w:r w:rsidRPr="008F2ED0">
        <w:t>2</w:t>
      </w:r>
      <w:r w:rsidR="008002D9">
        <w:t>6</w:t>
      </w:r>
      <w:bookmarkEnd w:id="2117"/>
    </w:p>
    <w:tbl>
      <w:tblPr>
        <w:tblStyle w:val="GridTable4-Accent1"/>
        <w:tblW w:w="9287" w:type="dxa"/>
        <w:tblLook w:val="04A0" w:firstRow="1" w:lastRow="0" w:firstColumn="1" w:lastColumn="0" w:noHBand="0" w:noVBand="1"/>
      </w:tblPr>
      <w:tblGrid>
        <w:gridCol w:w="6091"/>
        <w:gridCol w:w="3196"/>
      </w:tblGrid>
      <w:tr w:rsidR="005B699B" w14:paraId="0BB7F119"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74E2AB00" w14:textId="77777777" w:rsidR="005B699B" w:rsidRPr="008B1D7D" w:rsidRDefault="005B699B" w:rsidP="00785BA1">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36C70281" w14:textId="3486FA19" w:rsidR="005B699B" w:rsidRPr="008B1D7D"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Hosting health service ($)</w:t>
            </w:r>
          </w:p>
        </w:tc>
      </w:tr>
      <w:tr w:rsidR="005B699B" w14:paraId="6C507DD3"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AA90494" w14:textId="77777777" w:rsidR="005B699B" w:rsidRPr="00AC68A2" w:rsidRDefault="005B699B" w:rsidP="00545910">
            <w:pPr>
              <w:pStyle w:val="Tabletext9pt"/>
              <w:rPr>
                <w:b w:val="0"/>
                <w:bCs/>
                <w:lang w:eastAsia="en-US"/>
              </w:rPr>
            </w:pPr>
            <w:r w:rsidRPr="00AC68A2">
              <w:rPr>
                <w:b w:val="0"/>
                <w:bCs/>
              </w:rPr>
              <w:t>Islet cell transplantation</w:t>
            </w:r>
          </w:p>
        </w:tc>
        <w:tc>
          <w:tcPr>
            <w:tcW w:w="3196" w:type="dxa"/>
            <w:hideMark/>
          </w:tcPr>
          <w:p w14:paraId="312179F5" w14:textId="54684D3A" w:rsidR="005B699B" w:rsidRPr="00545910" w:rsidRDefault="00F63A67" w:rsidP="008E3266">
            <w:pPr>
              <w:pStyle w:val="Tabletext9pt"/>
              <w:jc w:val="right"/>
              <w:cnfStyle w:val="000000100000" w:firstRow="0" w:lastRow="0" w:firstColumn="0" w:lastColumn="0" w:oddVBand="0" w:evenVBand="0" w:oddHBand="1" w:evenHBand="0" w:firstRowFirstColumn="0" w:firstRowLastColumn="0" w:lastRowFirstColumn="0" w:lastRowLastColumn="0"/>
            </w:pPr>
            <w:r>
              <w:t>2</w:t>
            </w:r>
            <w:r w:rsidR="4473316C">
              <w:t>39,694</w:t>
            </w:r>
          </w:p>
        </w:tc>
      </w:tr>
      <w:tr w:rsidR="005B699B" w14:paraId="6C75F2FE"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66F7EEFA" w14:textId="77777777" w:rsidR="005B699B" w:rsidRPr="00AC68A2" w:rsidRDefault="005B699B" w:rsidP="00545910">
            <w:pPr>
              <w:pStyle w:val="Tabletext9pt"/>
              <w:rPr>
                <w:b w:val="0"/>
                <w:bCs/>
                <w:lang w:eastAsia="en-US"/>
              </w:rPr>
            </w:pPr>
            <w:r w:rsidRPr="00AC68A2">
              <w:rPr>
                <w:b w:val="0"/>
                <w:bCs/>
              </w:rPr>
              <w:t>Paediatric heart transplantation – no ventricular assist device</w:t>
            </w:r>
          </w:p>
        </w:tc>
        <w:tc>
          <w:tcPr>
            <w:tcW w:w="3196" w:type="dxa"/>
            <w:hideMark/>
          </w:tcPr>
          <w:p w14:paraId="5097D93E" w14:textId="0C2FED9B" w:rsidR="005B699B" w:rsidRPr="00545910" w:rsidRDefault="005B699B" w:rsidP="008E3266">
            <w:pPr>
              <w:pStyle w:val="Tabletext9pt"/>
              <w:jc w:val="right"/>
              <w:cnfStyle w:val="000000000000" w:firstRow="0" w:lastRow="0" w:firstColumn="0" w:lastColumn="0" w:oddVBand="0" w:evenVBand="0" w:oddHBand="0" w:evenHBand="0" w:firstRowFirstColumn="0" w:firstRowLastColumn="0" w:lastRowFirstColumn="0" w:lastRowLastColumn="0"/>
            </w:pPr>
            <w:r>
              <w:t>4</w:t>
            </w:r>
            <w:r w:rsidR="7E8F4F2B">
              <w:t>92,747</w:t>
            </w:r>
          </w:p>
        </w:tc>
      </w:tr>
      <w:tr w:rsidR="005B699B" w14:paraId="6A9F010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03F7E174" w14:textId="77777777" w:rsidR="005B699B" w:rsidRPr="00AC68A2" w:rsidRDefault="005B699B" w:rsidP="00545910">
            <w:pPr>
              <w:pStyle w:val="Tabletext9pt"/>
              <w:rPr>
                <w:b w:val="0"/>
                <w:bCs/>
                <w:lang w:eastAsia="en-US"/>
              </w:rPr>
            </w:pPr>
            <w:r w:rsidRPr="00AC68A2">
              <w:rPr>
                <w:b w:val="0"/>
                <w:bCs/>
              </w:rPr>
              <w:t>Paediatric heart transplantation – with ventricular assist device</w:t>
            </w:r>
          </w:p>
        </w:tc>
        <w:tc>
          <w:tcPr>
            <w:tcW w:w="3196" w:type="dxa"/>
            <w:hideMark/>
          </w:tcPr>
          <w:p w14:paraId="5790D743" w14:textId="13B00048" w:rsidR="005B699B" w:rsidRPr="00545910" w:rsidRDefault="039F1A59" w:rsidP="008E3266">
            <w:pPr>
              <w:pStyle w:val="Tabletext9pt"/>
              <w:jc w:val="right"/>
              <w:cnfStyle w:val="000000100000" w:firstRow="0" w:lastRow="0" w:firstColumn="0" w:lastColumn="0" w:oddVBand="0" w:evenVBand="0" w:oddHBand="1" w:evenHBand="0" w:firstRowFirstColumn="0" w:firstRowLastColumn="0" w:lastRowFirstColumn="0" w:lastRowLastColumn="0"/>
            </w:pPr>
            <w:r>
              <w:t>1,142,329</w:t>
            </w:r>
          </w:p>
        </w:tc>
      </w:tr>
      <w:tr w:rsidR="005B699B" w14:paraId="7001FC91"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70F83626" w14:textId="77777777" w:rsidR="005B699B" w:rsidRPr="00AC68A2" w:rsidRDefault="005B699B" w:rsidP="00545910">
            <w:pPr>
              <w:pStyle w:val="Tabletext9pt"/>
              <w:rPr>
                <w:b w:val="0"/>
                <w:bCs/>
                <w:lang w:eastAsia="en-US"/>
              </w:rPr>
            </w:pPr>
            <w:r w:rsidRPr="00AC68A2">
              <w:rPr>
                <w:b w:val="0"/>
                <w:bCs/>
              </w:rPr>
              <w:t>Paediatric liver transplantation</w:t>
            </w:r>
          </w:p>
        </w:tc>
        <w:tc>
          <w:tcPr>
            <w:tcW w:w="3196" w:type="dxa"/>
            <w:hideMark/>
          </w:tcPr>
          <w:p w14:paraId="7D423541" w14:textId="021873AF" w:rsidR="005B699B" w:rsidRPr="00545910" w:rsidRDefault="453BE0FC" w:rsidP="008E3266">
            <w:pPr>
              <w:pStyle w:val="Tabletext9pt"/>
              <w:jc w:val="right"/>
              <w:cnfStyle w:val="000000000000" w:firstRow="0" w:lastRow="0" w:firstColumn="0" w:lastColumn="0" w:oddVBand="0" w:evenVBand="0" w:oddHBand="0" w:evenHBand="0" w:firstRowFirstColumn="0" w:firstRowLastColumn="0" w:lastRowFirstColumn="0" w:lastRowLastColumn="0"/>
            </w:pPr>
            <w:r>
              <w:t>402,396</w:t>
            </w:r>
          </w:p>
        </w:tc>
      </w:tr>
      <w:tr w:rsidR="005B699B" w14:paraId="72E5615C"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17432D8E" w14:textId="5D44E84D" w:rsidR="005B699B" w:rsidRPr="00AC68A2" w:rsidRDefault="005B699B" w:rsidP="00545910">
            <w:pPr>
              <w:pStyle w:val="Tabletext9pt"/>
              <w:rPr>
                <w:b w:val="0"/>
                <w:bCs/>
              </w:rPr>
            </w:pPr>
            <w:r w:rsidRPr="00AC68A2">
              <w:rPr>
                <w:b w:val="0"/>
                <w:bCs/>
              </w:rPr>
              <w:t>Paediatric lung/heart</w:t>
            </w:r>
            <w:r w:rsidR="00857CBB" w:rsidRPr="00AC68A2">
              <w:rPr>
                <w:b w:val="0"/>
                <w:bCs/>
              </w:rPr>
              <w:t>–</w:t>
            </w:r>
            <w:r w:rsidRPr="00AC68A2">
              <w:rPr>
                <w:b w:val="0"/>
                <w:bCs/>
              </w:rPr>
              <w:t>lung transplantation</w:t>
            </w:r>
          </w:p>
        </w:tc>
        <w:tc>
          <w:tcPr>
            <w:tcW w:w="3196" w:type="dxa"/>
            <w:hideMark/>
          </w:tcPr>
          <w:p w14:paraId="07376333" w14:textId="3BD85E3A" w:rsidR="005B699B" w:rsidRPr="00545910" w:rsidRDefault="005B699B" w:rsidP="008E3266">
            <w:pPr>
              <w:pStyle w:val="Tabletext9pt"/>
              <w:jc w:val="right"/>
              <w:cnfStyle w:val="000000100000" w:firstRow="0" w:lastRow="0" w:firstColumn="0" w:lastColumn="0" w:oddVBand="0" w:evenVBand="0" w:oddHBand="1" w:evenHBand="0" w:firstRowFirstColumn="0" w:firstRowLastColumn="0" w:lastRowFirstColumn="0" w:lastRowLastColumn="0"/>
            </w:pPr>
            <w:r>
              <w:t>3</w:t>
            </w:r>
            <w:r w:rsidR="71CAF034">
              <w:t>51,332</w:t>
            </w:r>
          </w:p>
        </w:tc>
      </w:tr>
      <w:tr w:rsidR="005B699B" w14:paraId="0C3F302C"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64D4EB59" w14:textId="77777777" w:rsidR="005B699B" w:rsidRPr="00AC68A2" w:rsidRDefault="005B699B" w:rsidP="00545910">
            <w:pPr>
              <w:pStyle w:val="Tabletext9pt"/>
              <w:rPr>
                <w:b w:val="0"/>
                <w:bCs/>
              </w:rPr>
            </w:pPr>
            <w:r w:rsidRPr="00AC68A2">
              <w:rPr>
                <w:b w:val="0"/>
                <w:bCs/>
              </w:rPr>
              <w:t>Pancreas transplantation</w:t>
            </w:r>
          </w:p>
        </w:tc>
        <w:tc>
          <w:tcPr>
            <w:tcW w:w="3196" w:type="dxa"/>
            <w:hideMark/>
          </w:tcPr>
          <w:p w14:paraId="5755A8F2" w14:textId="77E09536" w:rsidR="005B699B" w:rsidRPr="00545910" w:rsidRDefault="005B699B" w:rsidP="008E3266">
            <w:pPr>
              <w:pStyle w:val="Tabletext9pt"/>
              <w:jc w:val="right"/>
              <w:cnfStyle w:val="000000000000" w:firstRow="0" w:lastRow="0" w:firstColumn="0" w:lastColumn="0" w:oddVBand="0" w:evenVBand="0" w:oddHBand="0" w:evenHBand="0" w:firstRowFirstColumn="0" w:firstRowLastColumn="0" w:lastRowFirstColumn="0" w:lastRowLastColumn="0"/>
            </w:pPr>
            <w:r>
              <w:t>2</w:t>
            </w:r>
            <w:r w:rsidR="56DCDB20">
              <w:t>21,205</w:t>
            </w:r>
          </w:p>
        </w:tc>
      </w:tr>
    </w:tbl>
    <w:p w14:paraId="5D6A4C8D" w14:textId="02CF853C" w:rsidR="005B699B" w:rsidRPr="00C70724" w:rsidRDefault="005B699B" w:rsidP="0084378F">
      <w:pPr>
        <w:pStyle w:val="Heading2"/>
        <w:numPr>
          <w:ilvl w:val="1"/>
          <w:numId w:val="12"/>
        </w:numPr>
        <w:ind w:left="851" w:hanging="851"/>
      </w:pPr>
      <w:bookmarkStart w:id="2120" w:name="_Toc167651295"/>
      <w:bookmarkStart w:id="2121" w:name="_Toc167651294"/>
      <w:bookmarkStart w:id="2122" w:name="_Toc487742007"/>
      <w:bookmarkStart w:id="2123" w:name="_Toc14172237"/>
      <w:bookmarkStart w:id="2124" w:name="_Toc100263348"/>
      <w:bookmarkStart w:id="2125" w:name="_Toc165961852"/>
      <w:bookmarkStart w:id="2126" w:name="_Toc201148279"/>
      <w:bookmarkEnd w:id="2118"/>
      <w:bookmarkEnd w:id="2120"/>
      <w:bookmarkEnd w:id="2121"/>
      <w:r w:rsidRPr="00C70724">
        <w:lastRenderedPageBreak/>
        <w:t xml:space="preserve">Mental </w:t>
      </w:r>
      <w:r>
        <w:t>h</w:t>
      </w:r>
      <w:r w:rsidRPr="00C70724">
        <w:t xml:space="preserve">ealth </w:t>
      </w:r>
      <w:bookmarkEnd w:id="2119"/>
      <w:bookmarkEnd w:id="2122"/>
      <w:bookmarkEnd w:id="2123"/>
      <w:bookmarkEnd w:id="2124"/>
      <w:r w:rsidRPr="00731B6C">
        <w:t>services</w:t>
      </w:r>
      <w:bookmarkEnd w:id="2125"/>
      <w:bookmarkEnd w:id="2126"/>
    </w:p>
    <w:p w14:paraId="6756B7DE" w14:textId="06386EFA" w:rsidR="00A97999" w:rsidRDefault="00A97999" w:rsidP="00A97999">
      <w:pPr>
        <w:pStyle w:val="Tablecaption"/>
        <w:spacing w:line="250" w:lineRule="atLeast"/>
      </w:pPr>
      <w:bookmarkStart w:id="2127" w:name="_Toc201148572"/>
      <w:bookmarkStart w:id="2128" w:name="_Toc419644512"/>
      <w:bookmarkStart w:id="2129" w:name="_Toc487742070"/>
      <w:bookmarkStart w:id="2130" w:name="_Hlk12609501"/>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10</w:t>
      </w:r>
      <w:r>
        <w:fldChar w:fldCharType="end"/>
      </w:r>
      <w:r>
        <w:t xml:space="preserve">: </w:t>
      </w:r>
      <w:r w:rsidRPr="004B2BBB">
        <w:rPr>
          <w:noProof/>
        </w:rPr>
        <w:t>Mental health</w:t>
      </w:r>
      <w:r w:rsidRPr="004B2BBB">
        <w:t xml:space="preserve"> – funded units </w:t>
      </w:r>
      <w:r w:rsidRPr="00710043">
        <w:t xml:space="preserve">applicable to </w:t>
      </w:r>
      <w:r w:rsidRPr="003A1A20">
        <w:t>clinical bed-based services</w:t>
      </w:r>
      <w:r w:rsidRPr="00710043">
        <w:t xml:space="preserve"> 202</w:t>
      </w:r>
      <w:r w:rsidR="008002D9">
        <w:t>5</w:t>
      </w:r>
      <w:r w:rsidRPr="00710043">
        <w:rPr>
          <w:szCs w:val="21"/>
        </w:rPr>
        <w:t>–</w:t>
      </w:r>
      <w:r w:rsidRPr="004B2BBB">
        <w:t>2</w:t>
      </w:r>
      <w:r w:rsidR="008002D9">
        <w:t>6</w:t>
      </w:r>
      <w:r w:rsidRPr="00710043">
        <w:rPr>
          <w:szCs w:val="21"/>
        </w:rPr>
        <w:t xml:space="preserve"> </w:t>
      </w:r>
      <w:r w:rsidRPr="00710043">
        <w:t>– n</w:t>
      </w:r>
      <w:r w:rsidRPr="00710043">
        <w:rPr>
          <w:lang w:eastAsia="en-AU"/>
        </w:rPr>
        <w:t>on-admitted care</w:t>
      </w:r>
      <w:bookmarkEnd w:id="2127"/>
      <w:r w:rsidR="00FC2493">
        <w:t xml:space="preserve"> </w:t>
      </w:r>
    </w:p>
    <w:tbl>
      <w:tblPr>
        <w:tblStyle w:val="GridTable4-Accent1"/>
        <w:tblW w:w="9285" w:type="dxa"/>
        <w:tblLayout w:type="fixed"/>
        <w:tblLook w:val="04A0" w:firstRow="1" w:lastRow="0" w:firstColumn="1" w:lastColumn="0" w:noHBand="0" w:noVBand="1"/>
      </w:tblPr>
      <w:tblGrid>
        <w:gridCol w:w="4268"/>
        <w:gridCol w:w="2526"/>
        <w:gridCol w:w="2491"/>
      </w:tblGrid>
      <w:tr w:rsidR="00FF1419" w14:paraId="325F04CE"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8" w:type="dxa"/>
            <w:hideMark/>
          </w:tcPr>
          <w:p w14:paraId="1657EA75"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Service element</w:t>
            </w:r>
          </w:p>
        </w:tc>
        <w:tc>
          <w:tcPr>
            <w:tcW w:w="2526" w:type="dxa"/>
            <w:hideMark/>
          </w:tcPr>
          <w:p w14:paraId="45CA37E9"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Funded unit</w:t>
            </w:r>
          </w:p>
        </w:tc>
        <w:tc>
          <w:tcPr>
            <w:tcW w:w="2491" w:type="dxa"/>
            <w:hideMark/>
          </w:tcPr>
          <w:p w14:paraId="79CFC254"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F1419" w14:paraId="14C55041"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02482915" w14:textId="77777777" w:rsidR="00FF1419" w:rsidRPr="00AC68A2" w:rsidRDefault="00FF1419" w:rsidP="00545910">
            <w:pPr>
              <w:pStyle w:val="Tabletext9pt"/>
              <w:rPr>
                <w:b w:val="0"/>
                <w:bCs/>
              </w:rPr>
            </w:pPr>
            <w:r w:rsidRPr="00AC68A2">
              <w:rPr>
                <w:b w:val="0"/>
                <w:bCs/>
              </w:rPr>
              <w:t>Community care unit</w:t>
            </w:r>
          </w:p>
        </w:tc>
        <w:tc>
          <w:tcPr>
            <w:tcW w:w="2526" w:type="dxa"/>
            <w:hideMark/>
          </w:tcPr>
          <w:p w14:paraId="255CC0BB"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725A7EF4" w14:textId="6D93250D"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6799C34F">
              <w:t>53.67</w:t>
            </w:r>
          </w:p>
        </w:tc>
      </w:tr>
      <w:tr w:rsidR="00FF1419" w14:paraId="3E692497" w14:textId="77777777" w:rsidTr="008B1D7D">
        <w:tc>
          <w:tcPr>
            <w:cnfStyle w:val="001000000000" w:firstRow="0" w:lastRow="0" w:firstColumn="1" w:lastColumn="0" w:oddVBand="0" w:evenVBand="0" w:oddHBand="0" w:evenHBand="0" w:firstRowFirstColumn="0" w:firstRowLastColumn="0" w:lastRowFirstColumn="0" w:lastRowLastColumn="0"/>
            <w:tcW w:w="4268" w:type="dxa"/>
            <w:hideMark/>
          </w:tcPr>
          <w:p w14:paraId="70A47998" w14:textId="77777777" w:rsidR="00FF1419" w:rsidRPr="00AC68A2" w:rsidRDefault="00FF1419" w:rsidP="00545910">
            <w:pPr>
              <w:pStyle w:val="Tabletext9pt"/>
              <w:rPr>
                <w:b w:val="0"/>
                <w:bCs/>
              </w:rPr>
            </w:pPr>
            <w:r w:rsidRPr="00AC68A2">
              <w:rPr>
                <w:b w:val="0"/>
                <w:bCs/>
              </w:rPr>
              <w:t>Adult PARC</w:t>
            </w:r>
          </w:p>
        </w:tc>
        <w:tc>
          <w:tcPr>
            <w:tcW w:w="2526" w:type="dxa"/>
            <w:hideMark/>
          </w:tcPr>
          <w:p w14:paraId="70D9ADF5"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91" w:type="dxa"/>
            <w:hideMark/>
          </w:tcPr>
          <w:p w14:paraId="69F38604" w14:textId="17E8247B"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5</w:t>
            </w:r>
            <w:r w:rsidR="1DDD2633">
              <w:t>97.43</w:t>
            </w:r>
          </w:p>
        </w:tc>
      </w:tr>
      <w:tr w:rsidR="00FF1419" w14:paraId="5B12AE2A"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62AD863A" w14:textId="77777777" w:rsidR="00FF1419" w:rsidRPr="00AC68A2" w:rsidRDefault="00FF1419" w:rsidP="00545910">
            <w:pPr>
              <w:pStyle w:val="Tabletext9pt"/>
              <w:rPr>
                <w:b w:val="0"/>
                <w:bCs/>
              </w:rPr>
            </w:pPr>
            <w:r w:rsidRPr="00AC68A2">
              <w:rPr>
                <w:b w:val="0"/>
                <w:bCs/>
              </w:rPr>
              <w:t>Youth PARC</w:t>
            </w:r>
          </w:p>
        </w:tc>
        <w:tc>
          <w:tcPr>
            <w:tcW w:w="2526" w:type="dxa"/>
            <w:hideMark/>
          </w:tcPr>
          <w:p w14:paraId="360342F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362C42FD" w14:textId="1D8A23C9" w:rsidR="00FF1419" w:rsidRPr="0002715F" w:rsidRDefault="3E8F385D" w:rsidP="008E3266">
            <w:pPr>
              <w:pStyle w:val="Tabletext9pt"/>
              <w:jc w:val="right"/>
              <w:cnfStyle w:val="000000100000" w:firstRow="0" w:lastRow="0" w:firstColumn="0" w:lastColumn="0" w:oddVBand="0" w:evenVBand="0" w:oddHBand="1" w:evenHBand="0" w:firstRowFirstColumn="0" w:firstRowLastColumn="0" w:lastRowFirstColumn="0" w:lastRowLastColumn="0"/>
            </w:pPr>
            <w:r>
              <w:t>712.67</w:t>
            </w:r>
          </w:p>
        </w:tc>
      </w:tr>
      <w:tr w:rsidR="00FF1419" w14:paraId="3A4D5B91" w14:textId="77777777" w:rsidTr="008B1D7D">
        <w:tc>
          <w:tcPr>
            <w:cnfStyle w:val="001000000000" w:firstRow="0" w:lastRow="0" w:firstColumn="1" w:lastColumn="0" w:oddVBand="0" w:evenVBand="0" w:oddHBand="0" w:evenHBand="0" w:firstRowFirstColumn="0" w:firstRowLastColumn="0" w:lastRowFirstColumn="0" w:lastRowLastColumn="0"/>
            <w:tcW w:w="4268" w:type="dxa"/>
            <w:hideMark/>
          </w:tcPr>
          <w:p w14:paraId="76B05B52" w14:textId="77777777" w:rsidR="00FF1419" w:rsidRPr="00AC68A2" w:rsidRDefault="00FF1419" w:rsidP="00545910">
            <w:pPr>
              <w:pStyle w:val="Tabletext9pt"/>
              <w:rPr>
                <w:b w:val="0"/>
                <w:bCs/>
              </w:rPr>
            </w:pPr>
            <w:r w:rsidRPr="00AC68A2">
              <w:rPr>
                <w:b w:val="0"/>
                <w:bCs/>
              </w:rPr>
              <w:t>Aged persons nursing home supplement</w:t>
            </w:r>
          </w:p>
        </w:tc>
        <w:tc>
          <w:tcPr>
            <w:tcW w:w="2526" w:type="dxa"/>
            <w:hideMark/>
          </w:tcPr>
          <w:p w14:paraId="66AC3F5D"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91" w:type="dxa"/>
            <w:hideMark/>
          </w:tcPr>
          <w:p w14:paraId="7907C63F" w14:textId="7A933AEF"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11</w:t>
            </w:r>
            <w:r w:rsidR="11DDFA32">
              <w:t>6.38</w:t>
            </w:r>
          </w:p>
        </w:tc>
      </w:tr>
      <w:tr w:rsidR="00FF1419" w14:paraId="3999A722"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44BEAD1B" w14:textId="77777777" w:rsidR="00FF1419" w:rsidRPr="00AC68A2" w:rsidRDefault="00FF1419" w:rsidP="00545910">
            <w:pPr>
              <w:pStyle w:val="Tabletext9pt"/>
              <w:rPr>
                <w:b w:val="0"/>
                <w:bCs/>
              </w:rPr>
            </w:pPr>
            <w:r w:rsidRPr="00AC68A2">
              <w:rPr>
                <w:b w:val="0"/>
                <w:bCs/>
              </w:rPr>
              <w:t>Aged persons hostel supplement</w:t>
            </w:r>
          </w:p>
        </w:tc>
        <w:tc>
          <w:tcPr>
            <w:tcW w:w="2526" w:type="dxa"/>
            <w:hideMark/>
          </w:tcPr>
          <w:p w14:paraId="6203C012"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44EC5585" w14:textId="043A9214"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10</w:t>
            </w:r>
            <w:r w:rsidR="07C1598F">
              <w:t>3.34</w:t>
            </w:r>
          </w:p>
        </w:tc>
      </w:tr>
    </w:tbl>
    <w:p w14:paraId="581ABB3D" w14:textId="3EEFF841" w:rsidR="00A97999" w:rsidRPr="00972799" w:rsidRDefault="00A97999" w:rsidP="00972799">
      <w:pPr>
        <w:pStyle w:val="Tablecaption"/>
      </w:pPr>
      <w:bookmarkStart w:id="2131" w:name="_Toc201148573"/>
      <w:r w:rsidRPr="00972799">
        <w:t xml:space="preserve">Table </w:t>
      </w:r>
      <w:fldSimple w:instr="REF Part \* MERGEFORMAT">
        <w:r w:rsidR="007D262B">
          <w:t>1</w:t>
        </w:r>
      </w:fldSimple>
      <w:r w:rsidRPr="00972799">
        <w:t>.</w:t>
      </w:r>
      <w:r w:rsidR="007D262B">
        <w:fldChar w:fldCharType="begin"/>
      </w:r>
      <w:r w:rsidR="007D262B">
        <w:instrText xml:space="preserve"> SEQ Table \* ARABIC </w:instrText>
      </w:r>
      <w:r w:rsidR="007D262B">
        <w:fldChar w:fldCharType="separate"/>
      </w:r>
      <w:r w:rsidR="007D262B">
        <w:rPr>
          <w:noProof/>
        </w:rPr>
        <w:t>11</w:t>
      </w:r>
      <w:r w:rsidR="007D262B">
        <w:rPr>
          <w:noProof/>
        </w:rPr>
        <w:fldChar w:fldCharType="end"/>
      </w:r>
      <w:r w:rsidRPr="00972799">
        <w:t>: Mental health – funded units applicable to clinical bed-based services 202</w:t>
      </w:r>
      <w:r w:rsidR="008002D9" w:rsidRPr="00972799">
        <w:t>5</w:t>
      </w:r>
      <w:r w:rsidRPr="00972799">
        <w:t>–2</w:t>
      </w:r>
      <w:r w:rsidR="008002D9" w:rsidRPr="00972799">
        <w:t>6</w:t>
      </w:r>
      <w:r w:rsidRPr="00972799">
        <w:t xml:space="preserve"> – clinical community care</w:t>
      </w:r>
      <w:bookmarkEnd w:id="2131"/>
      <w:r w:rsidR="00FC2493" w:rsidRPr="00972799">
        <w:t xml:space="preserve"> </w:t>
      </w:r>
    </w:p>
    <w:tbl>
      <w:tblPr>
        <w:tblStyle w:val="GridTable4-Accent1"/>
        <w:tblW w:w="9299" w:type="dxa"/>
        <w:tblLook w:val="04A0" w:firstRow="1" w:lastRow="0" w:firstColumn="1" w:lastColumn="0" w:noHBand="0" w:noVBand="1"/>
      </w:tblPr>
      <w:tblGrid>
        <w:gridCol w:w="4248"/>
        <w:gridCol w:w="2551"/>
        <w:gridCol w:w="2500"/>
      </w:tblGrid>
      <w:tr w:rsidR="00FF1419" w14:paraId="4CF9899F" w14:textId="77777777" w:rsidTr="00DC729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tcPr>
          <w:p w14:paraId="7FA970FE"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tcPr>
          <w:p w14:paraId="2260B623"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500" w:type="dxa"/>
          </w:tcPr>
          <w:p w14:paraId="73382BE9"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4A41A1C0" w14:textId="77777777" w:rsidTr="00DC729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hideMark/>
          </w:tcPr>
          <w:p w14:paraId="1C217BE5" w14:textId="77777777" w:rsidR="00FF1419" w:rsidRPr="00AC68A2" w:rsidRDefault="00FF1419" w:rsidP="00545910">
            <w:pPr>
              <w:pStyle w:val="Tabletext9pt"/>
              <w:rPr>
                <w:b w:val="0"/>
                <w:bCs/>
              </w:rPr>
            </w:pPr>
            <w:r w:rsidRPr="00AC68A2">
              <w:rPr>
                <w:b w:val="0"/>
                <w:bCs/>
              </w:rPr>
              <w:t>Ambulatory</w:t>
            </w:r>
          </w:p>
        </w:tc>
        <w:tc>
          <w:tcPr>
            <w:tcW w:w="2551" w:type="dxa"/>
            <w:hideMark/>
          </w:tcPr>
          <w:p w14:paraId="4B9ABF95"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545910">
              <w:t>Community service hour</w:t>
            </w:r>
          </w:p>
        </w:tc>
        <w:tc>
          <w:tcPr>
            <w:tcW w:w="2500" w:type="dxa"/>
          </w:tcPr>
          <w:p w14:paraId="0AB4843C" w14:textId="7DE71DF8"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1C6CF4DD">
              <w:t>91.90</w:t>
            </w:r>
          </w:p>
        </w:tc>
      </w:tr>
    </w:tbl>
    <w:p w14:paraId="1FA5FA42" w14:textId="3DBCC062" w:rsidR="00A97999" w:rsidRPr="00377487" w:rsidRDefault="00A97999" w:rsidP="00F77982">
      <w:pPr>
        <w:pStyle w:val="Tablecaption"/>
        <w:rPr>
          <w:lang w:eastAsia="en-AU"/>
        </w:rPr>
      </w:pPr>
      <w:bookmarkStart w:id="2132" w:name="_Toc110944654"/>
      <w:bookmarkStart w:id="2133" w:name="_Toc201148574"/>
      <w:bookmarkEnd w:id="2132"/>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12</w:t>
      </w:r>
      <w:r>
        <w:fldChar w:fldCharType="end"/>
      </w:r>
      <w:r w:rsidRPr="00377487">
        <w:t>: Mental health community support services unit prices 202</w:t>
      </w:r>
      <w:r w:rsidR="008002D9">
        <w:t>5</w:t>
      </w:r>
      <w:r w:rsidRPr="00377487">
        <w:rPr>
          <w:szCs w:val="21"/>
        </w:rPr>
        <w:t>–</w:t>
      </w:r>
      <w:r w:rsidRPr="00377487">
        <w:t>2</w:t>
      </w:r>
      <w:r w:rsidR="008002D9">
        <w:t>6</w:t>
      </w:r>
      <w:r w:rsidRPr="00377487">
        <w:t xml:space="preserve"> – community</w:t>
      </w:r>
      <w:r w:rsidRPr="00377487">
        <w:rPr>
          <w:lang w:eastAsia="en-AU"/>
        </w:rPr>
        <w:t xml:space="preserve"> support services</w:t>
      </w:r>
      <w:bookmarkEnd w:id="2133"/>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1D83DB28"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14:paraId="32F77472"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tcPr>
          <w:p w14:paraId="5A3B0610"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486" w:type="dxa"/>
          </w:tcPr>
          <w:p w14:paraId="25648D0C"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29BD9E69"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67B402E" w14:textId="77777777" w:rsidR="00FF1419" w:rsidRPr="00AC68A2" w:rsidRDefault="00FF1419" w:rsidP="00545910">
            <w:pPr>
              <w:pStyle w:val="Tabletext9pt"/>
              <w:rPr>
                <w:b w:val="0"/>
                <w:bCs/>
              </w:rPr>
            </w:pPr>
            <w:r w:rsidRPr="00AC68A2">
              <w:rPr>
                <w:b w:val="0"/>
                <w:bCs/>
              </w:rPr>
              <w:t>Individualised client support packages</w:t>
            </w:r>
          </w:p>
        </w:tc>
        <w:tc>
          <w:tcPr>
            <w:tcW w:w="2551" w:type="dxa"/>
            <w:hideMark/>
          </w:tcPr>
          <w:p w14:paraId="215A1CD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support unit</w:t>
            </w:r>
          </w:p>
        </w:tc>
        <w:tc>
          <w:tcPr>
            <w:tcW w:w="2486" w:type="dxa"/>
            <w:hideMark/>
          </w:tcPr>
          <w:p w14:paraId="191084A6" w14:textId="48A3D50C"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12</w:t>
            </w:r>
            <w:r w:rsidR="162C7A1A">
              <w:t>5.32</w:t>
            </w:r>
          </w:p>
        </w:tc>
      </w:tr>
      <w:tr w:rsidR="00FF1419" w14:paraId="646FB26A"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6A72EE45" w14:textId="77777777" w:rsidR="00FF1419" w:rsidRPr="00AC68A2" w:rsidRDefault="00FF1419" w:rsidP="00545910">
            <w:pPr>
              <w:pStyle w:val="Tabletext9pt"/>
              <w:rPr>
                <w:b w:val="0"/>
                <w:bCs/>
              </w:rPr>
            </w:pPr>
            <w:r w:rsidRPr="00AC68A2">
              <w:rPr>
                <w:b w:val="0"/>
                <w:bCs/>
              </w:rPr>
              <w:t>Youth residential rehabilitation – 24-hour</w:t>
            </w:r>
          </w:p>
        </w:tc>
        <w:tc>
          <w:tcPr>
            <w:tcW w:w="2551" w:type="dxa"/>
            <w:hideMark/>
          </w:tcPr>
          <w:p w14:paraId="562BBBE2" w14:textId="77777777" w:rsidR="00FF1419" w:rsidRPr="008E3266" w:rsidRDefault="00FF1419" w:rsidP="00545910">
            <w:pPr>
              <w:pStyle w:val="Tabletext9pt"/>
              <w:cnfStyle w:val="000000000000" w:firstRow="0" w:lastRow="0" w:firstColumn="0" w:lastColumn="0" w:oddVBand="0" w:evenVBand="0" w:oddHBand="0" w:evenHBand="0" w:firstRowFirstColumn="0" w:firstRowLastColumn="0" w:lastRowFirstColumn="0" w:lastRowLastColumn="0"/>
              <w:rPr>
                <w:szCs w:val="20"/>
                <w:lang w:eastAsia="en-US"/>
              </w:rPr>
            </w:pPr>
            <w:r w:rsidRPr="0002715F">
              <w:t>Bed day</w:t>
            </w:r>
          </w:p>
        </w:tc>
        <w:tc>
          <w:tcPr>
            <w:tcW w:w="2486" w:type="dxa"/>
            <w:hideMark/>
          </w:tcPr>
          <w:p w14:paraId="66D3BFBD" w14:textId="58552CB9" w:rsidR="00FF1419" w:rsidRPr="0002715F" w:rsidRDefault="1CCB5A65" w:rsidP="008E3266">
            <w:pPr>
              <w:pStyle w:val="Tabletext9pt"/>
              <w:jc w:val="right"/>
              <w:cnfStyle w:val="000000000000" w:firstRow="0" w:lastRow="0" w:firstColumn="0" w:lastColumn="0" w:oddVBand="0" w:evenVBand="0" w:oddHBand="0" w:evenHBand="0" w:firstRowFirstColumn="0" w:firstRowLastColumn="0" w:lastRowFirstColumn="0" w:lastRowLastColumn="0"/>
            </w:pPr>
            <w:r>
              <w:t>301.44</w:t>
            </w:r>
          </w:p>
        </w:tc>
      </w:tr>
      <w:tr w:rsidR="00FF1419" w14:paraId="42ED002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C1C76E8" w14:textId="77777777" w:rsidR="00FF1419" w:rsidRPr="00AC68A2" w:rsidRDefault="00FF1419" w:rsidP="00545910">
            <w:pPr>
              <w:pStyle w:val="Tabletext9pt"/>
              <w:rPr>
                <w:b w:val="0"/>
                <w:bCs/>
              </w:rPr>
            </w:pPr>
            <w:bookmarkStart w:id="2134" w:name="_Toc110944656"/>
            <w:bookmarkEnd w:id="2134"/>
            <w:r w:rsidRPr="00AC68A2">
              <w:rPr>
                <w:b w:val="0"/>
                <w:bCs/>
              </w:rPr>
              <w:t>Youth residential rehabilitation – non-24-hour</w:t>
            </w:r>
          </w:p>
        </w:tc>
        <w:tc>
          <w:tcPr>
            <w:tcW w:w="2551" w:type="dxa"/>
            <w:hideMark/>
          </w:tcPr>
          <w:p w14:paraId="5B0A796C"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Bed day</w:t>
            </w:r>
          </w:p>
        </w:tc>
        <w:tc>
          <w:tcPr>
            <w:tcW w:w="2486" w:type="dxa"/>
            <w:hideMark/>
          </w:tcPr>
          <w:p w14:paraId="3BE10797" w14:textId="4B041FC3"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2</w:t>
            </w:r>
            <w:r w:rsidR="67716965">
              <w:t>58.82</w:t>
            </w:r>
          </w:p>
        </w:tc>
      </w:tr>
      <w:tr w:rsidR="00FF1419" w14:paraId="75E251B6"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192B98E9" w14:textId="77777777" w:rsidR="00FF1419" w:rsidRPr="00AC68A2" w:rsidRDefault="00FF1419" w:rsidP="00545910">
            <w:pPr>
              <w:pStyle w:val="Tabletext9pt"/>
              <w:rPr>
                <w:b w:val="0"/>
                <w:bCs/>
              </w:rPr>
            </w:pPr>
            <w:r w:rsidRPr="00AC68A2">
              <w:rPr>
                <w:b w:val="0"/>
                <w:bCs/>
              </w:rPr>
              <w:t>Continuity of support</w:t>
            </w:r>
          </w:p>
        </w:tc>
        <w:tc>
          <w:tcPr>
            <w:tcW w:w="2551" w:type="dxa"/>
            <w:hideMark/>
          </w:tcPr>
          <w:p w14:paraId="3895D3B9"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Client support unit</w:t>
            </w:r>
          </w:p>
        </w:tc>
        <w:tc>
          <w:tcPr>
            <w:tcW w:w="2486" w:type="dxa"/>
            <w:hideMark/>
          </w:tcPr>
          <w:p w14:paraId="66E83912" w14:textId="1ACAF7C6"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12</w:t>
            </w:r>
            <w:r w:rsidR="3CDDB1B0">
              <w:t>5.32</w:t>
            </w:r>
          </w:p>
        </w:tc>
      </w:tr>
    </w:tbl>
    <w:p w14:paraId="0EA6B5C2" w14:textId="6C6DA171" w:rsidR="00A97999" w:rsidRPr="00377487" w:rsidRDefault="00A97999" w:rsidP="00F77982">
      <w:pPr>
        <w:pStyle w:val="Tablecaption"/>
        <w:rPr>
          <w:lang w:eastAsia="en-AU"/>
        </w:rPr>
      </w:pPr>
      <w:bookmarkStart w:id="2135" w:name="_Toc201148575"/>
      <w:bookmarkStart w:id="2136" w:name="_Toc14194739"/>
      <w:bookmarkStart w:id="2137" w:name="_Toc54261396"/>
      <w:bookmarkStart w:id="2138" w:name="_Toc54616270"/>
      <w:bookmarkStart w:id="2139" w:name="_Toc419623619"/>
      <w:bookmarkStart w:id="2140" w:name="_Toc419623731"/>
      <w:bookmarkStart w:id="2141" w:name="_Toc419644513"/>
      <w:bookmarkStart w:id="2142" w:name="_Toc487742071"/>
      <w:bookmarkEnd w:id="2128"/>
      <w:bookmarkEnd w:id="2129"/>
      <w:bookmarkEnd w:id="2130"/>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13</w:t>
      </w:r>
      <w:r>
        <w:fldChar w:fldCharType="end"/>
      </w:r>
      <w:r w:rsidRPr="00377487">
        <w:t>: Mental health community support services unit prices 202</w:t>
      </w:r>
      <w:r w:rsidR="008002D9">
        <w:t>5</w:t>
      </w:r>
      <w:r w:rsidRPr="00377487">
        <w:rPr>
          <w:szCs w:val="21"/>
        </w:rPr>
        <w:t>–</w:t>
      </w:r>
      <w:r w:rsidRPr="00377487">
        <w:t>2</w:t>
      </w:r>
      <w:r w:rsidR="008002D9">
        <w:t>6</w:t>
      </w:r>
      <w:r w:rsidRPr="00377487">
        <w:t xml:space="preserve"> – m</w:t>
      </w:r>
      <w:r w:rsidRPr="00377487">
        <w:rPr>
          <w:lang w:eastAsia="en-AU"/>
        </w:rPr>
        <w:t>utual support and self-help services</w:t>
      </w:r>
      <w:bookmarkEnd w:id="2135"/>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3F947FF3"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5DDDB385"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hideMark/>
          </w:tcPr>
          <w:p w14:paraId="1D3CCA96"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486" w:type="dxa"/>
            <w:hideMark/>
          </w:tcPr>
          <w:p w14:paraId="4034AB18"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1AE9F9B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EFD6B03" w14:textId="77777777" w:rsidR="00FF1419" w:rsidRPr="00AC68A2" w:rsidRDefault="00FF1419" w:rsidP="00545910">
            <w:pPr>
              <w:pStyle w:val="Tabletext9pt"/>
              <w:rPr>
                <w:b w:val="0"/>
                <w:bCs/>
              </w:rPr>
            </w:pPr>
            <w:r w:rsidRPr="00AC68A2">
              <w:rPr>
                <w:b w:val="0"/>
                <w:bCs/>
              </w:rPr>
              <w:t>Stand-alone (high availability)</w:t>
            </w:r>
          </w:p>
        </w:tc>
        <w:tc>
          <w:tcPr>
            <w:tcW w:w="2551" w:type="dxa"/>
            <w:hideMark/>
          </w:tcPr>
          <w:p w14:paraId="1AFF34D9"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Weighted block grant</w:t>
            </w:r>
          </w:p>
        </w:tc>
        <w:tc>
          <w:tcPr>
            <w:tcW w:w="2486" w:type="dxa"/>
            <w:hideMark/>
          </w:tcPr>
          <w:p w14:paraId="4B9B2BBE" w14:textId="65E4A2EF"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3</w:t>
            </w:r>
            <w:r w:rsidR="0F6BDB6A">
              <w:t>17,607</w:t>
            </w:r>
          </w:p>
        </w:tc>
      </w:tr>
      <w:tr w:rsidR="00FF1419" w14:paraId="53BB04DE"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1D1E4F61" w14:textId="77777777" w:rsidR="00FF1419" w:rsidRPr="00AC68A2" w:rsidRDefault="00FF1419" w:rsidP="00545910">
            <w:pPr>
              <w:pStyle w:val="Tabletext9pt"/>
              <w:rPr>
                <w:b w:val="0"/>
                <w:bCs/>
              </w:rPr>
            </w:pPr>
            <w:r w:rsidRPr="00AC68A2">
              <w:rPr>
                <w:b w:val="0"/>
                <w:bCs/>
              </w:rPr>
              <w:t>Stand-alone (high availability)</w:t>
            </w:r>
          </w:p>
        </w:tc>
        <w:tc>
          <w:tcPr>
            <w:tcW w:w="2551" w:type="dxa"/>
            <w:hideMark/>
          </w:tcPr>
          <w:p w14:paraId="2ED80AEA"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Weighted block grant</w:t>
            </w:r>
          </w:p>
        </w:tc>
        <w:tc>
          <w:tcPr>
            <w:tcW w:w="2486" w:type="dxa"/>
            <w:hideMark/>
          </w:tcPr>
          <w:p w14:paraId="31278235" w14:textId="77777777"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02715F">
              <w:t>Variable</w:t>
            </w:r>
          </w:p>
        </w:tc>
      </w:tr>
      <w:tr w:rsidR="00FF1419" w14:paraId="162D9930"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48B69BC7" w14:textId="77777777" w:rsidR="00FF1419" w:rsidRPr="00AC68A2" w:rsidRDefault="00FF1419" w:rsidP="00545910">
            <w:pPr>
              <w:pStyle w:val="Tabletext9pt"/>
              <w:rPr>
                <w:b w:val="0"/>
                <w:bCs/>
              </w:rPr>
            </w:pPr>
            <w:r w:rsidRPr="00AC68A2">
              <w:rPr>
                <w:b w:val="0"/>
                <w:bCs/>
              </w:rPr>
              <w:t>Individual support referral and advocacy</w:t>
            </w:r>
          </w:p>
        </w:tc>
        <w:tc>
          <w:tcPr>
            <w:tcW w:w="2551" w:type="dxa"/>
            <w:hideMark/>
          </w:tcPr>
          <w:p w14:paraId="2083070C"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Contact hour</w:t>
            </w:r>
          </w:p>
        </w:tc>
        <w:tc>
          <w:tcPr>
            <w:tcW w:w="2486" w:type="dxa"/>
            <w:hideMark/>
          </w:tcPr>
          <w:p w14:paraId="5DB22476" w14:textId="0C48D783"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5</w:t>
            </w:r>
            <w:r w:rsidR="556E16B0">
              <w:t>4.96</w:t>
            </w:r>
          </w:p>
        </w:tc>
      </w:tr>
      <w:tr w:rsidR="00FF1419" w14:paraId="473C46DE"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6E5A8380" w14:textId="5E3FD6C5" w:rsidR="00FF1419" w:rsidRPr="00AC68A2" w:rsidRDefault="00FF1419" w:rsidP="00545910">
            <w:pPr>
              <w:pStyle w:val="Tabletext9pt"/>
              <w:rPr>
                <w:b w:val="0"/>
                <w:bCs/>
              </w:rPr>
            </w:pPr>
            <w:r w:rsidRPr="00AC68A2">
              <w:rPr>
                <w:b w:val="0"/>
                <w:bCs/>
              </w:rPr>
              <w:t>Mutual support and self-help group support</w:t>
            </w:r>
          </w:p>
        </w:tc>
        <w:tc>
          <w:tcPr>
            <w:tcW w:w="2551" w:type="dxa"/>
            <w:hideMark/>
          </w:tcPr>
          <w:p w14:paraId="2173C721"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Contact hour (group)</w:t>
            </w:r>
          </w:p>
        </w:tc>
        <w:tc>
          <w:tcPr>
            <w:tcW w:w="2486" w:type="dxa"/>
            <w:hideMark/>
          </w:tcPr>
          <w:p w14:paraId="71AAF9C1" w14:textId="6D995920"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14</w:t>
            </w:r>
            <w:r w:rsidR="2CD8ACF2">
              <w:t>5.43</w:t>
            </w:r>
          </w:p>
        </w:tc>
      </w:tr>
      <w:tr w:rsidR="00FF1419" w14:paraId="613CBFCB"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E777FE6" w14:textId="77777777" w:rsidR="00FF1419" w:rsidRPr="00AC68A2" w:rsidRDefault="00FF1419" w:rsidP="00545910">
            <w:pPr>
              <w:pStyle w:val="Tabletext9pt"/>
              <w:rPr>
                <w:b w:val="0"/>
                <w:bCs/>
              </w:rPr>
            </w:pPr>
            <w:r w:rsidRPr="00AC68A2">
              <w:rPr>
                <w:b w:val="0"/>
                <w:bCs/>
              </w:rPr>
              <w:t>Group education and training</w:t>
            </w:r>
          </w:p>
        </w:tc>
        <w:tc>
          <w:tcPr>
            <w:tcW w:w="2551" w:type="dxa"/>
            <w:hideMark/>
          </w:tcPr>
          <w:p w14:paraId="79727ECE"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Contact hour (group)</w:t>
            </w:r>
          </w:p>
        </w:tc>
        <w:tc>
          <w:tcPr>
            <w:tcW w:w="2486" w:type="dxa"/>
            <w:hideMark/>
          </w:tcPr>
          <w:p w14:paraId="3877A68A" w14:textId="5E823C9A"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4ABC1470">
              <w:t>95.62</w:t>
            </w:r>
          </w:p>
        </w:tc>
      </w:tr>
      <w:tr w:rsidR="00FF1419" w14:paraId="66C008A1"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7296A968" w14:textId="77777777" w:rsidR="00FF1419" w:rsidRPr="00AC68A2" w:rsidRDefault="00FF1419" w:rsidP="00545910">
            <w:pPr>
              <w:pStyle w:val="Tabletext9pt"/>
              <w:rPr>
                <w:b w:val="0"/>
                <w:bCs/>
              </w:rPr>
            </w:pPr>
            <w:r w:rsidRPr="00AC68A2">
              <w:rPr>
                <w:b w:val="0"/>
                <w:bCs/>
              </w:rPr>
              <w:t>Volunteer coordination</w:t>
            </w:r>
          </w:p>
        </w:tc>
        <w:tc>
          <w:tcPr>
            <w:tcW w:w="2551" w:type="dxa"/>
            <w:hideMark/>
          </w:tcPr>
          <w:p w14:paraId="18EDF2BF"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Hour</w:t>
            </w:r>
          </w:p>
        </w:tc>
        <w:tc>
          <w:tcPr>
            <w:tcW w:w="2486" w:type="dxa"/>
            <w:hideMark/>
          </w:tcPr>
          <w:p w14:paraId="7B863584" w14:textId="50949F44"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6</w:t>
            </w:r>
            <w:r w:rsidR="1A36B004">
              <w:t>3.71</w:t>
            </w:r>
          </w:p>
        </w:tc>
      </w:tr>
    </w:tbl>
    <w:p w14:paraId="5A4C3EF3" w14:textId="361AACA7" w:rsidR="00A97999" w:rsidRPr="00377487" w:rsidRDefault="00A97999" w:rsidP="00F77982">
      <w:pPr>
        <w:pStyle w:val="Tablecaption"/>
        <w:rPr>
          <w:lang w:eastAsia="en-AU"/>
        </w:rPr>
      </w:pPr>
      <w:bookmarkStart w:id="2143" w:name="_Toc110944658"/>
      <w:bookmarkStart w:id="2144" w:name="_Toc110944660"/>
      <w:bookmarkStart w:id="2145" w:name="_Toc201148576"/>
      <w:bookmarkStart w:id="2146" w:name="_Hlk12612393"/>
      <w:bookmarkEnd w:id="2136"/>
      <w:bookmarkEnd w:id="2137"/>
      <w:bookmarkEnd w:id="2138"/>
      <w:bookmarkEnd w:id="2143"/>
      <w:bookmarkEnd w:id="2144"/>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14</w:t>
      </w:r>
      <w:r>
        <w:fldChar w:fldCharType="end"/>
      </w:r>
      <w:r w:rsidRPr="00377487">
        <w:t>: Mental health – funded units applicable to clinical bed-based services 202</w:t>
      </w:r>
      <w:r w:rsidR="008002D9">
        <w:t>5</w:t>
      </w:r>
      <w:r w:rsidRPr="00377487">
        <w:rPr>
          <w:szCs w:val="21"/>
        </w:rPr>
        <w:t>–</w:t>
      </w:r>
      <w:r w:rsidRPr="00377487">
        <w:t>2</w:t>
      </w:r>
      <w:r w:rsidR="008002D9">
        <w:t>6</w:t>
      </w:r>
      <w:r w:rsidRPr="00377487">
        <w:rPr>
          <w:szCs w:val="21"/>
        </w:rPr>
        <w:t xml:space="preserve"> </w:t>
      </w:r>
      <w:r w:rsidRPr="00377487">
        <w:t>– n</w:t>
      </w:r>
      <w:r w:rsidRPr="00377487">
        <w:rPr>
          <w:lang w:eastAsia="en-AU"/>
        </w:rPr>
        <w:t>on-admitted care</w:t>
      </w:r>
      <w:bookmarkEnd w:id="2145"/>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0FCBFF51"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60A48256"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hideMark/>
          </w:tcPr>
          <w:p w14:paraId="22291129"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2486" w:type="dxa"/>
            <w:hideMark/>
          </w:tcPr>
          <w:p w14:paraId="1C84054C"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34B26F0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00E7D93" w14:textId="77777777" w:rsidR="00FF1419" w:rsidRPr="00AC68A2" w:rsidRDefault="00FF1419" w:rsidP="00545910">
            <w:pPr>
              <w:pStyle w:val="Tabletext9pt"/>
              <w:rPr>
                <w:b w:val="0"/>
                <w:bCs/>
              </w:rPr>
            </w:pPr>
            <w:r w:rsidRPr="00AC68A2">
              <w:rPr>
                <w:b w:val="0"/>
                <w:bCs/>
              </w:rPr>
              <w:t>In home</w:t>
            </w:r>
          </w:p>
        </w:tc>
        <w:tc>
          <w:tcPr>
            <w:tcW w:w="2551" w:type="dxa"/>
            <w:hideMark/>
          </w:tcPr>
          <w:p w14:paraId="66F43E40"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contact hour</w:t>
            </w:r>
          </w:p>
        </w:tc>
        <w:tc>
          <w:tcPr>
            <w:tcW w:w="2486" w:type="dxa"/>
            <w:hideMark/>
          </w:tcPr>
          <w:p w14:paraId="430512E3" w14:textId="2E6BDE9F"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50ED83BC">
              <w:t>9.67</w:t>
            </w:r>
          </w:p>
        </w:tc>
      </w:tr>
      <w:tr w:rsidR="00FF1419" w14:paraId="433E8F96"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3C5AFE5E" w14:textId="77777777" w:rsidR="00FF1419" w:rsidRPr="00AC68A2" w:rsidRDefault="00FF1419" w:rsidP="00545910">
            <w:pPr>
              <w:pStyle w:val="Tabletext9pt"/>
              <w:rPr>
                <w:b w:val="0"/>
                <w:bCs/>
              </w:rPr>
            </w:pPr>
            <w:r w:rsidRPr="00AC68A2">
              <w:rPr>
                <w:b w:val="0"/>
                <w:bCs/>
              </w:rPr>
              <w:t>Community</w:t>
            </w:r>
          </w:p>
        </w:tc>
        <w:tc>
          <w:tcPr>
            <w:tcW w:w="2551" w:type="dxa"/>
            <w:hideMark/>
          </w:tcPr>
          <w:p w14:paraId="09DD4248"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Client contact hour</w:t>
            </w:r>
          </w:p>
        </w:tc>
        <w:tc>
          <w:tcPr>
            <w:tcW w:w="2486" w:type="dxa"/>
            <w:hideMark/>
          </w:tcPr>
          <w:p w14:paraId="08446760" w14:textId="0023FA86"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4</w:t>
            </w:r>
            <w:r w:rsidR="745BAFA8">
              <w:t>9.67</w:t>
            </w:r>
          </w:p>
        </w:tc>
      </w:tr>
      <w:tr w:rsidR="00FF1419" w14:paraId="6006F748"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521752CB" w14:textId="77777777" w:rsidR="00FF1419" w:rsidRPr="00AC68A2" w:rsidRDefault="00FF1419" w:rsidP="00545910">
            <w:pPr>
              <w:pStyle w:val="Tabletext9pt"/>
              <w:rPr>
                <w:b w:val="0"/>
                <w:bCs/>
              </w:rPr>
            </w:pPr>
            <w:r w:rsidRPr="00AC68A2">
              <w:rPr>
                <w:b w:val="0"/>
                <w:bCs/>
              </w:rPr>
              <w:t>Residential</w:t>
            </w:r>
          </w:p>
        </w:tc>
        <w:tc>
          <w:tcPr>
            <w:tcW w:w="2551" w:type="dxa"/>
            <w:hideMark/>
          </w:tcPr>
          <w:p w14:paraId="63D025C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contact hour</w:t>
            </w:r>
          </w:p>
        </w:tc>
        <w:tc>
          <w:tcPr>
            <w:tcW w:w="2486" w:type="dxa"/>
            <w:hideMark/>
          </w:tcPr>
          <w:p w14:paraId="434598E2" w14:textId="34F6F634"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4CEA9B86">
              <w:t>9.67</w:t>
            </w:r>
          </w:p>
        </w:tc>
      </w:tr>
    </w:tbl>
    <w:p w14:paraId="566812EA" w14:textId="7A53BCC2" w:rsidR="00A97999" w:rsidRPr="00377487" w:rsidRDefault="00A97999" w:rsidP="00F77982">
      <w:pPr>
        <w:pStyle w:val="Tablecaption"/>
        <w:rPr>
          <w:lang w:eastAsia="en-AU"/>
        </w:rPr>
      </w:pPr>
      <w:bookmarkStart w:id="2147" w:name="_Toc110944662"/>
      <w:bookmarkStart w:id="2148" w:name="_Toc201148577"/>
      <w:bookmarkEnd w:id="2147"/>
      <w:r w:rsidRPr="00A97999">
        <w:lastRenderedPageBreak/>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15</w:t>
      </w:r>
      <w:r>
        <w:fldChar w:fldCharType="end"/>
      </w:r>
      <w:r w:rsidRPr="00377487">
        <w:t>: Mental health community support services unit prices 202</w:t>
      </w:r>
      <w:r w:rsidR="008002D9">
        <w:t>5</w:t>
      </w:r>
      <w:r w:rsidRPr="00377487">
        <w:rPr>
          <w:szCs w:val="21"/>
        </w:rPr>
        <w:t>–</w:t>
      </w:r>
      <w:r w:rsidRPr="00377487">
        <w:t>2</w:t>
      </w:r>
      <w:r w:rsidR="008002D9">
        <w:t>6</w:t>
      </w:r>
      <w:r w:rsidRPr="00377487">
        <w:rPr>
          <w:szCs w:val="21"/>
        </w:rPr>
        <w:t xml:space="preserve"> </w:t>
      </w:r>
      <w:r w:rsidRPr="00377487">
        <w:t>– supported accommodation</w:t>
      </w:r>
      <w:bookmarkEnd w:id="2148"/>
      <w:r w:rsidR="00D7467F">
        <w:t xml:space="preserve"> </w:t>
      </w:r>
    </w:p>
    <w:tbl>
      <w:tblPr>
        <w:tblStyle w:val="GridTable4-Accent1"/>
        <w:tblW w:w="9285" w:type="dxa"/>
        <w:tblLayout w:type="fixed"/>
        <w:tblLook w:val="04A0" w:firstRow="1" w:lastRow="0" w:firstColumn="1" w:lastColumn="0" w:noHBand="0" w:noVBand="1"/>
      </w:tblPr>
      <w:tblGrid>
        <w:gridCol w:w="4390"/>
        <w:gridCol w:w="2409"/>
        <w:gridCol w:w="2486"/>
      </w:tblGrid>
      <w:tr w:rsidR="00FF1419" w14:paraId="3FED8AE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hideMark/>
          </w:tcPr>
          <w:p w14:paraId="4E822ACF"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409" w:type="dxa"/>
            <w:hideMark/>
          </w:tcPr>
          <w:p w14:paraId="72B11AD1"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2486" w:type="dxa"/>
            <w:hideMark/>
          </w:tcPr>
          <w:p w14:paraId="0F5EB90B"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0B0FECC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6F58FD7" w14:textId="77777777" w:rsidR="00FF1419" w:rsidRPr="00AC68A2" w:rsidRDefault="00FF1419" w:rsidP="00545910">
            <w:pPr>
              <w:pStyle w:val="Tabletext9pt"/>
              <w:rPr>
                <w:b w:val="0"/>
                <w:bCs/>
              </w:rPr>
            </w:pPr>
            <w:r w:rsidRPr="00AC68A2">
              <w:rPr>
                <w:b w:val="0"/>
                <w:bCs/>
              </w:rPr>
              <w:t>24-hour on-site small facilities (0–11 beds)</w:t>
            </w:r>
          </w:p>
        </w:tc>
        <w:tc>
          <w:tcPr>
            <w:tcW w:w="2409" w:type="dxa"/>
            <w:hideMark/>
          </w:tcPr>
          <w:p w14:paraId="659BE420"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86" w:type="dxa"/>
            <w:hideMark/>
          </w:tcPr>
          <w:p w14:paraId="288B823B" w14:textId="7A6E3989"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20</w:t>
            </w:r>
            <w:r w:rsidR="2E27DAD9">
              <w:t>8.10</w:t>
            </w:r>
          </w:p>
        </w:tc>
      </w:tr>
      <w:tr w:rsidR="00FF1419" w14:paraId="30504019" w14:textId="77777777" w:rsidTr="00DC7296">
        <w:tc>
          <w:tcPr>
            <w:cnfStyle w:val="001000000000" w:firstRow="0" w:lastRow="0" w:firstColumn="1" w:lastColumn="0" w:oddVBand="0" w:evenVBand="0" w:oddHBand="0" w:evenHBand="0" w:firstRowFirstColumn="0" w:firstRowLastColumn="0" w:lastRowFirstColumn="0" w:lastRowLastColumn="0"/>
            <w:tcW w:w="4390" w:type="dxa"/>
            <w:hideMark/>
          </w:tcPr>
          <w:p w14:paraId="7CFB2B83" w14:textId="77777777" w:rsidR="00FF1419" w:rsidRPr="00AC68A2" w:rsidRDefault="00FF1419" w:rsidP="00545910">
            <w:pPr>
              <w:pStyle w:val="Tabletext9pt"/>
              <w:rPr>
                <w:b w:val="0"/>
                <w:bCs/>
              </w:rPr>
            </w:pPr>
            <w:r w:rsidRPr="00AC68A2">
              <w:rPr>
                <w:b w:val="0"/>
                <w:bCs/>
              </w:rPr>
              <w:t>24-hour on-site small facilities (&gt; 11 beds)</w:t>
            </w:r>
          </w:p>
        </w:tc>
        <w:tc>
          <w:tcPr>
            <w:tcW w:w="2409" w:type="dxa"/>
            <w:hideMark/>
          </w:tcPr>
          <w:p w14:paraId="4AC13AA6"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86" w:type="dxa"/>
            <w:hideMark/>
          </w:tcPr>
          <w:p w14:paraId="71F3C818" w14:textId="7563AC84"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7</w:t>
            </w:r>
            <w:r w:rsidR="37E0D375">
              <w:t>2.83</w:t>
            </w:r>
          </w:p>
        </w:tc>
      </w:tr>
    </w:tbl>
    <w:p w14:paraId="7DE8F103" w14:textId="7FFCAB32" w:rsidR="00A97999" w:rsidRPr="00377487" w:rsidRDefault="00A97999" w:rsidP="00F77982">
      <w:pPr>
        <w:pStyle w:val="Tablecaption"/>
        <w:rPr>
          <w:lang w:eastAsia="en-AU"/>
        </w:rPr>
      </w:pPr>
      <w:bookmarkStart w:id="2149" w:name="_Toc110944664"/>
      <w:bookmarkStart w:id="2150" w:name="_Ref199253539"/>
      <w:bookmarkStart w:id="2151" w:name="_Toc201148578"/>
      <w:bookmarkStart w:id="2152" w:name="_Toc419623620"/>
      <w:bookmarkStart w:id="2153" w:name="_Toc419623732"/>
      <w:bookmarkStart w:id="2154" w:name="_Toc419644514"/>
      <w:bookmarkStart w:id="2155" w:name="_Toc487742072"/>
      <w:bookmarkEnd w:id="2139"/>
      <w:bookmarkEnd w:id="2140"/>
      <w:bookmarkEnd w:id="2141"/>
      <w:bookmarkEnd w:id="2142"/>
      <w:bookmarkEnd w:id="2146"/>
      <w:bookmarkEnd w:id="2149"/>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16</w:t>
      </w:r>
      <w:r>
        <w:fldChar w:fldCharType="end"/>
      </w:r>
      <w:r w:rsidRPr="00377487">
        <w:t>: Drug services – unit prices 202</w:t>
      </w:r>
      <w:r w:rsidR="008002D9">
        <w:t>5</w:t>
      </w:r>
      <w:r w:rsidRPr="00377487">
        <w:rPr>
          <w:szCs w:val="21"/>
        </w:rPr>
        <w:t>–</w:t>
      </w:r>
      <w:r w:rsidRPr="00377487">
        <w:t>2</w:t>
      </w:r>
      <w:r w:rsidR="008002D9">
        <w:t>6</w:t>
      </w:r>
      <w:bookmarkEnd w:id="2150"/>
      <w:bookmarkEnd w:id="2151"/>
      <w:r w:rsidR="00D7467F">
        <w:t xml:space="preserve"> </w:t>
      </w:r>
    </w:p>
    <w:tbl>
      <w:tblPr>
        <w:tblStyle w:val="GridTable4-Accent1"/>
        <w:tblW w:w="9299" w:type="dxa"/>
        <w:tblLook w:val="04A0" w:firstRow="1" w:lastRow="0" w:firstColumn="1" w:lastColumn="0" w:noHBand="0" w:noVBand="1"/>
      </w:tblPr>
      <w:tblGrid>
        <w:gridCol w:w="3694"/>
        <w:gridCol w:w="2397"/>
        <w:gridCol w:w="1604"/>
        <w:gridCol w:w="1604"/>
      </w:tblGrid>
      <w:tr w:rsidR="00FF1419" w:rsidRPr="0090298C" w14:paraId="7872C68F"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94" w:type="dxa"/>
          </w:tcPr>
          <w:p w14:paraId="6D57DAFB" w14:textId="77777777" w:rsidR="00FF1419" w:rsidRPr="00DC7296" w:rsidRDefault="00FF1419" w:rsidP="0002715F">
            <w:pPr>
              <w:pStyle w:val="Tablecolhead"/>
              <w:rPr>
                <w:rFonts w:eastAsia="Arial"/>
                <w:color w:val="FFFFFF" w:themeColor="background1"/>
              </w:rPr>
            </w:pPr>
            <w:bookmarkStart w:id="2156" w:name="_Toc418694987"/>
            <w:bookmarkStart w:id="2157" w:name="_Ref419741277"/>
            <w:bookmarkStart w:id="2158" w:name="_Ref419741290"/>
            <w:bookmarkStart w:id="2159" w:name="_Ref425436162"/>
            <w:r w:rsidRPr="00DC7296">
              <w:rPr>
                <w:rFonts w:eastAsia="Arial"/>
                <w:color w:val="FFFFFF" w:themeColor="background1"/>
              </w:rPr>
              <w:t>Service element</w:t>
            </w:r>
          </w:p>
        </w:tc>
        <w:tc>
          <w:tcPr>
            <w:tcW w:w="2397" w:type="dxa"/>
          </w:tcPr>
          <w:p w14:paraId="5E78BFE0"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Funded unit</w:t>
            </w:r>
          </w:p>
        </w:tc>
        <w:tc>
          <w:tcPr>
            <w:tcW w:w="1604" w:type="dxa"/>
          </w:tcPr>
          <w:p w14:paraId="5965D568"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Metro unit price ($)</w:t>
            </w:r>
          </w:p>
        </w:tc>
        <w:tc>
          <w:tcPr>
            <w:tcW w:w="1604" w:type="dxa"/>
          </w:tcPr>
          <w:p w14:paraId="32B8D93D"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Rural unit price ($)</w:t>
            </w:r>
          </w:p>
        </w:tc>
      </w:tr>
      <w:tr w:rsidR="00FF1419" w:rsidRPr="00C127A3" w14:paraId="2A4DE98A"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66384E23" w14:textId="77777777" w:rsidR="00FF1419" w:rsidRPr="00AC68A2" w:rsidRDefault="00FF1419" w:rsidP="00545910">
            <w:pPr>
              <w:pStyle w:val="Tabletext9pt"/>
              <w:rPr>
                <w:b w:val="0"/>
                <w:bCs/>
              </w:rPr>
            </w:pPr>
            <w:r w:rsidRPr="00AC68A2">
              <w:rPr>
                <w:b w:val="0"/>
                <w:bCs/>
              </w:rPr>
              <w:t xml:space="preserve">Drug treatment services – intake </w:t>
            </w:r>
          </w:p>
        </w:tc>
        <w:tc>
          <w:tcPr>
            <w:tcW w:w="2397" w:type="dxa"/>
          </w:tcPr>
          <w:p w14:paraId="191A8E07"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2AC758F1" w14:textId="11149325" w:rsidR="00FF1419" w:rsidRPr="0EC1DC23" w:rsidRDefault="110DD993"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CABEA72"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1EBBFEB1"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A05099C" w14:textId="77777777" w:rsidR="00FF1419" w:rsidRPr="00AC68A2" w:rsidRDefault="00FF1419" w:rsidP="00545910">
            <w:pPr>
              <w:pStyle w:val="Tabletext9pt"/>
              <w:rPr>
                <w:b w:val="0"/>
                <w:bCs/>
              </w:rPr>
            </w:pPr>
            <w:r w:rsidRPr="00AC68A2">
              <w:rPr>
                <w:b w:val="0"/>
                <w:bCs/>
              </w:rPr>
              <w:t>Drug treatment services – assessment</w:t>
            </w:r>
          </w:p>
        </w:tc>
        <w:tc>
          <w:tcPr>
            <w:tcW w:w="2397" w:type="dxa"/>
          </w:tcPr>
          <w:p w14:paraId="7E4E5B2B"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1F0C74FD" w14:textId="68B3F114" w:rsidR="00FF1419" w:rsidRPr="0EC1DC23" w:rsidRDefault="778C183C"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3BF0C4D5"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1D9FE205"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D268194" w14:textId="77777777" w:rsidR="00FF1419" w:rsidRPr="00AC68A2" w:rsidRDefault="00FF1419" w:rsidP="00545910">
            <w:pPr>
              <w:pStyle w:val="Tabletext9pt"/>
              <w:rPr>
                <w:b w:val="0"/>
                <w:bCs/>
              </w:rPr>
            </w:pPr>
            <w:r w:rsidRPr="00AC68A2">
              <w:rPr>
                <w:b w:val="0"/>
                <w:bCs/>
              </w:rPr>
              <w:t>Drug treatment services – care and recovery coordination</w:t>
            </w:r>
          </w:p>
        </w:tc>
        <w:tc>
          <w:tcPr>
            <w:tcW w:w="2397" w:type="dxa"/>
          </w:tcPr>
          <w:p w14:paraId="3945C3DD"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4477B87F" w14:textId="40CDAEFB" w:rsidR="00FF1419" w:rsidRPr="0EC1DC23" w:rsidRDefault="4012FDEB"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FEDB75B"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14310C42"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19AEA9FE" w14:textId="77777777" w:rsidR="00FF1419" w:rsidRPr="00AC68A2" w:rsidRDefault="00FF1419" w:rsidP="00545910">
            <w:pPr>
              <w:pStyle w:val="Tabletext9pt"/>
              <w:rPr>
                <w:b w:val="0"/>
                <w:bCs/>
              </w:rPr>
            </w:pPr>
            <w:r w:rsidRPr="00AC68A2">
              <w:rPr>
                <w:b w:val="0"/>
                <w:bCs/>
              </w:rPr>
              <w:t>Drug treatment services – counselling</w:t>
            </w:r>
          </w:p>
        </w:tc>
        <w:tc>
          <w:tcPr>
            <w:tcW w:w="2397" w:type="dxa"/>
          </w:tcPr>
          <w:p w14:paraId="5CBC3662"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3B7F47E3" w14:textId="48FC02F9" w:rsidR="00FF1419" w:rsidRPr="0EC1DC23" w:rsidRDefault="02C7CFBA"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1CF593BA"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3F8DC461"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8AFF09B" w14:textId="77777777" w:rsidR="00FF1419" w:rsidRPr="00AC68A2" w:rsidRDefault="00FF1419" w:rsidP="00545910">
            <w:pPr>
              <w:pStyle w:val="Tabletext9pt"/>
              <w:rPr>
                <w:b w:val="0"/>
                <w:bCs/>
              </w:rPr>
            </w:pPr>
            <w:r w:rsidRPr="00AC68A2">
              <w:rPr>
                <w:b w:val="0"/>
                <w:bCs/>
              </w:rPr>
              <w:t>Drug treatment services – non-residential withdrawal</w:t>
            </w:r>
          </w:p>
        </w:tc>
        <w:tc>
          <w:tcPr>
            <w:tcW w:w="2397" w:type="dxa"/>
          </w:tcPr>
          <w:p w14:paraId="50AE3FBA"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47CF9F1B" w14:textId="17E0AA46" w:rsidR="00FF1419" w:rsidRPr="0EC1DC23" w:rsidRDefault="1AEE8285"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0317B52A"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5774E880"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3CB398F4" w14:textId="77777777" w:rsidR="00FF1419" w:rsidRPr="00AC68A2" w:rsidRDefault="00FF1419" w:rsidP="00545910">
            <w:pPr>
              <w:pStyle w:val="Tabletext9pt"/>
              <w:rPr>
                <w:b w:val="0"/>
                <w:bCs/>
              </w:rPr>
            </w:pPr>
            <w:r w:rsidRPr="00AC68A2">
              <w:rPr>
                <w:b w:val="0"/>
                <w:bCs/>
              </w:rPr>
              <w:t>Drug treatment services – therapeutic day rehabilitation</w:t>
            </w:r>
          </w:p>
        </w:tc>
        <w:tc>
          <w:tcPr>
            <w:tcW w:w="2397" w:type="dxa"/>
          </w:tcPr>
          <w:p w14:paraId="50FF9FB5"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799EBF23" w14:textId="15A7263A" w:rsidR="00FF1419" w:rsidRPr="0EC1DC23" w:rsidRDefault="39BFFE2E"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5A17A07E"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6C3D8555"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B085177" w14:textId="77777777" w:rsidR="00FF1419" w:rsidRPr="00AC68A2" w:rsidRDefault="00FF1419" w:rsidP="00545910">
            <w:pPr>
              <w:pStyle w:val="Tabletext9pt"/>
              <w:rPr>
                <w:b w:val="0"/>
                <w:bCs/>
              </w:rPr>
            </w:pPr>
            <w:r w:rsidRPr="00AC68A2">
              <w:rPr>
                <w:b w:val="0"/>
                <w:bCs/>
              </w:rPr>
              <w:t>Adult residential drug withdrawal</w:t>
            </w:r>
          </w:p>
        </w:tc>
        <w:tc>
          <w:tcPr>
            <w:tcW w:w="2397" w:type="dxa"/>
          </w:tcPr>
          <w:p w14:paraId="492A0956"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6CB5108A" w14:textId="01B82C5E" w:rsidR="00FF1419" w:rsidRPr="0EC1DC23" w:rsidRDefault="5A41A3EC"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79487856"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1129CC3"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F310518" w14:textId="77777777" w:rsidR="00FF1419" w:rsidRPr="00AC68A2" w:rsidRDefault="00FF1419" w:rsidP="00545910">
            <w:pPr>
              <w:pStyle w:val="Tabletext9pt"/>
              <w:rPr>
                <w:b w:val="0"/>
                <w:bCs/>
              </w:rPr>
            </w:pPr>
            <w:r w:rsidRPr="00AC68A2">
              <w:rPr>
                <w:b w:val="0"/>
                <w:bCs/>
              </w:rPr>
              <w:t>Adult residential rehabilitation</w:t>
            </w:r>
          </w:p>
        </w:tc>
        <w:tc>
          <w:tcPr>
            <w:tcW w:w="2397" w:type="dxa"/>
          </w:tcPr>
          <w:p w14:paraId="669D1CE5"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Drug treatment activity unit</w:t>
            </w:r>
          </w:p>
        </w:tc>
        <w:tc>
          <w:tcPr>
            <w:tcW w:w="1604" w:type="dxa"/>
          </w:tcPr>
          <w:p w14:paraId="346A595B" w14:textId="26AAF0E8" w:rsidR="00FF1419" w:rsidRPr="0EC1DC23" w:rsidRDefault="310FBDAB"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6EF2BB91" w14:textId="77777777" w:rsid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4BFD73E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7214E50A" w14:textId="77777777" w:rsidR="00FF1419" w:rsidRPr="00AC68A2" w:rsidRDefault="00FF1419" w:rsidP="00545910">
            <w:pPr>
              <w:pStyle w:val="Tabletext9pt"/>
              <w:rPr>
                <w:b w:val="0"/>
                <w:bCs/>
              </w:rPr>
            </w:pPr>
            <w:r w:rsidRPr="00AC68A2">
              <w:rPr>
                <w:b w:val="0"/>
                <w:bCs/>
              </w:rPr>
              <w:t>Youth residential drug withdrawal</w:t>
            </w:r>
          </w:p>
        </w:tc>
        <w:tc>
          <w:tcPr>
            <w:tcW w:w="2397" w:type="dxa"/>
          </w:tcPr>
          <w:p w14:paraId="26A3A8B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Drug treatment activity unit</w:t>
            </w:r>
          </w:p>
        </w:tc>
        <w:tc>
          <w:tcPr>
            <w:tcW w:w="1604" w:type="dxa"/>
          </w:tcPr>
          <w:p w14:paraId="6F8D6174" w14:textId="7E4A8916" w:rsidR="00FF1419" w:rsidRPr="0EC1DC23" w:rsidRDefault="25B3B8DB"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1DE09694"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5142CB94"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5554FB80" w14:textId="77777777" w:rsidR="00FF1419" w:rsidRPr="00AC68A2" w:rsidRDefault="00FF1419" w:rsidP="00545910">
            <w:pPr>
              <w:pStyle w:val="Tabletext9pt"/>
              <w:rPr>
                <w:b w:val="0"/>
                <w:bCs/>
              </w:rPr>
            </w:pPr>
            <w:r w:rsidRPr="00AC68A2">
              <w:rPr>
                <w:b w:val="0"/>
                <w:bCs/>
              </w:rPr>
              <w:t>Youth residential rehabilitation</w:t>
            </w:r>
          </w:p>
        </w:tc>
        <w:tc>
          <w:tcPr>
            <w:tcW w:w="2397" w:type="dxa"/>
          </w:tcPr>
          <w:p w14:paraId="38414461"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Drug treatment activity unit</w:t>
            </w:r>
          </w:p>
        </w:tc>
        <w:tc>
          <w:tcPr>
            <w:tcW w:w="1604" w:type="dxa"/>
          </w:tcPr>
          <w:p w14:paraId="3AE8FFC6" w14:textId="75152C67" w:rsidR="00FF1419" w:rsidRPr="0EC1DC23" w:rsidRDefault="0E34AB63"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17A93429" w14:textId="77777777" w:rsid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2B232AF7"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A88DFEF" w14:textId="77777777" w:rsidR="00FF1419" w:rsidRPr="00AC68A2" w:rsidRDefault="00FF1419" w:rsidP="00545910">
            <w:pPr>
              <w:pStyle w:val="Tabletext9pt"/>
              <w:rPr>
                <w:b w:val="0"/>
                <w:bCs/>
              </w:rPr>
            </w:pPr>
            <w:r w:rsidRPr="00AC68A2">
              <w:rPr>
                <w:b w:val="0"/>
                <w:bCs/>
              </w:rPr>
              <w:t>Aboriginal residential rehabilitation</w:t>
            </w:r>
          </w:p>
        </w:tc>
        <w:tc>
          <w:tcPr>
            <w:tcW w:w="2397" w:type="dxa"/>
          </w:tcPr>
          <w:p w14:paraId="40038E45"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Drug treatment activity unit</w:t>
            </w:r>
          </w:p>
        </w:tc>
        <w:tc>
          <w:tcPr>
            <w:tcW w:w="1604" w:type="dxa"/>
          </w:tcPr>
          <w:p w14:paraId="6375BA9E" w14:textId="5C49E7E3" w:rsidR="00FF1419" w:rsidRPr="0EC1DC23" w:rsidRDefault="1F89C810"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685192A"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4F36B8F0"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7F33FCE0" w14:textId="77777777" w:rsidR="00FF1419" w:rsidRPr="00AC68A2" w:rsidRDefault="00FF1419" w:rsidP="00545910">
            <w:pPr>
              <w:pStyle w:val="Tabletext9pt"/>
              <w:rPr>
                <w:b w:val="0"/>
                <w:bCs/>
              </w:rPr>
            </w:pPr>
            <w:r w:rsidRPr="00AC68A2">
              <w:rPr>
                <w:b w:val="0"/>
                <w:bCs/>
              </w:rPr>
              <w:t>Youth alcohol and drug supported accommodation</w:t>
            </w:r>
          </w:p>
        </w:tc>
        <w:tc>
          <w:tcPr>
            <w:tcW w:w="2397" w:type="dxa"/>
          </w:tcPr>
          <w:p w14:paraId="08791198"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27A49D35" w14:textId="19BCB82F"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7,</w:t>
            </w:r>
            <w:r w:rsidR="502EC4EF">
              <w:t>848</w:t>
            </w:r>
          </w:p>
        </w:tc>
        <w:tc>
          <w:tcPr>
            <w:tcW w:w="1604" w:type="dxa"/>
          </w:tcPr>
          <w:p w14:paraId="712FBB70" w14:textId="0535EEEF" w:rsidR="00FF1419" w:rsidRP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FF1419">
              <w:t>10,</w:t>
            </w:r>
            <w:r w:rsidR="49269C33">
              <w:t>463</w:t>
            </w:r>
          </w:p>
        </w:tc>
      </w:tr>
      <w:tr w:rsidR="00FF1419" w:rsidRPr="00C127A3" w14:paraId="40F95F54"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161B5C5" w14:textId="77777777" w:rsidR="00FF1419" w:rsidRPr="00AC68A2" w:rsidRDefault="00FF1419" w:rsidP="00545910">
            <w:pPr>
              <w:pStyle w:val="Tabletext9pt"/>
              <w:rPr>
                <w:b w:val="0"/>
                <w:bCs/>
              </w:rPr>
            </w:pPr>
            <w:r w:rsidRPr="00AC68A2">
              <w:rPr>
                <w:b w:val="0"/>
                <w:bCs/>
              </w:rPr>
              <w:t>Aboriginal alcohol and drug worker</w:t>
            </w:r>
          </w:p>
        </w:tc>
        <w:tc>
          <w:tcPr>
            <w:tcW w:w="2397" w:type="dxa"/>
          </w:tcPr>
          <w:p w14:paraId="1C86ED3B"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7F47BFC8" w14:textId="4711276C"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2,</w:t>
            </w:r>
            <w:r w:rsidR="53FFF940">
              <w:t>642</w:t>
            </w:r>
          </w:p>
        </w:tc>
        <w:tc>
          <w:tcPr>
            <w:tcW w:w="1604" w:type="dxa"/>
          </w:tcPr>
          <w:p w14:paraId="7E954EB5"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3671FE72"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39CAF0CF" w14:textId="77777777" w:rsidR="00FF1419" w:rsidRPr="00AC68A2" w:rsidRDefault="00FF1419" w:rsidP="00545910">
            <w:pPr>
              <w:pStyle w:val="Tabletext9pt"/>
              <w:rPr>
                <w:b w:val="0"/>
                <w:bCs/>
              </w:rPr>
            </w:pPr>
            <w:r w:rsidRPr="00AC68A2">
              <w:rPr>
                <w:b w:val="0"/>
                <w:bCs/>
              </w:rPr>
              <w:t>Youth outreach</w:t>
            </w:r>
          </w:p>
        </w:tc>
        <w:tc>
          <w:tcPr>
            <w:tcW w:w="2397" w:type="dxa"/>
          </w:tcPr>
          <w:p w14:paraId="39850021"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3E62BE0A" w14:textId="76AC68A8"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2,</w:t>
            </w:r>
            <w:r w:rsidR="4423E621">
              <w:t>338</w:t>
            </w:r>
          </w:p>
        </w:tc>
        <w:tc>
          <w:tcPr>
            <w:tcW w:w="1604" w:type="dxa"/>
          </w:tcPr>
          <w:p w14:paraId="6D216D7B"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664DDF7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4E3B3182" w14:textId="77777777" w:rsidR="00FF1419" w:rsidRPr="00AC68A2" w:rsidRDefault="00FF1419" w:rsidP="00545910">
            <w:pPr>
              <w:pStyle w:val="Tabletext9pt"/>
              <w:rPr>
                <w:b w:val="0"/>
                <w:bCs/>
              </w:rPr>
            </w:pPr>
            <w:r w:rsidRPr="00AC68A2">
              <w:rPr>
                <w:b w:val="0"/>
                <w:bCs/>
              </w:rPr>
              <w:t>Specialist pharmacotherapy program</w:t>
            </w:r>
          </w:p>
        </w:tc>
        <w:tc>
          <w:tcPr>
            <w:tcW w:w="2397" w:type="dxa"/>
          </w:tcPr>
          <w:p w14:paraId="4FE716C0"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6F60AB60" w14:textId="5D8C7FE2"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4,</w:t>
            </w:r>
            <w:r w:rsidR="336D23A2">
              <w:t>277</w:t>
            </w:r>
          </w:p>
        </w:tc>
        <w:tc>
          <w:tcPr>
            <w:tcW w:w="1604" w:type="dxa"/>
          </w:tcPr>
          <w:p w14:paraId="6A9B63BB"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4C0F8388"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5482AC99" w14:textId="77777777" w:rsidR="00FF1419" w:rsidRPr="00AC68A2" w:rsidRDefault="00FF1419" w:rsidP="00545910">
            <w:pPr>
              <w:pStyle w:val="Tabletext9pt"/>
              <w:rPr>
                <w:b w:val="0"/>
                <w:bCs/>
              </w:rPr>
            </w:pPr>
            <w:r w:rsidRPr="00AC68A2">
              <w:rPr>
                <w:b w:val="0"/>
                <w:bCs/>
              </w:rPr>
              <w:t>Mobile overdose response</w:t>
            </w:r>
          </w:p>
        </w:tc>
        <w:tc>
          <w:tcPr>
            <w:tcW w:w="2397" w:type="dxa"/>
          </w:tcPr>
          <w:p w14:paraId="342457A7"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714374FC" w14:textId="7212E0EF" w:rsidR="00FF1419" w:rsidRPr="0EC1DC23" w:rsidRDefault="72D0363C" w:rsidP="008E3266">
            <w:pPr>
              <w:pStyle w:val="Tabletext9pt"/>
              <w:jc w:val="right"/>
              <w:cnfStyle w:val="000000000000" w:firstRow="0" w:lastRow="0" w:firstColumn="0" w:lastColumn="0" w:oddVBand="0" w:evenVBand="0" w:oddHBand="0" w:evenHBand="0" w:firstRowFirstColumn="0" w:firstRowLastColumn="0" w:lastRowFirstColumn="0" w:lastRowLastColumn="0"/>
            </w:pPr>
            <w:r>
              <w:t>9,221</w:t>
            </w:r>
          </w:p>
        </w:tc>
        <w:tc>
          <w:tcPr>
            <w:tcW w:w="1604" w:type="dxa"/>
          </w:tcPr>
          <w:p w14:paraId="43EBE726"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50A8EBAA"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A35D35F" w14:textId="77777777" w:rsidR="00FF1419" w:rsidRPr="00AC68A2" w:rsidRDefault="00FF1419" w:rsidP="00545910">
            <w:pPr>
              <w:pStyle w:val="Tabletext9pt"/>
              <w:rPr>
                <w:b w:val="0"/>
                <w:bCs/>
              </w:rPr>
            </w:pPr>
            <w:r w:rsidRPr="00AC68A2">
              <w:rPr>
                <w:b w:val="0"/>
                <w:bCs/>
              </w:rPr>
              <w:t>Rural withdrawal</w:t>
            </w:r>
          </w:p>
        </w:tc>
        <w:tc>
          <w:tcPr>
            <w:tcW w:w="2397" w:type="dxa"/>
          </w:tcPr>
          <w:p w14:paraId="4DFAAA9E"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247057B3" w14:textId="594C16E0"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2,</w:t>
            </w:r>
            <w:r w:rsidR="0EE263B5">
              <w:t>368</w:t>
            </w:r>
          </w:p>
        </w:tc>
        <w:tc>
          <w:tcPr>
            <w:tcW w:w="1604" w:type="dxa"/>
          </w:tcPr>
          <w:p w14:paraId="04E141E0"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8116091"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7B65C8EC" w14:textId="77777777" w:rsidR="00FF1419" w:rsidRPr="00AC68A2" w:rsidRDefault="00FF1419" w:rsidP="00545910">
            <w:pPr>
              <w:pStyle w:val="Tabletext9pt"/>
              <w:rPr>
                <w:b w:val="0"/>
                <w:bCs/>
              </w:rPr>
            </w:pPr>
            <w:r w:rsidRPr="00AC68A2">
              <w:rPr>
                <w:b w:val="0"/>
                <w:bCs/>
              </w:rPr>
              <w:t>Women’s alcohol and drug supported accommodation</w:t>
            </w:r>
          </w:p>
        </w:tc>
        <w:tc>
          <w:tcPr>
            <w:tcW w:w="2397" w:type="dxa"/>
          </w:tcPr>
          <w:p w14:paraId="0ADA02B8"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68A6FF6B" w14:textId="57167880"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7,</w:t>
            </w:r>
            <w:r w:rsidR="159E4AE0">
              <w:t>848</w:t>
            </w:r>
          </w:p>
        </w:tc>
        <w:tc>
          <w:tcPr>
            <w:tcW w:w="1604" w:type="dxa"/>
          </w:tcPr>
          <w:p w14:paraId="69A19D03" w14:textId="0D78823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3F00670E"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4DB28AC5" w14:textId="521F281F" w:rsidR="00FF1419" w:rsidRPr="00AC68A2" w:rsidRDefault="00FF1419" w:rsidP="00545910">
            <w:pPr>
              <w:pStyle w:val="Tabletext9pt"/>
              <w:rPr>
                <w:b w:val="0"/>
                <w:bCs/>
              </w:rPr>
            </w:pPr>
            <w:r w:rsidRPr="00AC68A2">
              <w:rPr>
                <w:b w:val="0"/>
                <w:bCs/>
              </w:rPr>
              <w:t xml:space="preserve">ACCO services – community </w:t>
            </w:r>
            <w:r w:rsidR="0002715F" w:rsidRPr="00AC68A2">
              <w:rPr>
                <w:b w:val="0"/>
                <w:bCs/>
              </w:rPr>
              <w:t>model </w:t>
            </w:r>
            <w:r w:rsidRPr="00AC68A2">
              <w:rPr>
                <w:b w:val="0"/>
                <w:bCs/>
              </w:rPr>
              <w:t xml:space="preserve">1 </w:t>
            </w:r>
          </w:p>
        </w:tc>
        <w:tc>
          <w:tcPr>
            <w:tcW w:w="2397" w:type="dxa"/>
          </w:tcPr>
          <w:p w14:paraId="55827737"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0924560C" w14:textId="14199A46"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9</w:t>
            </w:r>
            <w:r w:rsidR="509A629C">
              <w:t>62.27</w:t>
            </w:r>
          </w:p>
        </w:tc>
        <w:tc>
          <w:tcPr>
            <w:tcW w:w="1604" w:type="dxa"/>
          </w:tcPr>
          <w:p w14:paraId="5205AE66"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61BD253"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D7E626D" w14:textId="77777777" w:rsidR="00FF1419" w:rsidRPr="00AC68A2" w:rsidRDefault="00FF1419" w:rsidP="00545910">
            <w:pPr>
              <w:pStyle w:val="Tabletext9pt"/>
              <w:rPr>
                <w:b w:val="0"/>
                <w:bCs/>
              </w:rPr>
            </w:pPr>
            <w:r w:rsidRPr="00AC68A2">
              <w:rPr>
                <w:b w:val="0"/>
                <w:bCs/>
              </w:rPr>
              <w:t>ACCO services – community models 2 and 3</w:t>
            </w:r>
          </w:p>
        </w:tc>
        <w:tc>
          <w:tcPr>
            <w:tcW w:w="2397" w:type="dxa"/>
          </w:tcPr>
          <w:p w14:paraId="44929703"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46B81665" w14:textId="354025C1"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2,</w:t>
            </w:r>
            <w:r w:rsidR="0C734912">
              <w:t>973</w:t>
            </w:r>
          </w:p>
        </w:tc>
        <w:tc>
          <w:tcPr>
            <w:tcW w:w="1604" w:type="dxa"/>
          </w:tcPr>
          <w:p w14:paraId="1F400566"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7AA2766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460A3CE" w14:textId="77777777" w:rsidR="00FF1419" w:rsidRPr="00AC68A2" w:rsidRDefault="00FF1419" w:rsidP="00545910">
            <w:pPr>
              <w:pStyle w:val="Tabletext9pt"/>
              <w:rPr>
                <w:b w:val="0"/>
                <w:bCs/>
              </w:rPr>
            </w:pPr>
            <w:r w:rsidRPr="00AC68A2">
              <w:rPr>
                <w:b w:val="0"/>
                <w:bCs/>
              </w:rPr>
              <w:t>ACCO services – community alcohol and drug worker</w:t>
            </w:r>
          </w:p>
        </w:tc>
        <w:tc>
          <w:tcPr>
            <w:tcW w:w="2397" w:type="dxa"/>
          </w:tcPr>
          <w:p w14:paraId="2A78CDCF"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777C4BF9" w14:textId="78F52B09"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2,</w:t>
            </w:r>
            <w:r w:rsidR="5B5F2595">
              <w:t>642</w:t>
            </w:r>
          </w:p>
        </w:tc>
        <w:tc>
          <w:tcPr>
            <w:tcW w:w="1604" w:type="dxa"/>
          </w:tcPr>
          <w:p w14:paraId="767B7E20"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bookmarkEnd w:id="2156"/>
      <w:bookmarkEnd w:id="2157"/>
      <w:bookmarkEnd w:id="2158"/>
      <w:bookmarkEnd w:id="2159"/>
    </w:tbl>
    <w:p w14:paraId="3CAF4B99" w14:textId="77777777" w:rsidR="00415913" w:rsidRDefault="00415913">
      <w:pPr>
        <w:spacing w:after="0" w:line="240" w:lineRule="auto"/>
        <w:rPr>
          <w:b/>
          <w:color w:val="595959" w:themeColor="text1" w:themeTint="A6"/>
          <w:sz w:val="32"/>
          <w:szCs w:val="28"/>
          <w:highlight w:val="lightGray"/>
        </w:rPr>
      </w:pPr>
      <w:r>
        <w:rPr>
          <w:color w:val="595959" w:themeColor="text1" w:themeTint="A6"/>
          <w:highlight w:val="lightGray"/>
        </w:rPr>
        <w:br w:type="page"/>
      </w:r>
    </w:p>
    <w:p w14:paraId="7DCDABD4" w14:textId="1A647805" w:rsidR="005B699B" w:rsidRDefault="005B699B" w:rsidP="0084378F">
      <w:pPr>
        <w:pStyle w:val="Heading2"/>
        <w:numPr>
          <w:ilvl w:val="1"/>
          <w:numId w:val="12"/>
        </w:numPr>
        <w:ind w:left="851" w:hanging="851"/>
      </w:pPr>
      <w:bookmarkStart w:id="2160" w:name="_Toc110950040"/>
      <w:bookmarkStart w:id="2161" w:name="_Toc38365181"/>
      <w:bookmarkStart w:id="2162" w:name="_Toc38365306"/>
      <w:bookmarkStart w:id="2163" w:name="_Toc51058185"/>
      <w:bookmarkStart w:id="2164" w:name="_Toc52898482"/>
      <w:bookmarkStart w:id="2165" w:name="_Toc52899860"/>
      <w:bookmarkStart w:id="2166" w:name="_Toc52901315"/>
      <w:bookmarkStart w:id="2167" w:name="_Toc52902658"/>
      <w:bookmarkStart w:id="2168" w:name="_Toc52904121"/>
      <w:bookmarkStart w:id="2169" w:name="_Toc53059098"/>
      <w:bookmarkStart w:id="2170" w:name="_Toc53060442"/>
      <w:bookmarkStart w:id="2171" w:name="_Toc53061784"/>
      <w:bookmarkStart w:id="2172" w:name="_Toc53063247"/>
      <w:bookmarkStart w:id="2173" w:name="_Toc53064624"/>
      <w:bookmarkStart w:id="2174" w:name="_Toc53066002"/>
      <w:bookmarkStart w:id="2175" w:name="_Toc54261573"/>
      <w:bookmarkStart w:id="2176" w:name="_Toc54615389"/>
      <w:bookmarkStart w:id="2177" w:name="_Toc55380972"/>
      <w:bookmarkStart w:id="2178" w:name="_Toc38365182"/>
      <w:bookmarkStart w:id="2179" w:name="_Toc38365307"/>
      <w:bookmarkStart w:id="2180" w:name="_Toc51058186"/>
      <w:bookmarkStart w:id="2181" w:name="_Toc52898483"/>
      <w:bookmarkStart w:id="2182" w:name="_Toc52899861"/>
      <w:bookmarkStart w:id="2183" w:name="_Toc52901316"/>
      <w:bookmarkStart w:id="2184" w:name="_Toc52902659"/>
      <w:bookmarkStart w:id="2185" w:name="_Toc52904122"/>
      <w:bookmarkStart w:id="2186" w:name="_Toc53059099"/>
      <w:bookmarkStart w:id="2187" w:name="_Toc53060443"/>
      <w:bookmarkStart w:id="2188" w:name="_Toc53061785"/>
      <w:bookmarkStart w:id="2189" w:name="_Toc53063248"/>
      <w:bookmarkStart w:id="2190" w:name="_Toc53064625"/>
      <w:bookmarkStart w:id="2191" w:name="_Toc53066003"/>
      <w:bookmarkStart w:id="2192" w:name="_Toc54261574"/>
      <w:bookmarkStart w:id="2193" w:name="_Toc54615390"/>
      <w:bookmarkStart w:id="2194" w:name="_Toc55380973"/>
      <w:bookmarkStart w:id="2195" w:name="_Toc38365183"/>
      <w:bookmarkStart w:id="2196" w:name="_Toc38365308"/>
      <w:bookmarkStart w:id="2197" w:name="_Toc51058187"/>
      <w:bookmarkStart w:id="2198" w:name="_Toc52898484"/>
      <w:bookmarkStart w:id="2199" w:name="_Toc52899862"/>
      <w:bookmarkStart w:id="2200" w:name="_Toc52901317"/>
      <w:bookmarkStart w:id="2201" w:name="_Toc52902660"/>
      <w:bookmarkStart w:id="2202" w:name="_Toc52904123"/>
      <w:bookmarkStart w:id="2203" w:name="_Toc53059100"/>
      <w:bookmarkStart w:id="2204" w:name="_Toc53060444"/>
      <w:bookmarkStart w:id="2205" w:name="_Toc53061786"/>
      <w:bookmarkStart w:id="2206" w:name="_Toc53063249"/>
      <w:bookmarkStart w:id="2207" w:name="_Toc53064626"/>
      <w:bookmarkStart w:id="2208" w:name="_Toc53066004"/>
      <w:bookmarkStart w:id="2209" w:name="_Toc54261575"/>
      <w:bookmarkStart w:id="2210" w:name="_Toc54615391"/>
      <w:bookmarkStart w:id="2211" w:name="_Toc55380974"/>
      <w:bookmarkStart w:id="2212" w:name="_Toc38365232"/>
      <w:bookmarkStart w:id="2213" w:name="_Toc38365357"/>
      <w:bookmarkStart w:id="2214" w:name="_Toc51058236"/>
      <w:bookmarkStart w:id="2215" w:name="_Toc54261624"/>
      <w:bookmarkStart w:id="2216" w:name="_Toc55381023"/>
      <w:bookmarkStart w:id="2217" w:name="_Ref423020194"/>
      <w:bookmarkStart w:id="2218" w:name="_Ref423020203"/>
      <w:bookmarkStart w:id="2219" w:name="_Toc487742009"/>
      <w:bookmarkStart w:id="2220" w:name="_Toc14172239"/>
      <w:bookmarkStart w:id="2221" w:name="_Toc100263349"/>
      <w:bookmarkStart w:id="2222" w:name="_Toc165961853"/>
      <w:bookmarkStart w:id="2223" w:name="_Ref199254065"/>
      <w:bookmarkStart w:id="2224" w:name="_Ref199254073"/>
      <w:bookmarkStart w:id="2225" w:name="_Toc201148281"/>
      <w:bookmarkStart w:id="2226" w:name="_Toc418694988"/>
      <w:bookmarkStart w:id="2227" w:name="_Ref419741590"/>
      <w:bookmarkStart w:id="2228" w:name="_Ref419741598"/>
      <w:bookmarkEnd w:id="2152"/>
      <w:bookmarkEnd w:id="2153"/>
      <w:bookmarkEnd w:id="2154"/>
      <w:bookmarkEnd w:id="2155"/>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lastRenderedPageBreak/>
        <w:t xml:space="preserve">Ageing, aged and home </w:t>
      </w:r>
      <w:bookmarkEnd w:id="2217"/>
      <w:bookmarkEnd w:id="2218"/>
      <w:bookmarkEnd w:id="2219"/>
      <w:bookmarkEnd w:id="2220"/>
      <w:bookmarkEnd w:id="2221"/>
      <w:r w:rsidRPr="00731B6C">
        <w:t>care</w:t>
      </w:r>
      <w:bookmarkEnd w:id="2222"/>
      <w:bookmarkEnd w:id="2223"/>
      <w:bookmarkEnd w:id="2224"/>
      <w:bookmarkEnd w:id="2225"/>
      <w:r w:rsidR="008260AB">
        <w:t xml:space="preserve"> </w:t>
      </w:r>
    </w:p>
    <w:p w14:paraId="17CC6E37" w14:textId="191A89A4" w:rsidR="00A97999" w:rsidRPr="00377487" w:rsidRDefault="00A97999" w:rsidP="00F77982">
      <w:pPr>
        <w:pStyle w:val="Tablecaption"/>
        <w:rPr>
          <w:lang w:eastAsia="en-AU"/>
        </w:rPr>
      </w:pPr>
      <w:bookmarkStart w:id="2229" w:name="_Ref200031482"/>
      <w:bookmarkStart w:id="2230" w:name="_Toc201148579"/>
      <w:bookmarkStart w:id="2231" w:name="_Toc487742074"/>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9C471B">
        <w:rPr>
          <w:noProof/>
        </w:rPr>
        <w:t>17</w:t>
      </w:r>
      <w:r>
        <w:fldChar w:fldCharType="end"/>
      </w:r>
      <w:bookmarkEnd w:id="2229"/>
      <w:r w:rsidRPr="00377487">
        <w:t>: Ageing, aged and home care 202</w:t>
      </w:r>
      <w:r w:rsidR="008002D9">
        <w:t>5</w:t>
      </w:r>
      <w:r w:rsidRPr="00377487">
        <w:t>–2</w:t>
      </w:r>
      <w:r w:rsidR="008002D9">
        <w:t>6</w:t>
      </w:r>
      <w:r w:rsidRPr="00377487">
        <w:rPr>
          <w:vertAlign w:val="superscript"/>
        </w:rPr>
        <w:footnoteReference w:id="7"/>
      </w:r>
      <w:bookmarkEnd w:id="2230"/>
    </w:p>
    <w:p w14:paraId="51D84F85" w14:textId="77777777" w:rsidR="005B699B" w:rsidRPr="00340749" w:rsidRDefault="005B699B" w:rsidP="00AC64A0">
      <w:pPr>
        <w:pStyle w:val="Body"/>
      </w:pPr>
      <w:r>
        <w:rPr>
          <w:lang w:eastAsia="en-AU"/>
        </w:rPr>
        <w:t>Program area: Residential aged care</w:t>
      </w:r>
      <w:r w:rsidRPr="00AC64A0">
        <w:rPr>
          <w:szCs w:val="18"/>
          <w:vertAlign w:val="superscript"/>
          <w:lang w:eastAsia="en-AU"/>
        </w:rPr>
        <w:footnoteReference w:id="8"/>
      </w:r>
      <w:r>
        <w:rPr>
          <w:lang w:eastAsia="en-AU"/>
        </w:rPr>
        <w:t xml:space="preserve"> </w:t>
      </w:r>
      <w:r>
        <w:t>–</w:t>
      </w:r>
      <w:r>
        <w:rPr>
          <w:lang w:eastAsia="en-AU"/>
        </w:rPr>
        <w:t xml:space="preserve"> public sector residential aged care supplements</w:t>
      </w:r>
    </w:p>
    <w:tbl>
      <w:tblPr>
        <w:tblStyle w:val="GridTable4-Accent1"/>
        <w:tblW w:w="9287" w:type="dxa"/>
        <w:tblLook w:val="04A0" w:firstRow="1" w:lastRow="0" w:firstColumn="1" w:lastColumn="0" w:noHBand="0" w:noVBand="1"/>
      </w:tblPr>
      <w:tblGrid>
        <w:gridCol w:w="4772"/>
        <w:gridCol w:w="1832"/>
        <w:gridCol w:w="2671"/>
        <w:gridCol w:w="12"/>
      </w:tblGrid>
      <w:tr w:rsidR="00FF1419" w14:paraId="0F71958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9EC644E"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w:t>
            </w:r>
          </w:p>
        </w:tc>
        <w:tc>
          <w:tcPr>
            <w:tcW w:w="0" w:type="dxa"/>
            <w:hideMark/>
          </w:tcPr>
          <w:p w14:paraId="0CD0D304"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0" w:type="dxa"/>
            <w:gridSpan w:val="2"/>
            <w:hideMark/>
          </w:tcPr>
          <w:p w14:paraId="423BE94A"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Estimated unit price ($)</w:t>
            </w:r>
          </w:p>
        </w:tc>
      </w:tr>
      <w:tr w:rsidR="00FF1419" w14:paraId="7702A48D"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13810C45" w14:textId="77777777" w:rsidR="00FF1419" w:rsidRPr="00AC68A2" w:rsidRDefault="00FF1419" w:rsidP="00545910">
            <w:pPr>
              <w:pStyle w:val="Tabletext9pt"/>
              <w:rPr>
                <w:b w:val="0"/>
                <w:bCs/>
              </w:rPr>
            </w:pPr>
            <w:r w:rsidRPr="00AC68A2">
              <w:rPr>
                <w:b w:val="0"/>
                <w:bCs/>
              </w:rPr>
              <w:t>Rural small high-care supplement</w:t>
            </w:r>
          </w:p>
          <w:p w14:paraId="58C07274" w14:textId="77777777" w:rsidR="00FF1419" w:rsidRPr="00AC68A2" w:rsidRDefault="00FF1419" w:rsidP="00545910">
            <w:pPr>
              <w:pStyle w:val="Tabletext9pt"/>
              <w:rPr>
                <w:b w:val="0"/>
                <w:bCs/>
              </w:rPr>
            </w:pPr>
            <w:r w:rsidRPr="00AC68A2">
              <w:rPr>
                <w:b w:val="0"/>
                <w:bCs/>
              </w:rPr>
              <w:t>1–10 places</w:t>
            </w:r>
          </w:p>
        </w:tc>
        <w:tc>
          <w:tcPr>
            <w:tcW w:w="1843" w:type="dxa"/>
            <w:hideMark/>
          </w:tcPr>
          <w:p w14:paraId="69F3BF9A"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701" w:type="dxa"/>
            <w:gridSpan w:val="2"/>
          </w:tcPr>
          <w:p w14:paraId="470A73A0" w14:textId="2D8A5876" w:rsidR="00FF1419" w:rsidRPr="0EC1DC23" w:rsidRDefault="77ABBA8A"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1056CB2">
              <w:rPr>
                <w:rFonts w:eastAsia="Arial" w:cs="Arial"/>
                <w:sz w:val="18"/>
                <w:szCs w:val="18"/>
              </w:rPr>
              <w:t>12.24</w:t>
            </w:r>
          </w:p>
        </w:tc>
      </w:tr>
      <w:tr w:rsidR="00FF1419" w14:paraId="392EE41A"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3B6FB6D9" w14:textId="77777777" w:rsidR="00FF1419" w:rsidRPr="00AC68A2" w:rsidRDefault="00FF1419" w:rsidP="00545910">
            <w:pPr>
              <w:pStyle w:val="Tabletext9pt"/>
              <w:rPr>
                <w:b w:val="0"/>
                <w:bCs/>
              </w:rPr>
            </w:pPr>
            <w:r w:rsidRPr="00AC68A2">
              <w:rPr>
                <w:b w:val="0"/>
                <w:bCs/>
              </w:rPr>
              <w:t>Rural small high-care supplement</w:t>
            </w:r>
          </w:p>
          <w:p w14:paraId="47C685F6" w14:textId="77777777" w:rsidR="00FF1419" w:rsidRPr="00AC68A2" w:rsidRDefault="00FF1419" w:rsidP="00545910">
            <w:pPr>
              <w:pStyle w:val="Tabletext9pt"/>
              <w:rPr>
                <w:b w:val="0"/>
                <w:bCs/>
              </w:rPr>
            </w:pPr>
            <w:r w:rsidRPr="00AC68A2">
              <w:rPr>
                <w:b w:val="0"/>
                <w:bCs/>
              </w:rPr>
              <w:t>11–20 places</w:t>
            </w:r>
          </w:p>
        </w:tc>
        <w:tc>
          <w:tcPr>
            <w:tcW w:w="1843" w:type="dxa"/>
            <w:hideMark/>
          </w:tcPr>
          <w:p w14:paraId="260E141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0526B65E" w14:textId="2F706D3A" w:rsidR="00FF1419" w:rsidRPr="0EC1DC23" w:rsidRDefault="54DB07AA"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FBD8F9E">
              <w:rPr>
                <w:rFonts w:eastAsia="Arial" w:cs="Arial"/>
                <w:sz w:val="18"/>
                <w:szCs w:val="18"/>
              </w:rPr>
              <w:t>9.17</w:t>
            </w:r>
          </w:p>
        </w:tc>
      </w:tr>
      <w:tr w:rsidR="00FF1419" w14:paraId="03DB9B88"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56F19CE0" w14:textId="77777777" w:rsidR="00FF1419" w:rsidRPr="00AC68A2" w:rsidRDefault="00FF1419" w:rsidP="00545910">
            <w:pPr>
              <w:pStyle w:val="Tabletext9pt"/>
              <w:rPr>
                <w:b w:val="0"/>
                <w:bCs/>
              </w:rPr>
            </w:pPr>
            <w:r w:rsidRPr="00AC68A2">
              <w:rPr>
                <w:b w:val="0"/>
                <w:bCs/>
              </w:rPr>
              <w:t>Rural small high-care supplement</w:t>
            </w:r>
          </w:p>
          <w:p w14:paraId="0E1C18A4" w14:textId="77777777" w:rsidR="00FF1419" w:rsidRPr="00AC68A2" w:rsidRDefault="00FF1419" w:rsidP="00545910">
            <w:pPr>
              <w:pStyle w:val="Tabletext9pt"/>
              <w:rPr>
                <w:b w:val="0"/>
                <w:bCs/>
              </w:rPr>
            </w:pPr>
            <w:r w:rsidRPr="00AC68A2">
              <w:rPr>
                <w:b w:val="0"/>
                <w:bCs/>
              </w:rPr>
              <w:t>21–30 places</w:t>
            </w:r>
          </w:p>
        </w:tc>
        <w:tc>
          <w:tcPr>
            <w:tcW w:w="1843" w:type="dxa"/>
            <w:hideMark/>
          </w:tcPr>
          <w:p w14:paraId="66EA0831"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3B493DFB" w14:textId="071B130E" w:rsidR="00FF1419" w:rsidRPr="0EC1DC23" w:rsidRDefault="0D9DABF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FBD8F9E">
              <w:rPr>
                <w:rFonts w:eastAsia="Arial" w:cs="Arial"/>
                <w:sz w:val="18"/>
                <w:szCs w:val="18"/>
              </w:rPr>
              <w:t>7.66</w:t>
            </w:r>
          </w:p>
        </w:tc>
      </w:tr>
      <w:tr w:rsidR="00FF1419" w14:paraId="2A11E375"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1AEA5F9D" w14:textId="4C1EB0A7" w:rsidR="00FF1419" w:rsidRPr="00AC68A2" w:rsidRDefault="00FF1419" w:rsidP="00545910">
            <w:pPr>
              <w:pStyle w:val="Tabletext9pt"/>
              <w:rPr>
                <w:b w:val="0"/>
                <w:bCs/>
              </w:rPr>
            </w:pPr>
            <w:r w:rsidRPr="00AC68A2">
              <w:rPr>
                <w:b w:val="0"/>
                <w:bCs/>
              </w:rPr>
              <w:t>Low-care supplement</w:t>
            </w:r>
            <w:r w:rsidRPr="00AC68A2">
              <w:rPr>
                <w:b w:val="0"/>
                <w:bCs/>
                <w:szCs w:val="18"/>
                <w:vertAlign w:val="superscript"/>
              </w:rPr>
              <w:footnoteReference w:id="9"/>
            </w:r>
          </w:p>
        </w:tc>
        <w:tc>
          <w:tcPr>
            <w:tcW w:w="1843" w:type="dxa"/>
            <w:hideMark/>
          </w:tcPr>
          <w:p w14:paraId="2C62CE2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658B3F8D" w14:textId="34B6B06A" w:rsidR="00FF1419" w:rsidRPr="0EC1DC23" w:rsidRDefault="5A34179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B1F28D1">
              <w:rPr>
                <w:rFonts w:eastAsia="Arial" w:cs="Arial"/>
                <w:sz w:val="18"/>
                <w:szCs w:val="18"/>
              </w:rPr>
              <w:t>7.01</w:t>
            </w:r>
          </w:p>
        </w:tc>
      </w:tr>
      <w:tr w:rsidR="00FF1419" w14:paraId="507F9C54"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0B4FD42D" w14:textId="77777777" w:rsidR="00FF1419" w:rsidRPr="00AC68A2" w:rsidRDefault="00FF1419" w:rsidP="00545910">
            <w:pPr>
              <w:pStyle w:val="Tabletext9pt"/>
              <w:rPr>
                <w:b w:val="0"/>
                <w:bCs/>
              </w:rPr>
            </w:pPr>
            <w:r w:rsidRPr="00AC68A2">
              <w:rPr>
                <w:b w:val="0"/>
                <w:bCs/>
              </w:rPr>
              <w:t>High-care supplement</w:t>
            </w:r>
          </w:p>
        </w:tc>
        <w:tc>
          <w:tcPr>
            <w:tcW w:w="1843" w:type="dxa"/>
            <w:hideMark/>
          </w:tcPr>
          <w:p w14:paraId="108B7F91"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52A9A083" w14:textId="5F9AB26A" w:rsidR="00FF1419" w:rsidRPr="0EC1DC23" w:rsidRDefault="2A7AFB6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B1F28D1">
              <w:rPr>
                <w:rFonts w:eastAsia="Arial" w:cs="Arial"/>
                <w:sz w:val="18"/>
                <w:szCs w:val="18"/>
              </w:rPr>
              <w:t>75.72</w:t>
            </w:r>
          </w:p>
        </w:tc>
      </w:tr>
      <w:tr w:rsidR="00FF1419" w14:paraId="74558DED"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4A9D1B15" w14:textId="77777777" w:rsidR="00FF1419" w:rsidRPr="00AC68A2" w:rsidRDefault="00FF1419" w:rsidP="00545910">
            <w:pPr>
              <w:pStyle w:val="Tabletext9pt"/>
              <w:rPr>
                <w:b w:val="0"/>
                <w:bCs/>
              </w:rPr>
            </w:pPr>
            <w:r w:rsidRPr="00AC68A2">
              <w:rPr>
                <w:b w:val="0"/>
                <w:bCs/>
              </w:rPr>
              <w:t>Public sector residential aged care supplement</w:t>
            </w:r>
          </w:p>
        </w:tc>
        <w:tc>
          <w:tcPr>
            <w:tcW w:w="1843" w:type="dxa"/>
            <w:hideMark/>
          </w:tcPr>
          <w:p w14:paraId="0824C2E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0556F730" w14:textId="77777777" w:rsidR="00FF1419" w:rsidRPr="0EC1DC23" w:rsidRDefault="00FF1419"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13.98</w:t>
            </w:r>
          </w:p>
        </w:tc>
      </w:tr>
      <w:tr w:rsidR="00FF1419" w14:paraId="1595EDF6"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1132C4B9" w14:textId="77777777" w:rsidR="00FF1419" w:rsidRPr="00AC68A2" w:rsidRDefault="00FF1419" w:rsidP="00545910">
            <w:pPr>
              <w:pStyle w:val="Tabletext9pt"/>
              <w:rPr>
                <w:b w:val="0"/>
                <w:bCs/>
              </w:rPr>
            </w:pPr>
            <w:r w:rsidRPr="00AC68A2">
              <w:rPr>
                <w:b w:val="0"/>
                <w:bCs/>
              </w:rPr>
              <w:t>Complex care supplement</w:t>
            </w:r>
          </w:p>
        </w:tc>
        <w:tc>
          <w:tcPr>
            <w:tcW w:w="1843" w:type="dxa"/>
            <w:hideMark/>
          </w:tcPr>
          <w:p w14:paraId="63B197FD"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2F20BA40" w14:textId="4CBB7987" w:rsidR="00FF1419" w:rsidRPr="0EC1DC23" w:rsidRDefault="5D5D716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B1F28D1">
              <w:rPr>
                <w:rFonts w:eastAsia="Arial" w:cs="Arial"/>
                <w:sz w:val="18"/>
                <w:szCs w:val="18"/>
              </w:rPr>
              <w:t>45.93</w:t>
            </w:r>
          </w:p>
        </w:tc>
      </w:tr>
    </w:tbl>
    <w:p w14:paraId="56EB704E" w14:textId="0405E2F4" w:rsidR="005B699B" w:rsidRDefault="005B699B" w:rsidP="00AC64A0">
      <w:pPr>
        <w:pStyle w:val="Bodyafterfiguretable"/>
      </w:pPr>
      <w:r>
        <w:rPr>
          <w:lang w:eastAsia="en-AU"/>
        </w:rPr>
        <w:t xml:space="preserve">Program area: </w:t>
      </w:r>
      <w:r w:rsidRPr="00204BA0">
        <w:t>Home and Community Care Program for Younger</w:t>
      </w:r>
      <w:r>
        <w:t xml:space="preserve"> People</w:t>
      </w:r>
    </w:p>
    <w:tbl>
      <w:tblPr>
        <w:tblStyle w:val="GridTable4-Accent1"/>
        <w:tblW w:w="9287" w:type="dxa"/>
        <w:tblLook w:val="04A0" w:firstRow="1" w:lastRow="0" w:firstColumn="1" w:lastColumn="0" w:noHBand="0" w:noVBand="1"/>
      </w:tblPr>
      <w:tblGrid>
        <w:gridCol w:w="4773"/>
        <w:gridCol w:w="1832"/>
        <w:gridCol w:w="2682"/>
      </w:tblGrid>
      <w:tr w:rsidR="00FF1419" w14:paraId="2A95B5B8" w14:textId="77777777" w:rsidTr="00603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3" w:type="dxa"/>
            <w:hideMark/>
          </w:tcPr>
          <w:p w14:paraId="6A35E135" w14:textId="77777777" w:rsidR="00FF1419" w:rsidRPr="00187705" w:rsidRDefault="00FF1419"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2" w:type="dxa"/>
            <w:hideMark/>
          </w:tcPr>
          <w:p w14:paraId="300DA8FD"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1718B99F"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FF1419" w14:paraId="40C65679"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4C692D15" w14:textId="77777777" w:rsidR="00FF1419" w:rsidRPr="00AC68A2" w:rsidRDefault="00FF1419" w:rsidP="00545910">
            <w:pPr>
              <w:pStyle w:val="Tabletext9pt"/>
              <w:rPr>
                <w:b w:val="0"/>
                <w:bCs/>
              </w:rPr>
            </w:pPr>
            <w:r w:rsidRPr="00AC68A2">
              <w:rPr>
                <w:b w:val="0"/>
                <w:bCs/>
              </w:rPr>
              <w:t>HACC-PYP Access and Support</w:t>
            </w:r>
          </w:p>
        </w:tc>
        <w:tc>
          <w:tcPr>
            <w:tcW w:w="1832" w:type="dxa"/>
            <w:hideMark/>
          </w:tcPr>
          <w:p w14:paraId="79F36547" w14:textId="77777777" w:rsidR="00FF1419" w:rsidRPr="00001367"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01367">
              <w:t>Hour</w:t>
            </w:r>
          </w:p>
        </w:tc>
        <w:tc>
          <w:tcPr>
            <w:tcW w:w="2682" w:type="dxa"/>
          </w:tcPr>
          <w:p w14:paraId="09814F28" w14:textId="3630C63B" w:rsidR="00FF1419" w:rsidRPr="0EC1DC23" w:rsidRDefault="06FE8D2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674B0FBA">
              <w:rPr>
                <w:rFonts w:eastAsia="Arial" w:cs="Arial"/>
                <w:color w:val="000000" w:themeColor="text1"/>
                <w:sz w:val="18"/>
                <w:szCs w:val="18"/>
              </w:rPr>
              <w:t>80.29</w:t>
            </w:r>
          </w:p>
        </w:tc>
      </w:tr>
      <w:tr w:rsidR="00BD4A87" w:rsidDel="00E24206" w14:paraId="3778366B" w14:textId="77777777" w:rsidTr="00603B92">
        <w:tc>
          <w:tcPr>
            <w:cnfStyle w:val="001000000000" w:firstRow="0" w:lastRow="0" w:firstColumn="1" w:lastColumn="0" w:oddVBand="0" w:evenVBand="0" w:oddHBand="0" w:evenHBand="0" w:firstRowFirstColumn="0" w:firstRowLastColumn="0" w:lastRowFirstColumn="0" w:lastRowLastColumn="0"/>
            <w:tcW w:w="4773" w:type="dxa"/>
          </w:tcPr>
          <w:p w14:paraId="3DAF807C" w14:textId="0E31FF8E" w:rsidR="00BD4A87" w:rsidRPr="00AC68A2" w:rsidDel="00E24206" w:rsidRDefault="00AB5B55" w:rsidP="00545910">
            <w:pPr>
              <w:pStyle w:val="Tabletext9pt"/>
              <w:rPr>
                <w:b w:val="0"/>
                <w:bCs/>
              </w:rPr>
            </w:pPr>
            <w:r w:rsidRPr="00AC68A2">
              <w:rPr>
                <w:b w:val="0"/>
                <w:bCs/>
              </w:rPr>
              <w:t>HACC-PYP Allied Health and Nursing Single Unit Price</w:t>
            </w:r>
          </w:p>
        </w:tc>
        <w:tc>
          <w:tcPr>
            <w:tcW w:w="1832" w:type="dxa"/>
          </w:tcPr>
          <w:p w14:paraId="10E0F2C9" w14:textId="5F08489C" w:rsidR="00BD4A87" w:rsidRPr="00001367" w:rsidDel="00E24206" w:rsidRDefault="00900DDF"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20CEC56A" w14:textId="0008DB09" w:rsidR="00BD4A87" w:rsidRPr="0EC1DC23" w:rsidDel="00E24206" w:rsidRDefault="005A328D"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Pr>
                <w:rFonts w:eastAsia="Arial" w:cs="Arial"/>
                <w:color w:val="000000" w:themeColor="text1"/>
                <w:sz w:val="18"/>
                <w:szCs w:val="18"/>
              </w:rPr>
              <w:t>143.07</w:t>
            </w:r>
          </w:p>
        </w:tc>
      </w:tr>
      <w:tr w:rsidR="00BD4A87" w:rsidDel="00E24206" w14:paraId="236FCCC0"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tcPr>
          <w:p w14:paraId="18290C5C" w14:textId="5FFBCE78" w:rsidR="00BD4A87" w:rsidRPr="00AC68A2" w:rsidDel="00E24206" w:rsidRDefault="00900DDF" w:rsidP="00545910">
            <w:pPr>
              <w:pStyle w:val="Tabletext9pt"/>
              <w:rPr>
                <w:b w:val="0"/>
                <w:bCs/>
              </w:rPr>
            </w:pPr>
            <w:r w:rsidRPr="00AC68A2">
              <w:rPr>
                <w:b w:val="0"/>
                <w:bCs/>
              </w:rPr>
              <w:t>HACC-PYP Assessment</w:t>
            </w:r>
          </w:p>
        </w:tc>
        <w:tc>
          <w:tcPr>
            <w:tcW w:w="1832" w:type="dxa"/>
          </w:tcPr>
          <w:p w14:paraId="79CBF644" w14:textId="6FAA0B02" w:rsidR="00BD4A87" w:rsidRPr="00001367" w:rsidDel="00E24206" w:rsidRDefault="00900DDF"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20B38E88" w14:textId="0831A845" w:rsidR="00BD4A87" w:rsidRPr="0EC1DC23" w:rsidDel="00E24206" w:rsidRDefault="16EC80C5"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17CF456B">
              <w:rPr>
                <w:rFonts w:eastAsia="Arial" w:cs="Arial"/>
                <w:color w:val="000000" w:themeColor="text1"/>
                <w:sz w:val="18"/>
                <w:szCs w:val="18"/>
              </w:rPr>
              <w:t>109.28</w:t>
            </w:r>
          </w:p>
        </w:tc>
      </w:tr>
      <w:tr w:rsidR="00FF1419" w14:paraId="5993EA10" w14:textId="77777777" w:rsidTr="00603B92">
        <w:tc>
          <w:tcPr>
            <w:cnfStyle w:val="001000000000" w:firstRow="0" w:lastRow="0" w:firstColumn="1" w:lastColumn="0" w:oddVBand="0" w:evenVBand="0" w:oddHBand="0" w:evenHBand="0" w:firstRowFirstColumn="0" w:firstRowLastColumn="0" w:lastRowFirstColumn="0" w:lastRowLastColumn="0"/>
            <w:tcW w:w="4773" w:type="dxa"/>
            <w:hideMark/>
          </w:tcPr>
          <w:p w14:paraId="10693F9C" w14:textId="77777777" w:rsidR="00FF1419" w:rsidRPr="00AC68A2" w:rsidRDefault="00FF1419" w:rsidP="00545910">
            <w:pPr>
              <w:pStyle w:val="Tabletext9pt"/>
              <w:rPr>
                <w:b w:val="0"/>
                <w:bCs/>
              </w:rPr>
            </w:pPr>
            <w:r w:rsidRPr="00AC68A2">
              <w:rPr>
                <w:b w:val="0"/>
                <w:bCs/>
              </w:rPr>
              <w:t>HACC-PYP Delivered Meals</w:t>
            </w:r>
          </w:p>
        </w:tc>
        <w:tc>
          <w:tcPr>
            <w:tcW w:w="1832" w:type="dxa"/>
            <w:hideMark/>
          </w:tcPr>
          <w:p w14:paraId="30B9EEA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Meal</w:t>
            </w:r>
          </w:p>
        </w:tc>
        <w:tc>
          <w:tcPr>
            <w:tcW w:w="2682" w:type="dxa"/>
          </w:tcPr>
          <w:p w14:paraId="68066D17" w14:textId="74110294" w:rsidR="00FF1419" w:rsidRPr="0EC1DC23" w:rsidRDefault="74AB00A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78E183C">
              <w:rPr>
                <w:rFonts w:eastAsia="Arial" w:cs="Arial"/>
                <w:color w:val="000000" w:themeColor="text1"/>
                <w:sz w:val="18"/>
                <w:szCs w:val="18"/>
              </w:rPr>
              <w:t>3.96</w:t>
            </w:r>
          </w:p>
        </w:tc>
      </w:tr>
      <w:tr w:rsidR="00FF1419" w14:paraId="796871BA"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438AD936" w14:textId="77777777" w:rsidR="00FF1419" w:rsidRPr="00AC68A2" w:rsidRDefault="00FF1419" w:rsidP="00545910">
            <w:pPr>
              <w:pStyle w:val="Tabletext9pt"/>
              <w:rPr>
                <w:b w:val="0"/>
                <w:bCs/>
              </w:rPr>
            </w:pPr>
            <w:r w:rsidRPr="00AC68A2">
              <w:rPr>
                <w:b w:val="0"/>
                <w:bCs/>
              </w:rPr>
              <w:t>HACC-PYP Community Care</w:t>
            </w:r>
          </w:p>
        </w:tc>
        <w:tc>
          <w:tcPr>
            <w:tcW w:w="1832" w:type="dxa"/>
            <w:hideMark/>
          </w:tcPr>
          <w:p w14:paraId="40BBD42B"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0C75083" w14:textId="35F38FA8" w:rsidR="00FF1419" w:rsidRPr="0EC1DC23" w:rsidRDefault="004F2D0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Pr>
                <w:rFonts w:eastAsia="Arial" w:cs="Arial"/>
                <w:color w:val="000000" w:themeColor="text1"/>
                <w:sz w:val="18"/>
                <w:szCs w:val="18"/>
              </w:rPr>
              <w:t>71.60</w:t>
            </w:r>
          </w:p>
        </w:tc>
      </w:tr>
      <w:tr w:rsidR="00FF1419" w14:paraId="447F23E0" w14:textId="77777777" w:rsidTr="00603B92">
        <w:tc>
          <w:tcPr>
            <w:cnfStyle w:val="001000000000" w:firstRow="0" w:lastRow="0" w:firstColumn="1" w:lastColumn="0" w:oddVBand="0" w:evenVBand="0" w:oddHBand="0" w:evenHBand="0" w:firstRowFirstColumn="0" w:firstRowLastColumn="0" w:lastRowFirstColumn="0" w:lastRowLastColumn="0"/>
            <w:tcW w:w="4773" w:type="dxa"/>
            <w:shd w:val="clear" w:color="auto" w:fill="DBE5F1" w:themeFill="accent1" w:themeFillTint="33"/>
            <w:hideMark/>
          </w:tcPr>
          <w:p w14:paraId="3F197EA4" w14:textId="77777777" w:rsidR="00FF1419" w:rsidRPr="00AC68A2" w:rsidRDefault="00FF1419" w:rsidP="00545910">
            <w:pPr>
              <w:pStyle w:val="Tabletext9pt"/>
              <w:rPr>
                <w:b w:val="0"/>
                <w:bCs/>
              </w:rPr>
            </w:pPr>
            <w:r w:rsidRPr="00AC68A2">
              <w:rPr>
                <w:b w:val="0"/>
                <w:bCs/>
              </w:rPr>
              <w:t>HACC-PYP Planned Activity Group</w:t>
            </w:r>
          </w:p>
        </w:tc>
        <w:tc>
          <w:tcPr>
            <w:tcW w:w="1832" w:type="dxa"/>
            <w:shd w:val="clear" w:color="auto" w:fill="DBE5F1" w:themeFill="accent1" w:themeFillTint="33"/>
            <w:hideMark/>
          </w:tcPr>
          <w:p w14:paraId="501C3C55"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Per person</w:t>
            </w:r>
          </w:p>
        </w:tc>
        <w:tc>
          <w:tcPr>
            <w:tcW w:w="2682" w:type="dxa"/>
            <w:shd w:val="clear" w:color="auto" w:fill="DBE5F1" w:themeFill="accent1" w:themeFillTint="33"/>
          </w:tcPr>
          <w:p w14:paraId="66437227" w14:textId="5E0BA05F" w:rsidR="00FF1419" w:rsidRPr="0EC1DC23" w:rsidRDefault="16B63FEE"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81BD773">
              <w:rPr>
                <w:rFonts w:eastAsia="Arial" w:cs="Arial"/>
                <w:color w:val="000000" w:themeColor="text1"/>
                <w:sz w:val="18"/>
                <w:szCs w:val="18"/>
              </w:rPr>
              <w:t>18.94</w:t>
            </w:r>
          </w:p>
        </w:tc>
      </w:tr>
      <w:tr w:rsidR="00FF1419" w:rsidRPr="00DC751B" w14:paraId="78DA4EE2"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5CE7CC09" w14:textId="77777777" w:rsidR="00FF1419" w:rsidRPr="00DC751B" w:rsidRDefault="00FF1419" w:rsidP="00545910">
            <w:pPr>
              <w:pStyle w:val="Tabletext9pt"/>
              <w:rPr>
                <w:b w:val="0"/>
                <w:bCs/>
              </w:rPr>
            </w:pPr>
            <w:r w:rsidRPr="00DC751B">
              <w:rPr>
                <w:b w:val="0"/>
                <w:bCs/>
              </w:rPr>
              <w:t>HACC-PYP Property Maintenance</w:t>
            </w:r>
          </w:p>
        </w:tc>
        <w:tc>
          <w:tcPr>
            <w:tcW w:w="1832" w:type="dxa"/>
            <w:hideMark/>
          </w:tcPr>
          <w:p w14:paraId="438B4BA9"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51E27CCB" w14:textId="7F1454FE" w:rsidR="00FF1419" w:rsidRPr="00DC751B" w:rsidRDefault="70EFE6D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00DC751B">
              <w:rPr>
                <w:rFonts w:eastAsia="Arial" w:cs="Arial"/>
                <w:color w:val="000000" w:themeColor="text1"/>
                <w:sz w:val="18"/>
                <w:szCs w:val="18"/>
              </w:rPr>
              <w:t>57.11</w:t>
            </w:r>
          </w:p>
        </w:tc>
      </w:tr>
      <w:tr w:rsidR="00FF1419" w14:paraId="3470B338" w14:textId="77777777" w:rsidTr="00603B92">
        <w:tc>
          <w:tcPr>
            <w:cnfStyle w:val="001000000000" w:firstRow="0" w:lastRow="0" w:firstColumn="1" w:lastColumn="0" w:oddVBand="0" w:evenVBand="0" w:oddHBand="0" w:evenHBand="0" w:firstRowFirstColumn="0" w:firstRowLastColumn="0" w:lastRowFirstColumn="0" w:lastRowLastColumn="0"/>
            <w:tcW w:w="4773" w:type="dxa"/>
            <w:shd w:val="clear" w:color="auto" w:fill="DBE5F1" w:themeFill="accent1" w:themeFillTint="33"/>
            <w:hideMark/>
          </w:tcPr>
          <w:p w14:paraId="758EDCA4" w14:textId="77777777" w:rsidR="00FF1419" w:rsidRPr="00AC68A2" w:rsidRDefault="00FF1419" w:rsidP="00545910">
            <w:pPr>
              <w:pStyle w:val="Tabletext9pt"/>
              <w:rPr>
                <w:b w:val="0"/>
                <w:bCs/>
              </w:rPr>
            </w:pPr>
            <w:r w:rsidRPr="00AC68A2">
              <w:rPr>
                <w:b w:val="0"/>
                <w:bCs/>
              </w:rPr>
              <w:t>HACC-PYP Volunteer Coordination</w:t>
            </w:r>
          </w:p>
        </w:tc>
        <w:tc>
          <w:tcPr>
            <w:tcW w:w="1832" w:type="dxa"/>
            <w:shd w:val="clear" w:color="auto" w:fill="DBE5F1" w:themeFill="accent1" w:themeFillTint="33"/>
            <w:hideMark/>
          </w:tcPr>
          <w:p w14:paraId="04B38913"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shd w:val="clear" w:color="auto" w:fill="DBE5F1" w:themeFill="accent1" w:themeFillTint="33"/>
          </w:tcPr>
          <w:p w14:paraId="769E5D5D" w14:textId="4A0D9779" w:rsidR="00FF1419" w:rsidRPr="0EC1DC23" w:rsidRDefault="0E393D67"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07125D48">
              <w:rPr>
                <w:rFonts w:eastAsia="Arial" w:cs="Arial"/>
                <w:color w:val="000000" w:themeColor="text1"/>
                <w:sz w:val="18"/>
                <w:szCs w:val="18"/>
              </w:rPr>
              <w:t>46.58</w:t>
            </w:r>
          </w:p>
        </w:tc>
      </w:tr>
    </w:tbl>
    <w:p w14:paraId="59B145BF" w14:textId="0249D6C0" w:rsidR="005B699B" w:rsidRDefault="005B699B" w:rsidP="00972799">
      <w:pPr>
        <w:pStyle w:val="Bodyafterfiguretable"/>
        <w:keepNext/>
        <w:keepLines/>
        <w:rPr>
          <w:lang w:eastAsia="en-AU"/>
        </w:rPr>
      </w:pPr>
      <w:r w:rsidRPr="00D24593">
        <w:t xml:space="preserve">Program area: </w:t>
      </w:r>
      <w:r w:rsidRPr="00D24593">
        <w:rPr>
          <w:lang w:eastAsia="en-AU"/>
        </w:rPr>
        <w:t>HACC-PYP ACCO services</w:t>
      </w:r>
      <w:r w:rsidR="009178FF">
        <w:rPr>
          <w:rStyle w:val="FootnoteReference"/>
          <w:lang w:eastAsia="en-AU"/>
        </w:rPr>
        <w:footnoteReference w:id="10"/>
      </w:r>
    </w:p>
    <w:tbl>
      <w:tblPr>
        <w:tblStyle w:val="GridTable4-Accent1"/>
        <w:tblW w:w="9287" w:type="dxa"/>
        <w:tblLook w:val="04A0" w:firstRow="1" w:lastRow="0" w:firstColumn="1" w:lastColumn="0" w:noHBand="0" w:noVBand="1"/>
      </w:tblPr>
      <w:tblGrid>
        <w:gridCol w:w="4774"/>
        <w:gridCol w:w="1831"/>
        <w:gridCol w:w="2682"/>
      </w:tblGrid>
      <w:tr w:rsidR="00FF1419" w14:paraId="60FF919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hideMark/>
          </w:tcPr>
          <w:p w14:paraId="094D5DD3" w14:textId="77777777" w:rsidR="00FF1419" w:rsidRPr="00187705" w:rsidRDefault="00FF1419"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1" w:type="dxa"/>
            <w:hideMark/>
          </w:tcPr>
          <w:p w14:paraId="7815167B"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5C0C5AAD"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FF1419" w14:paraId="210BF4E5"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47801EAC" w14:textId="77777777" w:rsidR="00FF1419" w:rsidRPr="00AC68A2" w:rsidRDefault="00FF1419" w:rsidP="00545910">
            <w:pPr>
              <w:pStyle w:val="Tabletext9pt"/>
              <w:rPr>
                <w:b w:val="0"/>
                <w:bCs/>
              </w:rPr>
            </w:pPr>
            <w:r w:rsidRPr="00AC68A2">
              <w:rPr>
                <w:b w:val="0"/>
                <w:bCs/>
              </w:rPr>
              <w:t>HACC-PYP Access and Support</w:t>
            </w:r>
          </w:p>
        </w:tc>
        <w:tc>
          <w:tcPr>
            <w:tcW w:w="1831" w:type="dxa"/>
            <w:hideMark/>
          </w:tcPr>
          <w:p w14:paraId="192592C4"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517C1A5B" w14:textId="1B20B832" w:rsidR="00FF1419" w:rsidRPr="0EC1DC23" w:rsidRDefault="7BB3928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F6436F0">
              <w:rPr>
                <w:rFonts w:eastAsia="Arial" w:cs="Arial"/>
                <w:sz w:val="18"/>
                <w:szCs w:val="18"/>
              </w:rPr>
              <w:t>87.49</w:t>
            </w:r>
          </w:p>
        </w:tc>
      </w:tr>
      <w:tr w:rsidR="00FF1419" w14:paraId="5A342FF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62BEB4E1" w14:textId="77777777" w:rsidR="00FF1419" w:rsidRPr="00AC68A2" w:rsidRDefault="00FF1419" w:rsidP="00545910">
            <w:pPr>
              <w:pStyle w:val="Tabletext9pt"/>
              <w:rPr>
                <w:b w:val="0"/>
                <w:bCs/>
              </w:rPr>
            </w:pPr>
            <w:r w:rsidRPr="00AC68A2">
              <w:rPr>
                <w:b w:val="0"/>
                <w:bCs/>
              </w:rPr>
              <w:lastRenderedPageBreak/>
              <w:t>HACC-PYP Occupational Therapy</w:t>
            </w:r>
          </w:p>
        </w:tc>
        <w:tc>
          <w:tcPr>
            <w:tcW w:w="1831" w:type="dxa"/>
            <w:hideMark/>
          </w:tcPr>
          <w:p w14:paraId="492E04B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0577A651" w14:textId="51471973" w:rsidR="00FF1419" w:rsidRPr="0EC1DC23" w:rsidRDefault="24E8AD0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48455A1C">
              <w:rPr>
                <w:rFonts w:eastAsia="Arial" w:cs="Arial"/>
                <w:color w:val="000000" w:themeColor="text1"/>
                <w:sz w:val="18"/>
                <w:szCs w:val="18"/>
              </w:rPr>
              <w:t>129.96</w:t>
            </w:r>
          </w:p>
        </w:tc>
      </w:tr>
      <w:tr w:rsidR="00FF1419" w14:paraId="4D1BE2E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1F21F074" w14:textId="77777777" w:rsidR="00FF1419" w:rsidRPr="00AC68A2" w:rsidRDefault="00FF1419" w:rsidP="00545910">
            <w:pPr>
              <w:pStyle w:val="Tabletext9pt"/>
              <w:rPr>
                <w:b w:val="0"/>
                <w:bCs/>
              </w:rPr>
            </w:pPr>
            <w:r w:rsidRPr="00AC68A2">
              <w:rPr>
                <w:b w:val="0"/>
                <w:bCs/>
              </w:rPr>
              <w:t>HACC-PYP Podiatry</w:t>
            </w:r>
          </w:p>
        </w:tc>
        <w:tc>
          <w:tcPr>
            <w:tcW w:w="1831" w:type="dxa"/>
            <w:hideMark/>
          </w:tcPr>
          <w:p w14:paraId="7412490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7C89CA1E" w14:textId="621E7991" w:rsidR="00FF1419" w:rsidRPr="0EC1DC23" w:rsidRDefault="22520A7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0E490BF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1DC7117" w14:textId="77777777" w:rsidR="00FF1419" w:rsidRPr="00AC68A2" w:rsidRDefault="00FF1419" w:rsidP="00545910">
            <w:pPr>
              <w:pStyle w:val="Tabletext9pt"/>
              <w:rPr>
                <w:b w:val="0"/>
                <w:bCs/>
              </w:rPr>
            </w:pPr>
            <w:r w:rsidRPr="00AC68A2">
              <w:rPr>
                <w:b w:val="0"/>
                <w:bCs/>
              </w:rPr>
              <w:t>HACC-PYP Dietetics</w:t>
            </w:r>
          </w:p>
        </w:tc>
        <w:tc>
          <w:tcPr>
            <w:tcW w:w="1831" w:type="dxa"/>
            <w:hideMark/>
          </w:tcPr>
          <w:p w14:paraId="40EB4989"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D70DFDE" w14:textId="462AA696" w:rsidR="00FF1419" w:rsidRPr="0EC1DC23" w:rsidRDefault="45DA275C"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6E507DD8"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235D8F33" w14:textId="77777777" w:rsidR="00FF1419" w:rsidRPr="00AC68A2" w:rsidRDefault="00FF1419" w:rsidP="00545910">
            <w:pPr>
              <w:pStyle w:val="Tabletext9pt"/>
              <w:rPr>
                <w:b w:val="0"/>
                <w:bCs/>
              </w:rPr>
            </w:pPr>
            <w:r w:rsidRPr="00AC68A2">
              <w:rPr>
                <w:b w:val="0"/>
                <w:bCs/>
              </w:rPr>
              <w:t>HACC-PYP Speech Therapy</w:t>
            </w:r>
          </w:p>
        </w:tc>
        <w:tc>
          <w:tcPr>
            <w:tcW w:w="1831" w:type="dxa"/>
            <w:hideMark/>
          </w:tcPr>
          <w:p w14:paraId="574B6A66"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33DA0DA" w14:textId="6D45AC72" w:rsidR="00FF1419" w:rsidRPr="0EC1DC23" w:rsidRDefault="647D7FD4"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540AA87F"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20F8BF95" w14:textId="77777777" w:rsidR="00FF1419" w:rsidRPr="00AC68A2" w:rsidRDefault="00FF1419" w:rsidP="00545910">
            <w:pPr>
              <w:pStyle w:val="Tabletext9pt"/>
              <w:rPr>
                <w:b w:val="0"/>
                <w:bCs/>
              </w:rPr>
            </w:pPr>
            <w:r w:rsidRPr="00AC68A2">
              <w:rPr>
                <w:b w:val="0"/>
                <w:bCs/>
              </w:rPr>
              <w:t>HACC-PYP Physiotherapy</w:t>
            </w:r>
          </w:p>
        </w:tc>
        <w:tc>
          <w:tcPr>
            <w:tcW w:w="1831" w:type="dxa"/>
            <w:hideMark/>
          </w:tcPr>
          <w:p w14:paraId="01DA8821"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37A51B07" w14:textId="24F57718" w:rsidR="00FF1419" w:rsidRPr="0EC1DC23" w:rsidRDefault="06430403"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19C04C7E"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7EEEF85" w14:textId="77777777" w:rsidR="00FF1419" w:rsidRPr="00AC68A2" w:rsidRDefault="00FF1419" w:rsidP="00545910">
            <w:pPr>
              <w:pStyle w:val="Tabletext9pt"/>
              <w:rPr>
                <w:b w:val="0"/>
                <w:bCs/>
              </w:rPr>
            </w:pPr>
            <w:r w:rsidRPr="00AC68A2">
              <w:rPr>
                <w:b w:val="0"/>
                <w:bCs/>
              </w:rPr>
              <w:t>HACC-PYP Counselling</w:t>
            </w:r>
          </w:p>
        </w:tc>
        <w:tc>
          <w:tcPr>
            <w:tcW w:w="1831" w:type="dxa"/>
            <w:hideMark/>
          </w:tcPr>
          <w:p w14:paraId="6467A3EC"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77087012" w14:textId="77E699EC" w:rsidR="00FF1419" w:rsidRPr="0EC1DC23" w:rsidRDefault="35CB5DAE"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60DDCD8F">
              <w:rPr>
                <w:rFonts w:eastAsia="Arial" w:cs="Arial"/>
                <w:color w:val="000000" w:themeColor="text1"/>
                <w:sz w:val="18"/>
                <w:szCs w:val="18"/>
              </w:rPr>
              <w:t>129.96</w:t>
            </w:r>
          </w:p>
        </w:tc>
      </w:tr>
      <w:tr w:rsidR="00FF1419" w14:paraId="6ADE2D21"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01432B42" w14:textId="77777777" w:rsidR="00FF1419" w:rsidRPr="00AC68A2" w:rsidRDefault="00FF1419" w:rsidP="00545910">
            <w:pPr>
              <w:pStyle w:val="Tabletext9pt"/>
              <w:rPr>
                <w:b w:val="0"/>
                <w:bCs/>
              </w:rPr>
            </w:pPr>
            <w:r w:rsidRPr="00AC68A2">
              <w:rPr>
                <w:b w:val="0"/>
                <w:bCs/>
              </w:rPr>
              <w:t xml:space="preserve">HACC-PYP Assessment </w:t>
            </w:r>
          </w:p>
        </w:tc>
        <w:tc>
          <w:tcPr>
            <w:tcW w:w="1831" w:type="dxa"/>
            <w:hideMark/>
          </w:tcPr>
          <w:p w14:paraId="08DF404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77B160DE" w14:textId="64ABFA81" w:rsidR="00FF1419" w:rsidRPr="0EC1DC23" w:rsidRDefault="5418C2D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59F3D4DE">
              <w:rPr>
                <w:rFonts w:eastAsia="Arial" w:cs="Arial"/>
                <w:color w:val="000000" w:themeColor="text1"/>
                <w:sz w:val="18"/>
                <w:szCs w:val="18"/>
              </w:rPr>
              <w:t>119.11</w:t>
            </w:r>
          </w:p>
        </w:tc>
      </w:tr>
      <w:tr w:rsidR="00FF1419" w14:paraId="451DA2F1"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6876329D" w14:textId="77777777" w:rsidR="00FF1419" w:rsidRPr="00AC68A2" w:rsidRDefault="00FF1419" w:rsidP="00545910">
            <w:pPr>
              <w:pStyle w:val="Tabletext9pt"/>
              <w:rPr>
                <w:b w:val="0"/>
                <w:bCs/>
              </w:rPr>
            </w:pPr>
            <w:r w:rsidRPr="00AC68A2">
              <w:rPr>
                <w:b w:val="0"/>
                <w:bCs/>
              </w:rPr>
              <w:t>HACC-PYP Delivered Meals</w:t>
            </w:r>
          </w:p>
        </w:tc>
        <w:tc>
          <w:tcPr>
            <w:tcW w:w="1831" w:type="dxa"/>
            <w:hideMark/>
          </w:tcPr>
          <w:p w14:paraId="198092F8"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Meal</w:t>
            </w:r>
          </w:p>
        </w:tc>
        <w:tc>
          <w:tcPr>
            <w:tcW w:w="2682" w:type="dxa"/>
          </w:tcPr>
          <w:p w14:paraId="7492F714" w14:textId="34B605CC" w:rsidR="00FF1419" w:rsidRPr="0EC1DC23" w:rsidRDefault="2BE93EC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7462DDEB">
              <w:rPr>
                <w:rFonts w:eastAsia="Arial" w:cs="Arial"/>
                <w:color w:val="000000" w:themeColor="text1"/>
                <w:sz w:val="18"/>
                <w:szCs w:val="18"/>
              </w:rPr>
              <w:t>4.31</w:t>
            </w:r>
          </w:p>
        </w:tc>
      </w:tr>
      <w:tr w:rsidR="00FF1419" w14:paraId="30A3F902"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1D00C7F4" w14:textId="77777777" w:rsidR="00FF1419" w:rsidRPr="00AC68A2" w:rsidRDefault="00FF1419" w:rsidP="00545910">
            <w:pPr>
              <w:pStyle w:val="Tabletext9pt"/>
              <w:rPr>
                <w:b w:val="0"/>
                <w:bCs/>
              </w:rPr>
            </w:pPr>
            <w:r w:rsidRPr="00AC68A2">
              <w:rPr>
                <w:b w:val="0"/>
                <w:bCs/>
              </w:rPr>
              <w:t>HACC-PYP Community Care</w:t>
            </w:r>
          </w:p>
        </w:tc>
        <w:tc>
          <w:tcPr>
            <w:tcW w:w="1831" w:type="dxa"/>
            <w:hideMark/>
          </w:tcPr>
          <w:p w14:paraId="42038B4C"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D03AA2B" w14:textId="46094245" w:rsidR="00FF1419" w:rsidRPr="0EC1DC23" w:rsidRDefault="25318A9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06D5FBA">
              <w:rPr>
                <w:rFonts w:eastAsia="Arial" w:cs="Arial"/>
                <w:color w:val="000000" w:themeColor="text1"/>
                <w:sz w:val="18"/>
                <w:szCs w:val="18"/>
              </w:rPr>
              <w:t>59.89</w:t>
            </w:r>
          </w:p>
        </w:tc>
      </w:tr>
      <w:tr w:rsidR="00FF1419" w14:paraId="3FE81A4C"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1D947CD9" w14:textId="77777777" w:rsidR="00FF1419" w:rsidRPr="00AC68A2" w:rsidRDefault="00FF1419" w:rsidP="00545910">
            <w:pPr>
              <w:pStyle w:val="Tabletext9pt"/>
              <w:rPr>
                <w:b w:val="0"/>
                <w:bCs/>
              </w:rPr>
            </w:pPr>
            <w:r w:rsidRPr="00AC68A2">
              <w:rPr>
                <w:b w:val="0"/>
                <w:bCs/>
              </w:rPr>
              <w:t>HACC-PYP Nursing</w:t>
            </w:r>
          </w:p>
        </w:tc>
        <w:tc>
          <w:tcPr>
            <w:tcW w:w="1831" w:type="dxa"/>
            <w:hideMark/>
          </w:tcPr>
          <w:p w14:paraId="6486505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FC6278E" w14:textId="6C401EC4" w:rsidR="00FF1419" w:rsidRPr="0EC1DC23" w:rsidRDefault="08FAEAC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267B764F">
              <w:rPr>
                <w:rFonts w:eastAsia="Arial" w:cs="Arial"/>
                <w:color w:val="000000" w:themeColor="text1"/>
                <w:sz w:val="18"/>
                <w:szCs w:val="18"/>
              </w:rPr>
              <w:t>119.11</w:t>
            </w:r>
          </w:p>
        </w:tc>
      </w:tr>
      <w:tr w:rsidR="00FF1419" w14:paraId="6D87BCE7"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645B9CA" w14:textId="77777777" w:rsidR="00FF1419" w:rsidRPr="00AC68A2" w:rsidRDefault="00FF1419" w:rsidP="00545910">
            <w:pPr>
              <w:pStyle w:val="Tabletext9pt"/>
              <w:rPr>
                <w:b w:val="0"/>
                <w:bCs/>
              </w:rPr>
            </w:pPr>
            <w:r w:rsidRPr="00AC68A2">
              <w:rPr>
                <w:b w:val="0"/>
                <w:bCs/>
              </w:rPr>
              <w:t>HACC-PYP Planned Activity Group</w:t>
            </w:r>
          </w:p>
        </w:tc>
        <w:tc>
          <w:tcPr>
            <w:tcW w:w="1831" w:type="dxa"/>
            <w:hideMark/>
          </w:tcPr>
          <w:p w14:paraId="7BF54E99"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Person-hour</w:t>
            </w:r>
          </w:p>
        </w:tc>
        <w:tc>
          <w:tcPr>
            <w:tcW w:w="2682" w:type="dxa"/>
          </w:tcPr>
          <w:p w14:paraId="0CD54A15" w14:textId="72E92CE7" w:rsidR="00FF1419" w:rsidRPr="0EC1DC23" w:rsidRDefault="7FD89940"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C77C2A6">
              <w:rPr>
                <w:rFonts w:eastAsia="Arial" w:cs="Arial"/>
                <w:sz w:val="18"/>
                <w:szCs w:val="18"/>
              </w:rPr>
              <w:t>20.11</w:t>
            </w:r>
          </w:p>
        </w:tc>
      </w:tr>
      <w:tr w:rsidR="00FF1419" w14:paraId="1CECF162"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0B66C961" w14:textId="77777777" w:rsidR="00FF1419" w:rsidRPr="00AC68A2" w:rsidRDefault="00FF1419" w:rsidP="00545910">
            <w:pPr>
              <w:pStyle w:val="Tabletext9pt"/>
              <w:rPr>
                <w:b w:val="0"/>
                <w:bCs/>
              </w:rPr>
            </w:pPr>
            <w:r w:rsidRPr="00AC68A2">
              <w:rPr>
                <w:b w:val="0"/>
                <w:bCs/>
              </w:rPr>
              <w:t>HACC-PYP Property Maintenance</w:t>
            </w:r>
          </w:p>
        </w:tc>
        <w:tc>
          <w:tcPr>
            <w:tcW w:w="1831" w:type="dxa"/>
            <w:hideMark/>
          </w:tcPr>
          <w:p w14:paraId="0148519A"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4E6F3FBC" w14:textId="766C82BD" w:rsidR="00FF1419" w:rsidRPr="0EC1DC23" w:rsidRDefault="218EE17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B9C74BB">
              <w:rPr>
                <w:rFonts w:eastAsia="Arial" w:cs="Arial"/>
                <w:sz w:val="18"/>
                <w:szCs w:val="18"/>
              </w:rPr>
              <w:t>62.22</w:t>
            </w:r>
          </w:p>
        </w:tc>
      </w:tr>
      <w:tr w:rsidR="00FF1419" w14:paraId="5F2432F5"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8F4F2A0" w14:textId="77777777" w:rsidR="00FF1419" w:rsidRPr="00AC68A2" w:rsidRDefault="00FF1419" w:rsidP="00545910">
            <w:pPr>
              <w:pStyle w:val="Tabletext9pt"/>
              <w:rPr>
                <w:b w:val="0"/>
                <w:bCs/>
              </w:rPr>
            </w:pPr>
            <w:r w:rsidRPr="00AC68A2">
              <w:rPr>
                <w:b w:val="0"/>
                <w:bCs/>
              </w:rPr>
              <w:t>HACC-PYP Volunteer Coordination</w:t>
            </w:r>
          </w:p>
        </w:tc>
        <w:tc>
          <w:tcPr>
            <w:tcW w:w="1831" w:type="dxa"/>
            <w:hideMark/>
          </w:tcPr>
          <w:p w14:paraId="780CBC8A"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BA9E0DD" w14:textId="3BE0915C" w:rsidR="00FF1419" w:rsidRPr="0EC1DC23" w:rsidRDefault="33F70A4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6D98C18">
              <w:rPr>
                <w:rFonts w:eastAsia="Arial" w:cs="Arial"/>
                <w:sz w:val="18"/>
                <w:szCs w:val="18"/>
              </w:rPr>
              <w:t>50.74</w:t>
            </w:r>
          </w:p>
        </w:tc>
      </w:tr>
    </w:tbl>
    <w:p w14:paraId="24A1D09C" w14:textId="1855B030" w:rsidR="005B699B" w:rsidRDefault="005B699B" w:rsidP="0084378F">
      <w:pPr>
        <w:pStyle w:val="Heading2"/>
        <w:numPr>
          <w:ilvl w:val="1"/>
          <w:numId w:val="12"/>
        </w:numPr>
        <w:ind w:left="851" w:hanging="851"/>
      </w:pPr>
      <w:bookmarkStart w:id="2232" w:name="_Toc167651298"/>
      <w:bookmarkStart w:id="2233" w:name="_Toc165961854"/>
      <w:bookmarkStart w:id="2234" w:name="_Ref199254075"/>
      <w:bookmarkStart w:id="2235" w:name="_Toc201148282"/>
      <w:bookmarkEnd w:id="2232"/>
      <w:r w:rsidRPr="00530623">
        <w:t xml:space="preserve">Small rural </w:t>
      </w:r>
      <w:r w:rsidRPr="00731B6C">
        <w:t>health</w:t>
      </w:r>
      <w:r w:rsidRPr="00530623">
        <w:t xml:space="preserve"> services </w:t>
      </w:r>
      <w:r>
        <w:t>–</w:t>
      </w:r>
      <w:r w:rsidRPr="00530623">
        <w:t xml:space="preserve"> ageing,</w:t>
      </w:r>
      <w:r>
        <w:t xml:space="preserve"> </w:t>
      </w:r>
      <w:r w:rsidRPr="00530623">
        <w:t>aged and home care</w:t>
      </w:r>
      <w:bookmarkEnd w:id="2233"/>
      <w:bookmarkEnd w:id="2234"/>
      <w:bookmarkEnd w:id="2235"/>
      <w:r w:rsidR="008260AB">
        <w:t xml:space="preserve"> </w:t>
      </w:r>
    </w:p>
    <w:p w14:paraId="2CB2FB51" w14:textId="57B4CB02" w:rsidR="00A97999" w:rsidRPr="00A97999" w:rsidRDefault="00A97999" w:rsidP="00F77982">
      <w:pPr>
        <w:pStyle w:val="Tablecaption"/>
      </w:pPr>
      <w:bookmarkStart w:id="2236" w:name="_Toc419623621"/>
      <w:bookmarkStart w:id="2237" w:name="_Toc419623733"/>
      <w:bookmarkStart w:id="2238" w:name="_Ref200031483"/>
      <w:bookmarkStart w:id="2239" w:name="_Toc201148580"/>
      <w:bookmarkEnd w:id="2226"/>
      <w:bookmarkEnd w:id="2227"/>
      <w:bookmarkEnd w:id="2228"/>
      <w:bookmarkEnd w:id="2231"/>
      <w:bookmarkEnd w:id="2236"/>
      <w:bookmarkEnd w:id="2237"/>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19</w:t>
      </w:r>
      <w:r>
        <w:fldChar w:fldCharType="end"/>
      </w:r>
      <w:bookmarkEnd w:id="2238"/>
      <w:r w:rsidRPr="00377487">
        <w:t>: Small Rural Health Services 202</w:t>
      </w:r>
      <w:r w:rsidR="008002D9">
        <w:t>5</w:t>
      </w:r>
      <w:r w:rsidRPr="00377487">
        <w:t>–2</w:t>
      </w:r>
      <w:bookmarkStart w:id="2240" w:name="_Hlk169612630"/>
      <w:r w:rsidR="008002D9">
        <w:t>6</w:t>
      </w:r>
      <w:bookmarkEnd w:id="2239"/>
      <w:r w:rsidR="00306112">
        <w:t xml:space="preserve"> </w:t>
      </w:r>
    </w:p>
    <w:p w14:paraId="3CDBCACE" w14:textId="77777777" w:rsidR="005B699B" w:rsidRDefault="005B699B" w:rsidP="00593CD6">
      <w:r>
        <w:t>Program area: Small rural health services – Home and Community Care</w:t>
      </w:r>
    </w:p>
    <w:tbl>
      <w:tblPr>
        <w:tblStyle w:val="GridTable4-Accent1"/>
        <w:tblW w:w="9287" w:type="dxa"/>
        <w:tblLook w:val="04A0" w:firstRow="1" w:lastRow="0" w:firstColumn="1" w:lastColumn="0" w:noHBand="0" w:noVBand="1"/>
      </w:tblPr>
      <w:tblGrid>
        <w:gridCol w:w="4774"/>
        <w:gridCol w:w="1831"/>
        <w:gridCol w:w="2682"/>
      </w:tblGrid>
      <w:tr w:rsidR="00361611" w14:paraId="13B98C98"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hideMark/>
          </w:tcPr>
          <w:p w14:paraId="45FB1CDF"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1" w:type="dxa"/>
            <w:hideMark/>
          </w:tcPr>
          <w:p w14:paraId="4D8F83CF"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15C0779D"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0C68114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50534C6E" w14:textId="6BA9271B" w:rsidR="00361611" w:rsidRPr="00AC68A2" w:rsidRDefault="00361611" w:rsidP="00545910">
            <w:pPr>
              <w:pStyle w:val="Tabletext9pt"/>
              <w:rPr>
                <w:b w:val="0"/>
                <w:bCs/>
              </w:rPr>
            </w:pPr>
            <w:r w:rsidRPr="00AC68A2">
              <w:rPr>
                <w:b w:val="0"/>
                <w:bCs/>
              </w:rPr>
              <w:t xml:space="preserve">HACC-PYP </w:t>
            </w:r>
            <w:r w:rsidR="001E71CC" w:rsidRPr="00AC68A2">
              <w:rPr>
                <w:b w:val="0"/>
                <w:bCs/>
              </w:rPr>
              <w:t>A</w:t>
            </w:r>
            <w:r w:rsidRPr="00AC68A2">
              <w:rPr>
                <w:b w:val="0"/>
                <w:bCs/>
              </w:rPr>
              <w:t xml:space="preserve">ccess and </w:t>
            </w:r>
            <w:r w:rsidR="001E71CC" w:rsidRPr="00AC68A2">
              <w:rPr>
                <w:b w:val="0"/>
                <w:bCs/>
              </w:rPr>
              <w:t>S</w:t>
            </w:r>
            <w:r w:rsidRPr="00AC68A2">
              <w:rPr>
                <w:b w:val="0"/>
                <w:bCs/>
              </w:rPr>
              <w:t>upport</w:t>
            </w:r>
          </w:p>
        </w:tc>
        <w:tc>
          <w:tcPr>
            <w:tcW w:w="1831" w:type="dxa"/>
            <w:hideMark/>
          </w:tcPr>
          <w:p w14:paraId="26A7EE0E"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13645D9D" w14:textId="31354446" w:rsidR="00361611" w:rsidRPr="0EC1DC23" w:rsidRDefault="74AF5434"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D7CE612">
              <w:rPr>
                <w:rFonts w:eastAsia="Arial" w:cs="Arial"/>
                <w:sz w:val="18"/>
                <w:szCs w:val="18"/>
              </w:rPr>
              <w:t>80.29</w:t>
            </w:r>
          </w:p>
        </w:tc>
      </w:tr>
      <w:tr w:rsidR="001E71CC" w14:paraId="38E341A2" w14:textId="77777777" w:rsidTr="00187705">
        <w:tc>
          <w:tcPr>
            <w:cnfStyle w:val="001000000000" w:firstRow="0" w:lastRow="0" w:firstColumn="1" w:lastColumn="0" w:oddVBand="0" w:evenVBand="0" w:oddHBand="0" w:evenHBand="0" w:firstRowFirstColumn="0" w:firstRowLastColumn="0" w:lastRowFirstColumn="0" w:lastRowLastColumn="0"/>
            <w:tcW w:w="4774" w:type="dxa"/>
          </w:tcPr>
          <w:p w14:paraId="63B1DEC8" w14:textId="6A54E188" w:rsidR="001E71CC" w:rsidRPr="00AC68A2" w:rsidRDefault="00962CA1" w:rsidP="00545910">
            <w:pPr>
              <w:pStyle w:val="Tabletext9pt"/>
              <w:rPr>
                <w:b w:val="0"/>
                <w:bCs/>
              </w:rPr>
            </w:pPr>
            <w:r w:rsidRPr="00AC68A2">
              <w:rPr>
                <w:b w:val="0"/>
                <w:bCs/>
              </w:rPr>
              <w:t>HACC-PYP Allied Health and Nursing Single unit price</w:t>
            </w:r>
          </w:p>
        </w:tc>
        <w:tc>
          <w:tcPr>
            <w:tcW w:w="1831" w:type="dxa"/>
          </w:tcPr>
          <w:p w14:paraId="39BC8D07" w14:textId="6DAFC7F3" w:rsidR="001E71CC" w:rsidRDefault="00962CA1"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17B0E60" w14:textId="499FD4AA" w:rsidR="001E71CC" w:rsidRPr="0EC1DC23" w:rsidRDefault="005A328D"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1</w:t>
            </w:r>
            <w:r>
              <w:rPr>
                <w:rFonts w:eastAsia="Arial"/>
                <w:sz w:val="18"/>
                <w:szCs w:val="18"/>
              </w:rPr>
              <w:t>43.07</w:t>
            </w:r>
          </w:p>
        </w:tc>
      </w:tr>
      <w:tr w:rsidR="00361611" w14:paraId="12AC13E3"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56D2084E" w14:textId="057C7919" w:rsidR="00361611" w:rsidRPr="00AC68A2" w:rsidRDefault="00361611" w:rsidP="00545910">
            <w:pPr>
              <w:pStyle w:val="Tabletext9pt"/>
              <w:rPr>
                <w:b w:val="0"/>
                <w:bCs/>
              </w:rPr>
            </w:pPr>
            <w:r w:rsidRPr="00AC68A2">
              <w:rPr>
                <w:b w:val="0"/>
                <w:bCs/>
              </w:rPr>
              <w:t xml:space="preserve">HACC-PYP </w:t>
            </w:r>
            <w:r w:rsidR="00E35F4F" w:rsidRPr="00AC68A2">
              <w:rPr>
                <w:b w:val="0"/>
                <w:bCs/>
              </w:rPr>
              <w:t>A</w:t>
            </w:r>
            <w:r w:rsidRPr="00AC68A2">
              <w:rPr>
                <w:b w:val="0"/>
                <w:bCs/>
              </w:rPr>
              <w:t xml:space="preserve">ssessment </w:t>
            </w:r>
          </w:p>
        </w:tc>
        <w:tc>
          <w:tcPr>
            <w:tcW w:w="1831" w:type="dxa"/>
            <w:hideMark/>
          </w:tcPr>
          <w:p w14:paraId="529580C9"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4C7A80CD" w14:textId="638900B4" w:rsidR="00361611" w:rsidRPr="0EC1DC23" w:rsidRDefault="362F771D"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7BBF0C1">
              <w:rPr>
                <w:rFonts w:eastAsia="Arial" w:cs="Arial"/>
                <w:sz w:val="18"/>
                <w:szCs w:val="18"/>
              </w:rPr>
              <w:t>109.28</w:t>
            </w:r>
          </w:p>
        </w:tc>
      </w:tr>
      <w:tr w:rsidR="00361611" w14:paraId="79F1284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136BF9E3" w14:textId="7038A26F" w:rsidR="00361611" w:rsidRPr="00AC68A2" w:rsidRDefault="00361611" w:rsidP="00545910">
            <w:pPr>
              <w:pStyle w:val="Tabletext9pt"/>
              <w:rPr>
                <w:b w:val="0"/>
                <w:bCs/>
              </w:rPr>
            </w:pPr>
            <w:r w:rsidRPr="00AC68A2">
              <w:rPr>
                <w:b w:val="0"/>
                <w:bCs/>
              </w:rPr>
              <w:t xml:space="preserve">HACC-PYP </w:t>
            </w:r>
            <w:r w:rsidR="00E35F4F" w:rsidRPr="00AC68A2">
              <w:rPr>
                <w:b w:val="0"/>
                <w:bCs/>
              </w:rPr>
              <w:t>D</w:t>
            </w:r>
            <w:r w:rsidRPr="00AC68A2">
              <w:rPr>
                <w:b w:val="0"/>
                <w:bCs/>
              </w:rPr>
              <w:t xml:space="preserve">elivered </w:t>
            </w:r>
            <w:r w:rsidR="00E35F4F" w:rsidRPr="00AC68A2">
              <w:rPr>
                <w:b w:val="0"/>
                <w:bCs/>
              </w:rPr>
              <w:t>M</w:t>
            </w:r>
            <w:r w:rsidRPr="00AC68A2">
              <w:rPr>
                <w:b w:val="0"/>
                <w:bCs/>
              </w:rPr>
              <w:t>eals</w:t>
            </w:r>
          </w:p>
        </w:tc>
        <w:tc>
          <w:tcPr>
            <w:tcW w:w="1831" w:type="dxa"/>
            <w:hideMark/>
          </w:tcPr>
          <w:p w14:paraId="305E35B5"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Meal</w:t>
            </w:r>
          </w:p>
        </w:tc>
        <w:tc>
          <w:tcPr>
            <w:tcW w:w="2682" w:type="dxa"/>
          </w:tcPr>
          <w:p w14:paraId="293F3C18" w14:textId="2DD7FF65" w:rsidR="00361611" w:rsidRPr="0EC1DC23" w:rsidRDefault="450024E9"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FA7FFDD">
              <w:rPr>
                <w:rFonts w:eastAsia="Arial" w:cs="Arial"/>
                <w:sz w:val="18"/>
                <w:szCs w:val="18"/>
              </w:rPr>
              <w:t>3.96</w:t>
            </w:r>
          </w:p>
        </w:tc>
      </w:tr>
      <w:tr w:rsidR="00361611" w14:paraId="7D8077B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3A40C08" w14:textId="0AC0C668" w:rsidR="00361611" w:rsidRPr="00AC68A2" w:rsidRDefault="00361611" w:rsidP="00545910">
            <w:pPr>
              <w:pStyle w:val="Tabletext9pt"/>
              <w:rPr>
                <w:b w:val="0"/>
                <w:bCs/>
              </w:rPr>
            </w:pPr>
            <w:r w:rsidRPr="00AC68A2">
              <w:rPr>
                <w:b w:val="0"/>
                <w:bCs/>
              </w:rPr>
              <w:t xml:space="preserve">HACC-PYP </w:t>
            </w:r>
            <w:r w:rsidR="00427BF2" w:rsidRPr="00AC68A2">
              <w:rPr>
                <w:b w:val="0"/>
                <w:bCs/>
              </w:rPr>
              <w:t>C</w:t>
            </w:r>
            <w:r w:rsidRPr="00AC68A2">
              <w:rPr>
                <w:b w:val="0"/>
                <w:bCs/>
              </w:rPr>
              <w:t xml:space="preserve">ommunity </w:t>
            </w:r>
            <w:r w:rsidR="00427BF2" w:rsidRPr="00AC68A2">
              <w:rPr>
                <w:b w:val="0"/>
                <w:bCs/>
              </w:rPr>
              <w:t>C</w:t>
            </w:r>
            <w:r w:rsidRPr="00AC68A2">
              <w:rPr>
                <w:b w:val="0"/>
                <w:bCs/>
              </w:rPr>
              <w:t>are</w:t>
            </w:r>
          </w:p>
        </w:tc>
        <w:tc>
          <w:tcPr>
            <w:tcW w:w="1831" w:type="dxa"/>
            <w:hideMark/>
          </w:tcPr>
          <w:p w14:paraId="376E64B3"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211A000B" w14:textId="725D8165" w:rsidR="00361611" w:rsidRPr="0EC1DC23" w:rsidRDefault="004F2D0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Pr>
                <w:rFonts w:eastAsia="Arial" w:cs="Arial"/>
                <w:sz w:val="18"/>
                <w:szCs w:val="18"/>
              </w:rPr>
              <w:t>71.60</w:t>
            </w:r>
          </w:p>
        </w:tc>
      </w:tr>
      <w:tr w:rsidR="00361611" w14:paraId="52164827"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201BDCA2" w14:textId="6C35555A" w:rsidR="00361611" w:rsidRPr="00AC68A2" w:rsidRDefault="00361611" w:rsidP="00545910">
            <w:pPr>
              <w:pStyle w:val="Tabletext9pt"/>
              <w:rPr>
                <w:b w:val="0"/>
                <w:bCs/>
              </w:rPr>
            </w:pPr>
            <w:r w:rsidRPr="00AC68A2">
              <w:rPr>
                <w:b w:val="0"/>
                <w:bCs/>
              </w:rPr>
              <w:t xml:space="preserve">HACC-PYP </w:t>
            </w:r>
            <w:r w:rsidR="00C371DC" w:rsidRPr="00AC68A2">
              <w:rPr>
                <w:b w:val="0"/>
                <w:bCs/>
              </w:rPr>
              <w:t>P</w:t>
            </w:r>
            <w:r w:rsidRPr="00AC68A2">
              <w:rPr>
                <w:b w:val="0"/>
                <w:bCs/>
              </w:rPr>
              <w:t xml:space="preserve">lanned </w:t>
            </w:r>
            <w:r w:rsidR="00C371DC" w:rsidRPr="00AC68A2">
              <w:rPr>
                <w:b w:val="0"/>
                <w:bCs/>
              </w:rPr>
              <w:t>A</w:t>
            </w:r>
            <w:r w:rsidRPr="00AC68A2">
              <w:rPr>
                <w:b w:val="0"/>
                <w:bCs/>
              </w:rPr>
              <w:t xml:space="preserve">ctivity </w:t>
            </w:r>
            <w:r w:rsidR="00C371DC" w:rsidRPr="00AC68A2">
              <w:rPr>
                <w:b w:val="0"/>
                <w:bCs/>
              </w:rPr>
              <w:t>G</w:t>
            </w:r>
            <w:r w:rsidRPr="00AC68A2">
              <w:rPr>
                <w:b w:val="0"/>
                <w:bCs/>
              </w:rPr>
              <w:t>roup</w:t>
            </w:r>
          </w:p>
        </w:tc>
        <w:tc>
          <w:tcPr>
            <w:tcW w:w="1831" w:type="dxa"/>
            <w:hideMark/>
          </w:tcPr>
          <w:p w14:paraId="67EC0233"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Per person</w:t>
            </w:r>
          </w:p>
        </w:tc>
        <w:tc>
          <w:tcPr>
            <w:tcW w:w="2682" w:type="dxa"/>
          </w:tcPr>
          <w:p w14:paraId="641D4614" w14:textId="4FED5457" w:rsidR="00361611" w:rsidRPr="0EC1DC23" w:rsidRDefault="1E6C3B68"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8EE6F25">
              <w:rPr>
                <w:rFonts w:eastAsia="Arial" w:cs="Arial"/>
                <w:sz w:val="18"/>
                <w:szCs w:val="18"/>
              </w:rPr>
              <w:t>18.94</w:t>
            </w:r>
          </w:p>
        </w:tc>
      </w:tr>
      <w:tr w:rsidR="00361611" w14:paraId="70CBFFE7"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BDAE6AC" w14:textId="12073D68" w:rsidR="00361611" w:rsidRPr="00E93051" w:rsidRDefault="00361611" w:rsidP="00545910">
            <w:pPr>
              <w:pStyle w:val="Tabletext9pt"/>
              <w:rPr>
                <w:b w:val="0"/>
                <w:bCs/>
              </w:rPr>
            </w:pPr>
            <w:r w:rsidRPr="00E93051">
              <w:rPr>
                <w:b w:val="0"/>
                <w:bCs/>
              </w:rPr>
              <w:t xml:space="preserve">HACC-PYP </w:t>
            </w:r>
            <w:r w:rsidR="00C371DC" w:rsidRPr="00E93051">
              <w:rPr>
                <w:b w:val="0"/>
                <w:bCs/>
              </w:rPr>
              <w:t>P</w:t>
            </w:r>
            <w:r w:rsidRPr="00E93051">
              <w:rPr>
                <w:b w:val="0"/>
                <w:bCs/>
              </w:rPr>
              <w:t xml:space="preserve">roperty </w:t>
            </w:r>
            <w:r w:rsidR="00C371DC" w:rsidRPr="00E93051">
              <w:rPr>
                <w:b w:val="0"/>
                <w:bCs/>
              </w:rPr>
              <w:t>M</w:t>
            </w:r>
            <w:r w:rsidRPr="00E93051">
              <w:rPr>
                <w:b w:val="0"/>
                <w:bCs/>
              </w:rPr>
              <w:t>aintenance</w:t>
            </w:r>
          </w:p>
        </w:tc>
        <w:tc>
          <w:tcPr>
            <w:tcW w:w="1831" w:type="dxa"/>
            <w:hideMark/>
          </w:tcPr>
          <w:p w14:paraId="57D01A8B"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659719F7" w14:textId="5EC96C3D" w:rsidR="00361611" w:rsidRPr="0EC1DC23" w:rsidRDefault="296EBA5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E8AC0B9">
              <w:rPr>
                <w:rFonts w:eastAsia="Arial" w:cs="Arial"/>
                <w:sz w:val="18"/>
                <w:szCs w:val="18"/>
              </w:rPr>
              <w:t>57.11</w:t>
            </w:r>
          </w:p>
        </w:tc>
      </w:tr>
      <w:tr w:rsidR="00361611" w14:paraId="2C83D5BA"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5D2545B0" w14:textId="78332404" w:rsidR="00361611" w:rsidRPr="00AC68A2" w:rsidRDefault="00361611" w:rsidP="00545910">
            <w:pPr>
              <w:pStyle w:val="Tabletext9pt"/>
              <w:rPr>
                <w:b w:val="0"/>
                <w:bCs/>
              </w:rPr>
            </w:pPr>
            <w:r w:rsidRPr="00AC68A2">
              <w:rPr>
                <w:b w:val="0"/>
                <w:bCs/>
              </w:rPr>
              <w:t xml:space="preserve">HACC-PYP </w:t>
            </w:r>
            <w:r w:rsidR="00C371DC" w:rsidRPr="00AC68A2">
              <w:rPr>
                <w:b w:val="0"/>
                <w:bCs/>
              </w:rPr>
              <w:t>V</w:t>
            </w:r>
            <w:r w:rsidRPr="00AC68A2">
              <w:rPr>
                <w:b w:val="0"/>
                <w:bCs/>
              </w:rPr>
              <w:t xml:space="preserve">olunteer </w:t>
            </w:r>
            <w:r w:rsidR="00C371DC" w:rsidRPr="00AC68A2">
              <w:rPr>
                <w:b w:val="0"/>
                <w:bCs/>
              </w:rPr>
              <w:t>C</w:t>
            </w:r>
            <w:r w:rsidRPr="00AC68A2">
              <w:rPr>
                <w:b w:val="0"/>
                <w:bCs/>
              </w:rPr>
              <w:t>oordination</w:t>
            </w:r>
          </w:p>
        </w:tc>
        <w:tc>
          <w:tcPr>
            <w:tcW w:w="1831" w:type="dxa"/>
            <w:hideMark/>
          </w:tcPr>
          <w:p w14:paraId="79EF6C0B"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7110CC8B" w14:textId="704A49CE" w:rsidR="00361611" w:rsidRPr="0EC1DC23" w:rsidRDefault="3B52DBF2"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01C8705">
              <w:rPr>
                <w:rFonts w:eastAsia="Arial" w:cs="Arial"/>
                <w:sz w:val="18"/>
                <w:szCs w:val="18"/>
              </w:rPr>
              <w:t>46.58</w:t>
            </w:r>
          </w:p>
        </w:tc>
      </w:tr>
    </w:tbl>
    <w:p w14:paraId="03034DDB" w14:textId="77777777" w:rsidR="005B699B" w:rsidRDefault="005B699B" w:rsidP="00922A4D">
      <w:pPr>
        <w:pStyle w:val="Bodyafterfiguretable"/>
      </w:pPr>
      <w:r>
        <w:t>Program area: Small rural health services – Primary Health</w:t>
      </w:r>
    </w:p>
    <w:tbl>
      <w:tblPr>
        <w:tblStyle w:val="GridTable4-Accent1"/>
        <w:tblW w:w="9299" w:type="dxa"/>
        <w:tblLook w:val="04A0" w:firstRow="1" w:lastRow="0" w:firstColumn="1" w:lastColumn="0" w:noHBand="0" w:noVBand="1"/>
      </w:tblPr>
      <w:tblGrid>
        <w:gridCol w:w="4815"/>
        <w:gridCol w:w="1843"/>
        <w:gridCol w:w="2641"/>
      </w:tblGrid>
      <w:tr w:rsidR="00361611" w14:paraId="6BCB55A0" w14:textId="77777777" w:rsidTr="00187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BB427F2"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43" w:type="dxa"/>
            <w:hideMark/>
          </w:tcPr>
          <w:p w14:paraId="596D489A"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41" w:type="dxa"/>
            <w:hideMark/>
          </w:tcPr>
          <w:p w14:paraId="5087260B"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31472670"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2A0CEF6" w14:textId="77777777" w:rsidR="00361611" w:rsidRPr="00AC68A2" w:rsidRDefault="00361611" w:rsidP="00545910">
            <w:pPr>
              <w:pStyle w:val="Tabletext9pt"/>
              <w:rPr>
                <w:b w:val="0"/>
                <w:bCs/>
              </w:rPr>
            </w:pPr>
            <w:r w:rsidRPr="00AC68A2">
              <w:rPr>
                <w:b w:val="0"/>
                <w:bCs/>
              </w:rPr>
              <w:t>Single unit price (allied health and nursing)</w:t>
            </w:r>
          </w:p>
        </w:tc>
        <w:tc>
          <w:tcPr>
            <w:tcW w:w="1843" w:type="dxa"/>
          </w:tcPr>
          <w:p w14:paraId="1E30ACA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w:t>
            </w:r>
          </w:p>
        </w:tc>
        <w:tc>
          <w:tcPr>
            <w:tcW w:w="2641" w:type="dxa"/>
          </w:tcPr>
          <w:p w14:paraId="4C5D45AF" w14:textId="6CFE6862" w:rsidR="00361611" w:rsidRDefault="7BCC4E2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125.16</w:t>
            </w:r>
          </w:p>
        </w:tc>
      </w:tr>
    </w:tbl>
    <w:p w14:paraId="15A13A05" w14:textId="3B4732B3" w:rsidR="005B699B" w:rsidRDefault="005B699B" w:rsidP="00922A4D">
      <w:pPr>
        <w:spacing w:before="240"/>
      </w:pPr>
      <w:r>
        <w:lastRenderedPageBreak/>
        <w:t>Program area: Residential aged care</w:t>
      </w:r>
      <w:r w:rsidRPr="00922A4D">
        <w:rPr>
          <w:vertAlign w:val="superscript"/>
        </w:rPr>
        <w:footnoteReference w:id="11"/>
      </w:r>
      <w:r>
        <w:t xml:space="preserve"> – public sector residential aged care supplements</w:t>
      </w:r>
    </w:p>
    <w:tbl>
      <w:tblPr>
        <w:tblStyle w:val="GridTable4-Accent1"/>
        <w:tblW w:w="9299" w:type="dxa"/>
        <w:tblLook w:val="04A0" w:firstRow="1" w:lastRow="0" w:firstColumn="1" w:lastColumn="0" w:noHBand="0" w:noVBand="1"/>
      </w:tblPr>
      <w:tblGrid>
        <w:gridCol w:w="4815"/>
        <w:gridCol w:w="1843"/>
        <w:gridCol w:w="2641"/>
      </w:tblGrid>
      <w:tr w:rsidR="00361611" w14:paraId="496CBD34"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hideMark/>
          </w:tcPr>
          <w:p w14:paraId="263F9475"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43" w:type="dxa"/>
            <w:hideMark/>
          </w:tcPr>
          <w:p w14:paraId="702F10FC"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41" w:type="dxa"/>
            <w:hideMark/>
          </w:tcPr>
          <w:p w14:paraId="58AB947F"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04DF843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6BA35166"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7376AA44" w14:textId="77777777" w:rsidR="00361611" w:rsidRPr="00AC68A2" w:rsidRDefault="00361611" w:rsidP="004537E5">
            <w:pPr>
              <w:pStyle w:val="Tabletext9pt"/>
              <w:numPr>
                <w:ilvl w:val="0"/>
                <w:numId w:val="11"/>
              </w:numPr>
              <w:rPr>
                <w:b w:val="0"/>
                <w:bCs/>
              </w:rPr>
            </w:pPr>
            <w:r w:rsidRPr="00AC68A2">
              <w:rPr>
                <w:b w:val="0"/>
                <w:bCs/>
              </w:rPr>
              <w:t>1–10 places</w:t>
            </w:r>
          </w:p>
        </w:tc>
        <w:tc>
          <w:tcPr>
            <w:tcW w:w="1843" w:type="dxa"/>
            <w:hideMark/>
          </w:tcPr>
          <w:p w14:paraId="2A6EE86B"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7BD71221" w14:textId="76F75DE0" w:rsidR="00361611" w:rsidRPr="0EC1DC23" w:rsidRDefault="0EFF3BC6"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0AD4A4A">
              <w:rPr>
                <w:rFonts w:eastAsia="Arial" w:cs="Arial"/>
                <w:sz w:val="18"/>
                <w:szCs w:val="18"/>
              </w:rPr>
              <w:t>12.24</w:t>
            </w:r>
          </w:p>
        </w:tc>
      </w:tr>
      <w:tr w:rsidR="00361611" w14:paraId="29C39019"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0DDFC7CA"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5D003E63" w14:textId="77777777" w:rsidR="00361611" w:rsidRPr="00AC68A2" w:rsidRDefault="00361611" w:rsidP="004537E5">
            <w:pPr>
              <w:pStyle w:val="Tabletext9pt"/>
              <w:numPr>
                <w:ilvl w:val="0"/>
                <w:numId w:val="11"/>
              </w:numPr>
              <w:rPr>
                <w:b w:val="0"/>
                <w:bCs/>
              </w:rPr>
            </w:pPr>
            <w:r w:rsidRPr="00AC68A2">
              <w:rPr>
                <w:b w:val="0"/>
                <w:bCs/>
              </w:rPr>
              <w:t>11–20 places</w:t>
            </w:r>
          </w:p>
        </w:tc>
        <w:tc>
          <w:tcPr>
            <w:tcW w:w="1843" w:type="dxa"/>
            <w:hideMark/>
          </w:tcPr>
          <w:p w14:paraId="6D664A08"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08330E98" w14:textId="0AD95855" w:rsidR="00361611" w:rsidRPr="0EC1DC23" w:rsidRDefault="71BE0DC0"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0AD4A4A">
              <w:rPr>
                <w:rFonts w:eastAsia="Arial" w:cs="Arial"/>
                <w:sz w:val="18"/>
                <w:szCs w:val="18"/>
              </w:rPr>
              <w:t>9.</w:t>
            </w:r>
            <w:r w:rsidRPr="0691FB7F">
              <w:rPr>
                <w:rFonts w:eastAsia="Arial" w:cs="Arial"/>
                <w:sz w:val="18"/>
                <w:szCs w:val="18"/>
              </w:rPr>
              <w:t>17</w:t>
            </w:r>
          </w:p>
        </w:tc>
      </w:tr>
      <w:tr w:rsidR="00361611" w14:paraId="6D758A9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E7BCF5F"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7ECF4381" w14:textId="77777777" w:rsidR="00361611" w:rsidRPr="00AC68A2" w:rsidRDefault="00361611" w:rsidP="004537E5">
            <w:pPr>
              <w:pStyle w:val="Tabletext9pt"/>
              <w:numPr>
                <w:ilvl w:val="0"/>
                <w:numId w:val="11"/>
              </w:numPr>
              <w:rPr>
                <w:b w:val="0"/>
                <w:bCs/>
              </w:rPr>
            </w:pPr>
            <w:r w:rsidRPr="00AC68A2">
              <w:rPr>
                <w:b w:val="0"/>
                <w:bCs/>
              </w:rPr>
              <w:t>21–30 places</w:t>
            </w:r>
          </w:p>
        </w:tc>
        <w:tc>
          <w:tcPr>
            <w:tcW w:w="1843" w:type="dxa"/>
            <w:hideMark/>
          </w:tcPr>
          <w:p w14:paraId="705D9D74"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526E5311" w14:textId="4F1E7564" w:rsidR="00361611" w:rsidRPr="0EC1DC23" w:rsidRDefault="48416F84"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691FB7F">
              <w:rPr>
                <w:rFonts w:eastAsia="Arial" w:cs="Arial"/>
                <w:sz w:val="18"/>
                <w:szCs w:val="18"/>
              </w:rPr>
              <w:t>7.66</w:t>
            </w:r>
          </w:p>
        </w:tc>
      </w:tr>
      <w:tr w:rsidR="00361611" w14:paraId="53FAF2F0"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5153A843" w14:textId="77777777" w:rsidR="00361611" w:rsidRPr="00AC68A2" w:rsidRDefault="00361611" w:rsidP="004537E5">
            <w:pPr>
              <w:pStyle w:val="Tabletext9pt"/>
              <w:numPr>
                <w:ilvl w:val="0"/>
                <w:numId w:val="11"/>
              </w:numPr>
              <w:rPr>
                <w:b w:val="0"/>
                <w:bCs/>
              </w:rPr>
            </w:pPr>
            <w:r w:rsidRPr="00AC68A2">
              <w:rPr>
                <w:b w:val="0"/>
                <w:bCs/>
              </w:rPr>
              <w:t>Low-care supplement</w:t>
            </w:r>
            <w:r w:rsidRPr="00AC68A2">
              <w:rPr>
                <w:b w:val="0"/>
                <w:bCs/>
                <w:vertAlign w:val="superscript"/>
              </w:rPr>
              <w:footnoteReference w:id="12"/>
            </w:r>
          </w:p>
        </w:tc>
        <w:tc>
          <w:tcPr>
            <w:tcW w:w="1843" w:type="dxa"/>
            <w:hideMark/>
          </w:tcPr>
          <w:p w14:paraId="116AFCAB"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506BD5EE" w14:textId="5E8A663A" w:rsidR="00361611" w:rsidRPr="0EC1DC23" w:rsidRDefault="1A88C086"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A1BF135">
              <w:rPr>
                <w:rFonts w:eastAsia="Arial" w:cs="Arial"/>
                <w:sz w:val="18"/>
                <w:szCs w:val="18"/>
              </w:rPr>
              <w:t>7.01</w:t>
            </w:r>
          </w:p>
        </w:tc>
      </w:tr>
      <w:tr w:rsidR="00361611" w14:paraId="60E49ADE"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5D46B51B" w14:textId="77777777" w:rsidR="00361611" w:rsidRPr="00AC68A2" w:rsidRDefault="00361611" w:rsidP="004537E5">
            <w:pPr>
              <w:pStyle w:val="Tabletext9pt"/>
              <w:numPr>
                <w:ilvl w:val="0"/>
                <w:numId w:val="11"/>
              </w:numPr>
              <w:rPr>
                <w:b w:val="0"/>
                <w:bCs/>
              </w:rPr>
            </w:pPr>
            <w:r w:rsidRPr="00AC68A2">
              <w:rPr>
                <w:b w:val="0"/>
                <w:bCs/>
              </w:rPr>
              <w:t>High-care supplement</w:t>
            </w:r>
          </w:p>
        </w:tc>
        <w:tc>
          <w:tcPr>
            <w:tcW w:w="1843" w:type="dxa"/>
            <w:hideMark/>
          </w:tcPr>
          <w:p w14:paraId="7C9EB76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6FEFE301" w14:textId="7E80A44C" w:rsidR="00361611" w:rsidRPr="0EC1DC23" w:rsidRDefault="2DA6257E"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2842DF3E">
              <w:rPr>
                <w:rFonts w:eastAsia="Arial" w:cs="Arial"/>
                <w:sz w:val="18"/>
                <w:szCs w:val="18"/>
              </w:rPr>
              <w:t>75.72</w:t>
            </w:r>
          </w:p>
        </w:tc>
      </w:tr>
      <w:tr w:rsidR="00361611" w14:paraId="5DAC4FFF"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3D161A14" w14:textId="77777777" w:rsidR="00361611" w:rsidRPr="00AC68A2" w:rsidRDefault="00361611" w:rsidP="004537E5">
            <w:pPr>
              <w:pStyle w:val="Tabletext9pt"/>
              <w:numPr>
                <w:ilvl w:val="0"/>
                <w:numId w:val="11"/>
              </w:numPr>
              <w:rPr>
                <w:b w:val="0"/>
                <w:bCs/>
              </w:rPr>
            </w:pPr>
            <w:r w:rsidRPr="00AC68A2">
              <w:rPr>
                <w:b w:val="0"/>
                <w:bCs/>
              </w:rPr>
              <w:t>Public sector residential aged care supplement</w:t>
            </w:r>
          </w:p>
        </w:tc>
        <w:tc>
          <w:tcPr>
            <w:tcW w:w="1843" w:type="dxa"/>
            <w:hideMark/>
          </w:tcPr>
          <w:p w14:paraId="13F34C88"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77CBBA05" w14:textId="77777777" w:rsidR="00361611" w:rsidRPr="0EC1DC23" w:rsidRDefault="00361611"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13.98</w:t>
            </w:r>
          </w:p>
        </w:tc>
      </w:tr>
      <w:tr w:rsidR="00361611" w14:paraId="772C90D0" w14:textId="77777777" w:rsidTr="00187705">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815" w:type="dxa"/>
            <w:hideMark/>
          </w:tcPr>
          <w:p w14:paraId="3685BEFB" w14:textId="77777777" w:rsidR="00361611" w:rsidRPr="00AC68A2" w:rsidRDefault="00361611" w:rsidP="004537E5">
            <w:pPr>
              <w:pStyle w:val="Tabletext9pt"/>
              <w:numPr>
                <w:ilvl w:val="0"/>
                <w:numId w:val="11"/>
              </w:numPr>
              <w:rPr>
                <w:b w:val="0"/>
                <w:bCs/>
              </w:rPr>
            </w:pPr>
            <w:r w:rsidRPr="00AC68A2">
              <w:rPr>
                <w:b w:val="0"/>
                <w:bCs/>
              </w:rPr>
              <w:t>Complex care supplement</w:t>
            </w:r>
          </w:p>
        </w:tc>
        <w:tc>
          <w:tcPr>
            <w:tcW w:w="1843" w:type="dxa"/>
            <w:hideMark/>
          </w:tcPr>
          <w:p w14:paraId="43FC78C0"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47B14839" w14:textId="282BE0A9" w:rsidR="00361611" w:rsidRPr="0EC1DC23" w:rsidRDefault="6462D2A5"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12DDAFC">
              <w:rPr>
                <w:rFonts w:eastAsia="Arial" w:cs="Arial"/>
                <w:sz w:val="18"/>
                <w:szCs w:val="18"/>
              </w:rPr>
              <w:t>45.93</w:t>
            </w:r>
          </w:p>
        </w:tc>
      </w:tr>
    </w:tbl>
    <w:p w14:paraId="302EDE5C" w14:textId="2EE244FA" w:rsidR="005B699B" w:rsidRDefault="005B699B" w:rsidP="0084378F">
      <w:pPr>
        <w:pStyle w:val="Heading2"/>
        <w:numPr>
          <w:ilvl w:val="1"/>
          <w:numId w:val="12"/>
        </w:numPr>
        <w:ind w:left="851" w:hanging="851"/>
      </w:pPr>
      <w:bookmarkStart w:id="2241" w:name="_Toc110950043"/>
      <w:bookmarkStart w:id="2242" w:name="_Toc418694989"/>
      <w:bookmarkStart w:id="2243" w:name="_Toc487742011"/>
      <w:bookmarkStart w:id="2244" w:name="_Toc14172241"/>
      <w:bookmarkStart w:id="2245" w:name="_Toc100263351"/>
      <w:bookmarkStart w:id="2246" w:name="_Toc165961855"/>
      <w:bookmarkStart w:id="2247" w:name="_Toc201148283"/>
      <w:bookmarkEnd w:id="2241"/>
      <w:r>
        <w:t xml:space="preserve">Primary, </w:t>
      </w:r>
      <w:bookmarkEnd w:id="2242"/>
      <w:r w:rsidRPr="00731B6C">
        <w:t>community</w:t>
      </w:r>
      <w:r>
        <w:t xml:space="preserve"> and dental health output group</w:t>
      </w:r>
      <w:bookmarkEnd w:id="2243"/>
      <w:bookmarkEnd w:id="2244"/>
      <w:bookmarkEnd w:id="2245"/>
      <w:bookmarkEnd w:id="2246"/>
      <w:bookmarkEnd w:id="2247"/>
      <w:r w:rsidR="008260AB">
        <w:t xml:space="preserve"> </w:t>
      </w:r>
    </w:p>
    <w:p w14:paraId="0D9575D6" w14:textId="7A003932" w:rsidR="00A97999" w:rsidRPr="00377487" w:rsidRDefault="00A97999" w:rsidP="00C50CD4">
      <w:pPr>
        <w:pStyle w:val="Tablecaption"/>
      </w:pPr>
      <w:bookmarkStart w:id="2248" w:name="_Toc110944668"/>
      <w:bookmarkStart w:id="2249" w:name="_Toc201148581"/>
      <w:bookmarkStart w:id="2250" w:name="_Toc419644517"/>
      <w:bookmarkStart w:id="2251" w:name="_Toc487742076"/>
      <w:bookmarkEnd w:id="2248"/>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20</w:t>
      </w:r>
      <w:r>
        <w:fldChar w:fldCharType="end"/>
      </w:r>
      <w:r w:rsidRPr="00377487">
        <w:t>: Community Health care output 202</w:t>
      </w:r>
      <w:r w:rsidR="008002D9">
        <w:t>5</w:t>
      </w:r>
      <w:r w:rsidRPr="00377487">
        <w:t>–2</w:t>
      </w:r>
      <w:r w:rsidR="008002D9">
        <w:t>6</w:t>
      </w:r>
      <w:bookmarkEnd w:id="2249"/>
      <w:r w:rsidR="008260AB">
        <w:t xml:space="preserve"> </w:t>
      </w:r>
    </w:p>
    <w:tbl>
      <w:tblPr>
        <w:tblStyle w:val="GridTable4-Accent1"/>
        <w:tblW w:w="9299" w:type="dxa"/>
        <w:tblLook w:val="04A0" w:firstRow="1" w:lastRow="0" w:firstColumn="1" w:lastColumn="0" w:noHBand="0" w:noVBand="1"/>
      </w:tblPr>
      <w:tblGrid>
        <w:gridCol w:w="2407"/>
        <w:gridCol w:w="2408"/>
        <w:gridCol w:w="1872"/>
        <w:gridCol w:w="2612"/>
      </w:tblGrid>
      <w:tr w:rsidR="00361611" w14:paraId="3BEC4C8C"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hideMark/>
          </w:tcPr>
          <w:p w14:paraId="7A95A21B"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2408" w:type="dxa"/>
            <w:hideMark/>
          </w:tcPr>
          <w:p w14:paraId="5978E077"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Service subsection</w:t>
            </w:r>
          </w:p>
        </w:tc>
        <w:tc>
          <w:tcPr>
            <w:tcW w:w="1872" w:type="dxa"/>
            <w:hideMark/>
          </w:tcPr>
          <w:p w14:paraId="0D481C69"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12" w:type="dxa"/>
            <w:hideMark/>
          </w:tcPr>
          <w:p w14:paraId="2276A031"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37AC9E1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73415B0B" w14:textId="77777777" w:rsidR="00361611" w:rsidRPr="00AC68A2" w:rsidRDefault="00361611" w:rsidP="004537E5">
            <w:pPr>
              <w:pStyle w:val="Tabletext9pt"/>
              <w:numPr>
                <w:ilvl w:val="0"/>
                <w:numId w:val="11"/>
              </w:numPr>
              <w:rPr>
                <w:b w:val="0"/>
                <w:bCs/>
              </w:rPr>
            </w:pPr>
            <w:r w:rsidRPr="00AC68A2">
              <w:rPr>
                <w:b w:val="0"/>
                <w:bCs/>
              </w:rPr>
              <w:t>Family and Reproductive Rights Education Program</w:t>
            </w:r>
          </w:p>
        </w:tc>
        <w:tc>
          <w:tcPr>
            <w:tcW w:w="2408" w:type="dxa"/>
            <w:hideMark/>
          </w:tcPr>
          <w:p w14:paraId="2D4E9A13" w14:textId="212F7AA5" w:rsidR="00361611" w:rsidRDefault="00186D65"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3B79A617"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44E59C5E" w14:textId="42A804CE" w:rsidR="00361611" w:rsidRPr="0EC1DC23" w:rsidRDefault="4B2C7BC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5CE0B20">
              <w:rPr>
                <w:rFonts w:eastAsia="Arial" w:cs="Arial"/>
                <w:sz w:val="18"/>
                <w:szCs w:val="18"/>
              </w:rPr>
              <w:t>125.16</w:t>
            </w:r>
          </w:p>
        </w:tc>
      </w:tr>
      <w:tr w:rsidR="00361611" w14:paraId="4721E580"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743986F5" w14:textId="77777777" w:rsidR="00361611" w:rsidRPr="00AC68A2" w:rsidRDefault="00361611" w:rsidP="004537E5">
            <w:pPr>
              <w:pStyle w:val="Tabletext9pt"/>
              <w:numPr>
                <w:ilvl w:val="0"/>
                <w:numId w:val="11"/>
              </w:numPr>
              <w:rPr>
                <w:b w:val="0"/>
                <w:bCs/>
              </w:rPr>
            </w:pPr>
            <w:r w:rsidRPr="00AC68A2">
              <w:rPr>
                <w:b w:val="0"/>
                <w:bCs/>
              </w:rPr>
              <w:t>Innovative Health Services for Homeless Youth</w:t>
            </w:r>
          </w:p>
        </w:tc>
        <w:tc>
          <w:tcPr>
            <w:tcW w:w="2408" w:type="dxa"/>
            <w:hideMark/>
          </w:tcPr>
          <w:p w14:paraId="5DFB6475" w14:textId="5C272E4F" w:rsidR="00361611" w:rsidRDefault="002353CB"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1049B54C"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76BCE173" w14:textId="42CD28EE" w:rsidR="00361611" w:rsidRPr="0EC1DC23" w:rsidRDefault="1E1FE576"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35CE0B20">
              <w:rPr>
                <w:rFonts w:eastAsia="Arial" w:cs="Arial"/>
                <w:sz w:val="18"/>
                <w:szCs w:val="18"/>
              </w:rPr>
              <w:t>125.16</w:t>
            </w:r>
          </w:p>
        </w:tc>
      </w:tr>
      <w:tr w:rsidR="00361611" w14:paraId="73267BF1"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3096DCD" w14:textId="77777777" w:rsidR="00361611" w:rsidRPr="00AC68A2" w:rsidRDefault="00361611" w:rsidP="004537E5">
            <w:pPr>
              <w:pStyle w:val="Tabletext9pt"/>
              <w:numPr>
                <w:ilvl w:val="0"/>
                <w:numId w:val="11"/>
              </w:numPr>
              <w:rPr>
                <w:b w:val="0"/>
                <w:bCs/>
              </w:rPr>
            </w:pPr>
            <w:r w:rsidRPr="00AC68A2">
              <w:rPr>
                <w:b w:val="0"/>
                <w:bCs/>
              </w:rPr>
              <w:t>Family planning</w:t>
            </w:r>
          </w:p>
        </w:tc>
        <w:tc>
          <w:tcPr>
            <w:tcW w:w="2408" w:type="dxa"/>
            <w:hideMark/>
          </w:tcPr>
          <w:p w14:paraId="2BC62E29" w14:textId="3A5601E0" w:rsidR="00361611" w:rsidRDefault="002353CB"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6CE5A8D1"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418A5688" w14:textId="6F3AAB2C" w:rsidR="00361611" w:rsidRPr="0EC1DC23" w:rsidRDefault="054C055A"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6DC7FDD">
              <w:rPr>
                <w:rFonts w:eastAsia="Arial" w:cs="Arial"/>
                <w:sz w:val="18"/>
                <w:szCs w:val="18"/>
              </w:rPr>
              <w:t>125.16</w:t>
            </w:r>
          </w:p>
        </w:tc>
      </w:tr>
      <w:tr w:rsidR="00361611" w14:paraId="1F482538"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3B02A391" w14:textId="77777777" w:rsidR="00361611" w:rsidRPr="00AC68A2" w:rsidRDefault="00361611" w:rsidP="004537E5">
            <w:pPr>
              <w:pStyle w:val="Tabletext9pt"/>
              <w:numPr>
                <w:ilvl w:val="0"/>
                <w:numId w:val="11"/>
              </w:numPr>
              <w:rPr>
                <w:b w:val="0"/>
                <w:bCs/>
              </w:rPr>
            </w:pPr>
            <w:r w:rsidRPr="00AC68A2">
              <w:rPr>
                <w:b w:val="0"/>
                <w:bCs/>
              </w:rPr>
              <w:t>Aboriginal services and support</w:t>
            </w:r>
          </w:p>
        </w:tc>
        <w:tc>
          <w:tcPr>
            <w:tcW w:w="2408" w:type="dxa"/>
            <w:hideMark/>
          </w:tcPr>
          <w:p w14:paraId="6F49D182"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Case coordination</w:t>
            </w:r>
          </w:p>
        </w:tc>
        <w:tc>
          <w:tcPr>
            <w:tcW w:w="1872" w:type="dxa"/>
            <w:hideMark/>
          </w:tcPr>
          <w:p w14:paraId="7DF74E47"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1382E2EC" w14:textId="38C598D7" w:rsidR="00361611" w:rsidRPr="0EC1DC23" w:rsidRDefault="1FDD5DD0"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5E3BB5CA">
              <w:rPr>
                <w:rFonts w:eastAsia="Arial" w:cs="Arial"/>
                <w:sz w:val="18"/>
                <w:szCs w:val="18"/>
              </w:rPr>
              <w:t>133.56</w:t>
            </w:r>
          </w:p>
        </w:tc>
      </w:tr>
      <w:tr w:rsidR="00361611" w14:paraId="47A6CC7C"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2DC892A3" w14:textId="77777777" w:rsidR="00361611" w:rsidRPr="00AC68A2" w:rsidRDefault="00361611" w:rsidP="004537E5">
            <w:pPr>
              <w:pStyle w:val="Tabletext9pt"/>
              <w:numPr>
                <w:ilvl w:val="0"/>
                <w:numId w:val="11"/>
              </w:numPr>
              <w:rPr>
                <w:b w:val="0"/>
                <w:bCs/>
              </w:rPr>
            </w:pPr>
            <w:r w:rsidRPr="00AC68A2">
              <w:rPr>
                <w:b w:val="0"/>
                <w:bCs/>
              </w:rPr>
              <w:t>Integrated chronic disease management</w:t>
            </w:r>
          </w:p>
        </w:tc>
        <w:tc>
          <w:tcPr>
            <w:tcW w:w="2408" w:type="dxa"/>
            <w:hideMark/>
          </w:tcPr>
          <w:p w14:paraId="02AE4106"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7201336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331F0244" w14:textId="0F8552A4" w:rsidR="00361611" w:rsidRPr="0EC1DC23" w:rsidRDefault="4EC46CC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5E3BB5CA">
              <w:rPr>
                <w:rFonts w:eastAsia="Arial" w:cs="Arial"/>
                <w:sz w:val="18"/>
                <w:szCs w:val="18"/>
              </w:rPr>
              <w:t>125.</w:t>
            </w:r>
            <w:r w:rsidRPr="7252B5D1">
              <w:rPr>
                <w:rFonts w:eastAsia="Arial" w:cs="Arial"/>
                <w:sz w:val="18"/>
                <w:szCs w:val="18"/>
              </w:rPr>
              <w:t>16</w:t>
            </w:r>
          </w:p>
        </w:tc>
      </w:tr>
      <w:tr w:rsidR="00361611" w14:paraId="06E7B1C6"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64FF8C75" w14:textId="77777777" w:rsidR="00361611" w:rsidRPr="00AC68A2" w:rsidRDefault="00361611" w:rsidP="004537E5">
            <w:pPr>
              <w:pStyle w:val="Tabletext9pt"/>
              <w:numPr>
                <w:ilvl w:val="0"/>
                <w:numId w:val="11"/>
              </w:numPr>
              <w:rPr>
                <w:b w:val="0"/>
                <w:bCs/>
              </w:rPr>
            </w:pPr>
            <w:r w:rsidRPr="00AC68A2">
              <w:rPr>
                <w:b w:val="0"/>
                <w:bCs/>
              </w:rPr>
              <w:t>Refugee and asylum seeker health</w:t>
            </w:r>
          </w:p>
        </w:tc>
        <w:tc>
          <w:tcPr>
            <w:tcW w:w="2408" w:type="dxa"/>
            <w:hideMark/>
          </w:tcPr>
          <w:p w14:paraId="3ABC556C" w14:textId="0C596854" w:rsidR="00361611" w:rsidRDefault="00D47B96"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6625DFCE"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5607DE4A" w14:textId="08C00B96" w:rsidR="00361611" w:rsidRPr="0EC1DC23" w:rsidRDefault="4C5B1DBE"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61BF5578"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55F3137" w14:textId="77777777" w:rsidR="00361611" w:rsidRPr="00AC68A2" w:rsidRDefault="00361611" w:rsidP="004537E5">
            <w:pPr>
              <w:pStyle w:val="Tabletext9pt"/>
              <w:numPr>
                <w:ilvl w:val="0"/>
                <w:numId w:val="11"/>
              </w:numPr>
              <w:rPr>
                <w:b w:val="0"/>
                <w:bCs/>
              </w:rPr>
            </w:pPr>
            <w:r w:rsidRPr="00AC68A2">
              <w:rPr>
                <w:b w:val="0"/>
                <w:bCs/>
              </w:rPr>
              <w:t>Healthy Mothers, Healthy Babies</w:t>
            </w:r>
          </w:p>
        </w:tc>
        <w:tc>
          <w:tcPr>
            <w:tcW w:w="2408" w:type="dxa"/>
            <w:hideMark/>
          </w:tcPr>
          <w:p w14:paraId="1FEFD3BD" w14:textId="6B316E8B" w:rsidR="00361611" w:rsidRDefault="00D47B9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4E9ABB72"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2115F0B0" w14:textId="4A894133" w:rsidR="00361611" w:rsidRPr="0EC1DC23" w:rsidRDefault="43D27CE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306F19F3"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69280CB6" w14:textId="77777777" w:rsidR="00361611" w:rsidRPr="00AC68A2" w:rsidRDefault="00361611" w:rsidP="004537E5">
            <w:pPr>
              <w:pStyle w:val="Tabletext9pt"/>
              <w:numPr>
                <w:ilvl w:val="0"/>
                <w:numId w:val="11"/>
              </w:numPr>
              <w:rPr>
                <w:b w:val="0"/>
                <w:bCs/>
              </w:rPr>
            </w:pPr>
            <w:r w:rsidRPr="00AC68A2">
              <w:rPr>
                <w:b w:val="0"/>
                <w:bCs/>
              </w:rPr>
              <w:t>Community health</w:t>
            </w:r>
          </w:p>
        </w:tc>
        <w:tc>
          <w:tcPr>
            <w:tcW w:w="2408" w:type="dxa"/>
            <w:hideMark/>
          </w:tcPr>
          <w:p w14:paraId="407C85C6"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0424C6BD"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11E8F0EB" w14:textId="0E9714DA" w:rsidR="00361611" w:rsidRPr="0EC1DC23" w:rsidRDefault="006D35F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6C21544">
              <w:rPr>
                <w:rFonts w:eastAsia="Arial" w:cs="Arial"/>
                <w:sz w:val="18"/>
                <w:szCs w:val="18"/>
              </w:rPr>
              <w:t>125.16</w:t>
            </w:r>
          </w:p>
        </w:tc>
      </w:tr>
      <w:tr w:rsidR="00361611" w14:paraId="3FA2090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1434A0F" w14:textId="77777777" w:rsidR="00361611" w:rsidRPr="00AC68A2" w:rsidRDefault="00361611" w:rsidP="004537E5">
            <w:pPr>
              <w:pStyle w:val="Tabletext9pt"/>
              <w:numPr>
                <w:ilvl w:val="0"/>
                <w:numId w:val="11"/>
              </w:numPr>
              <w:rPr>
                <w:b w:val="0"/>
                <w:bCs/>
              </w:rPr>
            </w:pPr>
            <w:r w:rsidRPr="00AC68A2">
              <w:rPr>
                <w:b w:val="0"/>
                <w:bCs/>
              </w:rPr>
              <w:t>ACCO services</w:t>
            </w:r>
          </w:p>
        </w:tc>
        <w:tc>
          <w:tcPr>
            <w:tcW w:w="2408" w:type="dxa"/>
            <w:hideMark/>
          </w:tcPr>
          <w:p w14:paraId="7D7CDF90"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Counselling/casework</w:t>
            </w:r>
          </w:p>
        </w:tc>
        <w:tc>
          <w:tcPr>
            <w:tcW w:w="1872" w:type="dxa"/>
            <w:hideMark/>
          </w:tcPr>
          <w:p w14:paraId="3A998768"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2EEC706E" w14:textId="5507A212" w:rsidR="00361611" w:rsidRPr="0EC1DC23" w:rsidRDefault="3A7E4EDD"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349014C">
              <w:rPr>
                <w:rFonts w:eastAsia="Arial" w:cs="Arial"/>
                <w:sz w:val="18"/>
                <w:szCs w:val="18"/>
              </w:rPr>
              <w:t>135.76</w:t>
            </w:r>
          </w:p>
        </w:tc>
      </w:tr>
      <w:tr w:rsidR="00361611" w14:paraId="6A211CC4"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4640F595" w14:textId="77777777" w:rsidR="00361611" w:rsidRPr="00AC68A2" w:rsidRDefault="00361611" w:rsidP="004537E5">
            <w:pPr>
              <w:pStyle w:val="Tabletext9pt"/>
              <w:numPr>
                <w:ilvl w:val="0"/>
                <w:numId w:val="11"/>
              </w:numPr>
              <w:rPr>
                <w:b w:val="0"/>
                <w:bCs/>
              </w:rPr>
            </w:pPr>
            <w:r w:rsidRPr="00AC68A2">
              <w:rPr>
                <w:b w:val="0"/>
                <w:bCs/>
              </w:rPr>
              <w:t>MDC community health nurses</w:t>
            </w:r>
          </w:p>
        </w:tc>
        <w:tc>
          <w:tcPr>
            <w:tcW w:w="2408" w:type="dxa"/>
            <w:hideMark/>
          </w:tcPr>
          <w:p w14:paraId="451A3D21" w14:textId="41DBD85A" w:rsidR="00361611" w:rsidRDefault="00D47B96"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1AA7F953"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3914B2EE" w14:textId="23F750DB" w:rsidR="00361611" w:rsidRPr="0EC1DC23" w:rsidRDefault="0092526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53F1362F"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13596FE9" w14:textId="77777777" w:rsidR="00361611" w:rsidRPr="00AC68A2" w:rsidRDefault="00361611" w:rsidP="004537E5">
            <w:pPr>
              <w:pStyle w:val="Tabletext9pt"/>
              <w:numPr>
                <w:ilvl w:val="0"/>
                <w:numId w:val="11"/>
              </w:numPr>
              <w:rPr>
                <w:b w:val="0"/>
                <w:bCs/>
              </w:rPr>
            </w:pPr>
            <w:r w:rsidRPr="00AC68A2">
              <w:rPr>
                <w:b w:val="0"/>
                <w:bCs/>
              </w:rPr>
              <w:t>Community Asthma Program</w:t>
            </w:r>
          </w:p>
        </w:tc>
        <w:tc>
          <w:tcPr>
            <w:tcW w:w="2408" w:type="dxa"/>
            <w:hideMark/>
          </w:tcPr>
          <w:p w14:paraId="6926F5EA" w14:textId="298095BA" w:rsidR="00361611" w:rsidRDefault="00D47B9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16B4FBA9"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38273A38" w14:textId="040CF2CD" w:rsidR="00361611" w:rsidRPr="0EC1DC23" w:rsidRDefault="5CBC7103"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5BC96566">
              <w:rPr>
                <w:rFonts w:eastAsia="Arial" w:cs="Arial"/>
                <w:sz w:val="18"/>
                <w:szCs w:val="18"/>
              </w:rPr>
              <w:t>125.16</w:t>
            </w:r>
          </w:p>
        </w:tc>
      </w:tr>
    </w:tbl>
    <w:p w14:paraId="4A8D1644" w14:textId="13999105" w:rsidR="005B699B" w:rsidRPr="00A06E4C" w:rsidRDefault="005B699B" w:rsidP="0084378F">
      <w:pPr>
        <w:pStyle w:val="Heading2"/>
        <w:numPr>
          <w:ilvl w:val="1"/>
          <w:numId w:val="12"/>
        </w:numPr>
        <w:ind w:left="851" w:hanging="851"/>
      </w:pPr>
      <w:bookmarkStart w:id="2252" w:name="_Toc144905625"/>
      <w:bookmarkStart w:id="2253" w:name="_Toc487742012"/>
      <w:bookmarkStart w:id="2254" w:name="_Toc14172242"/>
      <w:bookmarkStart w:id="2255" w:name="_Toc100263352"/>
      <w:bookmarkStart w:id="2256" w:name="_Toc165961856"/>
      <w:bookmarkStart w:id="2257" w:name="_Toc201148284"/>
      <w:bookmarkStart w:id="2258" w:name="_Ref423018061"/>
      <w:bookmarkStart w:id="2259" w:name="_Toc419623616"/>
      <w:bookmarkStart w:id="2260" w:name="_Toc419623728"/>
      <w:bookmarkStart w:id="2261" w:name="_Toc419644503"/>
      <w:bookmarkStart w:id="2262" w:name="_Toc450824823"/>
      <w:bookmarkStart w:id="2263" w:name="_Toc418694990"/>
      <w:bookmarkStart w:id="2264" w:name="_Ref423019767"/>
      <w:bookmarkStart w:id="2265" w:name="_Ref423019777"/>
      <w:bookmarkEnd w:id="2250"/>
      <w:bookmarkEnd w:id="2251"/>
      <w:bookmarkEnd w:id="2252"/>
      <w:r w:rsidRPr="00A06E4C">
        <w:lastRenderedPageBreak/>
        <w:t xml:space="preserve">Training and </w:t>
      </w:r>
      <w:bookmarkEnd w:id="2253"/>
      <w:bookmarkEnd w:id="2254"/>
      <w:bookmarkEnd w:id="2255"/>
      <w:r w:rsidRPr="00731B6C">
        <w:t>development</w:t>
      </w:r>
      <w:bookmarkEnd w:id="2256"/>
      <w:bookmarkEnd w:id="2257"/>
      <w:r w:rsidR="008260AB">
        <w:t xml:space="preserve"> </w:t>
      </w:r>
    </w:p>
    <w:p w14:paraId="5E6B779B" w14:textId="76D5C4EA" w:rsidR="00A97999" w:rsidRPr="00377487" w:rsidRDefault="00A97999" w:rsidP="00C50CD4">
      <w:pPr>
        <w:pStyle w:val="Tablecaption"/>
      </w:pPr>
      <w:bookmarkStart w:id="2266" w:name="_Ref199253454"/>
      <w:bookmarkStart w:id="2267" w:name="_Toc201148582"/>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21</w:t>
      </w:r>
      <w:r>
        <w:fldChar w:fldCharType="end"/>
      </w:r>
      <w:r w:rsidRPr="00377487">
        <w:t>: Training and development funding rates in 202</w:t>
      </w:r>
      <w:r w:rsidR="008002D9">
        <w:t>5</w:t>
      </w:r>
      <w:r w:rsidRPr="00377487">
        <w:t>-2</w:t>
      </w:r>
      <w:r w:rsidR="008002D9">
        <w:t>6</w:t>
      </w:r>
      <w:bookmarkEnd w:id="2266"/>
      <w:bookmarkEnd w:id="2267"/>
      <w:r w:rsidR="008260AB">
        <w:t xml:space="preserve"> </w:t>
      </w:r>
    </w:p>
    <w:tbl>
      <w:tblPr>
        <w:tblStyle w:val="GridTable4-Accent1"/>
        <w:tblW w:w="5000" w:type="pct"/>
        <w:tblLook w:val="04A0" w:firstRow="1" w:lastRow="0" w:firstColumn="1" w:lastColumn="0" w:noHBand="0" w:noVBand="1"/>
      </w:tblPr>
      <w:tblGrid>
        <w:gridCol w:w="3335"/>
        <w:gridCol w:w="3334"/>
        <w:gridCol w:w="2619"/>
      </w:tblGrid>
      <w:tr w:rsidR="00361611" w14:paraId="09C01153"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28" w:type="dxa"/>
            <w:hideMark/>
          </w:tcPr>
          <w:p w14:paraId="256A232D" w14:textId="77777777" w:rsidR="00361611" w:rsidRPr="00187705" w:rsidRDefault="00361611" w:rsidP="00A21959">
            <w:pPr>
              <w:pStyle w:val="Tablecolhead"/>
              <w:rPr>
                <w:rFonts w:eastAsia="Arial"/>
                <w:color w:val="FFFFFF" w:themeColor="background1"/>
                <w:szCs w:val="21"/>
              </w:rPr>
            </w:pPr>
            <w:bookmarkStart w:id="2268" w:name="_Hlk169869617"/>
            <w:r w:rsidRPr="00187705">
              <w:rPr>
                <w:rFonts w:eastAsia="Arial"/>
                <w:color w:val="FFFFFF" w:themeColor="background1"/>
                <w:szCs w:val="21"/>
              </w:rPr>
              <w:t>Stream</w:t>
            </w:r>
          </w:p>
        </w:tc>
        <w:tc>
          <w:tcPr>
            <w:tcW w:w="3328" w:type="dxa"/>
            <w:hideMark/>
          </w:tcPr>
          <w:p w14:paraId="73D42A65"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Program</w:t>
            </w:r>
          </w:p>
        </w:tc>
        <w:tc>
          <w:tcPr>
            <w:tcW w:w="2614" w:type="dxa"/>
            <w:hideMark/>
          </w:tcPr>
          <w:p w14:paraId="2D6B559C"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Rate per EFT ($)</w:t>
            </w:r>
          </w:p>
        </w:tc>
      </w:tr>
      <w:tr w:rsidR="00361611" w14:paraId="55AA0F76"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286553DA" w14:textId="77777777" w:rsidR="00361611" w:rsidRPr="00AC68A2" w:rsidRDefault="00361611" w:rsidP="004537E5">
            <w:pPr>
              <w:pStyle w:val="Tabletext9pt"/>
              <w:numPr>
                <w:ilvl w:val="0"/>
                <w:numId w:val="11"/>
              </w:numPr>
              <w:rPr>
                <w:b w:val="0"/>
                <w:bCs/>
              </w:rPr>
            </w:pPr>
            <w:r w:rsidRPr="00AC68A2">
              <w:rPr>
                <w:b w:val="0"/>
                <w:bCs/>
              </w:rPr>
              <w:t>Professional-entry student placements</w:t>
            </w:r>
          </w:p>
        </w:tc>
        <w:tc>
          <w:tcPr>
            <w:tcW w:w="3328" w:type="dxa"/>
            <w:hideMark/>
          </w:tcPr>
          <w:p w14:paraId="524E9C99"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Medical, nursing, allied health, (including allied health assistance and health information management)</w:t>
            </w:r>
          </w:p>
        </w:tc>
        <w:tc>
          <w:tcPr>
            <w:tcW w:w="2614" w:type="dxa"/>
          </w:tcPr>
          <w:p w14:paraId="2CDA8196" w14:textId="30426CA9" w:rsidR="00361611" w:rsidRPr="0EC1DC23" w:rsidRDefault="0036161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EC1DC23">
              <w:rPr>
                <w:rFonts w:eastAsia="Arial" w:cs="Arial"/>
                <w:sz w:val="18"/>
                <w:szCs w:val="18"/>
              </w:rPr>
              <w:t xml:space="preserve">Not calculated based on an </w:t>
            </w:r>
            <w:r w:rsidR="00F70439">
              <w:rPr>
                <w:rFonts w:eastAsia="Arial" w:cs="Arial"/>
                <w:sz w:val="18"/>
                <w:szCs w:val="18"/>
              </w:rPr>
              <w:t>equivalent full-time (</w:t>
            </w:r>
            <w:r w:rsidRPr="0EC1DC23">
              <w:rPr>
                <w:rFonts w:eastAsia="Arial" w:cs="Arial"/>
                <w:sz w:val="18"/>
                <w:szCs w:val="18"/>
              </w:rPr>
              <w:t>EFT</w:t>
            </w:r>
            <w:r w:rsidR="00F70439">
              <w:rPr>
                <w:rFonts w:eastAsia="Arial" w:cs="Arial"/>
                <w:sz w:val="18"/>
                <w:szCs w:val="18"/>
              </w:rPr>
              <w:t>)</w:t>
            </w:r>
            <w:r w:rsidRPr="0EC1DC23">
              <w:rPr>
                <w:rFonts w:eastAsia="Arial" w:cs="Arial"/>
                <w:sz w:val="18"/>
                <w:szCs w:val="18"/>
              </w:rPr>
              <w:t xml:space="preserve"> rate</w:t>
            </w:r>
          </w:p>
        </w:tc>
      </w:tr>
      <w:tr w:rsidR="00361611" w14:paraId="2346652E"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78201601"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01F91309"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Allied health graduate – metro</w:t>
            </w:r>
          </w:p>
        </w:tc>
        <w:tc>
          <w:tcPr>
            <w:tcW w:w="2614" w:type="dxa"/>
          </w:tcPr>
          <w:p w14:paraId="4B5BFEAF" w14:textId="3A30C515" w:rsidR="00361611" w:rsidRPr="0EC1DC23" w:rsidRDefault="0094509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10,732</w:t>
            </w:r>
          </w:p>
        </w:tc>
      </w:tr>
      <w:tr w:rsidR="00361611" w14:paraId="1225376C"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5EA46BE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64CB6C3B"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Allied health graduate – rural</w:t>
            </w:r>
          </w:p>
        </w:tc>
        <w:tc>
          <w:tcPr>
            <w:tcW w:w="2614" w:type="dxa"/>
          </w:tcPr>
          <w:p w14:paraId="6B03F6F0" w14:textId="1F10C7A9" w:rsidR="00361611" w:rsidRPr="0EC1DC23" w:rsidRDefault="0094509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Pr>
                <w:rFonts w:eastAsia="Arial" w:cs="Arial"/>
                <w:sz w:val="18"/>
                <w:szCs w:val="18"/>
              </w:rPr>
              <w:t>12,620</w:t>
            </w:r>
          </w:p>
        </w:tc>
      </w:tr>
      <w:tr w:rsidR="00361611" w14:paraId="5CA60DF1"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38CBE2CE"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00C8D800"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Pharmacy interns</w:t>
            </w:r>
          </w:p>
        </w:tc>
        <w:tc>
          <w:tcPr>
            <w:tcW w:w="2614" w:type="dxa"/>
          </w:tcPr>
          <w:p w14:paraId="34131F57" w14:textId="703AEB09" w:rsidR="00361611" w:rsidRPr="0EC1DC23" w:rsidRDefault="0E01F22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9525DD2">
              <w:rPr>
                <w:rFonts w:eastAsia="Arial" w:cs="Arial"/>
                <w:sz w:val="18"/>
                <w:szCs w:val="18"/>
              </w:rPr>
              <w:t>35,911</w:t>
            </w:r>
          </w:p>
        </w:tc>
      </w:tr>
      <w:tr w:rsidR="00361611" w14:paraId="4EA3C22D"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6971CAE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4D80E052"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Medical graduate year 1 (PGY1)</w:t>
            </w:r>
          </w:p>
        </w:tc>
        <w:tc>
          <w:tcPr>
            <w:tcW w:w="2614" w:type="dxa"/>
          </w:tcPr>
          <w:p w14:paraId="642A87AC" w14:textId="1F57A49F" w:rsidR="00361611" w:rsidRPr="0EC1DC23" w:rsidRDefault="247CA746"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DCB9B41">
              <w:rPr>
                <w:rFonts w:eastAsia="Arial" w:cs="Arial"/>
                <w:sz w:val="18"/>
                <w:szCs w:val="18"/>
              </w:rPr>
              <w:t>43,218</w:t>
            </w:r>
          </w:p>
        </w:tc>
      </w:tr>
      <w:tr w:rsidR="00361611" w14:paraId="6F67E9BE"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7B5D196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3DA380B2"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Medical graduate year 2 (PGY2)</w:t>
            </w:r>
          </w:p>
        </w:tc>
        <w:tc>
          <w:tcPr>
            <w:tcW w:w="2614" w:type="dxa"/>
          </w:tcPr>
          <w:p w14:paraId="448CFA37" w14:textId="005324FB" w:rsidR="00361611" w:rsidRPr="0EC1DC23" w:rsidRDefault="478761BC"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AD805A6">
              <w:rPr>
                <w:rFonts w:eastAsia="Arial" w:cs="Arial"/>
                <w:sz w:val="18"/>
                <w:szCs w:val="18"/>
              </w:rPr>
              <w:t>46,872</w:t>
            </w:r>
          </w:p>
        </w:tc>
      </w:tr>
      <w:tr w:rsidR="00361611" w14:paraId="1E234F2B"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007F0F18"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2572C2F1"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Nursing and midwifery</w:t>
            </w:r>
          </w:p>
        </w:tc>
        <w:tc>
          <w:tcPr>
            <w:tcW w:w="2614" w:type="dxa"/>
          </w:tcPr>
          <w:p w14:paraId="3EAD6C5F" w14:textId="10BE7406" w:rsidR="00361611" w:rsidRPr="0EC1DC23" w:rsidRDefault="7F24D06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B0AF099">
              <w:rPr>
                <w:rFonts w:eastAsia="Arial" w:cs="Arial"/>
                <w:sz w:val="18"/>
                <w:szCs w:val="18"/>
              </w:rPr>
              <w:t>21,358</w:t>
            </w:r>
          </w:p>
        </w:tc>
      </w:tr>
      <w:tr w:rsidR="00361611" w14:paraId="017F2719"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4BA0EDE7"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77D3831E"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Victorian Medical Specialist Training Program</w:t>
            </w:r>
          </w:p>
        </w:tc>
        <w:tc>
          <w:tcPr>
            <w:tcW w:w="2614" w:type="dxa"/>
          </w:tcPr>
          <w:p w14:paraId="085A0BB0" w14:textId="7575BE8E" w:rsidR="00361611" w:rsidRPr="0EC1DC23" w:rsidRDefault="7AA43ED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36FEE993">
              <w:rPr>
                <w:rFonts w:eastAsia="Arial" w:cs="Arial"/>
                <w:sz w:val="18"/>
                <w:szCs w:val="18"/>
              </w:rPr>
              <w:t>80,537</w:t>
            </w:r>
          </w:p>
        </w:tc>
      </w:tr>
      <w:tr w:rsidR="00361611" w14:paraId="12DC3D3D"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060B9A7D"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06326DE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Victorian Paediatric Training Program</w:t>
            </w:r>
          </w:p>
        </w:tc>
        <w:tc>
          <w:tcPr>
            <w:tcW w:w="2614" w:type="dxa"/>
          </w:tcPr>
          <w:p w14:paraId="57AFEB21" w14:textId="411C3485" w:rsidR="00361611" w:rsidRPr="0EC1DC23" w:rsidRDefault="476C27A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0F32284">
              <w:rPr>
                <w:rFonts w:eastAsia="Arial" w:cs="Arial"/>
                <w:sz w:val="18"/>
                <w:szCs w:val="18"/>
              </w:rPr>
              <w:t>109,299</w:t>
            </w:r>
          </w:p>
        </w:tc>
      </w:tr>
      <w:tr w:rsidR="00361611" w14:paraId="14800843"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262612EC"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1DB09F55"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Basic physician training consortia</w:t>
            </w:r>
          </w:p>
        </w:tc>
        <w:tc>
          <w:tcPr>
            <w:tcW w:w="2614" w:type="dxa"/>
          </w:tcPr>
          <w:p w14:paraId="1BDD512E" w14:textId="77777777" w:rsidR="00361611" w:rsidRPr="0EC1DC23" w:rsidRDefault="0036161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Not calculated based on an EFT rate</w:t>
            </w:r>
          </w:p>
        </w:tc>
      </w:tr>
      <w:tr w:rsidR="00361611" w14:paraId="2CB15904"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hideMark/>
          </w:tcPr>
          <w:p w14:paraId="0EC9AECF" w14:textId="77777777" w:rsidR="00361611" w:rsidRPr="00AC68A2" w:rsidRDefault="00361611" w:rsidP="004537E5">
            <w:pPr>
              <w:pStyle w:val="Tabletext9pt"/>
              <w:numPr>
                <w:ilvl w:val="0"/>
                <w:numId w:val="11"/>
              </w:numPr>
              <w:rPr>
                <w:b w:val="0"/>
                <w:bCs/>
              </w:rPr>
            </w:pPr>
            <w:r w:rsidRPr="00AC68A2">
              <w:rPr>
                <w:b w:val="0"/>
                <w:bCs/>
              </w:rPr>
              <w:t>Postgraduate – nursing and midwifery</w:t>
            </w:r>
          </w:p>
        </w:tc>
        <w:tc>
          <w:tcPr>
            <w:tcW w:w="3328" w:type="dxa"/>
            <w:hideMark/>
          </w:tcPr>
          <w:p w14:paraId="6A440514"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Nursing and midwifery postgraduates</w:t>
            </w:r>
          </w:p>
        </w:tc>
        <w:tc>
          <w:tcPr>
            <w:tcW w:w="2614" w:type="dxa"/>
          </w:tcPr>
          <w:p w14:paraId="4E83ADDA" w14:textId="7217A3C3" w:rsidR="00361611" w:rsidRPr="0EC1DC23" w:rsidRDefault="77FDD2C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29DA167">
              <w:rPr>
                <w:rFonts w:eastAsia="Arial" w:cs="Arial"/>
                <w:sz w:val="18"/>
                <w:szCs w:val="18"/>
              </w:rPr>
              <w:t>21,358</w:t>
            </w:r>
          </w:p>
        </w:tc>
      </w:tr>
    </w:tbl>
    <w:p w14:paraId="7E509641" w14:textId="77777777" w:rsidR="00881EB9" w:rsidRPr="00B83565" w:rsidRDefault="00881EB9">
      <w:pPr>
        <w:spacing w:after="0" w:line="240" w:lineRule="auto"/>
        <w:rPr>
          <w:highlight w:val="yellow"/>
        </w:rPr>
      </w:pPr>
      <w:bookmarkStart w:id="2269" w:name="_Toc167651302"/>
      <w:bookmarkStart w:id="2270" w:name="_Toc418694983"/>
      <w:bookmarkStart w:id="2271" w:name="_Ref419741197"/>
      <w:bookmarkStart w:id="2272" w:name="_Ref419741215"/>
      <w:bookmarkStart w:id="2273" w:name="_Toc487742013"/>
      <w:bookmarkStart w:id="2274" w:name="_Toc14172243"/>
      <w:bookmarkStart w:id="2275" w:name="_Ref70881847"/>
      <w:bookmarkStart w:id="2276" w:name="_Ref70881855"/>
      <w:bookmarkStart w:id="2277" w:name="_Ref77707788"/>
      <w:bookmarkStart w:id="2278" w:name="_Ref77707841"/>
      <w:bookmarkStart w:id="2279" w:name="_Toc100263353"/>
      <w:bookmarkStart w:id="2280" w:name="_Toc165961857"/>
      <w:bookmarkEnd w:id="2240"/>
      <w:bookmarkEnd w:id="2258"/>
      <w:bookmarkEnd w:id="2259"/>
      <w:bookmarkEnd w:id="2260"/>
      <w:bookmarkEnd w:id="2261"/>
      <w:bookmarkEnd w:id="2262"/>
      <w:bookmarkEnd w:id="2268"/>
      <w:bookmarkEnd w:id="2269"/>
      <w:r w:rsidRPr="00B83565">
        <w:rPr>
          <w:highlight w:val="yellow"/>
        </w:rPr>
        <w:br w:type="page"/>
      </w:r>
    </w:p>
    <w:p w14:paraId="075DDDFD" w14:textId="7880BFF2" w:rsidR="005B699B" w:rsidRPr="00F2166A" w:rsidRDefault="005B699B" w:rsidP="00B718DB">
      <w:pPr>
        <w:pStyle w:val="Heading1"/>
        <w:numPr>
          <w:ilvl w:val="0"/>
          <w:numId w:val="12"/>
        </w:numPr>
        <w:ind w:left="851" w:hanging="851"/>
      </w:pPr>
      <w:bookmarkStart w:id="2281" w:name="_Toc201148285"/>
      <w:r w:rsidRPr="00F2166A">
        <w:lastRenderedPageBreak/>
        <w:t xml:space="preserve">Price groups for NWAU </w:t>
      </w:r>
      <w:bookmarkEnd w:id="2270"/>
      <w:bookmarkEnd w:id="2271"/>
      <w:bookmarkEnd w:id="2272"/>
      <w:bookmarkEnd w:id="2273"/>
      <w:bookmarkEnd w:id="2274"/>
      <w:bookmarkEnd w:id="2275"/>
      <w:bookmarkEnd w:id="2276"/>
      <w:bookmarkEnd w:id="2277"/>
      <w:bookmarkEnd w:id="2278"/>
      <w:bookmarkEnd w:id="2279"/>
      <w:r w:rsidRPr="00F2166A">
        <w:t>purposes</w:t>
      </w:r>
      <w:bookmarkEnd w:id="2280"/>
      <w:bookmarkEnd w:id="2281"/>
    </w:p>
    <w:p w14:paraId="3DA73DAF" w14:textId="5D2606C9" w:rsidR="00A97999" w:rsidRPr="00377487" w:rsidRDefault="00A97999" w:rsidP="00C50CD4">
      <w:pPr>
        <w:pStyle w:val="Tablecaption"/>
      </w:pPr>
      <w:bookmarkStart w:id="2282" w:name="_Ref170115610"/>
      <w:bookmarkStart w:id="2283" w:name="_Toc201148583"/>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22</w:t>
      </w:r>
      <w:r>
        <w:fldChar w:fldCharType="end"/>
      </w:r>
      <w:r w:rsidRPr="00377487">
        <w:t>: Price groups for NWAU purposes</w:t>
      </w:r>
      <w:bookmarkEnd w:id="2282"/>
      <w:bookmarkEnd w:id="2283"/>
      <w:r w:rsidR="00065E37">
        <w:t xml:space="preserve"> </w:t>
      </w:r>
    </w:p>
    <w:tbl>
      <w:tblPr>
        <w:tblStyle w:val="GridTable4-Accent1"/>
        <w:tblW w:w="5000" w:type="pct"/>
        <w:tblLook w:val="04A0" w:firstRow="1" w:lastRow="0" w:firstColumn="1" w:lastColumn="0" w:noHBand="0" w:noVBand="1"/>
      </w:tblPr>
      <w:tblGrid>
        <w:gridCol w:w="5029"/>
        <w:gridCol w:w="4259"/>
      </w:tblGrid>
      <w:tr w:rsidR="00865487" w:rsidRPr="00E3306F" w14:paraId="79BBB7F8" w14:textId="77777777" w:rsidTr="00187705">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2707" w:type="pct"/>
            <w:noWrap/>
          </w:tcPr>
          <w:p w14:paraId="147A2071" w14:textId="18095A4E" w:rsidR="00865487" w:rsidRPr="00187705" w:rsidRDefault="00865487">
            <w:pPr>
              <w:pStyle w:val="Tablecolhead"/>
              <w:rPr>
                <w:rFonts w:eastAsia="Arial"/>
                <w:color w:val="FFFFFF" w:themeColor="background1"/>
                <w:szCs w:val="21"/>
              </w:rPr>
            </w:pPr>
            <w:bookmarkStart w:id="2284" w:name="_Toc487742014"/>
            <w:bookmarkStart w:id="2285" w:name="_Toc14172244"/>
            <w:r w:rsidRPr="00187705">
              <w:rPr>
                <w:rFonts w:eastAsia="Arial"/>
                <w:color w:val="FFFFFF" w:themeColor="background1"/>
                <w:szCs w:val="21"/>
              </w:rPr>
              <w:t xml:space="preserve">Health </w:t>
            </w:r>
            <w:r w:rsidR="00745A84" w:rsidRPr="00187705">
              <w:rPr>
                <w:rFonts w:eastAsia="Arial"/>
                <w:color w:val="FFFFFF" w:themeColor="background1"/>
                <w:szCs w:val="21"/>
              </w:rPr>
              <w:t>s</w:t>
            </w:r>
            <w:r w:rsidRPr="00187705">
              <w:rPr>
                <w:rFonts w:eastAsia="Arial"/>
                <w:color w:val="FFFFFF" w:themeColor="background1"/>
                <w:szCs w:val="21"/>
              </w:rPr>
              <w:t>ervices</w:t>
            </w:r>
          </w:p>
        </w:tc>
        <w:tc>
          <w:tcPr>
            <w:tcW w:w="2293" w:type="pct"/>
          </w:tcPr>
          <w:p w14:paraId="2C3B4B12" w14:textId="3C4287E3" w:rsidR="00865487" w:rsidRPr="00187705" w:rsidRDefault="00865487">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 xml:space="preserve">Peer </w:t>
            </w:r>
            <w:r w:rsidR="00745A84" w:rsidRPr="00187705">
              <w:rPr>
                <w:rFonts w:eastAsia="Arial"/>
                <w:color w:val="FFFFFF" w:themeColor="background1"/>
                <w:szCs w:val="21"/>
              </w:rPr>
              <w:t>g</w:t>
            </w:r>
            <w:r w:rsidRPr="00187705">
              <w:rPr>
                <w:rFonts w:eastAsia="Arial"/>
                <w:color w:val="FFFFFF" w:themeColor="background1"/>
                <w:szCs w:val="21"/>
              </w:rPr>
              <w:t>roup</w:t>
            </w:r>
          </w:p>
        </w:tc>
      </w:tr>
      <w:tr w:rsidR="00865487" w:rsidRPr="003D251C" w14:paraId="447CB7D9"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18D9B68" w14:textId="77777777" w:rsidR="00865487" w:rsidRPr="00AC68A2" w:rsidRDefault="00865487" w:rsidP="00545910">
            <w:pPr>
              <w:pStyle w:val="Tabletext9pt"/>
              <w:rPr>
                <w:b w:val="0"/>
                <w:bCs/>
              </w:rPr>
            </w:pPr>
            <w:r w:rsidRPr="00AC68A2">
              <w:rPr>
                <w:b w:val="0"/>
                <w:bCs/>
              </w:rPr>
              <w:t>Albury Wodonga Health</w:t>
            </w:r>
          </w:p>
        </w:tc>
        <w:tc>
          <w:tcPr>
            <w:tcW w:w="2293" w:type="pct"/>
          </w:tcPr>
          <w:p w14:paraId="208FB76E" w14:textId="16AA14B9"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Metro</w:t>
            </w:r>
            <w:r w:rsidR="00C0335F">
              <w:t>politan</w:t>
            </w:r>
            <w:r w:rsidRPr="003D251C">
              <w:t xml:space="preserve"> </w:t>
            </w:r>
            <w:r w:rsidR="00745A84">
              <w:t>and</w:t>
            </w:r>
            <w:r w:rsidRPr="003D251C">
              <w:t xml:space="preserve"> Large Regional</w:t>
            </w:r>
          </w:p>
        </w:tc>
      </w:tr>
      <w:tr w:rsidR="00865487" w:rsidRPr="003D251C" w14:paraId="1A70241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FA5E535" w14:textId="77777777" w:rsidR="00865487" w:rsidRPr="00AC68A2" w:rsidRDefault="00865487" w:rsidP="00545910">
            <w:pPr>
              <w:pStyle w:val="Tabletext9pt"/>
              <w:rPr>
                <w:b w:val="0"/>
                <w:bCs/>
              </w:rPr>
            </w:pPr>
            <w:r w:rsidRPr="00AC68A2">
              <w:rPr>
                <w:b w:val="0"/>
                <w:bCs/>
              </w:rPr>
              <w:t>Alfred Health</w:t>
            </w:r>
          </w:p>
        </w:tc>
        <w:tc>
          <w:tcPr>
            <w:tcW w:w="2293" w:type="pct"/>
          </w:tcPr>
          <w:p w14:paraId="1A57193E" w14:textId="63347B99"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022D08D6"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B251B2F" w14:textId="77777777" w:rsidR="00865487" w:rsidRPr="00AC68A2" w:rsidRDefault="00865487" w:rsidP="00545910">
            <w:pPr>
              <w:pStyle w:val="Tabletext9pt"/>
              <w:rPr>
                <w:b w:val="0"/>
                <w:bCs/>
              </w:rPr>
            </w:pPr>
            <w:r w:rsidRPr="00AC68A2">
              <w:rPr>
                <w:b w:val="0"/>
                <w:bCs/>
              </w:rPr>
              <w:t>Austin Health</w:t>
            </w:r>
          </w:p>
        </w:tc>
        <w:tc>
          <w:tcPr>
            <w:tcW w:w="2293" w:type="pct"/>
          </w:tcPr>
          <w:p w14:paraId="3990C6F2" w14:textId="6B8AE0AB"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4DB01D77"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4B8A1D5" w14:textId="77777777" w:rsidR="00865487" w:rsidRPr="00AC68A2" w:rsidRDefault="00865487" w:rsidP="00545910">
            <w:pPr>
              <w:pStyle w:val="Tabletext9pt"/>
              <w:rPr>
                <w:b w:val="0"/>
                <w:bCs/>
              </w:rPr>
            </w:pPr>
            <w:r w:rsidRPr="00AC68A2">
              <w:rPr>
                <w:b w:val="0"/>
                <w:bCs/>
              </w:rPr>
              <w:t>Barwon Health</w:t>
            </w:r>
          </w:p>
        </w:tc>
        <w:tc>
          <w:tcPr>
            <w:tcW w:w="2293" w:type="pct"/>
          </w:tcPr>
          <w:p w14:paraId="0A2522AE" w14:textId="57EE0A66"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1765E679"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867372B" w14:textId="77777777" w:rsidR="00865487" w:rsidRPr="00AC68A2" w:rsidRDefault="00865487" w:rsidP="00545910">
            <w:pPr>
              <w:pStyle w:val="Tabletext9pt"/>
              <w:rPr>
                <w:b w:val="0"/>
                <w:bCs/>
              </w:rPr>
            </w:pPr>
            <w:r w:rsidRPr="00AC68A2">
              <w:rPr>
                <w:b w:val="0"/>
                <w:bCs/>
              </w:rPr>
              <w:t>Bendigo Health</w:t>
            </w:r>
          </w:p>
        </w:tc>
        <w:tc>
          <w:tcPr>
            <w:tcW w:w="2293" w:type="pct"/>
          </w:tcPr>
          <w:p w14:paraId="2ABC5DC4" w14:textId="6E7BED5D"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A11112" w:rsidRPr="003D251C" w14:paraId="46EEA0E5"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5E832E2F" w14:textId="60AF0333" w:rsidR="00A11112" w:rsidRPr="00AC68A2" w:rsidRDefault="00A11112" w:rsidP="00545910">
            <w:pPr>
              <w:pStyle w:val="Tabletext9pt"/>
              <w:rPr>
                <w:b w:val="0"/>
                <w:bCs/>
              </w:rPr>
            </w:pPr>
            <w:r w:rsidRPr="00AC68A2">
              <w:rPr>
                <w:b w:val="0"/>
                <w:bCs/>
              </w:rPr>
              <w:t>Calvary</w:t>
            </w:r>
            <w:r w:rsidR="005D4777" w:rsidRPr="00AC68A2">
              <w:rPr>
                <w:b w:val="0"/>
                <w:bCs/>
              </w:rPr>
              <w:t xml:space="preserve"> Health Care Bethlehem Ltd</w:t>
            </w:r>
          </w:p>
        </w:tc>
        <w:tc>
          <w:tcPr>
            <w:tcW w:w="2293" w:type="pct"/>
          </w:tcPr>
          <w:p w14:paraId="698FA660" w14:textId="033F6F41" w:rsidR="00A11112" w:rsidRDefault="005D4777" w:rsidP="00545910">
            <w:pPr>
              <w:pStyle w:val="Tabletext9pt"/>
              <w:cnfStyle w:val="000000000000" w:firstRow="0" w:lastRow="0" w:firstColumn="0" w:lastColumn="0" w:oddVBand="0" w:evenVBand="0" w:oddHBand="0" w:evenHBand="0" w:firstRowFirstColumn="0" w:firstRowLastColumn="0" w:lastRowFirstColumn="0" w:lastRowLastColumn="0"/>
            </w:pPr>
            <w:r>
              <w:t xml:space="preserve">Metropolitan </w:t>
            </w:r>
            <w:r w:rsidR="00745A84">
              <w:t>and</w:t>
            </w:r>
            <w:r>
              <w:t xml:space="preserve"> Large Regional</w:t>
            </w:r>
          </w:p>
        </w:tc>
      </w:tr>
      <w:tr w:rsidR="00865487" w:rsidRPr="003D251C" w14:paraId="7221933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B476143" w14:textId="77777777" w:rsidR="00865487" w:rsidRPr="00AC68A2" w:rsidRDefault="00865487" w:rsidP="00545910">
            <w:pPr>
              <w:pStyle w:val="Tabletext9pt"/>
              <w:rPr>
                <w:b w:val="0"/>
                <w:bCs/>
              </w:rPr>
            </w:pPr>
            <w:r w:rsidRPr="00AC68A2">
              <w:rPr>
                <w:b w:val="0"/>
                <w:bCs/>
              </w:rPr>
              <w:t>Eastern Health</w:t>
            </w:r>
          </w:p>
        </w:tc>
        <w:tc>
          <w:tcPr>
            <w:tcW w:w="2293" w:type="pct"/>
          </w:tcPr>
          <w:p w14:paraId="3C6B0EBF" w14:textId="02BA5493"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3C57D25A"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D18CEE4" w14:textId="77777777" w:rsidR="00865487" w:rsidRPr="00AC68A2" w:rsidRDefault="00865487" w:rsidP="00545910">
            <w:pPr>
              <w:pStyle w:val="Tabletext9pt"/>
              <w:rPr>
                <w:b w:val="0"/>
                <w:bCs/>
              </w:rPr>
            </w:pPr>
            <w:r w:rsidRPr="00AC68A2">
              <w:rPr>
                <w:b w:val="0"/>
                <w:bCs/>
              </w:rPr>
              <w:t>Goulburn Valley Health</w:t>
            </w:r>
          </w:p>
        </w:tc>
        <w:tc>
          <w:tcPr>
            <w:tcW w:w="2293" w:type="pct"/>
          </w:tcPr>
          <w:p w14:paraId="0BC5BFB2" w14:textId="5E20D66A"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3887C477"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02D9380" w14:textId="77777777" w:rsidR="00865487" w:rsidRPr="00AC68A2" w:rsidRDefault="00865487" w:rsidP="00545910">
            <w:pPr>
              <w:pStyle w:val="Tabletext9pt"/>
              <w:rPr>
                <w:b w:val="0"/>
                <w:bCs/>
              </w:rPr>
            </w:pPr>
            <w:r w:rsidRPr="00AC68A2">
              <w:rPr>
                <w:b w:val="0"/>
                <w:bCs/>
              </w:rPr>
              <w:t>Grampians Health</w:t>
            </w:r>
          </w:p>
        </w:tc>
        <w:tc>
          <w:tcPr>
            <w:tcW w:w="2293" w:type="pct"/>
          </w:tcPr>
          <w:p w14:paraId="3F804FF2" w14:textId="66CC8EC5"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0A1AB61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B88E2FF" w14:textId="77777777" w:rsidR="00865487" w:rsidRPr="00AC68A2" w:rsidRDefault="00865487" w:rsidP="00545910">
            <w:pPr>
              <w:pStyle w:val="Tabletext9pt"/>
              <w:rPr>
                <w:b w:val="0"/>
                <w:bCs/>
              </w:rPr>
            </w:pPr>
            <w:r w:rsidRPr="00AC68A2">
              <w:rPr>
                <w:b w:val="0"/>
                <w:bCs/>
              </w:rPr>
              <w:t>Latrobe Regional Health</w:t>
            </w:r>
          </w:p>
        </w:tc>
        <w:tc>
          <w:tcPr>
            <w:tcW w:w="2293" w:type="pct"/>
          </w:tcPr>
          <w:p w14:paraId="5D791B57" w14:textId="256758D0"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745A84" w:rsidRPr="003D251C" w14:paraId="71AD21C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DC96AC0" w14:textId="77777777" w:rsidR="00745A84" w:rsidRPr="00AC68A2" w:rsidRDefault="00745A84" w:rsidP="00545910">
            <w:pPr>
              <w:pStyle w:val="Tabletext9pt"/>
              <w:rPr>
                <w:b w:val="0"/>
                <w:bCs/>
              </w:rPr>
            </w:pPr>
            <w:r w:rsidRPr="00AC68A2">
              <w:rPr>
                <w:b w:val="0"/>
                <w:bCs/>
              </w:rPr>
              <w:t>Melbourne Health</w:t>
            </w:r>
          </w:p>
        </w:tc>
        <w:tc>
          <w:tcPr>
            <w:tcW w:w="2293" w:type="pct"/>
          </w:tcPr>
          <w:p w14:paraId="73111705" w14:textId="48B90F76"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63E726B5"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9F514ED" w14:textId="77777777" w:rsidR="00745A84" w:rsidRPr="00AC68A2" w:rsidRDefault="00745A84" w:rsidP="00545910">
            <w:pPr>
              <w:pStyle w:val="Tabletext9pt"/>
              <w:rPr>
                <w:b w:val="0"/>
                <w:bCs/>
              </w:rPr>
            </w:pPr>
            <w:r w:rsidRPr="00AC68A2">
              <w:rPr>
                <w:b w:val="0"/>
                <w:bCs/>
              </w:rPr>
              <w:t>Mercy Hospitals Victoria Ltd</w:t>
            </w:r>
          </w:p>
        </w:tc>
        <w:tc>
          <w:tcPr>
            <w:tcW w:w="2293" w:type="pct"/>
          </w:tcPr>
          <w:p w14:paraId="6A308EE7" w14:textId="69B20AB2"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059A63EA"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5C4D215" w14:textId="77777777" w:rsidR="00745A84" w:rsidRPr="00AC68A2" w:rsidRDefault="00745A84" w:rsidP="00545910">
            <w:pPr>
              <w:pStyle w:val="Tabletext9pt"/>
              <w:rPr>
                <w:b w:val="0"/>
                <w:bCs/>
              </w:rPr>
            </w:pPr>
            <w:r w:rsidRPr="00AC68A2">
              <w:rPr>
                <w:b w:val="0"/>
                <w:bCs/>
              </w:rPr>
              <w:t>Monash Health</w:t>
            </w:r>
          </w:p>
        </w:tc>
        <w:tc>
          <w:tcPr>
            <w:tcW w:w="2293" w:type="pct"/>
          </w:tcPr>
          <w:p w14:paraId="5ABC51C9" w14:textId="3FF53033"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0058F3A1"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EF7BDF6" w14:textId="77777777" w:rsidR="00745A84" w:rsidRPr="00AC68A2" w:rsidRDefault="00745A84" w:rsidP="00545910">
            <w:pPr>
              <w:pStyle w:val="Tabletext9pt"/>
              <w:rPr>
                <w:b w:val="0"/>
                <w:bCs/>
              </w:rPr>
            </w:pPr>
            <w:r w:rsidRPr="00AC68A2">
              <w:rPr>
                <w:b w:val="0"/>
                <w:bCs/>
              </w:rPr>
              <w:t>Northern Health</w:t>
            </w:r>
          </w:p>
        </w:tc>
        <w:tc>
          <w:tcPr>
            <w:tcW w:w="2293" w:type="pct"/>
          </w:tcPr>
          <w:p w14:paraId="513F3173" w14:textId="0969CFDB"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0D0C0F" w:rsidRPr="003D251C" w14:paraId="076B0464"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70135B85" w14:textId="663EC58B" w:rsidR="000D0C0F" w:rsidRPr="00255BE5" w:rsidRDefault="00255BE5" w:rsidP="00545910">
            <w:pPr>
              <w:pStyle w:val="Tabletext9pt"/>
              <w:rPr>
                <w:b w:val="0"/>
                <w:bCs/>
              </w:rPr>
            </w:pPr>
            <w:r w:rsidRPr="00255BE5">
              <w:rPr>
                <w:b w:val="0"/>
                <w:bCs/>
              </w:rPr>
              <w:t>Parkville Youth Mental Health and Wellbeing Service</w:t>
            </w:r>
          </w:p>
        </w:tc>
        <w:tc>
          <w:tcPr>
            <w:tcW w:w="2293" w:type="pct"/>
          </w:tcPr>
          <w:p w14:paraId="31AAFAFA" w14:textId="1022D512" w:rsidR="000D0C0F" w:rsidRPr="0024004F" w:rsidRDefault="00255BE5"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65DA4519"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F871BB6" w14:textId="77777777" w:rsidR="00745A84" w:rsidRPr="00AC68A2" w:rsidRDefault="00745A84" w:rsidP="00545910">
            <w:pPr>
              <w:pStyle w:val="Tabletext9pt"/>
              <w:rPr>
                <w:b w:val="0"/>
                <w:bCs/>
              </w:rPr>
            </w:pPr>
            <w:r w:rsidRPr="00AC68A2">
              <w:rPr>
                <w:b w:val="0"/>
                <w:bCs/>
              </w:rPr>
              <w:t>Peninsula Health</w:t>
            </w:r>
          </w:p>
        </w:tc>
        <w:tc>
          <w:tcPr>
            <w:tcW w:w="2293" w:type="pct"/>
          </w:tcPr>
          <w:p w14:paraId="2D3F061D" w14:textId="31752956"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2D5A13AC"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199C3A0" w14:textId="77777777" w:rsidR="00745A84" w:rsidRPr="00AC68A2" w:rsidRDefault="00745A84" w:rsidP="00545910">
            <w:pPr>
              <w:pStyle w:val="Tabletext9pt"/>
              <w:rPr>
                <w:b w:val="0"/>
                <w:bCs/>
              </w:rPr>
            </w:pPr>
            <w:r w:rsidRPr="00AC68A2">
              <w:rPr>
                <w:b w:val="0"/>
                <w:bCs/>
              </w:rPr>
              <w:t>Peter MacCallum Cancer Institute</w:t>
            </w:r>
          </w:p>
        </w:tc>
        <w:tc>
          <w:tcPr>
            <w:tcW w:w="2293" w:type="pct"/>
          </w:tcPr>
          <w:p w14:paraId="02F2880D" w14:textId="2F1BE3ED"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38993F6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3B16E41" w14:textId="77777777" w:rsidR="00745A84" w:rsidRPr="00AC68A2" w:rsidRDefault="00745A84" w:rsidP="00545910">
            <w:pPr>
              <w:pStyle w:val="Tabletext9pt"/>
              <w:rPr>
                <w:b w:val="0"/>
                <w:bCs/>
              </w:rPr>
            </w:pPr>
            <w:r w:rsidRPr="00AC68A2">
              <w:rPr>
                <w:b w:val="0"/>
                <w:bCs/>
              </w:rPr>
              <w:t>Royal Children’s Hospital</w:t>
            </w:r>
          </w:p>
        </w:tc>
        <w:tc>
          <w:tcPr>
            <w:tcW w:w="2293" w:type="pct"/>
          </w:tcPr>
          <w:p w14:paraId="78DFB114" w14:textId="16EDB0D1"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0C39608F"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A233FD7" w14:textId="77777777" w:rsidR="00745A84" w:rsidRPr="00AC68A2" w:rsidRDefault="00745A84" w:rsidP="00545910">
            <w:pPr>
              <w:pStyle w:val="Tabletext9pt"/>
              <w:rPr>
                <w:b w:val="0"/>
                <w:bCs/>
              </w:rPr>
            </w:pPr>
            <w:r w:rsidRPr="00AC68A2">
              <w:rPr>
                <w:b w:val="0"/>
                <w:bCs/>
              </w:rPr>
              <w:t>Royal Women’s Hospital</w:t>
            </w:r>
          </w:p>
        </w:tc>
        <w:tc>
          <w:tcPr>
            <w:tcW w:w="2293" w:type="pct"/>
          </w:tcPr>
          <w:p w14:paraId="655515FC" w14:textId="4D8CCBEB"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3B90A7F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039F2AB" w14:textId="77777777" w:rsidR="00745A84" w:rsidRPr="00AC68A2" w:rsidRDefault="00745A84" w:rsidP="00545910">
            <w:pPr>
              <w:pStyle w:val="Tabletext9pt"/>
              <w:rPr>
                <w:b w:val="0"/>
                <w:bCs/>
              </w:rPr>
            </w:pPr>
            <w:r w:rsidRPr="00AC68A2">
              <w:rPr>
                <w:b w:val="0"/>
                <w:bCs/>
              </w:rPr>
              <w:t>St Vincents Health</w:t>
            </w:r>
          </w:p>
        </w:tc>
        <w:tc>
          <w:tcPr>
            <w:tcW w:w="2293" w:type="pct"/>
          </w:tcPr>
          <w:p w14:paraId="1A1F3DC0" w14:textId="695BAF33"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865487" w:rsidRPr="003D251C" w14:paraId="6A7FD658"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789B2C9" w14:textId="77777777" w:rsidR="00865487" w:rsidRPr="00AC68A2" w:rsidRDefault="00865487" w:rsidP="00545910">
            <w:pPr>
              <w:pStyle w:val="Tabletext9pt"/>
              <w:rPr>
                <w:b w:val="0"/>
                <w:bCs/>
              </w:rPr>
            </w:pPr>
            <w:r w:rsidRPr="00AC68A2">
              <w:rPr>
                <w:b w:val="0"/>
                <w:bCs/>
              </w:rPr>
              <w:t>The Royal Victorian Eye &amp; Ear Hospital</w:t>
            </w:r>
          </w:p>
        </w:tc>
        <w:tc>
          <w:tcPr>
            <w:tcW w:w="2293" w:type="pct"/>
          </w:tcPr>
          <w:p w14:paraId="389C97FF" w14:textId="01894985" w:rsidR="00865487"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Pr="003D251C">
              <w:t xml:space="preserve"> </w:t>
            </w:r>
            <w:r>
              <w:t>and</w:t>
            </w:r>
            <w:r w:rsidRPr="003D251C">
              <w:t xml:space="preserve"> Large Regional</w:t>
            </w:r>
          </w:p>
        </w:tc>
      </w:tr>
      <w:tr w:rsidR="00865487" w:rsidRPr="003D251C" w14:paraId="0621CBC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54EDD76" w14:textId="77777777" w:rsidR="00865487" w:rsidRPr="00AC68A2" w:rsidRDefault="00865487" w:rsidP="00545910">
            <w:pPr>
              <w:pStyle w:val="Tabletext9pt"/>
              <w:rPr>
                <w:b w:val="0"/>
                <w:bCs/>
              </w:rPr>
            </w:pPr>
            <w:r w:rsidRPr="00AC68A2">
              <w:rPr>
                <w:b w:val="0"/>
                <w:bCs/>
              </w:rPr>
              <w:t>Western Health</w:t>
            </w:r>
          </w:p>
        </w:tc>
        <w:tc>
          <w:tcPr>
            <w:tcW w:w="2293" w:type="pct"/>
          </w:tcPr>
          <w:p w14:paraId="7D92DC7E" w14:textId="520618A5" w:rsidR="00865487"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Pr="003D251C">
              <w:t xml:space="preserve"> </w:t>
            </w:r>
            <w:r>
              <w:t>and</w:t>
            </w:r>
            <w:r w:rsidRPr="003D251C">
              <w:t xml:space="preserve"> Large Regional</w:t>
            </w:r>
          </w:p>
        </w:tc>
      </w:tr>
      <w:tr w:rsidR="00865487" w:rsidRPr="003D251C" w14:paraId="57B74F6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9946564" w14:textId="77777777" w:rsidR="00865487" w:rsidRPr="00AC68A2" w:rsidRDefault="00865487" w:rsidP="00545910">
            <w:pPr>
              <w:pStyle w:val="Tabletext9pt"/>
              <w:rPr>
                <w:b w:val="0"/>
                <w:bCs/>
              </w:rPr>
            </w:pPr>
            <w:r w:rsidRPr="00AC68A2">
              <w:rPr>
                <w:b w:val="0"/>
                <w:bCs/>
              </w:rPr>
              <w:t>Bairnsdale Regional Health Service</w:t>
            </w:r>
          </w:p>
        </w:tc>
        <w:tc>
          <w:tcPr>
            <w:tcW w:w="2293" w:type="pct"/>
          </w:tcPr>
          <w:p w14:paraId="2D029914"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16D006F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2E6D4881" w14:textId="77777777" w:rsidR="00865487" w:rsidRPr="00AC68A2" w:rsidRDefault="00865487" w:rsidP="00545910">
            <w:pPr>
              <w:pStyle w:val="Tabletext9pt"/>
              <w:rPr>
                <w:b w:val="0"/>
                <w:bCs/>
              </w:rPr>
            </w:pPr>
            <w:r w:rsidRPr="00AC68A2">
              <w:rPr>
                <w:b w:val="0"/>
                <w:bCs/>
              </w:rPr>
              <w:t>Bass Coast Health</w:t>
            </w:r>
          </w:p>
        </w:tc>
        <w:tc>
          <w:tcPr>
            <w:tcW w:w="2293" w:type="pct"/>
          </w:tcPr>
          <w:p w14:paraId="318357E7"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5EFDF98E"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5A92274" w14:textId="77777777" w:rsidR="00865487" w:rsidRPr="00AC68A2" w:rsidRDefault="00865487" w:rsidP="00545910">
            <w:pPr>
              <w:pStyle w:val="Tabletext9pt"/>
              <w:rPr>
                <w:b w:val="0"/>
                <w:bCs/>
              </w:rPr>
            </w:pPr>
            <w:r w:rsidRPr="00AC68A2">
              <w:rPr>
                <w:b w:val="0"/>
                <w:bCs/>
              </w:rPr>
              <w:t>Benalla Health</w:t>
            </w:r>
          </w:p>
        </w:tc>
        <w:tc>
          <w:tcPr>
            <w:tcW w:w="2293" w:type="pct"/>
          </w:tcPr>
          <w:p w14:paraId="049B905D"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5072A4F1"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05B9826" w14:textId="77777777" w:rsidR="00865487" w:rsidRPr="00AC68A2" w:rsidRDefault="00865487" w:rsidP="00545910">
            <w:pPr>
              <w:pStyle w:val="Tabletext9pt"/>
              <w:rPr>
                <w:b w:val="0"/>
                <w:bCs/>
              </w:rPr>
            </w:pPr>
            <w:r w:rsidRPr="00AC68A2">
              <w:rPr>
                <w:b w:val="0"/>
                <w:bCs/>
              </w:rPr>
              <w:t>Central Gippsland Health Service</w:t>
            </w:r>
          </w:p>
        </w:tc>
        <w:tc>
          <w:tcPr>
            <w:tcW w:w="2293" w:type="pct"/>
          </w:tcPr>
          <w:p w14:paraId="64E8C24B"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4A2251" w:rsidRPr="003D251C" w14:paraId="5035E3E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3E874439" w14:textId="58A7535F" w:rsidR="004A2251" w:rsidRPr="00AC68A2" w:rsidRDefault="004A2251" w:rsidP="00545910">
            <w:pPr>
              <w:pStyle w:val="Tabletext9pt"/>
              <w:rPr>
                <w:b w:val="0"/>
                <w:bCs/>
              </w:rPr>
            </w:pPr>
            <w:r w:rsidRPr="00AC68A2">
              <w:rPr>
                <w:b w:val="0"/>
                <w:bCs/>
              </w:rPr>
              <w:t>Colac Area Health</w:t>
            </w:r>
          </w:p>
        </w:tc>
        <w:tc>
          <w:tcPr>
            <w:tcW w:w="2293" w:type="pct"/>
          </w:tcPr>
          <w:p w14:paraId="665118EB" w14:textId="3DF8277B" w:rsidR="004A2251" w:rsidRPr="003D251C" w:rsidRDefault="004A2251" w:rsidP="00545910">
            <w:pPr>
              <w:pStyle w:val="Tabletext9pt"/>
              <w:cnfStyle w:val="000000100000" w:firstRow="0" w:lastRow="0" w:firstColumn="0" w:lastColumn="0" w:oddVBand="0" w:evenVBand="0" w:oddHBand="1" w:evenHBand="0" w:firstRowFirstColumn="0" w:firstRowLastColumn="0" w:lastRowFirstColumn="0" w:lastRowLastColumn="0"/>
            </w:pPr>
            <w:r>
              <w:t>Subregional</w:t>
            </w:r>
          </w:p>
        </w:tc>
      </w:tr>
      <w:tr w:rsidR="00865487" w:rsidRPr="003D251C" w14:paraId="70E446C3"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92E8864" w14:textId="77777777" w:rsidR="00865487" w:rsidRPr="00AC68A2" w:rsidRDefault="00865487" w:rsidP="00545910">
            <w:pPr>
              <w:pStyle w:val="Tabletext9pt"/>
              <w:rPr>
                <w:b w:val="0"/>
                <w:bCs/>
              </w:rPr>
            </w:pPr>
            <w:r w:rsidRPr="00AC68A2">
              <w:rPr>
                <w:b w:val="0"/>
                <w:bCs/>
              </w:rPr>
              <w:t>Dhelkaya Health</w:t>
            </w:r>
          </w:p>
        </w:tc>
        <w:tc>
          <w:tcPr>
            <w:tcW w:w="2293" w:type="pct"/>
          </w:tcPr>
          <w:p w14:paraId="6933522C"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6DCDFC53"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07B8C72" w14:textId="77777777" w:rsidR="00865487" w:rsidRPr="00AC68A2" w:rsidRDefault="00865487" w:rsidP="00545910">
            <w:pPr>
              <w:pStyle w:val="Tabletext9pt"/>
              <w:rPr>
                <w:b w:val="0"/>
                <w:bCs/>
              </w:rPr>
            </w:pPr>
            <w:r w:rsidRPr="00AC68A2">
              <w:rPr>
                <w:b w:val="0"/>
                <w:bCs/>
              </w:rPr>
              <w:t>East Grampians Health Service</w:t>
            </w:r>
          </w:p>
        </w:tc>
        <w:tc>
          <w:tcPr>
            <w:tcW w:w="2293" w:type="pct"/>
          </w:tcPr>
          <w:p w14:paraId="1EC7B095"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2C69B46D"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255EA56" w14:textId="77777777" w:rsidR="00865487" w:rsidRPr="00AC68A2" w:rsidRDefault="00865487" w:rsidP="00545910">
            <w:pPr>
              <w:pStyle w:val="Tabletext9pt"/>
              <w:rPr>
                <w:b w:val="0"/>
                <w:bCs/>
              </w:rPr>
            </w:pPr>
            <w:r w:rsidRPr="00AC68A2">
              <w:rPr>
                <w:b w:val="0"/>
                <w:bCs/>
              </w:rPr>
              <w:t>Echuca Regional Health</w:t>
            </w:r>
          </w:p>
        </w:tc>
        <w:tc>
          <w:tcPr>
            <w:tcW w:w="2293" w:type="pct"/>
          </w:tcPr>
          <w:p w14:paraId="050BAFF3"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2302D175"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E3B8772" w14:textId="77777777" w:rsidR="00865487" w:rsidRPr="00AC68A2" w:rsidRDefault="00865487" w:rsidP="00545910">
            <w:pPr>
              <w:pStyle w:val="Tabletext9pt"/>
              <w:rPr>
                <w:b w:val="0"/>
                <w:bCs/>
              </w:rPr>
            </w:pPr>
            <w:r w:rsidRPr="00AC68A2">
              <w:rPr>
                <w:b w:val="0"/>
                <w:bCs/>
              </w:rPr>
              <w:t>Gippsland Southern Health Service</w:t>
            </w:r>
          </w:p>
        </w:tc>
        <w:tc>
          <w:tcPr>
            <w:tcW w:w="2293" w:type="pct"/>
          </w:tcPr>
          <w:p w14:paraId="7CC8160C"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05DEECF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E2A3C29" w14:textId="77777777" w:rsidR="00865487" w:rsidRPr="00AC68A2" w:rsidRDefault="00865487" w:rsidP="00545910">
            <w:pPr>
              <w:pStyle w:val="Tabletext9pt"/>
              <w:rPr>
                <w:b w:val="0"/>
                <w:bCs/>
              </w:rPr>
            </w:pPr>
            <w:r w:rsidRPr="00AC68A2">
              <w:rPr>
                <w:b w:val="0"/>
                <w:bCs/>
              </w:rPr>
              <w:t>Kyabram District Health Service</w:t>
            </w:r>
          </w:p>
        </w:tc>
        <w:tc>
          <w:tcPr>
            <w:tcW w:w="2293" w:type="pct"/>
          </w:tcPr>
          <w:p w14:paraId="7552D5BF"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4A9F8B51"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435547C" w14:textId="77777777" w:rsidR="00865487" w:rsidRPr="00AC68A2" w:rsidRDefault="00865487" w:rsidP="00545910">
            <w:pPr>
              <w:pStyle w:val="Tabletext9pt"/>
              <w:rPr>
                <w:b w:val="0"/>
                <w:bCs/>
              </w:rPr>
            </w:pPr>
            <w:r w:rsidRPr="00AC68A2">
              <w:rPr>
                <w:b w:val="0"/>
                <w:bCs/>
              </w:rPr>
              <w:t>Maryborough District Health Service</w:t>
            </w:r>
          </w:p>
        </w:tc>
        <w:tc>
          <w:tcPr>
            <w:tcW w:w="2293" w:type="pct"/>
          </w:tcPr>
          <w:p w14:paraId="1CF6FEF4"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62B1616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5B07080" w14:textId="77777777" w:rsidR="00865487" w:rsidRPr="00AC68A2" w:rsidRDefault="00865487" w:rsidP="00545910">
            <w:pPr>
              <w:pStyle w:val="Tabletext9pt"/>
              <w:rPr>
                <w:b w:val="0"/>
                <w:bCs/>
              </w:rPr>
            </w:pPr>
            <w:r w:rsidRPr="00AC68A2">
              <w:rPr>
                <w:b w:val="0"/>
                <w:bCs/>
              </w:rPr>
              <w:t>Mildura Base Public Hospital</w:t>
            </w:r>
          </w:p>
        </w:tc>
        <w:tc>
          <w:tcPr>
            <w:tcW w:w="2293" w:type="pct"/>
          </w:tcPr>
          <w:p w14:paraId="3CD8C2AE"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7081E7A5"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9F39918" w14:textId="77777777" w:rsidR="00865487" w:rsidRPr="00AC68A2" w:rsidRDefault="00865487" w:rsidP="00545910">
            <w:pPr>
              <w:pStyle w:val="Tabletext9pt"/>
              <w:rPr>
                <w:b w:val="0"/>
                <w:bCs/>
              </w:rPr>
            </w:pPr>
            <w:r w:rsidRPr="00AC68A2">
              <w:rPr>
                <w:b w:val="0"/>
                <w:bCs/>
              </w:rPr>
              <w:t>Northeast Health Wangaratta</w:t>
            </w:r>
          </w:p>
        </w:tc>
        <w:tc>
          <w:tcPr>
            <w:tcW w:w="2293" w:type="pct"/>
          </w:tcPr>
          <w:p w14:paraId="21450949"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498D5CE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2A092A3" w14:textId="77777777" w:rsidR="00865487" w:rsidRPr="00AC68A2" w:rsidRDefault="00865487" w:rsidP="00545910">
            <w:pPr>
              <w:pStyle w:val="Tabletext9pt"/>
              <w:rPr>
                <w:b w:val="0"/>
                <w:bCs/>
              </w:rPr>
            </w:pPr>
            <w:r w:rsidRPr="00AC68A2">
              <w:rPr>
                <w:b w:val="0"/>
                <w:bCs/>
              </w:rPr>
              <w:lastRenderedPageBreak/>
              <w:t>Portland District Health</w:t>
            </w:r>
          </w:p>
        </w:tc>
        <w:tc>
          <w:tcPr>
            <w:tcW w:w="2293" w:type="pct"/>
          </w:tcPr>
          <w:p w14:paraId="25264E0F"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4ED7765E"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F32FB3D" w14:textId="77777777" w:rsidR="00865487" w:rsidRPr="00AC68A2" w:rsidRDefault="00865487" w:rsidP="00545910">
            <w:pPr>
              <w:pStyle w:val="Tabletext9pt"/>
              <w:rPr>
                <w:b w:val="0"/>
                <w:bCs/>
              </w:rPr>
            </w:pPr>
            <w:r w:rsidRPr="00AC68A2">
              <w:rPr>
                <w:b w:val="0"/>
                <w:bCs/>
              </w:rPr>
              <w:t>South West Healthcare</w:t>
            </w:r>
          </w:p>
        </w:tc>
        <w:tc>
          <w:tcPr>
            <w:tcW w:w="2293" w:type="pct"/>
          </w:tcPr>
          <w:p w14:paraId="71DD38C3"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31EB8A8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AE4D2C9" w14:textId="77777777" w:rsidR="00865487" w:rsidRPr="00AC68A2" w:rsidRDefault="00865487" w:rsidP="00545910">
            <w:pPr>
              <w:pStyle w:val="Tabletext9pt"/>
              <w:rPr>
                <w:b w:val="0"/>
                <w:bCs/>
              </w:rPr>
            </w:pPr>
            <w:r w:rsidRPr="00AC68A2">
              <w:rPr>
                <w:b w:val="0"/>
                <w:bCs/>
              </w:rPr>
              <w:t>Swan Hill District Health</w:t>
            </w:r>
          </w:p>
        </w:tc>
        <w:tc>
          <w:tcPr>
            <w:tcW w:w="2293" w:type="pct"/>
          </w:tcPr>
          <w:p w14:paraId="77772C4D"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3141982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42DF698" w14:textId="77777777" w:rsidR="00865487" w:rsidRPr="00AC68A2" w:rsidRDefault="00865487" w:rsidP="00545910">
            <w:pPr>
              <w:pStyle w:val="Tabletext9pt"/>
              <w:rPr>
                <w:b w:val="0"/>
                <w:bCs/>
              </w:rPr>
            </w:pPr>
            <w:r w:rsidRPr="00AC68A2">
              <w:rPr>
                <w:b w:val="0"/>
                <w:bCs/>
              </w:rPr>
              <w:t>West Gippsland Healthcare Group</w:t>
            </w:r>
          </w:p>
        </w:tc>
        <w:tc>
          <w:tcPr>
            <w:tcW w:w="2293" w:type="pct"/>
          </w:tcPr>
          <w:p w14:paraId="6259FCBC"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25527E82"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C76100B" w14:textId="77777777" w:rsidR="00865487" w:rsidRPr="00AC68A2" w:rsidRDefault="00865487" w:rsidP="00545910">
            <w:pPr>
              <w:pStyle w:val="Tabletext9pt"/>
              <w:rPr>
                <w:b w:val="0"/>
                <w:bCs/>
              </w:rPr>
            </w:pPr>
            <w:r w:rsidRPr="00AC68A2">
              <w:rPr>
                <w:b w:val="0"/>
                <w:bCs/>
              </w:rPr>
              <w:t>Western District Health Service</w:t>
            </w:r>
          </w:p>
        </w:tc>
        <w:tc>
          <w:tcPr>
            <w:tcW w:w="2293" w:type="pct"/>
          </w:tcPr>
          <w:p w14:paraId="1852389C"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bl>
    <w:p w14:paraId="6B184894" w14:textId="77777777" w:rsidR="001362D2" w:rsidRDefault="001362D2" w:rsidP="00545910">
      <w:pPr>
        <w:pStyle w:val="Tabletext9pt"/>
      </w:pPr>
    </w:p>
    <w:p w14:paraId="3EEA59A2" w14:textId="290CCD54" w:rsidR="00F9087B" w:rsidRPr="00922A4D" w:rsidRDefault="00F9087B" w:rsidP="00922A4D">
      <w:pPr>
        <w:pStyle w:val="Body"/>
      </w:pPr>
      <w:r>
        <w:br w:type="page"/>
      </w:r>
    </w:p>
    <w:p w14:paraId="5E5DACC0" w14:textId="62C959CC" w:rsidR="005B699B" w:rsidRDefault="005B699B" w:rsidP="00B718DB">
      <w:pPr>
        <w:pStyle w:val="Heading1"/>
        <w:numPr>
          <w:ilvl w:val="0"/>
          <w:numId w:val="12"/>
        </w:numPr>
        <w:ind w:left="851" w:hanging="851"/>
      </w:pPr>
      <w:bookmarkStart w:id="2286" w:name="_Toc167651304"/>
      <w:bookmarkStart w:id="2287" w:name="_Toc418694994"/>
      <w:bookmarkStart w:id="2288" w:name="_Ref419741488"/>
      <w:bookmarkStart w:id="2289" w:name="_Ref419741499"/>
      <w:bookmarkStart w:id="2290" w:name="_Toc487742021"/>
      <w:bookmarkStart w:id="2291" w:name="_Toc14172251"/>
      <w:bookmarkStart w:id="2292" w:name="_Toc100263354"/>
      <w:bookmarkStart w:id="2293" w:name="_Toc165961858"/>
      <w:bookmarkStart w:id="2294" w:name="_Toc201148286"/>
      <w:bookmarkEnd w:id="2263"/>
      <w:bookmarkEnd w:id="2264"/>
      <w:bookmarkEnd w:id="2265"/>
      <w:bookmarkEnd w:id="2284"/>
      <w:bookmarkEnd w:id="2285"/>
      <w:bookmarkEnd w:id="2286"/>
      <w:r>
        <w:lastRenderedPageBreak/>
        <w:t xml:space="preserve">Output and </w:t>
      </w:r>
      <w:r w:rsidRPr="00731B6C">
        <w:t>activity</w:t>
      </w:r>
      <w:r>
        <w:t xml:space="preserve"> </w:t>
      </w:r>
      <w:bookmarkEnd w:id="2287"/>
      <w:bookmarkEnd w:id="2288"/>
      <w:bookmarkEnd w:id="2289"/>
      <w:bookmarkEnd w:id="2290"/>
      <w:bookmarkEnd w:id="2291"/>
      <w:bookmarkEnd w:id="2292"/>
      <w:r>
        <w:t>tables</w:t>
      </w:r>
      <w:bookmarkEnd w:id="2293"/>
      <w:bookmarkEnd w:id="2294"/>
    </w:p>
    <w:p w14:paraId="4AB92AB9" w14:textId="70B5EF86" w:rsidR="005B699B" w:rsidRDefault="005B699B" w:rsidP="005B699B">
      <w:pPr>
        <w:pStyle w:val="Body"/>
      </w:pPr>
      <w:bookmarkStart w:id="2295" w:name="_Toc419623623"/>
      <w:bookmarkStart w:id="2296" w:name="_Toc419623735"/>
      <w:bookmarkStart w:id="2297" w:name="_Toc419644523"/>
      <w:bookmarkStart w:id="2298" w:name="_Toc487742087"/>
      <w:r w:rsidRPr="00803C4D">
        <w:t xml:space="preserve">A range of inpatient, residential and community-based clinical services </w:t>
      </w:r>
      <w:r>
        <w:t xml:space="preserve">are </w:t>
      </w:r>
      <w:r w:rsidRPr="00803C4D">
        <w:t xml:space="preserve">provided to people with a mental illness and their families so that those </w:t>
      </w:r>
      <w:r>
        <w:t xml:space="preserve">who </w:t>
      </w:r>
      <w:r w:rsidRPr="00803C4D">
        <w:t>experience mental health problems can access timely, high-quality care and support to recover and live successfully in the community</w:t>
      </w:r>
      <w:r w:rsidR="001A6D95">
        <w:t>.</w:t>
      </w:r>
    </w:p>
    <w:p w14:paraId="629A89E4" w14:textId="097AEC1B" w:rsidR="00A97999" w:rsidRPr="00A97999" w:rsidRDefault="00A97999" w:rsidP="00745A84">
      <w:pPr>
        <w:pStyle w:val="Tablecaption"/>
      </w:pPr>
      <w:bookmarkStart w:id="2299" w:name="_Ref199253880"/>
      <w:bookmarkStart w:id="2300" w:name="_Toc201148584"/>
      <w:bookmarkStart w:id="2301" w:name="_Toc14194760"/>
      <w:bookmarkStart w:id="2302" w:name="_Ref14204298"/>
      <w:bookmarkStart w:id="2303" w:name="_Toc54261416"/>
      <w:bookmarkStart w:id="2304" w:name="_Toc54616290"/>
      <w:bookmarkStart w:id="2305" w:name="_Ref423017896"/>
      <w:bookmarkStart w:id="2306" w:name="_Ref423017904"/>
      <w:bookmarkStart w:id="2307" w:name="_Ref393440229"/>
      <w:bookmarkStart w:id="2308" w:name="_Toc419623627"/>
      <w:bookmarkStart w:id="2309" w:name="_Toc419623739"/>
      <w:bookmarkStart w:id="2310" w:name="_Toc419644527"/>
      <w:bookmarkStart w:id="2311" w:name="_Toc487742091"/>
      <w:bookmarkEnd w:id="2295"/>
      <w:bookmarkEnd w:id="2296"/>
      <w:bookmarkEnd w:id="2297"/>
      <w:bookmarkEnd w:id="2298"/>
      <w:r w:rsidRPr="00A97999">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23</w:t>
      </w:r>
      <w:r w:rsidR="007D262B">
        <w:rPr>
          <w:noProof/>
        </w:rPr>
        <w:fldChar w:fldCharType="end"/>
      </w:r>
      <w:r w:rsidRPr="00A97999">
        <w:t xml:space="preserve">: Small rural </w:t>
      </w:r>
      <w:r w:rsidRPr="00745A84">
        <w:t>health</w:t>
      </w:r>
      <w:r w:rsidRPr="00A97999">
        <w:t xml:space="preserve"> services – outputs and activities 202</w:t>
      </w:r>
      <w:r w:rsidR="00013F54">
        <w:t>5</w:t>
      </w:r>
      <w:r w:rsidRPr="00A97999">
        <w:t>–2</w:t>
      </w:r>
      <w:r w:rsidR="00013F54">
        <w:t>6</w:t>
      </w:r>
      <w:bookmarkEnd w:id="2299"/>
      <w:bookmarkEnd w:id="2300"/>
      <w:r w:rsidR="0082484D">
        <w:t xml:space="preserve"> </w:t>
      </w:r>
    </w:p>
    <w:p w14:paraId="7477CE37" w14:textId="77777777" w:rsidR="005B699B" w:rsidRDefault="005B699B" w:rsidP="005B699B">
      <w:pPr>
        <w:pStyle w:val="Body"/>
      </w:pPr>
      <w:bookmarkStart w:id="2312" w:name="_Ref12016891"/>
      <w:bookmarkStart w:id="2313" w:name="_Toc419623628"/>
      <w:bookmarkStart w:id="2314" w:name="_Toc419623740"/>
      <w:bookmarkStart w:id="2315" w:name="_Toc419644528"/>
      <w:bookmarkStart w:id="2316" w:name="_Toc487742092"/>
      <w:bookmarkEnd w:id="2301"/>
      <w:bookmarkEnd w:id="2302"/>
      <w:bookmarkEnd w:id="2303"/>
      <w:bookmarkEnd w:id="2304"/>
      <w:bookmarkEnd w:id="2305"/>
      <w:bookmarkEnd w:id="2306"/>
      <w:bookmarkEnd w:id="2307"/>
      <w:bookmarkEnd w:id="2308"/>
      <w:bookmarkEnd w:id="2309"/>
      <w:bookmarkEnd w:id="2310"/>
      <w:bookmarkEnd w:id="2311"/>
      <w:r>
        <w:t>Output name: Acute health</w:t>
      </w:r>
    </w:p>
    <w:tbl>
      <w:tblPr>
        <w:tblStyle w:val="GridTable4-Accent1"/>
        <w:tblW w:w="9213" w:type="dxa"/>
        <w:tblLook w:val="04A0" w:firstRow="1" w:lastRow="0" w:firstColumn="1" w:lastColumn="0" w:noHBand="0" w:noVBand="1"/>
      </w:tblPr>
      <w:tblGrid>
        <w:gridCol w:w="1701"/>
        <w:gridCol w:w="2977"/>
        <w:gridCol w:w="4535"/>
      </w:tblGrid>
      <w:tr w:rsidR="005B699B" w14:paraId="17A5C5A8"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332F1562"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0541EC1"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262C96E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5E96E52F"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4D9C782D" w14:textId="77777777" w:rsidR="005B699B" w:rsidRPr="00AC68A2" w:rsidRDefault="005B699B" w:rsidP="00545910">
            <w:pPr>
              <w:pStyle w:val="Tabletext9pt"/>
              <w:rPr>
                <w:b w:val="0"/>
                <w:bCs/>
              </w:rPr>
            </w:pPr>
            <w:r w:rsidRPr="00AC68A2">
              <w:rPr>
                <w:b w:val="0"/>
                <w:bCs/>
              </w:rPr>
              <w:t>35024</w:t>
            </w:r>
          </w:p>
        </w:tc>
        <w:tc>
          <w:tcPr>
            <w:tcW w:w="2977" w:type="dxa"/>
            <w:hideMark/>
          </w:tcPr>
          <w:p w14:paraId="06BB2E64"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flexible health service delivery</w:t>
            </w:r>
          </w:p>
        </w:tc>
        <w:tc>
          <w:tcPr>
            <w:tcW w:w="4535" w:type="dxa"/>
            <w:hideMark/>
          </w:tcPr>
          <w:p w14:paraId="55EF7636" w14:textId="4D58D4AB" w:rsidR="005B699B" w:rsidRDefault="00C047EF" w:rsidP="00545910">
            <w:pPr>
              <w:pStyle w:val="Tabletext9pt"/>
              <w:cnfStyle w:val="000000100000" w:firstRow="0" w:lastRow="0" w:firstColumn="0" w:lastColumn="0" w:oddVBand="0" w:evenVBand="0" w:oddHBand="1" w:evenHBand="0" w:firstRowFirstColumn="0" w:firstRowLastColumn="0" w:lastRowFirstColumn="0" w:lastRowLastColumn="0"/>
            </w:pPr>
            <w:r>
              <w:t>H</w:t>
            </w:r>
            <w:r w:rsidR="005B699B">
              <w:t>ealth services provided to small rural communities.</w:t>
            </w:r>
          </w:p>
        </w:tc>
      </w:tr>
      <w:tr w:rsidR="005B699B" w14:paraId="2A3FB93A"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5DE327AB" w14:textId="77777777" w:rsidR="005B699B" w:rsidRPr="00AC68A2" w:rsidRDefault="005B699B" w:rsidP="00545910">
            <w:pPr>
              <w:pStyle w:val="Tabletext9pt"/>
              <w:rPr>
                <w:b w:val="0"/>
                <w:bCs/>
              </w:rPr>
            </w:pPr>
            <w:r w:rsidRPr="00AC68A2">
              <w:rPr>
                <w:b w:val="0"/>
                <w:bCs/>
              </w:rPr>
              <w:t>35025</w:t>
            </w:r>
          </w:p>
        </w:tc>
        <w:tc>
          <w:tcPr>
            <w:tcW w:w="2977" w:type="dxa"/>
            <w:hideMark/>
          </w:tcPr>
          <w:p w14:paraId="6E75C507"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TAC – acute health</w:t>
            </w:r>
          </w:p>
        </w:tc>
        <w:tc>
          <w:tcPr>
            <w:tcW w:w="4535" w:type="dxa"/>
            <w:hideMark/>
          </w:tcPr>
          <w:p w14:paraId="37148BB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Transport Accident Commission-funded inpatient services.</w:t>
            </w:r>
          </w:p>
        </w:tc>
      </w:tr>
      <w:tr w:rsidR="005B699B" w14:paraId="0DD74661"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9B1BB30" w14:textId="77777777" w:rsidR="005B699B" w:rsidRPr="00AC68A2" w:rsidRDefault="005B699B" w:rsidP="00545910">
            <w:pPr>
              <w:pStyle w:val="Tabletext9pt"/>
              <w:rPr>
                <w:b w:val="0"/>
                <w:bCs/>
              </w:rPr>
            </w:pPr>
            <w:r w:rsidRPr="00AC68A2">
              <w:rPr>
                <w:b w:val="0"/>
                <w:bCs/>
              </w:rPr>
              <w:t>35026</w:t>
            </w:r>
          </w:p>
        </w:tc>
        <w:tc>
          <w:tcPr>
            <w:tcW w:w="2977" w:type="dxa"/>
            <w:hideMark/>
          </w:tcPr>
          <w:p w14:paraId="6267077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DVA – acute health</w:t>
            </w:r>
          </w:p>
        </w:tc>
        <w:tc>
          <w:tcPr>
            <w:tcW w:w="4535" w:type="dxa"/>
            <w:hideMark/>
          </w:tcPr>
          <w:p w14:paraId="259630B5"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Department of Veterans’ Affairs-funded inpatient services.</w:t>
            </w:r>
          </w:p>
        </w:tc>
      </w:tr>
      <w:tr w:rsidR="005B699B" w14:paraId="2C62445D"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16B3BAAD" w14:textId="77777777" w:rsidR="005B699B" w:rsidRPr="00AC68A2" w:rsidRDefault="005B699B" w:rsidP="00545910">
            <w:pPr>
              <w:pStyle w:val="Tabletext9pt"/>
              <w:rPr>
                <w:b w:val="0"/>
                <w:bCs/>
              </w:rPr>
            </w:pPr>
            <w:r w:rsidRPr="00AC68A2">
              <w:rPr>
                <w:b w:val="0"/>
                <w:bCs/>
              </w:rPr>
              <w:t>35028</w:t>
            </w:r>
          </w:p>
        </w:tc>
        <w:tc>
          <w:tcPr>
            <w:tcW w:w="2977" w:type="dxa"/>
            <w:hideMark/>
          </w:tcPr>
          <w:p w14:paraId="080D449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acute health service system development and resourcing</w:t>
            </w:r>
          </w:p>
        </w:tc>
        <w:tc>
          <w:tcPr>
            <w:tcW w:w="4535" w:type="dxa"/>
            <w:hideMark/>
          </w:tcPr>
          <w:p w14:paraId="000DCC46"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funds for workforce, community, service development and IT projects that support SRHSs.</w:t>
            </w:r>
          </w:p>
        </w:tc>
      </w:tr>
      <w:tr w:rsidR="005B699B" w14:paraId="2CF5D024"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0E580B2" w14:textId="77777777" w:rsidR="005B699B" w:rsidRPr="00AC68A2" w:rsidRDefault="005B699B" w:rsidP="00545910">
            <w:pPr>
              <w:pStyle w:val="Tabletext9pt"/>
              <w:rPr>
                <w:b w:val="0"/>
                <w:bCs/>
              </w:rPr>
            </w:pPr>
            <w:r w:rsidRPr="00AC68A2">
              <w:rPr>
                <w:b w:val="0"/>
                <w:bCs/>
              </w:rPr>
              <w:t>35051</w:t>
            </w:r>
          </w:p>
        </w:tc>
        <w:tc>
          <w:tcPr>
            <w:tcW w:w="2977" w:type="dxa"/>
            <w:hideMark/>
          </w:tcPr>
          <w:p w14:paraId="0F871D22"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Acute health – bush nursing hospitals</w:t>
            </w:r>
          </w:p>
        </w:tc>
        <w:tc>
          <w:tcPr>
            <w:tcW w:w="4535" w:type="dxa"/>
            <w:hideMark/>
          </w:tcPr>
          <w:p w14:paraId="4D756D7A"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Provides funds to bush nursing hospitals to support a variety of purposes including inpatient services, 24-hour emergency stabilisation services, agency support and stabilisation grants.</w:t>
            </w:r>
          </w:p>
        </w:tc>
      </w:tr>
      <w:tr w:rsidR="005B699B" w14:paraId="44CE095C"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6D3EC15A" w14:textId="77777777" w:rsidR="005B699B" w:rsidRPr="00AC68A2" w:rsidRDefault="005B699B" w:rsidP="00545910">
            <w:pPr>
              <w:pStyle w:val="Tabletext9pt"/>
              <w:rPr>
                <w:b w:val="0"/>
                <w:bCs/>
              </w:rPr>
            </w:pPr>
            <w:r w:rsidRPr="00AC68A2">
              <w:rPr>
                <w:b w:val="0"/>
                <w:bCs/>
              </w:rPr>
              <w:t>35052</w:t>
            </w:r>
          </w:p>
        </w:tc>
        <w:tc>
          <w:tcPr>
            <w:tcW w:w="2977" w:type="dxa"/>
            <w:hideMark/>
          </w:tcPr>
          <w:p w14:paraId="1B8C967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specified services</w:t>
            </w:r>
          </w:p>
        </w:tc>
        <w:tc>
          <w:tcPr>
            <w:tcW w:w="4535" w:type="dxa"/>
            <w:hideMark/>
          </w:tcPr>
          <w:p w14:paraId="7B74A43F"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funding for services and projects as specified in applicable grant descriptions and conditions of funding. Includes specific-purpose activities of both a one-off and recurrent nature.</w:t>
            </w:r>
          </w:p>
        </w:tc>
      </w:tr>
      <w:tr w:rsidR="005B699B" w14:paraId="00C2AB83"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2F49EDA8" w14:textId="77777777" w:rsidR="005B699B" w:rsidRPr="00AC68A2" w:rsidRDefault="005B699B" w:rsidP="00545910">
            <w:pPr>
              <w:pStyle w:val="Tabletext9pt"/>
              <w:rPr>
                <w:b w:val="0"/>
                <w:bCs/>
              </w:rPr>
            </w:pPr>
            <w:r w:rsidRPr="00AC68A2">
              <w:rPr>
                <w:b w:val="0"/>
                <w:bCs/>
              </w:rPr>
              <w:t>35023</w:t>
            </w:r>
          </w:p>
        </w:tc>
        <w:tc>
          <w:tcPr>
            <w:tcW w:w="2977" w:type="dxa"/>
            <w:hideMark/>
          </w:tcPr>
          <w:p w14:paraId="422F1AB3"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Acute health – bush nursing centres</w:t>
            </w:r>
          </w:p>
        </w:tc>
        <w:tc>
          <w:tcPr>
            <w:tcW w:w="4535" w:type="dxa"/>
            <w:hideMark/>
          </w:tcPr>
          <w:p w14:paraId="2420289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Provides funds to bush nursing centres to support clinical care, practical assistance, support, referral, and advocacy with the goal of improving quality of life, social function, and health.</w:t>
            </w:r>
          </w:p>
        </w:tc>
      </w:tr>
    </w:tbl>
    <w:p w14:paraId="473A74F7" w14:textId="77777777" w:rsidR="005B699B" w:rsidRDefault="005B699B" w:rsidP="00272A06">
      <w:pPr>
        <w:pStyle w:val="Bodyafterfiguretable"/>
      </w:pPr>
      <w:r>
        <w:t>Output name: Small rural services</w:t>
      </w:r>
    </w:p>
    <w:tbl>
      <w:tblPr>
        <w:tblStyle w:val="GridTable4-Accent1"/>
        <w:tblW w:w="9213" w:type="dxa"/>
        <w:tblLook w:val="04A0" w:firstRow="1" w:lastRow="0" w:firstColumn="1" w:lastColumn="0" w:noHBand="0" w:noVBand="1"/>
      </w:tblPr>
      <w:tblGrid>
        <w:gridCol w:w="1701"/>
        <w:gridCol w:w="2977"/>
        <w:gridCol w:w="4535"/>
      </w:tblGrid>
      <w:tr w:rsidR="005B699B" w14:paraId="25FF4947"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28A6004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03663D61"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044D5695"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2866B853"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4DAAF6A5" w14:textId="77777777" w:rsidR="005B699B" w:rsidRPr="00AC68A2" w:rsidRDefault="005B699B" w:rsidP="00545910">
            <w:pPr>
              <w:pStyle w:val="Tabletext9pt"/>
              <w:rPr>
                <w:b w:val="0"/>
                <w:bCs/>
              </w:rPr>
            </w:pPr>
            <w:r w:rsidRPr="00AC68A2">
              <w:rPr>
                <w:b w:val="0"/>
                <w:bCs/>
              </w:rPr>
              <w:t>35010</w:t>
            </w:r>
          </w:p>
        </w:tc>
        <w:tc>
          <w:tcPr>
            <w:tcW w:w="2977" w:type="dxa"/>
            <w:hideMark/>
          </w:tcPr>
          <w:p w14:paraId="32C4E73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aged support services</w:t>
            </w:r>
          </w:p>
        </w:tc>
        <w:tc>
          <w:tcPr>
            <w:tcW w:w="4535" w:type="dxa"/>
            <w:hideMark/>
          </w:tcPr>
          <w:p w14:paraId="46E70990" w14:textId="458EA658" w:rsidR="005B699B" w:rsidRDefault="00C047EF" w:rsidP="00545910">
            <w:pPr>
              <w:pStyle w:val="Tabletext9pt"/>
              <w:cnfStyle w:val="000000100000" w:firstRow="0" w:lastRow="0" w:firstColumn="0" w:lastColumn="0" w:oddVBand="0" w:evenVBand="0" w:oddHBand="1" w:evenHBand="0" w:firstRowFirstColumn="0" w:firstRowLastColumn="0" w:lastRowFirstColumn="0" w:lastRowLastColumn="0"/>
            </w:pPr>
            <w:r>
              <w:t>H</w:t>
            </w:r>
            <w:r w:rsidR="005B699B">
              <w:t>ealth promotion and community service activities that support older Victorians and their carers in small rural communities</w:t>
            </w:r>
            <w:r>
              <w:t>. This includes</w:t>
            </w:r>
            <w:r w:rsidR="005B699B" w:rsidDel="00C047EF">
              <w:t xml:space="preserve"> </w:t>
            </w:r>
            <w:r w:rsidR="005B699B">
              <w:t>seniors health promotion, aged carer support and respite, dementia services and aged care community grants.</w:t>
            </w:r>
          </w:p>
        </w:tc>
      </w:tr>
      <w:tr w:rsidR="005B699B" w14:paraId="57FB4EFF"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07BA07EC" w14:textId="77777777" w:rsidR="005B699B" w:rsidRPr="00AC68A2" w:rsidRDefault="005B699B" w:rsidP="00545910">
            <w:pPr>
              <w:pStyle w:val="Tabletext9pt"/>
              <w:rPr>
                <w:b w:val="0"/>
                <w:bCs/>
              </w:rPr>
            </w:pPr>
            <w:r w:rsidRPr="00AC68A2">
              <w:rPr>
                <w:b w:val="0"/>
                <w:bCs/>
              </w:rPr>
              <w:t>35052</w:t>
            </w:r>
          </w:p>
        </w:tc>
        <w:tc>
          <w:tcPr>
            <w:tcW w:w="2977" w:type="dxa"/>
            <w:hideMark/>
          </w:tcPr>
          <w:p w14:paraId="06CE8BF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Small rural services home and community care </w:t>
            </w:r>
          </w:p>
        </w:tc>
        <w:tc>
          <w:tcPr>
            <w:tcW w:w="4535" w:type="dxa"/>
            <w:hideMark/>
          </w:tcPr>
          <w:p w14:paraId="3CDBD15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A range of services to support younger people who have difficulty with the activities of daily living and their carers to remain at home and participate in the community.</w:t>
            </w:r>
          </w:p>
        </w:tc>
      </w:tr>
      <w:tr w:rsidR="005B699B" w14:paraId="10634801"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5F127CA7" w14:textId="65E11511" w:rsidR="005B699B" w:rsidRPr="00AC68A2" w:rsidRDefault="005B699B" w:rsidP="00545910">
            <w:pPr>
              <w:pStyle w:val="Tabletext9pt"/>
              <w:rPr>
                <w:b w:val="0"/>
                <w:bCs/>
              </w:rPr>
            </w:pPr>
            <w:r w:rsidRPr="00AC68A2">
              <w:rPr>
                <w:b w:val="0"/>
                <w:bCs/>
              </w:rPr>
              <w:t>35011</w:t>
            </w:r>
          </w:p>
        </w:tc>
        <w:tc>
          <w:tcPr>
            <w:tcW w:w="2977" w:type="dxa"/>
            <w:hideMark/>
          </w:tcPr>
          <w:p w14:paraId="634501B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residential aged care</w:t>
            </w:r>
          </w:p>
        </w:tc>
        <w:tc>
          <w:tcPr>
            <w:tcW w:w="4535" w:type="dxa"/>
            <w:hideMark/>
          </w:tcPr>
          <w:p w14:paraId="695F844C" w14:textId="6E0427E6"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Care and support for people in small rural communities who are approved for care and accommodation in </w:t>
            </w:r>
            <w:r w:rsidR="00184427">
              <w:t>PSRACS</w:t>
            </w:r>
            <w:r>
              <w:t xml:space="preserve">. </w:t>
            </w:r>
          </w:p>
        </w:tc>
      </w:tr>
      <w:tr w:rsidR="005B699B" w14:paraId="65322CA6"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4BCE1386" w14:textId="77777777" w:rsidR="005B699B" w:rsidRPr="00AC68A2" w:rsidRDefault="005B699B" w:rsidP="00545910">
            <w:pPr>
              <w:pStyle w:val="Tabletext9pt"/>
              <w:rPr>
                <w:b w:val="0"/>
                <w:bCs/>
              </w:rPr>
            </w:pPr>
            <w:r w:rsidRPr="00AC68A2">
              <w:rPr>
                <w:b w:val="0"/>
                <w:bCs/>
              </w:rPr>
              <w:t>35042</w:t>
            </w:r>
          </w:p>
        </w:tc>
        <w:tc>
          <w:tcPr>
            <w:tcW w:w="2977" w:type="dxa"/>
            <w:hideMark/>
          </w:tcPr>
          <w:p w14:paraId="3BCFC842"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drugs services</w:t>
            </w:r>
          </w:p>
        </w:tc>
        <w:tc>
          <w:tcPr>
            <w:tcW w:w="4535" w:type="dxa"/>
            <w:hideMark/>
          </w:tcPr>
          <w:p w14:paraId="2D4257E1" w14:textId="1D650F26"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Delivery of health and aged care services as per an agreed service profile and business rules.</w:t>
            </w:r>
          </w:p>
        </w:tc>
      </w:tr>
      <w:tr w:rsidR="005B699B" w14:paraId="0E8A2CEE"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50E7DB4F" w14:textId="77777777" w:rsidR="005B699B" w:rsidRPr="00AC68A2" w:rsidRDefault="005B699B" w:rsidP="00545910">
            <w:pPr>
              <w:pStyle w:val="Tabletext9pt"/>
              <w:rPr>
                <w:b w:val="0"/>
                <w:bCs/>
              </w:rPr>
            </w:pPr>
            <w:r w:rsidRPr="00AC68A2">
              <w:rPr>
                <w:b w:val="0"/>
                <w:bCs/>
              </w:rPr>
              <w:t>35048</w:t>
            </w:r>
          </w:p>
        </w:tc>
        <w:tc>
          <w:tcPr>
            <w:tcW w:w="2977" w:type="dxa"/>
            <w:hideMark/>
          </w:tcPr>
          <w:p w14:paraId="69D53AF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Small rural – primary health </w:t>
            </w:r>
          </w:p>
        </w:tc>
        <w:tc>
          <w:tcPr>
            <w:tcW w:w="4535" w:type="dxa"/>
            <w:hideMark/>
          </w:tcPr>
          <w:p w14:paraId="34440AB2" w14:textId="38DD6853"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Suitably qualified people assessing and providing direct care</w:t>
            </w:r>
            <w:r w:rsidR="00C047EF">
              <w:t>.</w:t>
            </w:r>
            <w:r>
              <w:t xml:space="preserve"> </w:t>
            </w:r>
            <w:r w:rsidR="00C047EF">
              <w:t>This includes</w:t>
            </w:r>
            <w:r>
              <w:t xml:space="preserve"> therapeutic intervention, clinical care, practical assistance, support, referral, and advocacy with the goal of improving quality of life, social function and health.</w:t>
            </w:r>
          </w:p>
          <w:p w14:paraId="315B16E5"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lastRenderedPageBreak/>
              <w:t>Promoting health, independence, and wellbeing to prevent illness, injury and disease through screening, risk assessment, immunisation, social marketing of health information, community action for social and environmental change, organisational development, workforce development and resources.</w:t>
            </w:r>
          </w:p>
        </w:tc>
      </w:tr>
    </w:tbl>
    <w:p w14:paraId="2A140A54" w14:textId="7584B690" w:rsidR="00A97999" w:rsidRPr="00A97999" w:rsidRDefault="00A97999" w:rsidP="00745A84">
      <w:pPr>
        <w:pStyle w:val="Tablecaption"/>
        <w:rPr>
          <w:bCs/>
        </w:rPr>
      </w:pPr>
      <w:bookmarkStart w:id="2317" w:name="_Ref199253927"/>
      <w:bookmarkStart w:id="2318" w:name="_Ref199253834"/>
      <w:bookmarkStart w:id="2319" w:name="_Toc201148585"/>
      <w:bookmarkStart w:id="2320" w:name="_Toc14194761"/>
      <w:bookmarkStart w:id="2321" w:name="_Toc54261417"/>
      <w:bookmarkStart w:id="2322" w:name="_Toc54616291"/>
      <w:bookmarkStart w:id="2323" w:name="_Toc109894125"/>
      <w:bookmarkEnd w:id="2312"/>
      <w:r w:rsidRPr="00A97999">
        <w:lastRenderedPageBreak/>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24</w:t>
      </w:r>
      <w:r w:rsidR="007D262B">
        <w:rPr>
          <w:noProof/>
        </w:rPr>
        <w:fldChar w:fldCharType="end"/>
      </w:r>
      <w:bookmarkEnd w:id="2317"/>
      <w:r w:rsidRPr="00A97999">
        <w:t xml:space="preserve">: </w:t>
      </w:r>
      <w:r w:rsidRPr="00745A84">
        <w:t>Aged</w:t>
      </w:r>
      <w:r w:rsidRPr="00A97999">
        <w:t xml:space="preserve"> and home care – outputs and activities </w:t>
      </w:r>
      <w:r w:rsidRPr="00A97999">
        <w:rPr>
          <w:bCs/>
        </w:rPr>
        <w:t>202</w:t>
      </w:r>
      <w:r w:rsidR="00013F54">
        <w:rPr>
          <w:bCs/>
        </w:rPr>
        <w:t>5</w:t>
      </w:r>
      <w:r w:rsidRPr="00A97999">
        <w:rPr>
          <w:bCs/>
        </w:rPr>
        <w:t>–2</w:t>
      </w:r>
      <w:r w:rsidR="00013F54">
        <w:rPr>
          <w:bCs/>
        </w:rPr>
        <w:t>6</w:t>
      </w:r>
      <w:bookmarkEnd w:id="2318"/>
      <w:bookmarkEnd w:id="2319"/>
      <w:r w:rsidR="003061C6">
        <w:rPr>
          <w:bCs/>
        </w:rPr>
        <w:t xml:space="preserve"> </w:t>
      </w:r>
    </w:p>
    <w:p w14:paraId="6BDF2E78" w14:textId="41B3FA5B" w:rsidR="005B699B" w:rsidRDefault="005B699B" w:rsidP="005B699B">
      <w:pPr>
        <w:pStyle w:val="Body"/>
      </w:pPr>
      <w:bookmarkStart w:id="2324" w:name="_Toc419623629"/>
      <w:bookmarkStart w:id="2325" w:name="_Toc419623741"/>
      <w:bookmarkStart w:id="2326" w:name="_Toc419644529"/>
      <w:bookmarkStart w:id="2327" w:name="_Toc487742093"/>
      <w:bookmarkEnd w:id="2313"/>
      <w:bookmarkEnd w:id="2314"/>
      <w:bookmarkEnd w:id="2315"/>
      <w:bookmarkEnd w:id="2316"/>
      <w:bookmarkEnd w:id="2320"/>
      <w:bookmarkEnd w:id="2321"/>
      <w:bookmarkEnd w:id="2322"/>
      <w:bookmarkEnd w:id="2323"/>
      <w:r>
        <w:t xml:space="preserve">Output name: Aged Care Assessment – Aged Care Assessment </w:t>
      </w:r>
    </w:p>
    <w:tbl>
      <w:tblPr>
        <w:tblStyle w:val="GridTable4-Accent1"/>
        <w:tblW w:w="9242" w:type="dxa"/>
        <w:tblLook w:val="04A0" w:firstRow="1" w:lastRow="0" w:firstColumn="1" w:lastColumn="0" w:noHBand="0" w:noVBand="1"/>
      </w:tblPr>
      <w:tblGrid>
        <w:gridCol w:w="1644"/>
        <w:gridCol w:w="3119"/>
        <w:gridCol w:w="4479"/>
      </w:tblGrid>
      <w:tr w:rsidR="005B699B" w14:paraId="0A0971EF" w14:textId="77777777" w:rsidTr="00A23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hideMark/>
          </w:tcPr>
          <w:p w14:paraId="6C06934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119" w:type="dxa"/>
            <w:hideMark/>
          </w:tcPr>
          <w:p w14:paraId="534DC56A"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479" w:type="dxa"/>
            <w:hideMark/>
          </w:tcPr>
          <w:p w14:paraId="699B689E"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4BD50E5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hideMark/>
          </w:tcPr>
          <w:p w14:paraId="27648CF5" w14:textId="77777777" w:rsidR="005B699B" w:rsidRPr="00AC68A2" w:rsidRDefault="005B699B" w:rsidP="00545910">
            <w:pPr>
              <w:pStyle w:val="Tabletext9pt"/>
              <w:rPr>
                <w:b w:val="0"/>
                <w:bCs/>
                <w:szCs w:val="18"/>
              </w:rPr>
            </w:pPr>
            <w:r w:rsidRPr="00AC68A2">
              <w:rPr>
                <w:b w:val="0"/>
                <w:bCs/>
              </w:rPr>
              <w:t>13005</w:t>
            </w:r>
          </w:p>
        </w:tc>
        <w:tc>
          <w:tcPr>
            <w:tcW w:w="3119" w:type="dxa"/>
            <w:hideMark/>
          </w:tcPr>
          <w:p w14:paraId="57805025" w14:textId="76F089D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Aged Care Assessment </w:t>
            </w:r>
          </w:p>
        </w:tc>
        <w:tc>
          <w:tcPr>
            <w:tcW w:w="4479" w:type="dxa"/>
            <w:hideMark/>
          </w:tcPr>
          <w:p w14:paraId="708F7DAB" w14:textId="2173FABE" w:rsidR="005B699B" w:rsidRDefault="002F53A4"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rsidRPr="00B83565">
              <w:t xml:space="preserve">To conduct Aged Care Needs Assessments (home support, comprehensive and hospital assessments) to assess the care needs of older people in Victoria. Assessment services are conducted to determine </w:t>
            </w:r>
            <w:bookmarkStart w:id="2328" w:name="_Int_DzZpydDU"/>
            <w:r w:rsidRPr="00B83565">
              <w:t>supports</w:t>
            </w:r>
            <w:bookmarkEnd w:id="2328"/>
            <w:r w:rsidRPr="00B83565">
              <w:t xml:space="preserve"> for those who wish to remain living in their home and community. This includes determining eligibility for services under the Aged Care Act, including residential aged care, residential respite care, Transition Care Program, the Commonwealth Home Support Program and Home Care Program packages.</w:t>
            </w:r>
          </w:p>
        </w:tc>
      </w:tr>
    </w:tbl>
    <w:p w14:paraId="47941E29" w14:textId="77777777" w:rsidR="005B699B" w:rsidRDefault="005B699B" w:rsidP="008C2F45">
      <w:pPr>
        <w:pStyle w:val="Bodyafterfiguretable"/>
      </w:pPr>
      <w:r>
        <w:t xml:space="preserve">Output name: </w:t>
      </w:r>
      <w:r>
        <w:rPr>
          <w:lang w:eastAsia="en-AU"/>
        </w:rPr>
        <w:t>Residential aged care</w:t>
      </w:r>
    </w:p>
    <w:tbl>
      <w:tblPr>
        <w:tblStyle w:val="GridTable4-Accent1"/>
        <w:tblW w:w="9270" w:type="dxa"/>
        <w:tblLook w:val="04A0" w:firstRow="1" w:lastRow="0" w:firstColumn="1" w:lastColumn="0" w:noHBand="0" w:noVBand="1"/>
      </w:tblPr>
      <w:tblGrid>
        <w:gridCol w:w="1701"/>
        <w:gridCol w:w="2977"/>
        <w:gridCol w:w="4592"/>
      </w:tblGrid>
      <w:tr w:rsidR="005B699B" w14:paraId="609C0D93"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1855DCB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1013FCF"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92" w:type="dxa"/>
            <w:hideMark/>
          </w:tcPr>
          <w:p w14:paraId="17F9AE2F"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4F96324A"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DC1ABB3" w14:textId="77777777" w:rsidR="005B699B" w:rsidRPr="00AC68A2" w:rsidRDefault="005B699B" w:rsidP="00545910">
            <w:pPr>
              <w:pStyle w:val="Tabletext9pt"/>
              <w:rPr>
                <w:b w:val="0"/>
                <w:bCs/>
              </w:rPr>
            </w:pPr>
            <w:r w:rsidRPr="00AC68A2">
              <w:rPr>
                <w:b w:val="0"/>
                <w:bCs/>
              </w:rPr>
              <w:t>13031</w:t>
            </w:r>
          </w:p>
        </w:tc>
        <w:tc>
          <w:tcPr>
            <w:tcW w:w="2977" w:type="dxa"/>
            <w:hideMark/>
          </w:tcPr>
          <w:p w14:paraId="69E4D00F"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Public sector residential aged care supplement</w:t>
            </w:r>
          </w:p>
        </w:tc>
        <w:tc>
          <w:tcPr>
            <w:tcW w:w="4592" w:type="dxa"/>
            <w:hideMark/>
          </w:tcPr>
          <w:p w14:paraId="7504AE0E" w14:textId="2CEED18D" w:rsidR="005B699B" w:rsidRPr="002618FB" w:rsidRDefault="001A3412"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Supports</w:t>
            </w:r>
            <w:r w:rsidR="00984013">
              <w:t xml:space="preserve"> </w:t>
            </w:r>
            <w:r w:rsidR="00C91B2C">
              <w:t>PSRACS to</w:t>
            </w:r>
            <w:r w:rsidR="00981B19">
              <w:t xml:space="preserve"> </w:t>
            </w:r>
            <w:r w:rsidR="008426A8">
              <w:t>deliver residential aged care.</w:t>
            </w:r>
            <w:r w:rsidR="005B699B">
              <w:t xml:space="preserve"> </w:t>
            </w:r>
            <w:r w:rsidR="005B699B" w:rsidRPr="204DFB60">
              <w:t>The</w:t>
            </w:r>
            <w:r w:rsidR="005B699B">
              <w:t xml:space="preserve"> department </w:t>
            </w:r>
            <w:r w:rsidR="005B699B" w:rsidRPr="6E8A1694">
              <w:t>is</w:t>
            </w:r>
            <w:r w:rsidR="005B699B" w:rsidRPr="204DFB60">
              <w:t xml:space="preserve"> reviewing</w:t>
            </w:r>
            <w:r w:rsidR="005B699B">
              <w:t xml:space="preserve"> the allocation of </w:t>
            </w:r>
            <w:r w:rsidR="00085C12">
              <w:t xml:space="preserve">PSRACS </w:t>
            </w:r>
            <w:r w:rsidR="005B699B">
              <w:t xml:space="preserve">funding and </w:t>
            </w:r>
            <w:r w:rsidR="005B699B" w:rsidRPr="6E8A1694">
              <w:t xml:space="preserve">this </w:t>
            </w:r>
            <w:r w:rsidR="005B699B">
              <w:t xml:space="preserve">may change </w:t>
            </w:r>
            <w:r w:rsidR="005B699B" w:rsidRPr="6E8A1694">
              <w:t>in 202</w:t>
            </w:r>
            <w:r w:rsidR="009577CC">
              <w:t>6</w:t>
            </w:r>
            <w:r w:rsidR="005B699B">
              <w:t>–</w:t>
            </w:r>
            <w:r w:rsidR="005B699B" w:rsidRPr="6E8A1694">
              <w:t>2</w:t>
            </w:r>
            <w:r w:rsidR="009577CC">
              <w:t>7</w:t>
            </w:r>
            <w:r w:rsidR="005B699B" w:rsidRPr="6E8A1694">
              <w:t>.</w:t>
            </w:r>
          </w:p>
        </w:tc>
      </w:tr>
      <w:tr w:rsidR="005B699B" w14:paraId="0D0C3C50"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50142D9A" w14:textId="77777777" w:rsidR="005B699B" w:rsidRPr="00AC68A2" w:rsidRDefault="005B699B" w:rsidP="00545910">
            <w:pPr>
              <w:pStyle w:val="Tabletext9pt"/>
              <w:rPr>
                <w:b w:val="0"/>
                <w:bCs/>
              </w:rPr>
            </w:pPr>
            <w:r w:rsidRPr="00AC68A2">
              <w:rPr>
                <w:b w:val="0"/>
                <w:bCs/>
              </w:rPr>
              <w:t>13059</w:t>
            </w:r>
          </w:p>
        </w:tc>
        <w:tc>
          <w:tcPr>
            <w:tcW w:w="2977" w:type="dxa"/>
            <w:hideMark/>
          </w:tcPr>
          <w:p w14:paraId="31265C4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Residential aged care complex supplement</w:t>
            </w:r>
          </w:p>
        </w:tc>
        <w:tc>
          <w:tcPr>
            <w:tcW w:w="4592" w:type="dxa"/>
            <w:hideMark/>
          </w:tcPr>
          <w:p w14:paraId="27AF5994" w14:textId="413F6EE3" w:rsidR="005B699B" w:rsidRDefault="001A3412" w:rsidP="00545910">
            <w:pPr>
              <w:pStyle w:val="Tabletext9pt"/>
              <w:cnfStyle w:val="000000000000" w:firstRow="0" w:lastRow="0" w:firstColumn="0" w:lastColumn="0" w:oddVBand="0" w:evenVBand="0" w:oddHBand="0" w:evenHBand="0" w:firstRowFirstColumn="0" w:firstRowLastColumn="0" w:lastRowFirstColumn="0" w:lastRowLastColumn="0"/>
            </w:pPr>
            <w:r>
              <w:t>Supports additional c</w:t>
            </w:r>
            <w:r w:rsidR="00775C5D">
              <w:t>are</w:t>
            </w:r>
            <w:r>
              <w:t xml:space="preserve"> and services</w:t>
            </w:r>
            <w:r w:rsidR="00775C5D">
              <w:t xml:space="preserve"> </w:t>
            </w:r>
            <w:r>
              <w:t>for a limited number of beds in</w:t>
            </w:r>
            <w:r w:rsidR="00775C5D">
              <w:t xml:space="preserve"> </w:t>
            </w:r>
            <w:r w:rsidR="00D74B94">
              <w:t>metropolitan PSRACS</w:t>
            </w:r>
            <w:r w:rsidR="0062101D">
              <w:t xml:space="preserve"> </w:t>
            </w:r>
            <w:r>
              <w:t xml:space="preserve">for the </w:t>
            </w:r>
            <w:r w:rsidR="3ACA7D62" w:rsidRPr="426A2875">
              <w:t xml:space="preserve">care </w:t>
            </w:r>
            <w:r>
              <w:t>of</w:t>
            </w:r>
            <w:r w:rsidR="3ACA7D62" w:rsidRPr="426A2875">
              <w:t xml:space="preserve"> people with </w:t>
            </w:r>
            <w:r w:rsidR="005B699B" w:rsidRPr="03A7985D">
              <w:t xml:space="preserve">complex conditions </w:t>
            </w:r>
            <w:r w:rsidR="163AF177" w:rsidRPr="426A2875">
              <w:t xml:space="preserve">and specialised </w:t>
            </w:r>
            <w:r w:rsidR="005B699B" w:rsidRPr="03A7985D">
              <w:t>care</w:t>
            </w:r>
            <w:r w:rsidR="005B699B">
              <w:t xml:space="preserve"> </w:t>
            </w:r>
            <w:r w:rsidR="6FDCFA8B" w:rsidRPr="426A2875">
              <w:t>needs</w:t>
            </w:r>
            <w:r w:rsidR="005B699B" w:rsidRPr="03A7985D">
              <w:t>.</w:t>
            </w:r>
          </w:p>
        </w:tc>
      </w:tr>
      <w:tr w:rsidR="005B699B" w14:paraId="7DA384C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29728FB9" w14:textId="77777777" w:rsidR="005B699B" w:rsidRPr="00AC68A2" w:rsidRDefault="005B699B" w:rsidP="00545910">
            <w:pPr>
              <w:pStyle w:val="Tabletext9pt"/>
              <w:rPr>
                <w:b w:val="0"/>
                <w:bCs/>
              </w:rPr>
            </w:pPr>
            <w:r w:rsidRPr="00AC68A2">
              <w:rPr>
                <w:b w:val="0"/>
                <w:bCs/>
              </w:rPr>
              <w:t>13107</w:t>
            </w:r>
          </w:p>
        </w:tc>
        <w:tc>
          <w:tcPr>
            <w:tcW w:w="2977" w:type="dxa"/>
            <w:hideMark/>
          </w:tcPr>
          <w:p w14:paraId="2B006AB3"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Rural small high-care supplement</w:t>
            </w:r>
          </w:p>
        </w:tc>
        <w:tc>
          <w:tcPr>
            <w:tcW w:w="4592" w:type="dxa"/>
            <w:hideMark/>
          </w:tcPr>
          <w:p w14:paraId="4A0A1B3C" w14:textId="1939A384" w:rsidR="005B699B" w:rsidRDefault="001A3412" w:rsidP="00545910">
            <w:pPr>
              <w:pStyle w:val="Tabletext9pt"/>
              <w:cnfStyle w:val="000000100000" w:firstRow="0" w:lastRow="0" w:firstColumn="0" w:lastColumn="0" w:oddVBand="0" w:evenVBand="0" w:oddHBand="1" w:evenHBand="0" w:firstRowFirstColumn="0" w:firstRowLastColumn="0" w:lastRowFirstColumn="0" w:lastRowLastColumn="0"/>
            </w:pPr>
            <w:r>
              <w:t xml:space="preserve">Supports additional care and service delivery for </w:t>
            </w:r>
            <w:r w:rsidR="005B699B">
              <w:t xml:space="preserve">small-sized high-care </w:t>
            </w:r>
            <w:r>
              <w:t>PSRACS</w:t>
            </w:r>
            <w:r w:rsidR="005B699B">
              <w:t xml:space="preserve"> (up to 30 places</w:t>
            </w:r>
            <w:r w:rsidR="002A5E8A">
              <w:t xml:space="preserve"> as at 30</w:t>
            </w:r>
            <w:r w:rsidR="002A5E8A" w:rsidRPr="00AB4E57">
              <w:rPr>
                <w:vertAlign w:val="superscript"/>
              </w:rPr>
              <w:t>th</w:t>
            </w:r>
            <w:r w:rsidR="002A5E8A">
              <w:t xml:space="preserve"> </w:t>
            </w:r>
            <w:r w:rsidR="002A5E8A" w:rsidRPr="00CB7688">
              <w:t>June 2014</w:t>
            </w:r>
            <w:r w:rsidR="005B699B" w:rsidRPr="00CB7688">
              <w:t>) located</w:t>
            </w:r>
            <w:r w:rsidR="005B699B">
              <w:t xml:space="preserve"> in rural Victoria. There are </w:t>
            </w:r>
            <w:r w:rsidR="007D775F">
              <w:t>3</w:t>
            </w:r>
            <w:r w:rsidR="005B699B">
              <w:t xml:space="preserve"> levels of supplement paid for services of various sizes:</w:t>
            </w:r>
          </w:p>
          <w:p w14:paraId="00C3AE35" w14:textId="5342BDBE"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one to 10 high-care places</w:t>
            </w:r>
          </w:p>
          <w:p w14:paraId="6DFEDFD3" w14:textId="3F54B4DA"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11–20 high-care places</w:t>
            </w:r>
          </w:p>
          <w:p w14:paraId="65DD80CF" w14:textId="77777777"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21–30 high-care places.</w:t>
            </w:r>
          </w:p>
        </w:tc>
      </w:tr>
      <w:tr w:rsidR="005B699B" w14:paraId="50D9EDD6"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052A9321" w14:textId="77777777" w:rsidR="005B699B" w:rsidRPr="00AC68A2" w:rsidRDefault="005B699B" w:rsidP="00545910">
            <w:pPr>
              <w:pStyle w:val="Tabletext9pt"/>
              <w:rPr>
                <w:b w:val="0"/>
                <w:bCs/>
              </w:rPr>
            </w:pPr>
            <w:r w:rsidRPr="00AC68A2">
              <w:rPr>
                <w:b w:val="0"/>
                <w:bCs/>
              </w:rPr>
              <w:t>13211</w:t>
            </w:r>
          </w:p>
        </w:tc>
        <w:tc>
          <w:tcPr>
            <w:tcW w:w="2977" w:type="dxa"/>
            <w:hideMark/>
          </w:tcPr>
          <w:p w14:paraId="4D5B069E"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Aged annual provisions – minor works</w:t>
            </w:r>
          </w:p>
        </w:tc>
        <w:tc>
          <w:tcPr>
            <w:tcW w:w="4592" w:type="dxa"/>
            <w:hideMark/>
          </w:tcPr>
          <w:p w14:paraId="3819CCFE"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This activity provides minor capital funds for funded organisations and includes vehicles, minor building modifications, repairs and furniture and equipment expenses.</w:t>
            </w:r>
          </w:p>
        </w:tc>
      </w:tr>
      <w:tr w:rsidR="005B699B" w14:paraId="015863D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386021C" w14:textId="77777777" w:rsidR="005B699B" w:rsidRPr="00AC68A2" w:rsidRDefault="005B699B" w:rsidP="00545910">
            <w:pPr>
              <w:pStyle w:val="Tabletext9pt"/>
              <w:rPr>
                <w:b w:val="0"/>
                <w:bCs/>
              </w:rPr>
            </w:pPr>
            <w:r w:rsidRPr="00AC68A2">
              <w:rPr>
                <w:b w:val="0"/>
                <w:bCs/>
              </w:rPr>
              <w:t>13301</w:t>
            </w:r>
          </w:p>
        </w:tc>
        <w:tc>
          <w:tcPr>
            <w:tcW w:w="2977" w:type="dxa"/>
            <w:hideMark/>
          </w:tcPr>
          <w:p w14:paraId="570BBE11"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Aged quality improvement</w:t>
            </w:r>
          </w:p>
        </w:tc>
        <w:tc>
          <w:tcPr>
            <w:tcW w:w="4592" w:type="dxa"/>
            <w:hideMark/>
          </w:tcPr>
          <w:p w14:paraId="7887807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To support safety through a range of activities including performance monitoring, workforce development, infection management, infrastructure development and social inclusion.</w:t>
            </w:r>
          </w:p>
        </w:tc>
      </w:tr>
    </w:tbl>
    <w:p w14:paraId="0E7AD01D" w14:textId="69D175D0" w:rsidR="00601CCB" w:rsidRDefault="00601CCB" w:rsidP="008C2F45">
      <w:pPr>
        <w:pStyle w:val="Bodyafterfiguretable"/>
      </w:pPr>
    </w:p>
    <w:p w14:paraId="23A1AF04" w14:textId="77777777" w:rsidR="00601CCB" w:rsidRDefault="00601CCB">
      <w:pPr>
        <w:spacing w:after="0" w:line="240" w:lineRule="auto"/>
        <w:rPr>
          <w:rFonts w:eastAsia="Times"/>
        </w:rPr>
      </w:pPr>
      <w:r>
        <w:br w:type="page"/>
      </w:r>
    </w:p>
    <w:p w14:paraId="36FA3C3E" w14:textId="5ED59B11" w:rsidR="005B699B" w:rsidRDefault="005B699B" w:rsidP="008C2F45">
      <w:pPr>
        <w:pStyle w:val="Bodyafterfiguretable"/>
      </w:pPr>
      <w:r w:rsidRPr="00FF3AE6">
        <w:lastRenderedPageBreak/>
        <w:t>Output name: Community health care</w:t>
      </w:r>
    </w:p>
    <w:tbl>
      <w:tblPr>
        <w:tblStyle w:val="GridTable4-Accent1"/>
        <w:tblW w:w="9270" w:type="dxa"/>
        <w:tblLook w:val="04A0" w:firstRow="1" w:lastRow="0" w:firstColumn="1" w:lastColumn="0" w:noHBand="0" w:noVBand="1"/>
      </w:tblPr>
      <w:tblGrid>
        <w:gridCol w:w="1701"/>
        <w:gridCol w:w="2977"/>
        <w:gridCol w:w="4592"/>
      </w:tblGrid>
      <w:tr w:rsidR="005B699B" w:rsidRPr="005B481D" w14:paraId="76BADF71"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38E5DEE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tcPr>
          <w:p w14:paraId="65A53B0D"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92" w:type="dxa"/>
          </w:tcPr>
          <w:p w14:paraId="0ED75A9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5B481D" w14:paraId="39E5566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A1ADFAB" w14:textId="77777777" w:rsidR="005B699B" w:rsidRPr="00AC68A2" w:rsidRDefault="005B699B" w:rsidP="00545910">
            <w:pPr>
              <w:pStyle w:val="Tabletext9pt"/>
              <w:rPr>
                <w:b w:val="0"/>
                <w:bCs/>
              </w:rPr>
            </w:pPr>
            <w:r w:rsidRPr="00AC68A2">
              <w:rPr>
                <w:b w:val="0"/>
                <w:bCs/>
              </w:rPr>
              <w:t>28066</w:t>
            </w:r>
          </w:p>
        </w:tc>
        <w:tc>
          <w:tcPr>
            <w:tcW w:w="2977" w:type="dxa"/>
          </w:tcPr>
          <w:p w14:paraId="7403996E"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E6C39">
              <w:t>Innovative</w:t>
            </w:r>
            <w:r>
              <w:t xml:space="preserve"> </w:t>
            </w:r>
            <w:r w:rsidRPr="006E6C39">
              <w:t>health</w:t>
            </w:r>
            <w:r>
              <w:t xml:space="preserve"> </w:t>
            </w:r>
            <w:r w:rsidRPr="006E6C39">
              <w:t>services</w:t>
            </w:r>
            <w:r>
              <w:t xml:space="preserve"> </w:t>
            </w:r>
            <w:r w:rsidRPr="006E6C39">
              <w:t>for</w:t>
            </w:r>
            <w:r>
              <w:t xml:space="preserve"> </w:t>
            </w:r>
            <w:r w:rsidRPr="006E6C39">
              <w:t>homeless</w:t>
            </w:r>
            <w:r>
              <w:t xml:space="preserve"> </w:t>
            </w:r>
            <w:r w:rsidRPr="006E6C39">
              <w:t>youth</w:t>
            </w:r>
          </w:p>
        </w:tc>
        <w:tc>
          <w:tcPr>
            <w:tcW w:w="4592" w:type="dxa"/>
          </w:tcPr>
          <w:p w14:paraId="492209F8" w14:textId="382CC3BC"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D459D0">
              <w:t xml:space="preserve">To promote health care and improve access to ACCO Services that respond to and support the Aboriginal </w:t>
            </w:r>
            <w:r w:rsidR="00C047EF">
              <w:t>c</w:t>
            </w:r>
            <w:r w:rsidR="00C047EF" w:rsidRPr="00D459D0">
              <w:t>ommunity</w:t>
            </w:r>
            <w:r w:rsidRPr="00D459D0">
              <w:t>.</w:t>
            </w:r>
          </w:p>
        </w:tc>
      </w:tr>
      <w:tr w:rsidR="005B699B" w:rsidRPr="005B481D" w14:paraId="4B54713D"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2E313338" w14:textId="77777777" w:rsidR="005B699B" w:rsidRPr="00AC68A2" w:rsidRDefault="005B699B" w:rsidP="00545910">
            <w:pPr>
              <w:pStyle w:val="Tabletext9pt"/>
              <w:rPr>
                <w:b w:val="0"/>
                <w:bCs/>
              </w:rPr>
            </w:pPr>
            <w:r w:rsidRPr="00AC68A2">
              <w:rPr>
                <w:b w:val="0"/>
                <w:bCs/>
              </w:rPr>
              <w:t>28068</w:t>
            </w:r>
          </w:p>
        </w:tc>
        <w:tc>
          <w:tcPr>
            <w:tcW w:w="2977" w:type="dxa"/>
          </w:tcPr>
          <w:p w14:paraId="3086B7D9"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Family</w:t>
            </w:r>
            <w:r>
              <w:t xml:space="preserve"> </w:t>
            </w:r>
            <w:r w:rsidRPr="005B481D">
              <w:t>planning</w:t>
            </w:r>
            <w:r>
              <w:t xml:space="preserve"> </w:t>
            </w:r>
          </w:p>
        </w:tc>
        <w:tc>
          <w:tcPr>
            <w:tcW w:w="4592" w:type="dxa"/>
          </w:tcPr>
          <w:p w14:paraId="3B47C4C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DF1B50">
              <w:t>Provision of therapeutic intervention, clinical care, practical assistance, support, referral and/or advocacy that is responsive and culturally relevant.</w:t>
            </w:r>
          </w:p>
        </w:tc>
      </w:tr>
      <w:tr w:rsidR="005B699B" w:rsidRPr="005B481D" w14:paraId="3A2FE9D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89096E" w14:textId="77777777" w:rsidR="005B699B" w:rsidRPr="00AC68A2" w:rsidRDefault="005B699B" w:rsidP="00545910">
            <w:pPr>
              <w:pStyle w:val="Tabletext9pt"/>
              <w:rPr>
                <w:b w:val="0"/>
                <w:bCs/>
              </w:rPr>
            </w:pPr>
            <w:r w:rsidRPr="00AC68A2">
              <w:rPr>
                <w:b w:val="0"/>
                <w:bCs/>
              </w:rPr>
              <w:t>28069</w:t>
            </w:r>
          </w:p>
        </w:tc>
        <w:tc>
          <w:tcPr>
            <w:tcW w:w="2977" w:type="dxa"/>
          </w:tcPr>
          <w:p w14:paraId="013B7364"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55DE5">
              <w:t>Service system development</w:t>
            </w:r>
          </w:p>
        </w:tc>
        <w:tc>
          <w:tcPr>
            <w:tcW w:w="4592" w:type="dxa"/>
          </w:tcPr>
          <w:p w14:paraId="60C6802B" w14:textId="77777777" w:rsidR="005B699B" w:rsidRPr="00DF1B5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4E3CB1">
              <w:t>Funding to improve the planning, coordination and delivery of primary care services that is not specific to a direct care activity. For example, board expenses funding or non-recurrent funding for projects.</w:t>
            </w:r>
          </w:p>
        </w:tc>
      </w:tr>
      <w:tr w:rsidR="005B699B" w:rsidRPr="005B481D" w14:paraId="62DD0203"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5B2AC421" w14:textId="77777777" w:rsidR="005B699B" w:rsidRPr="00AC68A2" w:rsidRDefault="005B699B" w:rsidP="00545910">
            <w:pPr>
              <w:pStyle w:val="Tabletext9pt"/>
              <w:rPr>
                <w:b w:val="0"/>
                <w:bCs/>
              </w:rPr>
            </w:pPr>
            <w:r w:rsidRPr="00AC68A2">
              <w:rPr>
                <w:b w:val="0"/>
                <w:bCs/>
              </w:rPr>
              <w:t>28072</w:t>
            </w:r>
          </w:p>
        </w:tc>
        <w:tc>
          <w:tcPr>
            <w:tcW w:w="2977" w:type="dxa"/>
          </w:tcPr>
          <w:p w14:paraId="12B31CD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Integrated</w:t>
            </w:r>
            <w:r>
              <w:t xml:space="preserve"> </w:t>
            </w:r>
            <w:r w:rsidRPr="005B481D">
              <w:t>chronic</w:t>
            </w:r>
            <w:r>
              <w:t xml:space="preserve"> </w:t>
            </w:r>
            <w:r w:rsidRPr="005B481D">
              <w:t>disease</w:t>
            </w:r>
            <w:r>
              <w:t xml:space="preserve"> </w:t>
            </w:r>
            <w:r w:rsidRPr="005B481D">
              <w:t>management</w:t>
            </w:r>
          </w:p>
        </w:tc>
        <w:tc>
          <w:tcPr>
            <w:tcW w:w="4592" w:type="dxa"/>
          </w:tcPr>
          <w:p w14:paraId="7C65A7A3" w14:textId="452FAB31"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AD5DEB">
              <w:t>Provides funds to community health services for integrated chronic disease management encompassing direct care and change management</w:t>
            </w:r>
            <w:r w:rsidR="002E5A5C">
              <w:t>.</w:t>
            </w:r>
          </w:p>
        </w:tc>
      </w:tr>
      <w:tr w:rsidR="005B699B" w:rsidRPr="005B481D" w14:paraId="58ACBFB9"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A31936" w14:textId="77777777" w:rsidR="005B699B" w:rsidRPr="00AC68A2" w:rsidRDefault="005B699B" w:rsidP="00545910">
            <w:pPr>
              <w:pStyle w:val="Tabletext9pt"/>
              <w:rPr>
                <w:b w:val="0"/>
                <w:bCs/>
              </w:rPr>
            </w:pPr>
            <w:r w:rsidRPr="00AC68A2">
              <w:rPr>
                <w:b w:val="0"/>
                <w:bCs/>
              </w:rPr>
              <w:t>28076</w:t>
            </w:r>
          </w:p>
        </w:tc>
        <w:tc>
          <w:tcPr>
            <w:tcW w:w="2977" w:type="dxa"/>
          </w:tcPr>
          <w:p w14:paraId="330B0A94"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Refugee</w:t>
            </w:r>
            <w:r>
              <w:t xml:space="preserve"> </w:t>
            </w:r>
            <w:r w:rsidRPr="005B481D">
              <w:t>and</w:t>
            </w:r>
            <w:r>
              <w:t xml:space="preserve"> </w:t>
            </w:r>
            <w:r w:rsidRPr="005B481D">
              <w:t>asylum</w:t>
            </w:r>
            <w:r>
              <w:t xml:space="preserve"> </w:t>
            </w:r>
            <w:r w:rsidRPr="005B481D">
              <w:t>seeker</w:t>
            </w:r>
            <w:r>
              <w:t xml:space="preserve"> </w:t>
            </w:r>
            <w:r w:rsidRPr="005B481D">
              <w:t>health</w:t>
            </w:r>
            <w:r>
              <w:t xml:space="preserve"> </w:t>
            </w:r>
            <w:r w:rsidRPr="005B481D">
              <w:t>services</w:t>
            </w:r>
          </w:p>
        </w:tc>
        <w:tc>
          <w:tcPr>
            <w:tcW w:w="4592" w:type="dxa"/>
          </w:tcPr>
          <w:p w14:paraId="49A1A110"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DF1B50">
              <w:t>Responding to the poor health and complex health issues of arriving refugees in Victoria.</w:t>
            </w:r>
          </w:p>
        </w:tc>
      </w:tr>
      <w:tr w:rsidR="005B699B" w:rsidRPr="005B481D" w14:paraId="2564022B"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643FF09" w14:textId="77777777" w:rsidR="005B699B" w:rsidRPr="00AC68A2" w:rsidRDefault="005B699B" w:rsidP="00545910">
            <w:pPr>
              <w:pStyle w:val="Tabletext9pt"/>
              <w:rPr>
                <w:b w:val="0"/>
                <w:bCs/>
              </w:rPr>
            </w:pPr>
            <w:r w:rsidRPr="00AC68A2">
              <w:rPr>
                <w:b w:val="0"/>
                <w:bCs/>
              </w:rPr>
              <w:t>28080</w:t>
            </w:r>
          </w:p>
        </w:tc>
        <w:tc>
          <w:tcPr>
            <w:tcW w:w="2977" w:type="dxa"/>
          </w:tcPr>
          <w:p w14:paraId="299BEC8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Healthy</w:t>
            </w:r>
            <w:r>
              <w:t xml:space="preserve"> </w:t>
            </w:r>
            <w:r w:rsidRPr="005B481D">
              <w:t>Mothers</w:t>
            </w:r>
            <w:r>
              <w:t xml:space="preserve"> </w:t>
            </w:r>
            <w:r w:rsidRPr="005B481D">
              <w:t>Healthy</w:t>
            </w:r>
            <w:r>
              <w:t xml:space="preserve"> </w:t>
            </w:r>
            <w:r w:rsidRPr="005B481D">
              <w:t>Babies</w:t>
            </w:r>
          </w:p>
        </w:tc>
        <w:tc>
          <w:tcPr>
            <w:tcW w:w="4592" w:type="dxa"/>
          </w:tcPr>
          <w:p w14:paraId="5DCD3B2C"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76697">
              <w:t>To improve the health and wellbeing of mothers and babies and reduce health inequity by addressing maternal risk behaviours and providing support during pregnancy.</w:t>
            </w:r>
          </w:p>
        </w:tc>
      </w:tr>
      <w:tr w:rsidR="005B699B" w:rsidRPr="00C530DF" w14:paraId="27CA1F3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B3F6C7" w14:textId="77777777" w:rsidR="005B699B" w:rsidRPr="00AC68A2" w:rsidRDefault="005B699B" w:rsidP="00545910">
            <w:pPr>
              <w:pStyle w:val="Tabletext9pt"/>
              <w:rPr>
                <w:b w:val="0"/>
                <w:bCs/>
              </w:rPr>
            </w:pPr>
            <w:r w:rsidRPr="00AC68A2">
              <w:rPr>
                <w:b w:val="0"/>
                <w:bCs/>
              </w:rPr>
              <w:t>28081</w:t>
            </w:r>
          </w:p>
        </w:tc>
        <w:tc>
          <w:tcPr>
            <w:tcW w:w="2977" w:type="dxa"/>
          </w:tcPr>
          <w:p w14:paraId="7B0EEAE2"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National</w:t>
            </w:r>
            <w:r>
              <w:t xml:space="preserve"> </w:t>
            </w:r>
            <w:r w:rsidRPr="005B481D">
              <w:t>Diabetes</w:t>
            </w:r>
            <w:r>
              <w:t xml:space="preserve"> </w:t>
            </w:r>
            <w:r w:rsidRPr="005B481D">
              <w:t>Services</w:t>
            </w:r>
            <w:r>
              <w:t xml:space="preserve"> </w:t>
            </w:r>
            <w:r w:rsidRPr="005B481D">
              <w:t>Scheme</w:t>
            </w:r>
            <w:r>
              <w:t xml:space="preserve"> </w:t>
            </w:r>
          </w:p>
        </w:tc>
        <w:tc>
          <w:tcPr>
            <w:tcW w:w="4592" w:type="dxa"/>
          </w:tcPr>
          <w:p w14:paraId="0655E1F5"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C15718">
              <w:t>To enhance the capacity of people with diabetes to understand and self-manage their condition and distribute of packs of needles and syringes.</w:t>
            </w:r>
          </w:p>
        </w:tc>
      </w:tr>
      <w:tr w:rsidR="005B699B" w:rsidRPr="00C530DF" w14:paraId="4E047C87"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101D3996" w14:textId="77777777" w:rsidR="005B699B" w:rsidRPr="00AC68A2" w:rsidRDefault="005B699B" w:rsidP="00545910">
            <w:pPr>
              <w:pStyle w:val="Tabletext9pt"/>
              <w:rPr>
                <w:b w:val="0"/>
                <w:bCs/>
              </w:rPr>
            </w:pPr>
            <w:r w:rsidRPr="00AC68A2">
              <w:rPr>
                <w:b w:val="0"/>
                <w:bCs/>
              </w:rPr>
              <w:t>28048</w:t>
            </w:r>
          </w:p>
        </w:tc>
        <w:tc>
          <w:tcPr>
            <w:tcW w:w="2977" w:type="dxa"/>
          </w:tcPr>
          <w:p w14:paraId="4C36DB7A" w14:textId="77777777" w:rsidR="005B699B" w:rsidRPr="00C87BD7" w:rsidRDefault="005B699B" w:rsidP="00C87BD7">
            <w:pPr>
              <w:pStyle w:val="Tabletext9pt"/>
              <w:cnfStyle w:val="000000000000" w:firstRow="0" w:lastRow="0" w:firstColumn="0" w:lastColumn="0" w:oddVBand="0" w:evenVBand="0" w:oddHBand="0" w:evenHBand="0" w:firstRowFirstColumn="0" w:firstRowLastColumn="0" w:lastRowFirstColumn="0" w:lastRowLastColumn="0"/>
            </w:pPr>
            <w:r w:rsidRPr="00187705">
              <w:t>Language services</w:t>
            </w:r>
          </w:p>
        </w:tc>
        <w:tc>
          <w:tcPr>
            <w:tcW w:w="4592" w:type="dxa"/>
          </w:tcPr>
          <w:p w14:paraId="6F8EA2B2" w14:textId="77777777" w:rsidR="005B699B" w:rsidRPr="00C15718"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43C70">
              <w:t>Provision of accredited interpreting and translation services by specialist agencies</w:t>
            </w:r>
          </w:p>
        </w:tc>
      </w:tr>
      <w:tr w:rsidR="005B699B" w:rsidRPr="00C530DF" w14:paraId="2FA1F34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D2A163F" w14:textId="77777777" w:rsidR="005B699B" w:rsidRPr="00AC68A2" w:rsidRDefault="005B699B" w:rsidP="00545910">
            <w:pPr>
              <w:pStyle w:val="Tabletext9pt"/>
              <w:rPr>
                <w:b w:val="0"/>
                <w:bCs/>
              </w:rPr>
            </w:pPr>
            <w:r w:rsidRPr="00AC68A2">
              <w:rPr>
                <w:b w:val="0"/>
                <w:bCs/>
              </w:rPr>
              <w:t>28086</w:t>
            </w:r>
          </w:p>
        </w:tc>
        <w:tc>
          <w:tcPr>
            <w:tcW w:w="2977" w:type="dxa"/>
          </w:tcPr>
          <w:p w14:paraId="72A42223"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Community</w:t>
            </w:r>
            <w:r>
              <w:t xml:space="preserve"> </w:t>
            </w:r>
            <w:r w:rsidRPr="005B481D">
              <w:t>health</w:t>
            </w:r>
          </w:p>
        </w:tc>
        <w:tc>
          <w:tcPr>
            <w:tcW w:w="4592" w:type="dxa"/>
          </w:tcPr>
          <w:p w14:paraId="1DBE7BD9"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954FD">
              <w:t>The program funds general counselling, allied health and nursing services.</w:t>
            </w:r>
          </w:p>
        </w:tc>
      </w:tr>
      <w:tr w:rsidR="005B699B" w:rsidRPr="00993142" w14:paraId="457C6A1B"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2FF7EAD" w14:textId="77777777" w:rsidR="005B699B" w:rsidRPr="00AC68A2" w:rsidRDefault="005B699B" w:rsidP="00545910">
            <w:pPr>
              <w:pStyle w:val="Tabletext9pt"/>
              <w:rPr>
                <w:b w:val="0"/>
                <w:bCs/>
              </w:rPr>
            </w:pPr>
            <w:r w:rsidRPr="00AC68A2">
              <w:rPr>
                <w:b w:val="0"/>
                <w:bCs/>
              </w:rPr>
              <w:t>28090</w:t>
            </w:r>
          </w:p>
        </w:tc>
        <w:tc>
          <w:tcPr>
            <w:tcW w:w="2977" w:type="dxa"/>
          </w:tcPr>
          <w:p w14:paraId="4EABAB68" w14:textId="77777777" w:rsidR="005B699B" w:rsidRPr="00993142"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93142">
              <w:t>MDC</w:t>
            </w:r>
            <w:r>
              <w:t xml:space="preserve"> </w:t>
            </w:r>
            <w:r w:rsidRPr="00993142">
              <w:t>–</w:t>
            </w:r>
            <w:r>
              <w:t xml:space="preserve"> </w:t>
            </w:r>
            <w:r w:rsidRPr="00993142">
              <w:t>community</w:t>
            </w:r>
            <w:r>
              <w:t xml:space="preserve"> </w:t>
            </w:r>
            <w:r w:rsidRPr="00993142">
              <w:t>health</w:t>
            </w:r>
            <w:r>
              <w:t xml:space="preserve"> </w:t>
            </w:r>
            <w:r w:rsidRPr="00993142">
              <w:t>nurse</w:t>
            </w:r>
          </w:p>
        </w:tc>
        <w:tc>
          <w:tcPr>
            <w:tcW w:w="4592" w:type="dxa"/>
          </w:tcPr>
          <w:p w14:paraId="2ADB98AA" w14:textId="77777777" w:rsidR="005B699B" w:rsidRPr="00993142"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DC423E">
              <w:t xml:space="preserve">Community health nurses work with clients to identity and determine health and care needs and provide support to navigate and access services and programs to meet each individual’s needs.  </w:t>
            </w:r>
          </w:p>
        </w:tc>
      </w:tr>
      <w:tr w:rsidR="005B699B" w:rsidRPr="008A243A" w14:paraId="7BF4C7B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0FF5810" w14:textId="77777777" w:rsidR="005B699B" w:rsidRPr="00AC68A2" w:rsidRDefault="005B699B" w:rsidP="00545910">
            <w:pPr>
              <w:pStyle w:val="Tabletext9pt"/>
              <w:rPr>
                <w:b w:val="0"/>
                <w:bCs/>
              </w:rPr>
            </w:pPr>
            <w:r w:rsidRPr="00AC68A2">
              <w:rPr>
                <w:b w:val="0"/>
                <w:bCs/>
              </w:rPr>
              <w:t>28091</w:t>
            </w:r>
          </w:p>
        </w:tc>
        <w:tc>
          <w:tcPr>
            <w:tcW w:w="2977" w:type="dxa"/>
          </w:tcPr>
          <w:p w14:paraId="6EE237E0" w14:textId="77777777" w:rsidR="005B699B" w:rsidRPr="008A243A"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Community Asthma Program</w:t>
            </w:r>
          </w:p>
        </w:tc>
        <w:tc>
          <w:tcPr>
            <w:tcW w:w="4592" w:type="dxa"/>
          </w:tcPr>
          <w:p w14:paraId="778672F3" w14:textId="77777777" w:rsidR="005B699B" w:rsidRPr="008A243A"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0157B">
              <w:t>The Community Asthma Program supports avoidable hospital admissions through the delivery of community</w:t>
            </w:r>
            <w:r>
              <w:t>-</w:t>
            </w:r>
            <w:r w:rsidRPr="0050157B">
              <w:t xml:space="preserve">based services, with a focus on asthma self-management and improved cohesion of services for children and young people presenting with asthma symptoms.  </w:t>
            </w:r>
          </w:p>
        </w:tc>
      </w:tr>
      <w:tr w:rsidR="005B699B" w:rsidRPr="008A243A" w14:paraId="3459D95A"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89F9A6A" w14:textId="77777777" w:rsidR="005B699B" w:rsidRPr="00AC68A2" w:rsidRDefault="005B699B" w:rsidP="00545910">
            <w:pPr>
              <w:pStyle w:val="Tabletext9pt"/>
              <w:rPr>
                <w:b w:val="0"/>
                <w:bCs/>
              </w:rPr>
            </w:pPr>
            <w:r w:rsidRPr="00AC68A2">
              <w:rPr>
                <w:b w:val="0"/>
                <w:bCs/>
              </w:rPr>
              <w:t>28092</w:t>
            </w:r>
          </w:p>
        </w:tc>
        <w:tc>
          <w:tcPr>
            <w:tcW w:w="2977" w:type="dxa"/>
          </w:tcPr>
          <w:p w14:paraId="1DF3BEF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1F4069">
              <w:t>Infant Child and Family Health and Wellbeing Hubs – Community Health</w:t>
            </w:r>
          </w:p>
        </w:tc>
        <w:tc>
          <w:tcPr>
            <w:tcW w:w="4592" w:type="dxa"/>
          </w:tcPr>
          <w:p w14:paraId="2AF2815F" w14:textId="77777777" w:rsidR="005B699B" w:rsidRPr="0050157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D3DA1">
              <w:t>Provision of integrated and community-based multidisciplinary health services and supports for children experiencing developmental, emotional, relational and behavioural challenges and their families. Hub services delivered in community health will include the establishment of the service and delivery of specialist medical appointments, allied health service hours, intake, care coordination and in</w:t>
            </w:r>
            <w:r>
              <w:t>-</w:t>
            </w:r>
            <w:r w:rsidRPr="009D3DA1">
              <w:t>reach supports.</w:t>
            </w:r>
          </w:p>
        </w:tc>
      </w:tr>
      <w:tr w:rsidR="005B699B" w:rsidRPr="008A243A" w14:paraId="1AE9442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F4223E" w14:textId="77777777" w:rsidR="005B699B" w:rsidRPr="00AC68A2" w:rsidRDefault="005B699B" w:rsidP="00545910">
            <w:pPr>
              <w:pStyle w:val="Tabletext9pt"/>
              <w:rPr>
                <w:b w:val="0"/>
                <w:bCs/>
              </w:rPr>
            </w:pPr>
            <w:r w:rsidRPr="00AC68A2">
              <w:rPr>
                <w:b w:val="0"/>
                <w:bCs/>
              </w:rPr>
              <w:t>28095</w:t>
            </w:r>
          </w:p>
        </w:tc>
        <w:tc>
          <w:tcPr>
            <w:tcW w:w="2977" w:type="dxa"/>
          </w:tcPr>
          <w:p w14:paraId="31D2887B" w14:textId="77777777" w:rsidR="005B699B" w:rsidRPr="001F4069"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8D3414">
              <w:t>Putting Families First – Community Health</w:t>
            </w:r>
          </w:p>
        </w:tc>
        <w:tc>
          <w:tcPr>
            <w:tcW w:w="4592" w:type="dxa"/>
          </w:tcPr>
          <w:p w14:paraId="74CA95FF" w14:textId="77777777" w:rsidR="005B699B" w:rsidRPr="009D3DA1"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AD73A8">
              <w:t>To work as part of an interdisciplinary team to enhance family health, wellbeing and inclusion by improving identification of family health needs and access and engagement with relevant health services.</w:t>
            </w:r>
          </w:p>
        </w:tc>
      </w:tr>
      <w:tr w:rsidR="005B699B" w:rsidRPr="008A243A" w14:paraId="3A4F5B2F"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01E7A6CB" w14:textId="77777777" w:rsidR="005B699B" w:rsidRPr="00AC68A2" w:rsidRDefault="005B699B" w:rsidP="00545910">
            <w:pPr>
              <w:pStyle w:val="Tabletext9pt"/>
              <w:rPr>
                <w:b w:val="0"/>
                <w:bCs/>
              </w:rPr>
            </w:pPr>
            <w:r w:rsidRPr="00AC68A2">
              <w:rPr>
                <w:b w:val="0"/>
                <w:bCs/>
              </w:rPr>
              <w:t>35048</w:t>
            </w:r>
          </w:p>
        </w:tc>
        <w:tc>
          <w:tcPr>
            <w:tcW w:w="2977" w:type="dxa"/>
          </w:tcPr>
          <w:p w14:paraId="2EF67670" w14:textId="77777777" w:rsidR="005B699B" w:rsidRPr="008A243A"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8A243A">
              <w:t>Small</w:t>
            </w:r>
            <w:r>
              <w:t xml:space="preserve"> r</w:t>
            </w:r>
            <w:r w:rsidRPr="008A243A">
              <w:t>ural</w:t>
            </w:r>
            <w:r>
              <w:t xml:space="preserve"> </w:t>
            </w:r>
            <w:r w:rsidRPr="008A243A">
              <w:t>–</w:t>
            </w:r>
            <w:r>
              <w:t xml:space="preserve"> </w:t>
            </w:r>
            <w:r w:rsidRPr="008A243A">
              <w:t>Primary</w:t>
            </w:r>
            <w:r>
              <w:t xml:space="preserve"> </w:t>
            </w:r>
            <w:r w:rsidRPr="008A243A">
              <w:t>Health</w:t>
            </w:r>
            <w:r>
              <w:t xml:space="preserve"> </w:t>
            </w:r>
          </w:p>
        </w:tc>
        <w:tc>
          <w:tcPr>
            <w:tcW w:w="4592" w:type="dxa"/>
          </w:tcPr>
          <w:p w14:paraId="402A8579" w14:textId="77777777" w:rsidR="005B699B" w:rsidRPr="008A243A"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0648BF">
              <w:t xml:space="preserve">Provision of general counselling, allied health, nursing and health promotion services. Note this funding can be used flexibly to provide other service types under the small rural health services funding model.  </w:t>
            </w:r>
          </w:p>
        </w:tc>
      </w:tr>
    </w:tbl>
    <w:p w14:paraId="1169E6F4" w14:textId="77777777" w:rsidR="005B699B" w:rsidRDefault="005B699B" w:rsidP="005D3438">
      <w:pPr>
        <w:pStyle w:val="Bodyafterfiguretable"/>
      </w:pPr>
      <w:r>
        <w:lastRenderedPageBreak/>
        <w:t xml:space="preserve">Output name: </w:t>
      </w:r>
      <w:r>
        <w:rPr>
          <w:lang w:eastAsia="en-AU"/>
        </w:rPr>
        <w:t xml:space="preserve">Home and Community Care Program for Younger People </w:t>
      </w:r>
    </w:p>
    <w:tbl>
      <w:tblPr>
        <w:tblStyle w:val="GridTable4-Accent1"/>
        <w:tblW w:w="9269" w:type="dxa"/>
        <w:tblLook w:val="04A0" w:firstRow="1" w:lastRow="0" w:firstColumn="1" w:lastColumn="0" w:noHBand="0" w:noVBand="1"/>
      </w:tblPr>
      <w:tblGrid>
        <w:gridCol w:w="1757"/>
        <w:gridCol w:w="2977"/>
        <w:gridCol w:w="4535"/>
      </w:tblGrid>
      <w:tr w:rsidR="005B699B" w14:paraId="60860BE6"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hideMark/>
          </w:tcPr>
          <w:p w14:paraId="26CDE00E"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43194284"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3B199C18"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730D4FA3"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118365D4" w14:textId="77777777" w:rsidR="005B699B" w:rsidRPr="00AC68A2" w:rsidRDefault="005B699B" w:rsidP="00545910">
            <w:pPr>
              <w:pStyle w:val="Tabletext9pt"/>
              <w:rPr>
                <w:b w:val="0"/>
                <w:bCs/>
              </w:rPr>
            </w:pPr>
            <w:r w:rsidRPr="00AC68A2">
              <w:rPr>
                <w:b w:val="0"/>
                <w:bCs/>
              </w:rPr>
              <w:t>13015</w:t>
            </w:r>
          </w:p>
        </w:tc>
        <w:tc>
          <w:tcPr>
            <w:tcW w:w="2977" w:type="dxa"/>
            <w:hideMark/>
          </w:tcPr>
          <w:p w14:paraId="78E61F5F"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linkages</w:t>
            </w:r>
          </w:p>
        </w:tc>
        <w:tc>
          <w:tcPr>
            <w:tcW w:w="4535" w:type="dxa"/>
            <w:hideMark/>
          </w:tcPr>
          <w:p w14:paraId="2F4E89E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Individualised packages of care incorporating assessment, case management and funds to purchase services to support HACC-PYP clients.</w:t>
            </w:r>
          </w:p>
        </w:tc>
      </w:tr>
      <w:tr w:rsidR="005B699B" w14:paraId="1128F812"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0B50F8E" w14:textId="77777777" w:rsidR="005B699B" w:rsidRPr="00AC68A2" w:rsidRDefault="005B699B" w:rsidP="00545910">
            <w:pPr>
              <w:pStyle w:val="Tabletext9pt"/>
              <w:rPr>
                <w:b w:val="0"/>
                <w:bCs/>
              </w:rPr>
            </w:pPr>
            <w:r w:rsidRPr="00AC68A2">
              <w:rPr>
                <w:b w:val="0"/>
                <w:bCs/>
              </w:rPr>
              <w:t>13023</w:t>
            </w:r>
          </w:p>
        </w:tc>
        <w:tc>
          <w:tcPr>
            <w:tcW w:w="2977" w:type="dxa"/>
            <w:hideMark/>
          </w:tcPr>
          <w:p w14:paraId="1D22B7A5"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Service Development Grant</w:t>
            </w:r>
          </w:p>
        </w:tc>
        <w:tc>
          <w:tcPr>
            <w:tcW w:w="4535" w:type="dxa"/>
            <w:hideMark/>
          </w:tcPr>
          <w:p w14:paraId="57EBEE7C" w14:textId="45B51375"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One-off projects (up to </w:t>
            </w:r>
            <w:r w:rsidR="007D775F">
              <w:t>6</w:t>
            </w:r>
            <w:r>
              <w:t xml:space="preserve"> months’ duration) to improve quality, effectiveness, and efficiency of HACC-PYP services and service system. </w:t>
            </w:r>
          </w:p>
        </w:tc>
      </w:tr>
      <w:tr w:rsidR="005B699B" w14:paraId="0D88BF6F"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6BC18907" w14:textId="77777777" w:rsidR="005B699B" w:rsidRPr="00AC68A2" w:rsidRDefault="005B699B" w:rsidP="00545910">
            <w:pPr>
              <w:pStyle w:val="Tabletext9pt"/>
              <w:rPr>
                <w:b w:val="0"/>
                <w:bCs/>
              </w:rPr>
            </w:pPr>
            <w:r w:rsidRPr="00AC68A2">
              <w:rPr>
                <w:b w:val="0"/>
                <w:bCs/>
              </w:rPr>
              <w:t>13024</w:t>
            </w:r>
          </w:p>
        </w:tc>
        <w:tc>
          <w:tcPr>
            <w:tcW w:w="2977" w:type="dxa"/>
            <w:hideMark/>
          </w:tcPr>
          <w:p w14:paraId="7AB2BE1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assessment</w:t>
            </w:r>
          </w:p>
        </w:tc>
        <w:tc>
          <w:tcPr>
            <w:tcW w:w="4535" w:type="dxa"/>
            <w:hideMark/>
          </w:tcPr>
          <w:p w14:paraId="36344005" w14:textId="35A0986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This activity is described in the </w:t>
            </w:r>
            <w:r>
              <w:rPr>
                <w:i/>
                <w:iCs/>
              </w:rPr>
              <w:t>Framework for assessment</w:t>
            </w:r>
            <w:r>
              <w:t xml:space="preserve"> </w:t>
            </w:r>
            <w:r>
              <w:rPr>
                <w:i/>
              </w:rPr>
              <w:t>in the HACC program</w:t>
            </w:r>
            <w:r>
              <w:t>. Living-at-home assessments for HACC-PYP clients include home-based holistic assessment of need, service-specific assessments, and warm transfer to more relevant programs.</w:t>
            </w:r>
          </w:p>
        </w:tc>
      </w:tr>
      <w:tr w:rsidR="005B699B" w14:paraId="75BA25B4"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5224C0F7" w14:textId="77777777" w:rsidR="005B699B" w:rsidRPr="00AC68A2" w:rsidRDefault="005B699B" w:rsidP="00545910">
            <w:pPr>
              <w:pStyle w:val="Tabletext9pt"/>
              <w:rPr>
                <w:b w:val="0"/>
                <w:bCs/>
              </w:rPr>
            </w:pPr>
            <w:r w:rsidRPr="00AC68A2">
              <w:rPr>
                <w:b w:val="0"/>
                <w:bCs/>
              </w:rPr>
              <w:t>13026</w:t>
            </w:r>
          </w:p>
        </w:tc>
        <w:tc>
          <w:tcPr>
            <w:tcW w:w="2977" w:type="dxa"/>
            <w:hideMark/>
          </w:tcPr>
          <w:p w14:paraId="670BB40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community care</w:t>
            </w:r>
          </w:p>
        </w:tc>
        <w:tc>
          <w:tcPr>
            <w:tcW w:w="4535" w:type="dxa"/>
            <w:hideMark/>
          </w:tcPr>
          <w:p w14:paraId="470714E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rPr>
                <w:szCs w:val="18"/>
              </w:rPr>
            </w:pPr>
            <w:r>
              <w:rPr>
                <w:szCs w:val="18"/>
              </w:rPr>
              <w:t>Personal and in-home supports to people</w:t>
            </w:r>
            <w:r>
              <w:t xml:space="preserve"> birth to 65 years of age who have difficulty with the activities of daily living</w:t>
            </w:r>
          </w:p>
        </w:tc>
      </w:tr>
      <w:tr w:rsidR="005B699B" w14:paraId="1D27454F"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01455C49" w14:textId="77777777" w:rsidR="005B699B" w:rsidRPr="00AC68A2" w:rsidRDefault="005B699B" w:rsidP="00545910">
            <w:pPr>
              <w:pStyle w:val="Tabletext9pt"/>
              <w:rPr>
                <w:b w:val="0"/>
                <w:bCs/>
              </w:rPr>
            </w:pPr>
            <w:r w:rsidRPr="00AC68A2">
              <w:rPr>
                <w:b w:val="0"/>
                <w:bCs/>
              </w:rPr>
              <w:t>13038</w:t>
            </w:r>
          </w:p>
        </w:tc>
        <w:tc>
          <w:tcPr>
            <w:tcW w:w="2977" w:type="dxa"/>
            <w:hideMark/>
          </w:tcPr>
          <w:p w14:paraId="5CF2139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service system resourcing</w:t>
            </w:r>
          </w:p>
        </w:tc>
        <w:tc>
          <w:tcPr>
            <w:tcW w:w="4535" w:type="dxa"/>
            <w:hideMark/>
          </w:tcPr>
          <w:p w14:paraId="4DE6751A" w14:textId="1391479D"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Resources to assist the sector to better meet the needs of younger people in the HACC-PYP target group and assist clients to gain better access to services. This also includes the </w:t>
            </w:r>
            <w:r w:rsidR="00875BF5">
              <w:t xml:space="preserve">Social </w:t>
            </w:r>
            <w:r w:rsidR="00202A93">
              <w:t>and</w:t>
            </w:r>
            <w:r w:rsidR="00875BF5">
              <w:t xml:space="preserve"> Community </w:t>
            </w:r>
            <w:r w:rsidR="00487B9B">
              <w:t>Service</w:t>
            </w:r>
            <w:r>
              <w:t xml:space="preserve"> Award.</w:t>
            </w:r>
          </w:p>
        </w:tc>
      </w:tr>
      <w:tr w:rsidR="005B699B" w14:paraId="79F58717"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069A9988" w14:textId="77777777" w:rsidR="005B699B" w:rsidRPr="00AC68A2" w:rsidRDefault="005B699B" w:rsidP="00545910">
            <w:pPr>
              <w:pStyle w:val="Tabletext9pt"/>
              <w:rPr>
                <w:b w:val="0"/>
                <w:bCs/>
              </w:rPr>
            </w:pPr>
            <w:r w:rsidRPr="00AC68A2">
              <w:rPr>
                <w:b w:val="0"/>
                <w:bCs/>
              </w:rPr>
              <w:t>13043</w:t>
            </w:r>
          </w:p>
        </w:tc>
        <w:tc>
          <w:tcPr>
            <w:tcW w:w="2977" w:type="dxa"/>
            <w:hideMark/>
          </w:tcPr>
          <w:p w14:paraId="7400A1DD"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flexible service response</w:t>
            </w:r>
          </w:p>
        </w:tc>
        <w:tc>
          <w:tcPr>
            <w:tcW w:w="4535" w:type="dxa"/>
            <w:hideMark/>
          </w:tcPr>
          <w:p w14:paraId="574E829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Funding to support innovative and/or developmental approaches to HACC-PYP and/or service delivery that cannot be funded under the unit pricing structure.</w:t>
            </w:r>
          </w:p>
        </w:tc>
      </w:tr>
      <w:tr w:rsidR="005B699B" w14:paraId="7949C62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5B4C7730" w14:textId="77777777" w:rsidR="005B699B" w:rsidRPr="00AC68A2" w:rsidRDefault="005B699B" w:rsidP="00545910">
            <w:pPr>
              <w:pStyle w:val="Tabletext9pt"/>
              <w:rPr>
                <w:b w:val="0"/>
                <w:bCs/>
              </w:rPr>
            </w:pPr>
            <w:r w:rsidRPr="00AC68A2">
              <w:rPr>
                <w:b w:val="0"/>
                <w:bCs/>
              </w:rPr>
              <w:t>13056</w:t>
            </w:r>
          </w:p>
        </w:tc>
        <w:tc>
          <w:tcPr>
            <w:tcW w:w="2977" w:type="dxa"/>
            <w:hideMark/>
          </w:tcPr>
          <w:p w14:paraId="1F85539E"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planned activity group (PAG)</w:t>
            </w:r>
          </w:p>
        </w:tc>
        <w:tc>
          <w:tcPr>
            <w:tcW w:w="4535" w:type="dxa"/>
            <w:hideMark/>
          </w:tcPr>
          <w:p w14:paraId="58E58C72"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Planned program of group activity to maintain a younger person’s capacity to perform the activities of daily living and social skills. PAG can be offered in a centre or in the community</w:t>
            </w:r>
          </w:p>
        </w:tc>
      </w:tr>
      <w:tr w:rsidR="005B699B" w14:paraId="344130AC"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1E43D715" w14:textId="77777777" w:rsidR="005B699B" w:rsidRPr="00AC68A2" w:rsidRDefault="005B699B" w:rsidP="00545910">
            <w:pPr>
              <w:pStyle w:val="Tabletext9pt"/>
              <w:rPr>
                <w:b w:val="0"/>
                <w:bCs/>
              </w:rPr>
            </w:pPr>
            <w:r w:rsidRPr="00AC68A2">
              <w:rPr>
                <w:b w:val="0"/>
                <w:bCs/>
              </w:rPr>
              <w:t>13063</w:t>
            </w:r>
          </w:p>
        </w:tc>
        <w:tc>
          <w:tcPr>
            <w:tcW w:w="2977" w:type="dxa"/>
            <w:hideMark/>
          </w:tcPr>
          <w:p w14:paraId="2B9EFF58"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volunteer coordination</w:t>
            </w:r>
          </w:p>
        </w:tc>
        <w:tc>
          <w:tcPr>
            <w:tcW w:w="4535" w:type="dxa"/>
            <w:hideMark/>
          </w:tcPr>
          <w:p w14:paraId="0DB6AE16"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Funding to coordinators to recruit, train and supervise volunteers and manage the volunteer services to HACC-PYP clients.</w:t>
            </w:r>
          </w:p>
        </w:tc>
      </w:tr>
      <w:tr w:rsidR="005B699B" w14:paraId="08DE660E"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43F5168B" w14:textId="77777777" w:rsidR="005B699B" w:rsidRPr="00AC68A2" w:rsidRDefault="005B699B" w:rsidP="00545910">
            <w:pPr>
              <w:pStyle w:val="Tabletext9pt"/>
              <w:rPr>
                <w:b w:val="0"/>
                <w:bCs/>
              </w:rPr>
            </w:pPr>
            <w:r w:rsidRPr="00AC68A2">
              <w:rPr>
                <w:b w:val="0"/>
                <w:bCs/>
              </w:rPr>
              <w:t>13096</w:t>
            </w:r>
          </w:p>
        </w:tc>
        <w:tc>
          <w:tcPr>
            <w:tcW w:w="2977" w:type="dxa"/>
            <w:hideMark/>
          </w:tcPr>
          <w:p w14:paraId="2C6EA71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allied health</w:t>
            </w:r>
          </w:p>
        </w:tc>
        <w:tc>
          <w:tcPr>
            <w:tcW w:w="4535" w:type="dxa"/>
            <w:hideMark/>
          </w:tcPr>
          <w:p w14:paraId="2C0CF9F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Allied health services, including clinical assessment, treatment, therapy, or professional advice to HACC-PYP clients, that may be provided in the home or at a centre.</w:t>
            </w:r>
          </w:p>
        </w:tc>
      </w:tr>
      <w:tr w:rsidR="005B699B" w14:paraId="57A931D5"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56FDDB16" w14:textId="77777777" w:rsidR="005B699B" w:rsidRPr="00AC68A2" w:rsidRDefault="005B699B" w:rsidP="00545910">
            <w:pPr>
              <w:pStyle w:val="Tabletext9pt"/>
              <w:rPr>
                <w:b w:val="0"/>
                <w:bCs/>
              </w:rPr>
            </w:pPr>
            <w:r w:rsidRPr="00AC68A2">
              <w:rPr>
                <w:b w:val="0"/>
                <w:bCs/>
              </w:rPr>
              <w:t>13097</w:t>
            </w:r>
          </w:p>
        </w:tc>
        <w:tc>
          <w:tcPr>
            <w:tcW w:w="2977" w:type="dxa"/>
            <w:hideMark/>
          </w:tcPr>
          <w:p w14:paraId="63CAB71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delivered meals</w:t>
            </w:r>
          </w:p>
        </w:tc>
        <w:tc>
          <w:tcPr>
            <w:tcW w:w="4535" w:type="dxa"/>
            <w:hideMark/>
          </w:tcPr>
          <w:p w14:paraId="72DE5D2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Subsidy for meals delivered to people in the HACC-PYP target group at home and or in a local venue.</w:t>
            </w:r>
          </w:p>
        </w:tc>
      </w:tr>
      <w:tr w:rsidR="005B699B" w14:paraId="3BEF95F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10E991EC" w14:textId="77777777" w:rsidR="005B699B" w:rsidRPr="00AC68A2" w:rsidRDefault="005B699B" w:rsidP="00545910">
            <w:pPr>
              <w:pStyle w:val="Tabletext9pt"/>
              <w:rPr>
                <w:b w:val="0"/>
                <w:bCs/>
              </w:rPr>
            </w:pPr>
            <w:r w:rsidRPr="00AC68A2">
              <w:rPr>
                <w:b w:val="0"/>
                <w:bCs/>
              </w:rPr>
              <w:t>13099</w:t>
            </w:r>
          </w:p>
        </w:tc>
        <w:tc>
          <w:tcPr>
            <w:tcW w:w="2977" w:type="dxa"/>
            <w:hideMark/>
          </w:tcPr>
          <w:p w14:paraId="6B8FC08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property maintenance</w:t>
            </w:r>
          </w:p>
        </w:tc>
        <w:tc>
          <w:tcPr>
            <w:tcW w:w="4535" w:type="dxa"/>
            <w:hideMark/>
          </w:tcPr>
          <w:p w14:paraId="04DA0B49"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Assistance with home maintenance or modification, including maintenance and repair of the client’s home, garden, or yard to keep it in a safe and habitable condition, and home modification or minor renovations to the client’s home to help them cope with a disabling condition.</w:t>
            </w:r>
          </w:p>
        </w:tc>
      </w:tr>
      <w:tr w:rsidR="005B699B" w14:paraId="3F9D779F"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7158B8CF" w14:textId="77777777" w:rsidR="005B699B" w:rsidRPr="00AC68A2" w:rsidRDefault="005B699B" w:rsidP="00545910">
            <w:pPr>
              <w:pStyle w:val="Tabletext9pt"/>
              <w:rPr>
                <w:b w:val="0"/>
                <w:bCs/>
              </w:rPr>
            </w:pPr>
            <w:r w:rsidRPr="00AC68A2">
              <w:rPr>
                <w:b w:val="0"/>
                <w:bCs/>
              </w:rPr>
              <w:t>13130</w:t>
            </w:r>
          </w:p>
        </w:tc>
        <w:tc>
          <w:tcPr>
            <w:tcW w:w="2977" w:type="dxa"/>
            <w:hideMark/>
          </w:tcPr>
          <w:p w14:paraId="73B6D11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volunteer coordination – other</w:t>
            </w:r>
          </w:p>
        </w:tc>
        <w:tc>
          <w:tcPr>
            <w:tcW w:w="4535" w:type="dxa"/>
            <w:hideMark/>
          </w:tcPr>
          <w:p w14:paraId="47811F6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Block funding to offset costs of volunteer programs including volunteer reimbursements, police checks and some program costs.</w:t>
            </w:r>
          </w:p>
        </w:tc>
      </w:tr>
      <w:tr w:rsidR="005B699B" w14:paraId="1CD15840"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1702EF1F" w14:textId="77777777" w:rsidR="005B699B" w:rsidRPr="00AC68A2" w:rsidRDefault="005B699B" w:rsidP="00545910">
            <w:pPr>
              <w:pStyle w:val="Tabletext9pt"/>
              <w:rPr>
                <w:b w:val="0"/>
                <w:bCs/>
              </w:rPr>
            </w:pPr>
            <w:r w:rsidRPr="00AC68A2">
              <w:rPr>
                <w:b w:val="0"/>
                <w:bCs/>
              </w:rPr>
              <w:t>13217</w:t>
            </w:r>
          </w:p>
        </w:tc>
        <w:tc>
          <w:tcPr>
            <w:tcW w:w="2977" w:type="dxa"/>
            <w:hideMark/>
          </w:tcPr>
          <w:p w14:paraId="669C425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minor capital</w:t>
            </w:r>
          </w:p>
        </w:tc>
        <w:tc>
          <w:tcPr>
            <w:tcW w:w="4535" w:type="dxa"/>
            <w:hideMark/>
          </w:tcPr>
          <w:p w14:paraId="13AADC4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Minor capital funds to HACC-PYP funded organisations to maintain, refurbish or upgrade infrastructure to support HACC-PYP services.</w:t>
            </w:r>
          </w:p>
        </w:tc>
      </w:tr>
      <w:tr w:rsidR="005B699B" w14:paraId="1C488C5A"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26335B87" w14:textId="77777777" w:rsidR="005B699B" w:rsidRPr="00AC68A2" w:rsidRDefault="005B699B" w:rsidP="00545910">
            <w:pPr>
              <w:pStyle w:val="Tabletext9pt"/>
              <w:rPr>
                <w:b w:val="0"/>
                <w:bCs/>
              </w:rPr>
            </w:pPr>
            <w:r w:rsidRPr="00AC68A2">
              <w:rPr>
                <w:b w:val="0"/>
                <w:bCs/>
              </w:rPr>
              <w:t>13223</w:t>
            </w:r>
          </w:p>
        </w:tc>
        <w:tc>
          <w:tcPr>
            <w:tcW w:w="2977" w:type="dxa"/>
            <w:hideMark/>
          </w:tcPr>
          <w:p w14:paraId="1B4B207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nursing</w:t>
            </w:r>
          </w:p>
        </w:tc>
        <w:tc>
          <w:tcPr>
            <w:tcW w:w="4535" w:type="dxa"/>
            <w:hideMark/>
          </w:tcPr>
          <w:p w14:paraId="2C282CB9"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Professional nursing care including direct clinical care, clinical assessment to HACC-PYP clients.</w:t>
            </w:r>
          </w:p>
        </w:tc>
      </w:tr>
      <w:tr w:rsidR="005B699B" w14:paraId="0200A237"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263D15B0" w14:textId="77777777" w:rsidR="005B699B" w:rsidRPr="00AC68A2" w:rsidRDefault="005B699B" w:rsidP="00545910">
            <w:pPr>
              <w:pStyle w:val="Tabletext9pt"/>
              <w:rPr>
                <w:b w:val="0"/>
                <w:bCs/>
              </w:rPr>
            </w:pPr>
            <w:r w:rsidRPr="00AC68A2">
              <w:rPr>
                <w:b w:val="0"/>
                <w:bCs/>
              </w:rPr>
              <w:t>13227</w:t>
            </w:r>
          </w:p>
        </w:tc>
        <w:tc>
          <w:tcPr>
            <w:tcW w:w="2977" w:type="dxa"/>
            <w:hideMark/>
          </w:tcPr>
          <w:p w14:paraId="1075D53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ACCO services – HACC-PYP</w:t>
            </w:r>
          </w:p>
        </w:tc>
        <w:tc>
          <w:tcPr>
            <w:tcW w:w="4535" w:type="dxa"/>
            <w:hideMark/>
          </w:tcPr>
          <w:p w14:paraId="13821F8A"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Funding for HACC-PYP services provided by Aboriginal community-controlled organisations.</w:t>
            </w:r>
          </w:p>
        </w:tc>
      </w:tr>
      <w:tr w:rsidR="005B699B" w14:paraId="35ED029F"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D5BCA7B" w14:textId="77777777" w:rsidR="005B699B" w:rsidRPr="00AC68A2" w:rsidRDefault="005B699B" w:rsidP="00545910">
            <w:pPr>
              <w:pStyle w:val="Tabletext9pt"/>
              <w:rPr>
                <w:b w:val="0"/>
                <w:bCs/>
              </w:rPr>
            </w:pPr>
            <w:r w:rsidRPr="00AC68A2">
              <w:rPr>
                <w:b w:val="0"/>
                <w:bCs/>
              </w:rPr>
              <w:lastRenderedPageBreak/>
              <w:t>13229</w:t>
            </w:r>
          </w:p>
        </w:tc>
        <w:tc>
          <w:tcPr>
            <w:tcW w:w="2977" w:type="dxa"/>
            <w:hideMark/>
          </w:tcPr>
          <w:p w14:paraId="7573BAD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access and support</w:t>
            </w:r>
          </w:p>
        </w:tc>
        <w:tc>
          <w:tcPr>
            <w:tcW w:w="4535" w:type="dxa"/>
            <w:hideMark/>
          </w:tcPr>
          <w:p w14:paraId="73D46329"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One-on-one support for eligible people aged birth to 65 years who experience barriers in accessing a wide range of services.  </w:t>
            </w:r>
          </w:p>
        </w:tc>
      </w:tr>
    </w:tbl>
    <w:p w14:paraId="608A68CC" w14:textId="08F26708" w:rsidR="005B699B" w:rsidRDefault="005B699B" w:rsidP="005D3438">
      <w:pPr>
        <w:pStyle w:val="Bodyafterfiguretable"/>
      </w:pPr>
      <w:r>
        <w:t>Output name: Aged Care Assessment</w:t>
      </w:r>
    </w:p>
    <w:tbl>
      <w:tblPr>
        <w:tblStyle w:val="GridTable4-Accent1"/>
        <w:tblW w:w="9269" w:type="dxa"/>
        <w:tblLook w:val="04A0" w:firstRow="1" w:lastRow="0" w:firstColumn="1" w:lastColumn="0" w:noHBand="0" w:noVBand="1"/>
      </w:tblPr>
      <w:tblGrid>
        <w:gridCol w:w="1757"/>
        <w:gridCol w:w="2977"/>
        <w:gridCol w:w="4535"/>
      </w:tblGrid>
      <w:tr w:rsidR="005B699B" w14:paraId="3B4F4F55" w14:textId="77777777" w:rsidTr="00601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38E34E8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0349350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2A8494D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115C674B" w14:textId="77777777" w:rsidTr="00601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6CA33C14" w14:textId="77777777" w:rsidR="005B699B" w:rsidRDefault="005B699B" w:rsidP="00545910">
            <w:pPr>
              <w:pStyle w:val="Tabletext9pt"/>
              <w:rPr>
                <w:szCs w:val="18"/>
              </w:rPr>
            </w:pPr>
            <w:r>
              <w:t>13109</w:t>
            </w:r>
          </w:p>
        </w:tc>
        <w:tc>
          <w:tcPr>
            <w:tcW w:w="2977" w:type="dxa"/>
            <w:hideMark/>
          </w:tcPr>
          <w:p w14:paraId="4D44C10D" w14:textId="33974812"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Aged Care Assessment evaluation</w:t>
            </w:r>
          </w:p>
        </w:tc>
        <w:tc>
          <w:tcPr>
            <w:tcW w:w="4535" w:type="dxa"/>
            <w:hideMark/>
          </w:tcPr>
          <w:p w14:paraId="61AEFE3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Audit data integrity and conformance with My Aged Care systems and processes.</w:t>
            </w:r>
          </w:p>
        </w:tc>
      </w:tr>
    </w:tbl>
    <w:p w14:paraId="0F7FF0BC" w14:textId="77777777" w:rsidR="005B699B" w:rsidRDefault="005B699B" w:rsidP="00794737">
      <w:pPr>
        <w:pStyle w:val="Bodyafterfiguretable"/>
        <w:rPr>
          <w:lang w:eastAsia="en-AU"/>
        </w:rPr>
      </w:pPr>
      <w:r>
        <w:t>Output name: Aged support services</w:t>
      </w:r>
    </w:p>
    <w:tbl>
      <w:tblPr>
        <w:tblStyle w:val="GridTable4-Accent1"/>
        <w:tblW w:w="9269" w:type="dxa"/>
        <w:tblLook w:val="04A0" w:firstRow="1" w:lastRow="0" w:firstColumn="1" w:lastColumn="0" w:noHBand="0" w:noVBand="1"/>
      </w:tblPr>
      <w:tblGrid>
        <w:gridCol w:w="1757"/>
        <w:gridCol w:w="2977"/>
        <w:gridCol w:w="4535"/>
      </w:tblGrid>
      <w:tr w:rsidR="005B699B" w14:paraId="164F1A07"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hideMark/>
          </w:tcPr>
          <w:p w14:paraId="3A4303C9"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7F5054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4DD8EED4"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02827EF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73A63E4E" w14:textId="77777777" w:rsidR="005B699B" w:rsidRDefault="005B699B" w:rsidP="00545910">
            <w:pPr>
              <w:pStyle w:val="Tabletext9pt"/>
            </w:pPr>
            <w:r>
              <w:t>13019</w:t>
            </w:r>
          </w:p>
        </w:tc>
        <w:tc>
          <w:tcPr>
            <w:tcW w:w="2977" w:type="dxa"/>
            <w:hideMark/>
          </w:tcPr>
          <w:p w14:paraId="4BB1264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Personal Alert Victoria</w:t>
            </w:r>
          </w:p>
        </w:tc>
        <w:tc>
          <w:tcPr>
            <w:tcW w:w="4535" w:type="dxa"/>
            <w:hideMark/>
          </w:tcPr>
          <w:p w14:paraId="661659DE" w14:textId="05A6FC8A"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Daily monitoring and </w:t>
            </w:r>
            <w:r w:rsidR="009469EA">
              <w:t xml:space="preserve">duress </w:t>
            </w:r>
            <w:r>
              <w:t>response service for frail older people and people with a disability who have high ongoing health and support needs and mostly live alone.</w:t>
            </w:r>
          </w:p>
        </w:tc>
      </w:tr>
      <w:tr w:rsidR="005B699B" w14:paraId="08FF1281"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34D204B" w14:textId="77777777" w:rsidR="005B699B" w:rsidRDefault="005B699B" w:rsidP="00545910">
            <w:pPr>
              <w:pStyle w:val="Tabletext9pt"/>
            </w:pPr>
            <w:r>
              <w:t>13053</w:t>
            </w:r>
          </w:p>
        </w:tc>
        <w:tc>
          <w:tcPr>
            <w:tcW w:w="2977" w:type="dxa"/>
            <w:hideMark/>
          </w:tcPr>
          <w:p w14:paraId="20DCCC4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Victorian Eyecare Service</w:t>
            </w:r>
          </w:p>
        </w:tc>
        <w:tc>
          <w:tcPr>
            <w:tcW w:w="4535" w:type="dxa"/>
            <w:hideMark/>
          </w:tcPr>
          <w:p w14:paraId="51962B11"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subsidised eyecare and visual aids to people experiencing disadvantage via metropolitan, outreach and rural services.</w:t>
            </w:r>
          </w:p>
        </w:tc>
      </w:tr>
      <w:tr w:rsidR="005B699B" w14:paraId="3F23716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3C75A4D9" w14:textId="77777777" w:rsidR="005B699B" w:rsidRDefault="005B699B" w:rsidP="00545910">
            <w:pPr>
              <w:pStyle w:val="Tabletext9pt"/>
            </w:pPr>
            <w:r>
              <w:t>13155</w:t>
            </w:r>
          </w:p>
        </w:tc>
        <w:tc>
          <w:tcPr>
            <w:tcW w:w="2977" w:type="dxa"/>
            <w:hideMark/>
          </w:tcPr>
          <w:p w14:paraId="0841E55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Dementia Services</w:t>
            </w:r>
          </w:p>
        </w:tc>
        <w:tc>
          <w:tcPr>
            <w:tcW w:w="4535" w:type="dxa"/>
            <w:hideMark/>
          </w:tcPr>
          <w:p w14:paraId="6307D92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Funding to Dementia Australia (Victoria) for direct client and carer support, sector education and training, consumer engagement and dementia awareness activities.</w:t>
            </w:r>
          </w:p>
        </w:tc>
      </w:tr>
      <w:tr w:rsidR="005B699B" w14:paraId="1E5DDF8D"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4DC194DE" w14:textId="77777777" w:rsidR="005B699B" w:rsidRPr="00731B6C" w:rsidRDefault="005B699B" w:rsidP="00545910">
            <w:pPr>
              <w:pStyle w:val="Tabletext9pt"/>
            </w:pPr>
            <w:r w:rsidRPr="00731B6C">
              <w:t>13082</w:t>
            </w:r>
          </w:p>
        </w:tc>
        <w:tc>
          <w:tcPr>
            <w:tcW w:w="2977" w:type="dxa"/>
            <w:hideMark/>
          </w:tcPr>
          <w:p w14:paraId="1678E171" w14:textId="77777777" w:rsidR="005B699B" w:rsidRPr="00731B6C"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731B6C">
              <w:t>Low-cost Accommodation Support</w:t>
            </w:r>
          </w:p>
        </w:tc>
        <w:tc>
          <w:tcPr>
            <w:tcW w:w="4535" w:type="dxa"/>
            <w:hideMark/>
          </w:tcPr>
          <w:p w14:paraId="366D68E5"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Outreach programs for older and vulnerable Victorians with unmet complex needs who are homeless or living in insecure or low-cost accommodation. Programs link clients to relevant health, community care and welfare services to improve their health, social connectedness and stabilise their tenancies.</w:t>
            </w:r>
          </w:p>
        </w:tc>
      </w:tr>
    </w:tbl>
    <w:p w14:paraId="36727806" w14:textId="77777777" w:rsidR="00A97999" w:rsidRDefault="00A97999" w:rsidP="00A97999">
      <w:pPr>
        <w:pStyle w:val="Body"/>
        <w:rPr>
          <w:b/>
        </w:rPr>
      </w:pPr>
    </w:p>
    <w:p w14:paraId="578E5840" w14:textId="77777777" w:rsidR="007506BA" w:rsidRDefault="007506BA">
      <w:pPr>
        <w:spacing w:after="0" w:line="240" w:lineRule="auto"/>
        <w:rPr>
          <w:rFonts w:eastAsia="Times"/>
          <w:b/>
        </w:rPr>
      </w:pPr>
      <w:r>
        <w:rPr>
          <w:b/>
        </w:rPr>
        <w:br w:type="page"/>
      </w:r>
    </w:p>
    <w:p w14:paraId="4625EAED" w14:textId="455AE022" w:rsidR="00A97999" w:rsidRPr="00A97999" w:rsidRDefault="00A97999" w:rsidP="00745A84">
      <w:pPr>
        <w:pStyle w:val="Tablecaption"/>
        <w:rPr>
          <w:bCs/>
        </w:rPr>
      </w:pPr>
      <w:bookmarkStart w:id="2329" w:name="_Toc201148586"/>
      <w:r w:rsidRPr="00A97999">
        <w:lastRenderedPageBreak/>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25</w:t>
      </w:r>
      <w:r w:rsidR="007D262B">
        <w:rPr>
          <w:noProof/>
        </w:rPr>
        <w:fldChar w:fldCharType="end"/>
      </w:r>
      <w:r w:rsidRPr="00A97999">
        <w:t xml:space="preserve">: </w:t>
      </w:r>
      <w:r w:rsidRPr="00A97999">
        <w:rPr>
          <w:bCs/>
        </w:rPr>
        <w:t xml:space="preserve">Public health – </w:t>
      </w:r>
      <w:r w:rsidRPr="00745A84">
        <w:t>outputs</w:t>
      </w:r>
      <w:r w:rsidRPr="00A97999">
        <w:rPr>
          <w:bCs/>
        </w:rPr>
        <w:t xml:space="preserve"> and activities</w:t>
      </w:r>
      <w:r>
        <w:t xml:space="preserve"> </w:t>
      </w:r>
      <w:r w:rsidRPr="00A97999">
        <w:rPr>
          <w:bCs/>
        </w:rPr>
        <w:t>202</w:t>
      </w:r>
      <w:r w:rsidR="00013F54">
        <w:rPr>
          <w:bCs/>
        </w:rPr>
        <w:t>5</w:t>
      </w:r>
      <w:r w:rsidRPr="00A97999">
        <w:rPr>
          <w:bCs/>
        </w:rPr>
        <w:t>–2</w:t>
      </w:r>
      <w:r w:rsidR="00013F54">
        <w:rPr>
          <w:bCs/>
        </w:rPr>
        <w:t>6</w:t>
      </w:r>
      <w:bookmarkEnd w:id="2329"/>
      <w:r w:rsidR="007E0A64">
        <w:rPr>
          <w:bCs/>
        </w:rPr>
        <w:t xml:space="preserve"> </w:t>
      </w:r>
    </w:p>
    <w:p w14:paraId="0579BA96" w14:textId="77777777" w:rsidR="005B699B" w:rsidRDefault="005B699B" w:rsidP="003A26BD">
      <w:pPr>
        <w:pStyle w:val="Body"/>
        <w:keepNext/>
        <w:keepLines/>
        <w:spacing w:line="240" w:lineRule="auto"/>
      </w:pPr>
      <w:r>
        <w:t>Output name: Health advancement</w:t>
      </w:r>
    </w:p>
    <w:tbl>
      <w:tblPr>
        <w:tblStyle w:val="GridTable4-Accent1"/>
        <w:tblW w:w="9067" w:type="dxa"/>
        <w:tblLook w:val="04A0" w:firstRow="1" w:lastRow="0" w:firstColumn="1" w:lastColumn="0" w:noHBand="0" w:noVBand="1"/>
      </w:tblPr>
      <w:tblGrid>
        <w:gridCol w:w="1413"/>
        <w:gridCol w:w="3402"/>
        <w:gridCol w:w="4252"/>
      </w:tblGrid>
      <w:tr w:rsidR="005B699B" w:rsidRPr="0090298C" w14:paraId="1A8B1BDF"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9F7C60A"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402" w:type="dxa"/>
          </w:tcPr>
          <w:p w14:paraId="2175344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252" w:type="dxa"/>
          </w:tcPr>
          <w:p w14:paraId="2863DFBD"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4E0550" w14:paraId="33762B8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B8F50E" w14:textId="77777777" w:rsidR="005B699B" w:rsidRPr="00674F20" w:rsidRDefault="005B699B" w:rsidP="00545910">
            <w:pPr>
              <w:pStyle w:val="Tabletext9pt"/>
            </w:pPr>
            <w:r w:rsidRPr="00674F20">
              <w:t>16035</w:t>
            </w:r>
          </w:p>
        </w:tc>
        <w:tc>
          <w:tcPr>
            <w:tcW w:w="3402" w:type="dxa"/>
          </w:tcPr>
          <w:p w14:paraId="039DF90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Communication</w:t>
            </w:r>
            <w:r>
              <w:t>,</w:t>
            </w:r>
            <w:r w:rsidRPr="00674F20">
              <w:t xml:space="preserve"> </w:t>
            </w:r>
            <w:r>
              <w:t>i</w:t>
            </w:r>
            <w:r w:rsidRPr="00674F20">
              <w:t>nformation,</w:t>
            </w:r>
            <w:r>
              <w:t xml:space="preserve"> and</w:t>
            </w:r>
            <w:r w:rsidRPr="00674F20">
              <w:t xml:space="preserve"> </w:t>
            </w:r>
            <w:r>
              <w:t>a</w:t>
            </w:r>
            <w:r w:rsidRPr="00674F20">
              <w:t>dvice</w:t>
            </w:r>
          </w:p>
        </w:tc>
        <w:tc>
          <w:tcPr>
            <w:tcW w:w="4252" w:type="dxa"/>
          </w:tcPr>
          <w:p w14:paraId="5E6713F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communicate information, via one or more media, to members of the public or other specific external people and groups.</w:t>
            </w:r>
          </w:p>
        </w:tc>
      </w:tr>
      <w:tr w:rsidR="005B699B" w:rsidRPr="004E0550" w14:paraId="241474E5"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7707504" w14:textId="77777777" w:rsidR="005B699B" w:rsidRPr="003A26BD" w:rsidRDefault="005B699B" w:rsidP="00545910">
            <w:pPr>
              <w:pStyle w:val="Tabletext9pt"/>
            </w:pPr>
            <w:r w:rsidRPr="003A26BD">
              <w:t>16308</w:t>
            </w:r>
          </w:p>
        </w:tc>
        <w:tc>
          <w:tcPr>
            <w:tcW w:w="3402" w:type="dxa"/>
          </w:tcPr>
          <w:p w14:paraId="10460348"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Injury prevention</w:t>
            </w:r>
          </w:p>
        </w:tc>
        <w:tc>
          <w:tcPr>
            <w:tcW w:w="4252" w:type="dxa"/>
          </w:tcPr>
          <w:p w14:paraId="68F8990D"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undertake the design, management and evaluation of projects aimed at fostering best practice in injury prevention program planning and delivery.</w:t>
            </w:r>
          </w:p>
        </w:tc>
      </w:tr>
      <w:tr w:rsidR="005B699B" w:rsidRPr="004E0550" w14:paraId="7051F27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D5419E" w14:textId="77777777" w:rsidR="005B699B" w:rsidRPr="003A26BD" w:rsidRDefault="005B699B" w:rsidP="00545910">
            <w:pPr>
              <w:pStyle w:val="Tabletext9pt"/>
            </w:pPr>
            <w:r w:rsidRPr="003A26BD">
              <w:t>16348</w:t>
            </w:r>
          </w:p>
        </w:tc>
        <w:tc>
          <w:tcPr>
            <w:tcW w:w="3402" w:type="dxa"/>
          </w:tcPr>
          <w:p w14:paraId="73432EBA"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Children’s obesity</w:t>
            </w:r>
          </w:p>
        </w:tc>
        <w:tc>
          <w:tcPr>
            <w:tcW w:w="4252" w:type="dxa"/>
          </w:tcPr>
          <w:p w14:paraId="736477B9"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To implement initiatives to increase healthy eating and physical activity among children.</w:t>
            </w:r>
          </w:p>
        </w:tc>
      </w:tr>
      <w:tr w:rsidR="005B699B" w:rsidRPr="004E0550" w14:paraId="2B6FF1EC"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12CF7542" w14:textId="77777777" w:rsidR="005B699B" w:rsidRPr="003A26BD" w:rsidRDefault="005B699B" w:rsidP="00545910">
            <w:pPr>
              <w:pStyle w:val="Tabletext9pt"/>
            </w:pPr>
            <w:r w:rsidRPr="003A26BD">
              <w:t>16349</w:t>
            </w:r>
          </w:p>
        </w:tc>
        <w:tc>
          <w:tcPr>
            <w:tcW w:w="3402" w:type="dxa"/>
          </w:tcPr>
          <w:p w14:paraId="3BD2171B"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Obesity – community projects</w:t>
            </w:r>
          </w:p>
        </w:tc>
        <w:tc>
          <w:tcPr>
            <w:tcW w:w="4252" w:type="dxa"/>
          </w:tcPr>
          <w:p w14:paraId="05CD2E25"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implement obesity prevention place-based initiatives in a community and develop activities to increase healthy eating and physical activity.</w:t>
            </w:r>
          </w:p>
        </w:tc>
      </w:tr>
      <w:tr w:rsidR="005B699B" w:rsidRPr="004E0550" w14:paraId="3404344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A0B238" w14:textId="77777777" w:rsidR="005B699B" w:rsidRPr="003A26BD" w:rsidRDefault="005B699B" w:rsidP="00545910">
            <w:pPr>
              <w:pStyle w:val="Tabletext9pt"/>
            </w:pPr>
            <w:r w:rsidRPr="003A26BD">
              <w:t>16449</w:t>
            </w:r>
          </w:p>
        </w:tc>
        <w:tc>
          <w:tcPr>
            <w:tcW w:w="3402" w:type="dxa"/>
          </w:tcPr>
          <w:p w14:paraId="2FE1CCC3"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Smoking/vaping information – advice and interventions</w:t>
            </w:r>
          </w:p>
        </w:tc>
        <w:tc>
          <w:tcPr>
            <w:tcW w:w="4252" w:type="dxa"/>
          </w:tcPr>
          <w:p w14:paraId="04791416" w14:textId="620F32F8"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To provide smoking and vaping cessation advice/support</w:t>
            </w:r>
            <w:r w:rsidR="007E74EA">
              <w:t>, research</w:t>
            </w:r>
            <w:r w:rsidRPr="003A26BD">
              <w:t xml:space="preserve"> and to educate the community and stakeholders about tobacco, e-cigarettes and smoking/vaping-related legislative requirements and to enforce the </w:t>
            </w:r>
            <w:r w:rsidRPr="003A26BD">
              <w:rPr>
                <w:rStyle w:val="Emphasis"/>
              </w:rPr>
              <w:t>Tobacco Act 1987</w:t>
            </w:r>
            <w:r w:rsidRPr="003A26BD">
              <w:t>.</w:t>
            </w:r>
          </w:p>
        </w:tc>
      </w:tr>
      <w:tr w:rsidR="005B699B" w:rsidRPr="004E0550" w14:paraId="7BBA4F7B"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20570E75" w14:textId="77777777" w:rsidR="005B699B" w:rsidRPr="003A26BD" w:rsidRDefault="005B699B" w:rsidP="00545910">
            <w:pPr>
              <w:pStyle w:val="Tabletext9pt"/>
            </w:pPr>
            <w:r w:rsidRPr="003A26BD">
              <w:t>16450</w:t>
            </w:r>
          </w:p>
        </w:tc>
        <w:tc>
          <w:tcPr>
            <w:tcW w:w="3402" w:type="dxa"/>
          </w:tcPr>
          <w:p w14:paraId="46D25B3C"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Diabetes prevention</w:t>
            </w:r>
          </w:p>
        </w:tc>
        <w:tc>
          <w:tcPr>
            <w:tcW w:w="4252" w:type="dxa"/>
          </w:tcPr>
          <w:p w14:paraId="0F02DBE3"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undertake primary and secondary prevention initiatives aimed at reducing the number of people in the Victorian community developing type 2 diabetes and cardiovascular disease.</w:t>
            </w:r>
          </w:p>
        </w:tc>
      </w:tr>
      <w:tr w:rsidR="005B699B" w:rsidRPr="004E0550" w14:paraId="78331884"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5880E7B" w14:textId="77777777" w:rsidR="005B699B" w:rsidRPr="00674F20" w:rsidRDefault="005B699B" w:rsidP="00545910">
            <w:pPr>
              <w:pStyle w:val="Tabletext9pt"/>
            </w:pPr>
            <w:r w:rsidRPr="00674F20">
              <w:t>16454</w:t>
            </w:r>
          </w:p>
        </w:tc>
        <w:tc>
          <w:tcPr>
            <w:tcW w:w="3402" w:type="dxa"/>
          </w:tcPr>
          <w:p w14:paraId="3FA054A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Health promotion initiatives</w:t>
            </w:r>
          </w:p>
        </w:tc>
        <w:tc>
          <w:tcPr>
            <w:tcW w:w="4252" w:type="dxa"/>
          </w:tcPr>
          <w:p w14:paraId="04DB9D6D" w14:textId="263D87A1"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develop and support programs that prevent illness and promote wellbeing through using a mix of health promotion interventions and capacity-building strategies </w:t>
            </w:r>
            <w:r>
              <w:t xml:space="preserve">delivering place-based approaches in Victorian communities </w:t>
            </w:r>
            <w:r w:rsidR="002E5A5C">
              <w:t xml:space="preserve">– </w:t>
            </w:r>
            <w:r w:rsidRPr="003E6F87">
              <w:t xml:space="preserve">including activity delivered through LPHU </w:t>
            </w:r>
            <w:r w:rsidR="007E74EA">
              <w:t xml:space="preserve">population health </w:t>
            </w:r>
            <w:r w:rsidRPr="003E6F87">
              <w:t>catchment plans</w:t>
            </w:r>
          </w:p>
        </w:tc>
      </w:tr>
      <w:tr w:rsidR="005B699B" w:rsidRPr="004E0550" w14:paraId="1C340EF2"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B406973" w14:textId="77777777" w:rsidR="005B699B" w:rsidRPr="00674F20" w:rsidRDefault="005B699B" w:rsidP="00545910">
            <w:pPr>
              <w:pStyle w:val="Tabletext9pt"/>
            </w:pPr>
            <w:r w:rsidRPr="00674F20">
              <w:t>16460</w:t>
            </w:r>
          </w:p>
        </w:tc>
        <w:tc>
          <w:tcPr>
            <w:tcW w:w="3402" w:type="dxa"/>
          </w:tcPr>
          <w:p w14:paraId="511A576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Targeted recruitment for screening programs</w:t>
            </w:r>
          </w:p>
        </w:tc>
        <w:tc>
          <w:tcPr>
            <w:tcW w:w="4252" w:type="dxa"/>
          </w:tcPr>
          <w:p w14:paraId="7A975F6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undertake a range of activities aimed at improving participation of under-screened and never-screened people in screening programs.</w:t>
            </w:r>
          </w:p>
        </w:tc>
      </w:tr>
      <w:tr w:rsidR="005B699B" w:rsidRPr="004E0550" w14:paraId="6585AD30"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2E1EA0" w14:textId="77777777" w:rsidR="005B699B" w:rsidRPr="00674F20" w:rsidRDefault="005B699B" w:rsidP="00545910">
            <w:pPr>
              <w:pStyle w:val="Tabletext9pt"/>
            </w:pPr>
            <w:r w:rsidRPr="00674F20">
              <w:t>16461</w:t>
            </w:r>
          </w:p>
        </w:tc>
        <w:tc>
          <w:tcPr>
            <w:tcW w:w="3402" w:type="dxa"/>
          </w:tcPr>
          <w:p w14:paraId="4859A941"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ACCO services</w:t>
            </w:r>
            <w:r w:rsidRPr="72967CCD">
              <w:t xml:space="preserve"> – </w:t>
            </w:r>
            <w:r>
              <w:t>public health</w:t>
            </w:r>
          </w:p>
        </w:tc>
        <w:tc>
          <w:tcPr>
            <w:tcW w:w="4252" w:type="dxa"/>
          </w:tcPr>
          <w:p w14:paraId="32BF073E"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Funding for those public health services provided by Aboriginal community-controlled organisations.</w:t>
            </w:r>
          </w:p>
        </w:tc>
      </w:tr>
      <w:tr w:rsidR="005B699B" w:rsidRPr="004E0550" w14:paraId="5DEE7EEC"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451F835" w14:textId="77777777" w:rsidR="005B699B" w:rsidRPr="00674F20" w:rsidRDefault="005B699B" w:rsidP="00545910">
            <w:pPr>
              <w:pStyle w:val="Tabletext9pt"/>
            </w:pPr>
            <w:r w:rsidRPr="00674F20">
              <w:t>16508</w:t>
            </w:r>
          </w:p>
        </w:tc>
        <w:tc>
          <w:tcPr>
            <w:tcW w:w="3402" w:type="dxa"/>
          </w:tcPr>
          <w:p w14:paraId="67ABE710"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health promotion</w:t>
            </w:r>
            <w:r>
              <w:t xml:space="preserve"> </w:t>
            </w:r>
          </w:p>
        </w:tc>
        <w:tc>
          <w:tcPr>
            <w:tcW w:w="4252" w:type="dxa"/>
          </w:tcPr>
          <w:p w14:paraId="48CC3A89" w14:textId="78E512C1"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for the delivery of </w:t>
            </w:r>
            <w:r w:rsidR="00103E62">
              <w:t>blood-borne virus and sexually transmitted infection (</w:t>
            </w:r>
            <w:r w:rsidRPr="00674F20">
              <w:t>BBV/STI</w:t>
            </w:r>
            <w:r w:rsidR="00103E62">
              <w:t>)</w:t>
            </w:r>
            <w:r w:rsidRPr="00674F20">
              <w:t xml:space="preserve"> health</w:t>
            </w:r>
            <w:r w:rsidR="00103E62">
              <w:t>-</w:t>
            </w:r>
            <w:r w:rsidRPr="00674F20">
              <w:t>promotion/prevention services to the community or targeted population groups.</w:t>
            </w:r>
          </w:p>
        </w:tc>
      </w:tr>
      <w:tr w:rsidR="005B699B" w:rsidRPr="004E0550" w14:paraId="0AE37DDB"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8805D1" w14:textId="77777777" w:rsidR="005B699B" w:rsidRPr="00674F20" w:rsidRDefault="005B699B" w:rsidP="00545910">
            <w:pPr>
              <w:pStyle w:val="Tabletext9pt"/>
            </w:pPr>
            <w:r w:rsidRPr="00674F20">
              <w:t>16509</w:t>
            </w:r>
          </w:p>
        </w:tc>
        <w:tc>
          <w:tcPr>
            <w:tcW w:w="3402" w:type="dxa"/>
          </w:tcPr>
          <w:p w14:paraId="7A53F3D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BBV and STI – community-based care and support </w:t>
            </w:r>
          </w:p>
        </w:tc>
        <w:tc>
          <w:tcPr>
            <w:tcW w:w="4252" w:type="dxa"/>
          </w:tcPr>
          <w:p w14:paraId="01BEAC45"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the delivery of community-based care and support to clients, carers, and significant others.</w:t>
            </w:r>
          </w:p>
        </w:tc>
      </w:tr>
      <w:tr w:rsidR="005B699B" w:rsidRPr="004E0550" w14:paraId="5DDC97B2"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45FE32C" w14:textId="77777777" w:rsidR="005B699B" w:rsidRPr="00674F20" w:rsidRDefault="005B699B" w:rsidP="00545910">
            <w:pPr>
              <w:pStyle w:val="Tabletext9pt"/>
            </w:pPr>
            <w:r w:rsidRPr="00B67FDD">
              <w:t>16513</w:t>
            </w:r>
          </w:p>
        </w:tc>
        <w:tc>
          <w:tcPr>
            <w:tcW w:w="3402" w:type="dxa"/>
          </w:tcPr>
          <w:p w14:paraId="7D9AEAA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Screening and preventive messages</w:t>
            </w:r>
            <w:r>
              <w:t xml:space="preserve"> </w:t>
            </w:r>
          </w:p>
        </w:tc>
        <w:tc>
          <w:tcPr>
            <w:tcW w:w="4252" w:type="dxa"/>
          </w:tcPr>
          <w:p w14:paraId="3B2A3914"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undertake a range of activities within the community aimed at enabling people to make positive decisions about their health and wellbeing.</w:t>
            </w:r>
          </w:p>
        </w:tc>
      </w:tr>
      <w:tr w:rsidR="005B699B" w:rsidRPr="004E0550" w14:paraId="27DFBED8" w14:textId="77777777" w:rsidTr="00A23F5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13" w:type="dxa"/>
          </w:tcPr>
          <w:p w14:paraId="72B462ED" w14:textId="77777777" w:rsidR="005B699B" w:rsidRPr="00674F20" w:rsidRDefault="005B699B" w:rsidP="00545910">
            <w:pPr>
              <w:pStyle w:val="Tabletext9pt"/>
            </w:pPr>
            <w:r w:rsidRPr="00B67FDD">
              <w:t>16514</w:t>
            </w:r>
          </w:p>
        </w:tc>
        <w:tc>
          <w:tcPr>
            <w:tcW w:w="3402" w:type="dxa"/>
          </w:tcPr>
          <w:p w14:paraId="0D440115"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Screening service development</w:t>
            </w:r>
            <w:r>
              <w:t xml:space="preserve"> </w:t>
            </w:r>
          </w:p>
        </w:tc>
        <w:tc>
          <w:tcPr>
            <w:tcW w:w="4252" w:type="dxa"/>
          </w:tcPr>
          <w:p w14:paraId="04EA342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undertake specific activities to improve service delivery, capacity, and program effectiveness.</w:t>
            </w:r>
          </w:p>
        </w:tc>
      </w:tr>
      <w:tr w:rsidR="005B699B" w:rsidRPr="004E0550" w14:paraId="30E31482" w14:textId="77777777" w:rsidTr="00A23F57">
        <w:trPr>
          <w:trHeight w:val="742"/>
        </w:trPr>
        <w:tc>
          <w:tcPr>
            <w:cnfStyle w:val="001000000000" w:firstRow="0" w:lastRow="0" w:firstColumn="1" w:lastColumn="0" w:oddVBand="0" w:evenVBand="0" w:oddHBand="0" w:evenHBand="0" w:firstRowFirstColumn="0" w:firstRowLastColumn="0" w:lastRowFirstColumn="0" w:lastRowLastColumn="0"/>
            <w:tcW w:w="1413" w:type="dxa"/>
          </w:tcPr>
          <w:p w14:paraId="4DA935EA" w14:textId="77777777" w:rsidR="005B699B" w:rsidRPr="00674F20" w:rsidRDefault="005B699B" w:rsidP="00545910">
            <w:pPr>
              <w:pStyle w:val="Tabletext9pt"/>
            </w:pPr>
            <w:r w:rsidRPr="00B67FDD">
              <w:t>16515</w:t>
            </w:r>
          </w:p>
        </w:tc>
        <w:tc>
          <w:tcPr>
            <w:tcW w:w="3402" w:type="dxa"/>
          </w:tcPr>
          <w:p w14:paraId="6F863CDA"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Education and training in screening programs</w:t>
            </w:r>
            <w:r>
              <w:t xml:space="preserve"> </w:t>
            </w:r>
          </w:p>
        </w:tc>
        <w:tc>
          <w:tcPr>
            <w:tcW w:w="4252" w:type="dxa"/>
          </w:tcPr>
          <w:p w14:paraId="0BD97827"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undertake a range of education and training activities with program stakeholders to support and </w:t>
            </w:r>
            <w:r w:rsidRPr="00FD40FF">
              <w:t xml:space="preserve">enhance </w:t>
            </w:r>
            <w:r>
              <w:t xml:space="preserve">the </w:t>
            </w:r>
            <w:r w:rsidRPr="00FD40FF">
              <w:t>delivery of organised</w:t>
            </w:r>
            <w:r w:rsidRPr="00674F20">
              <w:t xml:space="preserve"> screening programs.</w:t>
            </w:r>
          </w:p>
        </w:tc>
      </w:tr>
      <w:tr w:rsidR="005B699B" w:rsidRPr="004E0550" w14:paraId="7151DAD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2969CBD" w14:textId="77777777" w:rsidR="005B699B" w:rsidRPr="00674F20" w:rsidRDefault="005B699B" w:rsidP="00545910">
            <w:pPr>
              <w:pStyle w:val="Tabletext9pt"/>
            </w:pPr>
            <w:r w:rsidRPr="00B67FDD">
              <w:lastRenderedPageBreak/>
              <w:t>16519</w:t>
            </w:r>
          </w:p>
        </w:tc>
        <w:tc>
          <w:tcPr>
            <w:tcW w:w="3402" w:type="dxa"/>
          </w:tcPr>
          <w:p w14:paraId="3707CC83"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Screening tests and assessments </w:t>
            </w:r>
          </w:p>
        </w:tc>
        <w:tc>
          <w:tcPr>
            <w:tcW w:w="4252" w:type="dxa"/>
          </w:tcPr>
          <w:p w14:paraId="413D8CDD"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screening tests and assessments to the target population of an organised screening program.</w:t>
            </w:r>
          </w:p>
        </w:tc>
      </w:tr>
    </w:tbl>
    <w:p w14:paraId="6C4655A8" w14:textId="77777777" w:rsidR="005B699B" w:rsidRPr="00CA1B3E" w:rsidRDefault="005B699B" w:rsidP="003A26BD">
      <w:pPr>
        <w:pStyle w:val="Bodyafterfiguretable"/>
      </w:pPr>
      <w:bookmarkStart w:id="2330" w:name="_Toc487742053"/>
      <w:bookmarkStart w:id="2331" w:name="_Toc14172284"/>
      <w:bookmarkStart w:id="2332" w:name="_Toc55381148"/>
      <w:bookmarkStart w:id="2333" w:name="_Ref77755748"/>
      <w:bookmarkStart w:id="2334" w:name="_Ref77755771"/>
      <w:bookmarkStart w:id="2335" w:name="_Toc100263355"/>
      <w:bookmarkStart w:id="2336" w:name="_Toc55381157"/>
      <w:bookmarkStart w:id="2337" w:name="_Toc486151653"/>
      <w:bookmarkStart w:id="2338" w:name="_Toc12780585"/>
      <w:bookmarkStart w:id="2339" w:name="_Toc487742063"/>
      <w:bookmarkEnd w:id="2324"/>
      <w:bookmarkEnd w:id="2325"/>
      <w:bookmarkEnd w:id="2326"/>
      <w:bookmarkEnd w:id="2327"/>
      <w:r>
        <w:t>Output name: Health protection</w:t>
      </w:r>
    </w:p>
    <w:tbl>
      <w:tblPr>
        <w:tblStyle w:val="GridTable4-Accent1"/>
        <w:tblW w:w="9059" w:type="dxa"/>
        <w:tblLook w:val="04A0" w:firstRow="1" w:lastRow="0" w:firstColumn="1" w:lastColumn="0" w:noHBand="0" w:noVBand="1"/>
      </w:tblPr>
      <w:tblGrid>
        <w:gridCol w:w="1405"/>
        <w:gridCol w:w="3402"/>
        <w:gridCol w:w="4252"/>
      </w:tblGrid>
      <w:tr w:rsidR="005B699B" w:rsidRPr="0090298C" w14:paraId="0DDEC61A"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5" w:type="dxa"/>
          </w:tcPr>
          <w:p w14:paraId="6150F42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402" w:type="dxa"/>
          </w:tcPr>
          <w:p w14:paraId="79B3928C"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252" w:type="dxa"/>
          </w:tcPr>
          <w:p w14:paraId="7909F3E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674F20" w14:paraId="080CDB7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6629D8D" w14:textId="77777777" w:rsidR="005B699B" w:rsidRPr="00674F20" w:rsidRDefault="005B699B" w:rsidP="00545910">
            <w:pPr>
              <w:pStyle w:val="Tabletext9pt"/>
            </w:pPr>
            <w:r w:rsidRPr="00674F20">
              <w:t>16037</w:t>
            </w:r>
          </w:p>
        </w:tc>
        <w:tc>
          <w:tcPr>
            <w:tcW w:w="3402" w:type="dxa"/>
          </w:tcPr>
          <w:p w14:paraId="0042F65B"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Immunisation education</w:t>
            </w:r>
          </w:p>
        </w:tc>
        <w:tc>
          <w:tcPr>
            <w:tcW w:w="4252" w:type="dxa"/>
          </w:tcPr>
          <w:p w14:paraId="23F1A327"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provide educational and promotional resources and programs for immunisation providers </w:t>
            </w:r>
            <w:r>
              <w:t>and the public</w:t>
            </w:r>
            <w:r w:rsidRPr="00674F20">
              <w:t>.</w:t>
            </w:r>
          </w:p>
        </w:tc>
      </w:tr>
      <w:tr w:rsidR="005B699B" w:rsidRPr="00674F20" w14:paraId="7F623878"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704B8931" w14:textId="77777777" w:rsidR="005B699B" w:rsidRPr="00674F20" w:rsidRDefault="005B699B" w:rsidP="00545910">
            <w:pPr>
              <w:pStyle w:val="Tabletext9pt"/>
            </w:pPr>
            <w:r w:rsidRPr="00674F20">
              <w:t>16038</w:t>
            </w:r>
          </w:p>
        </w:tc>
        <w:tc>
          <w:tcPr>
            <w:tcW w:w="3402" w:type="dxa"/>
          </w:tcPr>
          <w:p w14:paraId="1CDB026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Tuberculosis screening – management</w:t>
            </w:r>
          </w:p>
        </w:tc>
        <w:tc>
          <w:tcPr>
            <w:tcW w:w="4252" w:type="dxa"/>
          </w:tcPr>
          <w:p w14:paraId="18F80EF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services and activities related to </w:t>
            </w:r>
            <w:r>
              <w:t>tuberculosis</w:t>
            </w:r>
            <w:r w:rsidRPr="00674F20">
              <w:t xml:space="preserve"> management.</w:t>
            </w:r>
          </w:p>
        </w:tc>
      </w:tr>
      <w:tr w:rsidR="005B699B" w:rsidRPr="00674F20" w14:paraId="22D1804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761D5CA2" w14:textId="77777777" w:rsidR="005B699B" w:rsidRPr="00674F20" w:rsidRDefault="005B699B" w:rsidP="00545910">
            <w:pPr>
              <w:pStyle w:val="Tabletext9pt"/>
            </w:pPr>
            <w:r w:rsidRPr="00674F20">
              <w:t>16042</w:t>
            </w:r>
          </w:p>
        </w:tc>
        <w:tc>
          <w:tcPr>
            <w:tcW w:w="3402" w:type="dxa"/>
          </w:tcPr>
          <w:p w14:paraId="5F77BB9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Infectious disease investigation and response</w:t>
            </w:r>
          </w:p>
        </w:tc>
        <w:tc>
          <w:tcPr>
            <w:tcW w:w="4252" w:type="dxa"/>
          </w:tcPr>
          <w:p w14:paraId="0F64A31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investigate sporadic cases or outbreaks of infectious disease and </w:t>
            </w:r>
            <w:r>
              <w:t xml:space="preserve">the </w:t>
            </w:r>
            <w:r w:rsidRPr="00674F20">
              <w:t>institution of suitable control measures.</w:t>
            </w:r>
          </w:p>
        </w:tc>
      </w:tr>
      <w:tr w:rsidR="005B699B" w:rsidRPr="00674F20" w14:paraId="05E8B922"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5A32CBE1" w14:textId="77777777" w:rsidR="005B699B" w:rsidRPr="00674F20" w:rsidRDefault="005B699B" w:rsidP="00545910">
            <w:pPr>
              <w:pStyle w:val="Tabletext9pt"/>
            </w:pPr>
            <w:r w:rsidRPr="00674F20">
              <w:t>16047</w:t>
            </w:r>
          </w:p>
        </w:tc>
        <w:tc>
          <w:tcPr>
            <w:tcW w:w="3402" w:type="dxa"/>
          </w:tcPr>
          <w:p w14:paraId="69C45765"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Food system quality improvement</w:t>
            </w:r>
          </w:p>
        </w:tc>
        <w:tc>
          <w:tcPr>
            <w:tcW w:w="4252" w:type="dxa"/>
          </w:tcPr>
          <w:p w14:paraId="2C59A3AC"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oversee the State Safe Food System through intersectoral linkages with an aim of continuous improvement in system operation through consultation and cooperation.</w:t>
            </w:r>
          </w:p>
        </w:tc>
      </w:tr>
      <w:tr w:rsidR="005B699B" w:rsidRPr="00674F20" w14:paraId="0EBB74C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4C12F0F1" w14:textId="77777777" w:rsidR="005B699B" w:rsidRPr="00674F20" w:rsidRDefault="005B699B" w:rsidP="00545910">
            <w:pPr>
              <w:pStyle w:val="Tabletext9pt"/>
            </w:pPr>
            <w:r w:rsidRPr="000D467A">
              <w:t>16049</w:t>
            </w:r>
          </w:p>
        </w:tc>
        <w:tc>
          <w:tcPr>
            <w:tcW w:w="3402" w:type="dxa"/>
          </w:tcPr>
          <w:p w14:paraId="0DB2321C"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Cemetery sector governance</w:t>
            </w:r>
          </w:p>
        </w:tc>
        <w:tc>
          <w:tcPr>
            <w:tcW w:w="4252" w:type="dxa"/>
          </w:tcPr>
          <w:p w14:paraId="08390683"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undertake a range of projects relating to the governance of the cemetery sector.</w:t>
            </w:r>
          </w:p>
        </w:tc>
      </w:tr>
      <w:tr w:rsidR="005B699B" w:rsidRPr="00674F20" w14:paraId="29C5771A"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487AED8C" w14:textId="77777777" w:rsidR="005B699B" w:rsidRPr="00674F20" w:rsidRDefault="005B699B" w:rsidP="00545910">
            <w:pPr>
              <w:pStyle w:val="Tabletext9pt"/>
            </w:pPr>
            <w:r w:rsidRPr="00674F20">
              <w:t>16084</w:t>
            </w:r>
          </w:p>
        </w:tc>
        <w:tc>
          <w:tcPr>
            <w:tcW w:w="3402" w:type="dxa"/>
          </w:tcPr>
          <w:p w14:paraId="2EF8011B"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Childhood i</w:t>
            </w:r>
            <w:r w:rsidRPr="00674F20">
              <w:t>mmunisation services</w:t>
            </w:r>
          </w:p>
        </w:tc>
        <w:tc>
          <w:tcPr>
            <w:tcW w:w="4252" w:type="dxa"/>
          </w:tcPr>
          <w:p w14:paraId="7B4F3C33" w14:textId="68A5BEF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subsidy payments to local governments for childhood immunisation (under </w:t>
            </w:r>
            <w:r w:rsidR="007D775F">
              <w:t>7</w:t>
            </w:r>
            <w:r w:rsidRPr="00674F20">
              <w:t xml:space="preserve"> years old</w:t>
            </w:r>
            <w:r>
              <w:t>)</w:t>
            </w:r>
            <w:r w:rsidRPr="00674F20">
              <w:t>.</w:t>
            </w:r>
          </w:p>
        </w:tc>
      </w:tr>
      <w:tr w:rsidR="005B699B" w:rsidRPr="00674F20" w14:paraId="5B2816BB"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1776DC9E" w14:textId="77777777" w:rsidR="005B699B" w:rsidRPr="00674F20" w:rsidRDefault="005B699B" w:rsidP="00545910">
            <w:pPr>
              <w:pStyle w:val="Tabletext9pt"/>
            </w:pPr>
            <w:r w:rsidRPr="00674F20">
              <w:t>16102</w:t>
            </w:r>
          </w:p>
        </w:tc>
        <w:tc>
          <w:tcPr>
            <w:tcW w:w="3402" w:type="dxa"/>
          </w:tcPr>
          <w:p w14:paraId="45FA476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Infectious disease surveillance</w:t>
            </w:r>
          </w:p>
        </w:tc>
        <w:tc>
          <w:tcPr>
            <w:tcW w:w="4252" w:type="dxa"/>
          </w:tcPr>
          <w:p w14:paraId="2D92287D"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collect, collate and report on data relating to notifiable infectious diseases, as required by legislation.</w:t>
            </w:r>
          </w:p>
        </w:tc>
      </w:tr>
      <w:tr w:rsidR="005B699B" w:rsidRPr="00674F20" w14:paraId="372FBED9"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2BFCDD2D" w14:textId="77777777" w:rsidR="005B699B" w:rsidRPr="00674F20" w:rsidRDefault="005B699B" w:rsidP="00545910">
            <w:pPr>
              <w:pStyle w:val="Tabletext9pt"/>
            </w:pPr>
            <w:r w:rsidRPr="00030D5A">
              <w:t>16103</w:t>
            </w:r>
          </w:p>
        </w:tc>
        <w:tc>
          <w:tcPr>
            <w:tcW w:w="3402" w:type="dxa"/>
          </w:tcPr>
          <w:p w14:paraId="1EBDC7A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030D5A">
              <w:t xml:space="preserve">Food </w:t>
            </w:r>
            <w:r>
              <w:t>s</w:t>
            </w:r>
            <w:r w:rsidRPr="00030D5A">
              <w:t xml:space="preserve">afety </w:t>
            </w:r>
            <w:r w:rsidRPr="00473B41">
              <w:t>surveillance</w:t>
            </w:r>
            <w:r>
              <w:t xml:space="preserve"> </w:t>
            </w:r>
          </w:p>
        </w:tc>
        <w:tc>
          <w:tcPr>
            <w:tcW w:w="4252" w:type="dxa"/>
          </w:tcPr>
          <w:p w14:paraId="71A08C35"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F17BCD">
              <w:t>To provide microbiological testing and analysis of food samples and surfaces in food premises</w:t>
            </w:r>
            <w:r>
              <w:t>.</w:t>
            </w:r>
          </w:p>
        </w:tc>
      </w:tr>
      <w:tr w:rsidR="005B699B" w:rsidRPr="00674F20" w14:paraId="3EA1114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DB94C65" w14:textId="77777777" w:rsidR="005B699B" w:rsidRPr="00674F20" w:rsidRDefault="005B699B" w:rsidP="00545910">
            <w:pPr>
              <w:pStyle w:val="Tabletext9pt"/>
            </w:pPr>
            <w:r w:rsidRPr="00674F20">
              <w:t>16119</w:t>
            </w:r>
          </w:p>
        </w:tc>
        <w:tc>
          <w:tcPr>
            <w:tcW w:w="3402" w:type="dxa"/>
          </w:tcPr>
          <w:p w14:paraId="08B4961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S</w:t>
            </w:r>
            <w:r>
              <w:t>econdary s</w:t>
            </w:r>
            <w:r w:rsidRPr="00674F20">
              <w:t>chool immunisation services</w:t>
            </w:r>
          </w:p>
        </w:tc>
        <w:tc>
          <w:tcPr>
            <w:tcW w:w="4252" w:type="dxa"/>
          </w:tcPr>
          <w:p w14:paraId="12ED8F59" w14:textId="4B099533"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provide subsidy payments to local governments for </w:t>
            </w:r>
            <w:r>
              <w:t xml:space="preserve">adolescent </w:t>
            </w:r>
            <w:r w:rsidRPr="00674F20">
              <w:t>immunisation service delivery in</w:t>
            </w:r>
            <w:r>
              <w:t>cluding the</w:t>
            </w:r>
            <w:r w:rsidRPr="00674F20">
              <w:t xml:space="preserve"> </w:t>
            </w:r>
            <w:r>
              <w:t>delivery of the</w:t>
            </w:r>
            <w:r w:rsidRPr="00674F20">
              <w:t xml:space="preserve"> secondary school</w:t>
            </w:r>
            <w:r>
              <w:t xml:space="preserve"> immunisation program</w:t>
            </w:r>
            <w:r w:rsidRPr="00674F20">
              <w:t>.</w:t>
            </w:r>
          </w:p>
        </w:tc>
      </w:tr>
      <w:tr w:rsidR="005B699B" w:rsidRPr="00674F20" w14:paraId="025FA86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44201F91" w14:textId="77777777" w:rsidR="005B699B" w:rsidRPr="00674F20" w:rsidRDefault="005B699B" w:rsidP="00545910">
            <w:pPr>
              <w:pStyle w:val="Tabletext9pt"/>
            </w:pPr>
            <w:r>
              <w:t>16132</w:t>
            </w:r>
          </w:p>
        </w:tc>
        <w:tc>
          <w:tcPr>
            <w:tcW w:w="3402" w:type="dxa"/>
          </w:tcPr>
          <w:p w14:paraId="1F67CA8E"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Food safety research</w:t>
            </w:r>
          </w:p>
        </w:tc>
        <w:tc>
          <w:tcPr>
            <w:tcW w:w="4252" w:type="dxa"/>
          </w:tcPr>
          <w:p w14:paraId="6BD26AF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FD04C0">
              <w:t>To provide research into food risks.</w:t>
            </w:r>
          </w:p>
        </w:tc>
      </w:tr>
      <w:tr w:rsidR="005B699B" w:rsidRPr="00674F20" w14:paraId="1A12F1B7"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ACD5E1A" w14:textId="77777777" w:rsidR="005B699B" w:rsidRPr="00674F20" w:rsidRDefault="005B699B" w:rsidP="00545910">
            <w:pPr>
              <w:pStyle w:val="Tabletext9pt"/>
            </w:pPr>
            <w:r w:rsidRPr="00674F20">
              <w:t>16163</w:t>
            </w:r>
          </w:p>
        </w:tc>
        <w:tc>
          <w:tcPr>
            <w:tcW w:w="3402" w:type="dxa"/>
          </w:tcPr>
          <w:p w14:paraId="239FD2A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Food safety education</w:t>
            </w:r>
          </w:p>
        </w:tc>
        <w:tc>
          <w:tcPr>
            <w:tcW w:w="4252" w:type="dxa"/>
          </w:tcPr>
          <w:p w14:paraId="45604A6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education to local government, public and food businesses on food safety.</w:t>
            </w:r>
          </w:p>
        </w:tc>
      </w:tr>
      <w:tr w:rsidR="005B699B" w:rsidRPr="00674F20" w14:paraId="771C1230"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63CFB7F8" w14:textId="77777777" w:rsidR="005B699B" w:rsidRPr="00674F20" w:rsidRDefault="005B699B" w:rsidP="00545910">
            <w:pPr>
              <w:pStyle w:val="Tabletext9pt"/>
            </w:pPr>
            <w:r w:rsidRPr="00674F20">
              <w:t>16206</w:t>
            </w:r>
          </w:p>
        </w:tc>
        <w:tc>
          <w:tcPr>
            <w:tcW w:w="3402" w:type="dxa"/>
          </w:tcPr>
          <w:p w14:paraId="32D191AA"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Laboratory testing</w:t>
            </w:r>
          </w:p>
        </w:tc>
        <w:tc>
          <w:tcPr>
            <w:tcW w:w="4252" w:type="dxa"/>
          </w:tcPr>
          <w:p w14:paraId="2CCE082B"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a range of laboratory tests for infectious diseases (including arbovirus where applicable), including reference functions, advice on microbiological issues and undertaking education and training in relation to laboratory services.</w:t>
            </w:r>
          </w:p>
        </w:tc>
      </w:tr>
      <w:tr w:rsidR="005B699B" w:rsidRPr="00674F20" w14:paraId="71D9443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0AF2C0F7" w14:textId="77777777" w:rsidR="005B699B" w:rsidRPr="00674F20" w:rsidRDefault="005B699B" w:rsidP="00545910">
            <w:pPr>
              <w:pStyle w:val="Tabletext9pt"/>
            </w:pPr>
            <w:r w:rsidRPr="00EE4C9B">
              <w:t>16360</w:t>
            </w:r>
          </w:p>
        </w:tc>
        <w:tc>
          <w:tcPr>
            <w:tcW w:w="3402" w:type="dxa"/>
          </w:tcPr>
          <w:p w14:paraId="1DE16B1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EE4C9B">
              <w:t xml:space="preserve">Infectious </w:t>
            </w:r>
            <w:r>
              <w:t>d</w:t>
            </w:r>
            <w:r w:rsidRPr="00EE4C9B">
              <w:t xml:space="preserve">isease </w:t>
            </w:r>
            <w:r>
              <w:t>e</w:t>
            </w:r>
            <w:r w:rsidRPr="00EE4C9B">
              <w:t xml:space="preserve">ducation </w:t>
            </w:r>
            <w:r>
              <w:t>and</w:t>
            </w:r>
            <w:r w:rsidRPr="00EE4C9B">
              <w:t xml:space="preserve"> </w:t>
            </w:r>
            <w:r>
              <w:t>a</w:t>
            </w:r>
            <w:r w:rsidRPr="00EE4C9B">
              <w:t>dvice</w:t>
            </w:r>
          </w:p>
        </w:tc>
        <w:tc>
          <w:tcPr>
            <w:tcW w:w="4252" w:type="dxa"/>
          </w:tcPr>
          <w:p w14:paraId="6BD552E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EE4C9B">
              <w:t>To provide education and awareness programs in the investigation and control of infectious diseases.</w:t>
            </w:r>
          </w:p>
        </w:tc>
      </w:tr>
      <w:tr w:rsidR="005B699B" w:rsidRPr="00674F20" w14:paraId="00ACDD7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371A36DD" w14:textId="77777777" w:rsidR="005B699B" w:rsidRPr="00674F20" w:rsidRDefault="005B699B" w:rsidP="00545910">
            <w:pPr>
              <w:pStyle w:val="Tabletext9pt"/>
            </w:pPr>
            <w:r w:rsidRPr="00674F20">
              <w:t>16373</w:t>
            </w:r>
          </w:p>
        </w:tc>
        <w:tc>
          <w:tcPr>
            <w:tcW w:w="3402" w:type="dxa"/>
          </w:tcPr>
          <w:p w14:paraId="03B78A24"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clinical services</w:t>
            </w:r>
          </w:p>
        </w:tc>
        <w:tc>
          <w:tcPr>
            <w:tcW w:w="4252" w:type="dxa"/>
          </w:tcPr>
          <w:p w14:paraId="333B2FFD" w14:textId="167B3158"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diagnoses and </w:t>
            </w:r>
            <w:r>
              <w:t xml:space="preserve">the </w:t>
            </w:r>
            <w:r w:rsidRPr="00674F20">
              <w:t>clinical management of clients in relation to BBV</w:t>
            </w:r>
            <w:r w:rsidR="00103E62">
              <w:t>/</w:t>
            </w:r>
            <w:r w:rsidRPr="00674F20">
              <w:t>STIs</w:t>
            </w:r>
            <w:r w:rsidRPr="00674F20" w:rsidDel="004E3550">
              <w:t xml:space="preserve"> </w:t>
            </w:r>
            <w:r w:rsidRPr="00674F20">
              <w:t>and sexual health.</w:t>
            </w:r>
          </w:p>
        </w:tc>
      </w:tr>
      <w:tr w:rsidR="005B699B" w:rsidRPr="00674F20" w14:paraId="2317E08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14EC031" w14:textId="77777777" w:rsidR="005B699B" w:rsidRPr="00674F20" w:rsidRDefault="005B699B" w:rsidP="00545910">
            <w:pPr>
              <w:pStyle w:val="Tabletext9pt"/>
            </w:pPr>
            <w:r w:rsidRPr="00674F20">
              <w:t>16381</w:t>
            </w:r>
          </w:p>
        </w:tc>
        <w:tc>
          <w:tcPr>
            <w:tcW w:w="3402" w:type="dxa"/>
          </w:tcPr>
          <w:p w14:paraId="352FDE8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Risk management and emergency response</w:t>
            </w:r>
          </w:p>
        </w:tc>
        <w:tc>
          <w:tcPr>
            <w:tcW w:w="4252" w:type="dxa"/>
          </w:tcPr>
          <w:p w14:paraId="0878F33B"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investigate, evaluate and respond to environmental health risks, emergencies, or incidents, and to perform activities that help us to better respond to emergencies.</w:t>
            </w:r>
          </w:p>
        </w:tc>
      </w:tr>
      <w:tr w:rsidR="005B699B" w:rsidRPr="00674F20" w14:paraId="725F79D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660D3019" w14:textId="77777777" w:rsidR="005B699B" w:rsidRPr="000D467A" w:rsidRDefault="005B699B" w:rsidP="00545910">
            <w:pPr>
              <w:pStyle w:val="Tabletext9pt"/>
            </w:pPr>
            <w:r w:rsidRPr="000D467A">
              <w:lastRenderedPageBreak/>
              <w:t>16505</w:t>
            </w:r>
          </w:p>
        </w:tc>
        <w:tc>
          <w:tcPr>
            <w:tcW w:w="3402" w:type="dxa"/>
          </w:tcPr>
          <w:p w14:paraId="22FB0A7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training and development</w:t>
            </w:r>
          </w:p>
        </w:tc>
        <w:tc>
          <w:tcPr>
            <w:tcW w:w="4252" w:type="dxa"/>
          </w:tcPr>
          <w:p w14:paraId="13CE74B2"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education and training to the BBV/STI sector, including volunteers and organisation staff, and coordination of information updates.</w:t>
            </w:r>
          </w:p>
        </w:tc>
      </w:tr>
      <w:tr w:rsidR="005B699B" w:rsidRPr="00674F20" w14:paraId="472CD46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53D35C77" w14:textId="77777777" w:rsidR="005B699B" w:rsidRPr="000D467A" w:rsidRDefault="005B699B" w:rsidP="00545910">
            <w:pPr>
              <w:pStyle w:val="Tabletext9pt"/>
            </w:pPr>
            <w:r w:rsidRPr="000D467A">
              <w:t>16506</w:t>
            </w:r>
          </w:p>
        </w:tc>
        <w:tc>
          <w:tcPr>
            <w:tcW w:w="3402" w:type="dxa"/>
          </w:tcPr>
          <w:p w14:paraId="6E8F3631"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BBV and STI – research</w:t>
            </w:r>
          </w:p>
        </w:tc>
        <w:tc>
          <w:tcPr>
            <w:tcW w:w="4252" w:type="dxa"/>
          </w:tcPr>
          <w:p w14:paraId="071EE46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support commission or undertake research projects related to BBV/STIs in Victoria.</w:t>
            </w:r>
          </w:p>
        </w:tc>
      </w:tr>
      <w:tr w:rsidR="005B699B" w:rsidRPr="00674F20" w14:paraId="317D04EB"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1DDE3C5B" w14:textId="77777777" w:rsidR="005B699B" w:rsidRPr="000D467A" w:rsidRDefault="005B699B" w:rsidP="00545910">
            <w:pPr>
              <w:pStyle w:val="Tabletext9pt"/>
            </w:pPr>
            <w:r w:rsidRPr="000D467A">
              <w:t>16507</w:t>
            </w:r>
          </w:p>
        </w:tc>
        <w:tc>
          <w:tcPr>
            <w:tcW w:w="3402" w:type="dxa"/>
          </w:tcPr>
          <w:p w14:paraId="71BE31F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laboratory services</w:t>
            </w:r>
          </w:p>
        </w:tc>
        <w:tc>
          <w:tcPr>
            <w:tcW w:w="4252" w:type="dxa"/>
          </w:tcPr>
          <w:p w14:paraId="288FD8CD"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laboratory-testing services related to BBV/STIs in Victoria.</w:t>
            </w:r>
          </w:p>
        </w:tc>
      </w:tr>
      <w:tr w:rsidR="005B699B" w:rsidRPr="00674F20" w14:paraId="6B535771"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4327A0C" w14:textId="77777777" w:rsidR="005B699B" w:rsidRPr="00B67FDD" w:rsidRDefault="005B699B" w:rsidP="00545910">
            <w:pPr>
              <w:pStyle w:val="Tabletext9pt"/>
            </w:pPr>
            <w:r w:rsidRPr="00B67FDD">
              <w:t>16517</w:t>
            </w:r>
          </w:p>
        </w:tc>
        <w:tc>
          <w:tcPr>
            <w:tcW w:w="3402" w:type="dxa"/>
          </w:tcPr>
          <w:p w14:paraId="3F80ED8F"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Cancer and screening registers</w:t>
            </w:r>
          </w:p>
        </w:tc>
        <w:tc>
          <w:tcPr>
            <w:tcW w:w="4252" w:type="dxa"/>
          </w:tcPr>
          <w:p w14:paraId="5026609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maintain a register (as prescribed by legislation where applicable) to record data about cancers and screening results for Victorians.</w:t>
            </w:r>
          </w:p>
        </w:tc>
      </w:tr>
    </w:tbl>
    <w:p w14:paraId="774E6FCD" w14:textId="77777777" w:rsidR="005B699B" w:rsidRDefault="005B699B" w:rsidP="00AD2820">
      <w:pPr>
        <w:pStyle w:val="Bodyafterfiguretable"/>
        <w:keepNext/>
        <w:keepLines/>
      </w:pPr>
      <w:r>
        <w:t>Output name: Public health development</w:t>
      </w:r>
    </w:p>
    <w:tbl>
      <w:tblPr>
        <w:tblStyle w:val="GridTable4-Accent1"/>
        <w:tblW w:w="9209" w:type="dxa"/>
        <w:tblLayout w:type="fixed"/>
        <w:tblLook w:val="04A0" w:firstRow="1" w:lastRow="0" w:firstColumn="1" w:lastColumn="0" w:noHBand="0" w:noVBand="1"/>
      </w:tblPr>
      <w:tblGrid>
        <w:gridCol w:w="1413"/>
        <w:gridCol w:w="3827"/>
        <w:gridCol w:w="3969"/>
      </w:tblGrid>
      <w:tr w:rsidR="005B699B" w:rsidRPr="0090298C" w14:paraId="6C30C566" w14:textId="77777777" w:rsidTr="0047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23FEF1" w14:textId="77777777" w:rsidR="005B699B" w:rsidRPr="00473B41" w:rsidRDefault="005B699B" w:rsidP="00785BA1">
            <w:pPr>
              <w:pStyle w:val="Tablecolhead"/>
              <w:rPr>
                <w:rFonts w:eastAsia="Arial"/>
                <w:color w:val="FFFFFF" w:themeColor="background1"/>
                <w:szCs w:val="21"/>
              </w:rPr>
            </w:pPr>
            <w:r w:rsidRPr="00473B41">
              <w:rPr>
                <w:rFonts w:eastAsia="Arial"/>
                <w:color w:val="FFFFFF" w:themeColor="background1"/>
                <w:szCs w:val="21"/>
              </w:rPr>
              <w:t>Activity no.</w:t>
            </w:r>
          </w:p>
        </w:tc>
        <w:tc>
          <w:tcPr>
            <w:tcW w:w="3827" w:type="dxa"/>
          </w:tcPr>
          <w:p w14:paraId="5AF81394" w14:textId="77777777" w:rsidR="005B699B" w:rsidRPr="00473B41"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473B41">
              <w:rPr>
                <w:rFonts w:eastAsia="Arial"/>
                <w:color w:val="FFFFFF" w:themeColor="background1"/>
                <w:szCs w:val="21"/>
              </w:rPr>
              <w:t>Activity name</w:t>
            </w:r>
          </w:p>
        </w:tc>
        <w:tc>
          <w:tcPr>
            <w:tcW w:w="3969" w:type="dxa"/>
          </w:tcPr>
          <w:p w14:paraId="7A13FF29" w14:textId="77777777" w:rsidR="005B699B" w:rsidRPr="00473B41"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473B41">
              <w:rPr>
                <w:rFonts w:eastAsia="Arial"/>
                <w:color w:val="FFFFFF" w:themeColor="background1"/>
                <w:szCs w:val="21"/>
              </w:rPr>
              <w:t>Activity description</w:t>
            </w:r>
          </w:p>
        </w:tc>
      </w:tr>
      <w:tr w:rsidR="005B699B" w:rsidRPr="00674F20" w14:paraId="7F3E2AEA" w14:textId="77777777" w:rsidTr="0047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611BD7D" w14:textId="77777777" w:rsidR="005B699B" w:rsidRPr="00020A6E" w:rsidRDefault="005B699B" w:rsidP="00545910">
            <w:pPr>
              <w:pStyle w:val="Tabletext9pt"/>
            </w:pPr>
            <w:r w:rsidRPr="00020A6E">
              <w:t>16203</w:t>
            </w:r>
          </w:p>
        </w:tc>
        <w:tc>
          <w:tcPr>
            <w:tcW w:w="3827" w:type="dxa"/>
          </w:tcPr>
          <w:p w14:paraId="119F1963" w14:textId="42A503BA"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Regulation of ART and associated legislation</w:t>
            </w:r>
            <w:r>
              <w:t xml:space="preserve"> – this is the responsibility of Regulation, Risk, Integrity </w:t>
            </w:r>
            <w:r w:rsidR="00E7362A">
              <w:t xml:space="preserve">and </w:t>
            </w:r>
            <w:r>
              <w:t>Legal Division</w:t>
            </w:r>
          </w:p>
        </w:tc>
        <w:tc>
          <w:tcPr>
            <w:tcW w:w="3969" w:type="dxa"/>
          </w:tcPr>
          <w:p w14:paraId="1F9DAE8D" w14:textId="2C4EA366"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funding and support of legislation for assisted reproductive technology (ART).</w:t>
            </w:r>
          </w:p>
        </w:tc>
      </w:tr>
      <w:tr w:rsidR="005B699B" w:rsidRPr="00324C15" w14:paraId="1252D081" w14:textId="77777777" w:rsidTr="00473B41">
        <w:tc>
          <w:tcPr>
            <w:cnfStyle w:val="001000000000" w:firstRow="0" w:lastRow="0" w:firstColumn="1" w:lastColumn="0" w:oddVBand="0" w:evenVBand="0" w:oddHBand="0" w:evenHBand="0" w:firstRowFirstColumn="0" w:firstRowLastColumn="0" w:lastRowFirstColumn="0" w:lastRowLastColumn="0"/>
            <w:tcW w:w="1413" w:type="dxa"/>
          </w:tcPr>
          <w:p w14:paraId="0F014F18" w14:textId="77777777" w:rsidR="005B699B" w:rsidRPr="00020A6E" w:rsidRDefault="005B699B" w:rsidP="00545910">
            <w:pPr>
              <w:pStyle w:val="Tabletext9pt"/>
            </w:pPr>
            <w:r w:rsidRPr="00E170C6">
              <w:t>16107</w:t>
            </w:r>
          </w:p>
        </w:tc>
        <w:tc>
          <w:tcPr>
            <w:tcW w:w="3827" w:type="dxa"/>
          </w:tcPr>
          <w:p w14:paraId="4043F767"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E170C6">
              <w:t>Public Health Research Capacity Building</w:t>
            </w:r>
          </w:p>
        </w:tc>
        <w:tc>
          <w:tcPr>
            <w:tcW w:w="3969" w:type="dxa"/>
          </w:tcPr>
          <w:p w14:paraId="0A77004A" w14:textId="484F3AE0" w:rsidR="005B699B" w:rsidRPr="00324C15" w:rsidRDefault="005B699B" w:rsidP="00545910">
            <w:pPr>
              <w:pStyle w:val="Tabletext9pt"/>
              <w:cnfStyle w:val="000000000000" w:firstRow="0" w:lastRow="0" w:firstColumn="0" w:lastColumn="0" w:oddVBand="0" w:evenVBand="0" w:oddHBand="0" w:evenHBand="0" w:firstRowFirstColumn="0" w:firstRowLastColumn="0" w:lastRowFirstColumn="0" w:lastRowLastColumn="0"/>
              <w:rPr>
                <w:rFonts w:eastAsia="MS Gothic"/>
                <w:b/>
                <w:sz w:val="24"/>
                <w:szCs w:val="24"/>
              </w:rPr>
            </w:pPr>
            <w:r>
              <w:t xml:space="preserve">To develop an evidence base that will assist Victorian medical practitioners to safely prescribe cannabidiol, a </w:t>
            </w:r>
            <w:r w:rsidRPr="00AD2820">
              <w:rPr>
                <w:szCs w:val="18"/>
              </w:rPr>
              <w:t>medicinal cannabis product, to children with severe intractable epilepsy.</w:t>
            </w:r>
          </w:p>
        </w:tc>
      </w:tr>
    </w:tbl>
    <w:p w14:paraId="79F15811" w14:textId="66D4B72C" w:rsidR="005B699B" w:rsidRDefault="005B699B" w:rsidP="00791D27">
      <w:pPr>
        <w:pStyle w:val="Body"/>
      </w:pPr>
      <w:bookmarkStart w:id="2340" w:name="_Toc12780655"/>
      <w:bookmarkStart w:id="2341" w:name="_Toc14172296"/>
      <w:bookmarkStart w:id="2342" w:name="_Toc33703970"/>
      <w:bookmarkStart w:id="2343" w:name="_Toc55381158"/>
      <w:bookmarkEnd w:id="2330"/>
      <w:bookmarkEnd w:id="2331"/>
      <w:bookmarkEnd w:id="2332"/>
      <w:bookmarkEnd w:id="2333"/>
      <w:bookmarkEnd w:id="2334"/>
      <w:bookmarkEnd w:id="2335"/>
      <w:bookmarkEnd w:id="2336"/>
    </w:p>
    <w:p w14:paraId="18687546" w14:textId="47D94650" w:rsidR="00791D27" w:rsidRDefault="00791D27">
      <w:pPr>
        <w:spacing w:after="0" w:line="240" w:lineRule="auto"/>
        <w:rPr>
          <w:rFonts w:eastAsia="Times"/>
        </w:rPr>
      </w:pPr>
      <w:r>
        <w:br w:type="page"/>
      </w:r>
    </w:p>
    <w:p w14:paraId="756B4E0A" w14:textId="77777777" w:rsidR="00791D27" w:rsidRDefault="00791D27" w:rsidP="00791D27">
      <w:pPr>
        <w:pStyle w:val="Body"/>
      </w:pPr>
    </w:p>
    <w:p w14:paraId="33F4DC4F" w14:textId="6AF37210" w:rsidR="00791D27" w:rsidRPr="00C73589" w:rsidRDefault="00C73589" w:rsidP="00C73589">
      <w:pPr>
        <w:pStyle w:val="Heading1partopener"/>
        <w:pageBreakBefore w:val="0"/>
        <w:ind w:left="0"/>
        <w:sectPr w:rsidR="00791D27" w:rsidRPr="00C73589" w:rsidSect="0076412B">
          <w:pgSz w:w="11906" w:h="16838" w:code="9"/>
          <w:pgMar w:top="1418" w:right="1304" w:bottom="1134" w:left="1304" w:header="680" w:footer="567" w:gutter="0"/>
          <w:cols w:space="340"/>
          <w:docGrid w:linePitch="360"/>
        </w:sectPr>
      </w:pPr>
      <w:bookmarkStart w:id="2344" w:name="_Toc201148287"/>
      <w:r>
        <w:t>Part 2: Funding and activity levels</w:t>
      </w:r>
      <w:bookmarkEnd w:id="2344"/>
    </w:p>
    <w:p w14:paraId="1EF3FC61" w14:textId="3E2D004D" w:rsidR="005B699B" w:rsidRPr="004903A7" w:rsidRDefault="005B699B" w:rsidP="00B718DB">
      <w:pPr>
        <w:pStyle w:val="Heading1"/>
        <w:numPr>
          <w:ilvl w:val="0"/>
          <w:numId w:val="12"/>
        </w:numPr>
        <w:ind w:left="851" w:hanging="851"/>
      </w:pPr>
      <w:bookmarkStart w:id="2345" w:name="_Ref74211066"/>
      <w:bookmarkStart w:id="2346" w:name="_Ref74211072"/>
      <w:bookmarkStart w:id="2347" w:name="_Ref74211078"/>
      <w:bookmarkStart w:id="2348" w:name="_Ref74211087"/>
      <w:bookmarkStart w:id="2349" w:name="_Toc100263364"/>
      <w:bookmarkStart w:id="2350" w:name="_Toc165961860"/>
      <w:bookmarkStart w:id="2351" w:name="_Toc201148288"/>
      <w:bookmarkStart w:id="2352" w:name="_Hlk169612588"/>
      <w:bookmarkEnd w:id="2340"/>
      <w:bookmarkEnd w:id="2341"/>
      <w:bookmarkEnd w:id="2342"/>
      <w:bookmarkEnd w:id="2343"/>
      <w:r w:rsidRPr="004903A7">
        <w:lastRenderedPageBreak/>
        <w:t xml:space="preserve">Budget </w:t>
      </w:r>
      <w:bookmarkEnd w:id="2345"/>
      <w:bookmarkEnd w:id="2346"/>
      <w:bookmarkEnd w:id="2347"/>
      <w:bookmarkEnd w:id="2348"/>
      <w:bookmarkEnd w:id="2349"/>
      <w:r w:rsidRPr="00731B6C">
        <w:t>tables</w:t>
      </w:r>
      <w:bookmarkEnd w:id="2350"/>
      <w:bookmarkEnd w:id="2351"/>
    </w:p>
    <w:p w14:paraId="1125D4DB" w14:textId="5BABBE18" w:rsidR="005B699B" w:rsidRPr="00A67ABC" w:rsidRDefault="005B699B" w:rsidP="005D7D2C">
      <w:pPr>
        <w:pStyle w:val="Heading2"/>
        <w:numPr>
          <w:ilvl w:val="1"/>
          <w:numId w:val="12"/>
        </w:numPr>
        <w:ind w:left="851" w:hanging="851"/>
      </w:pPr>
      <w:bookmarkStart w:id="2353" w:name="_Toc12780656"/>
      <w:bookmarkStart w:id="2354" w:name="_Toc14172297"/>
      <w:bookmarkStart w:id="2355" w:name="_Toc33703971"/>
      <w:bookmarkStart w:id="2356" w:name="_Toc55381159"/>
      <w:bookmarkStart w:id="2357" w:name="_Toc165961861"/>
      <w:bookmarkStart w:id="2358" w:name="_Toc201148289"/>
      <w:bookmarkStart w:id="2359" w:name="_Hlk170302741"/>
      <w:r w:rsidRPr="00A67ABC">
        <w:t xml:space="preserve">Health service modelled budgets </w:t>
      </w:r>
      <w:bookmarkEnd w:id="2353"/>
      <w:bookmarkEnd w:id="2354"/>
      <w:bookmarkEnd w:id="2355"/>
      <w:bookmarkEnd w:id="2356"/>
      <w:r w:rsidRPr="00A67ABC">
        <w:t>202</w:t>
      </w:r>
      <w:r w:rsidR="000C0EF6">
        <w:t>5</w:t>
      </w:r>
      <w:r w:rsidRPr="00A67ABC">
        <w:t>–2</w:t>
      </w:r>
      <w:bookmarkEnd w:id="2357"/>
      <w:r w:rsidR="000C0EF6">
        <w:t>6</w:t>
      </w:r>
      <w:bookmarkEnd w:id="2358"/>
      <w:r w:rsidR="00054728">
        <w:t xml:space="preserve"> </w:t>
      </w:r>
    </w:p>
    <w:p w14:paraId="2D6C7C95" w14:textId="1854A07D" w:rsidR="00541C64" w:rsidRPr="00541C64" w:rsidRDefault="00541C64" w:rsidP="00473B41">
      <w:pPr>
        <w:pStyle w:val="Tablefigurenote9pt"/>
      </w:pPr>
      <w:bookmarkStart w:id="2360" w:name="_Toc12780560"/>
      <w:bookmarkStart w:id="2361" w:name="_Toc14194816"/>
      <w:bookmarkStart w:id="2362" w:name="_Toc33703997"/>
      <w:bookmarkEnd w:id="2359"/>
      <w:r w:rsidRPr="00D750E5">
        <w:t>Notes</w:t>
      </w:r>
      <w:r w:rsidR="00D750E5">
        <w:t>:</w:t>
      </w:r>
    </w:p>
    <w:p w14:paraId="7C299DE8" w14:textId="2EF94F85" w:rsidR="00541C64" w:rsidRPr="00C87BD7" w:rsidRDefault="00541C64" w:rsidP="00473B41">
      <w:pPr>
        <w:pStyle w:val="Tablebullet9pt"/>
      </w:pPr>
      <w:r w:rsidRPr="00D750E5">
        <w:t>Subtotals and totals may not add up due to rounding.</w:t>
      </w:r>
    </w:p>
    <w:p w14:paraId="639BC577" w14:textId="77777777" w:rsidR="00541C64" w:rsidRPr="00D750E5" w:rsidRDefault="00541C64" w:rsidP="00473B41">
      <w:pPr>
        <w:pStyle w:val="Tablebullet9pt"/>
      </w:pPr>
      <w:r w:rsidRPr="00D750E5">
        <w:t>When published, Statement of Priorities Part C supersede these tables.</w:t>
      </w:r>
    </w:p>
    <w:p w14:paraId="5FEEC8D0" w14:textId="15428C38" w:rsidR="00BE561A" w:rsidRDefault="00256260" w:rsidP="00473B41">
      <w:pPr>
        <w:pStyle w:val="Tablebullet9pt"/>
      </w:pPr>
      <w:r w:rsidRPr="00D750E5">
        <w:t>Excludes N</w:t>
      </w:r>
      <w:r w:rsidR="007D775F" w:rsidRPr="00D750E5">
        <w:t xml:space="preserve">ew </w:t>
      </w:r>
      <w:r w:rsidRPr="00D750E5">
        <w:t>S</w:t>
      </w:r>
      <w:r w:rsidR="007D775F" w:rsidRPr="00D750E5">
        <w:t xml:space="preserve">outh </w:t>
      </w:r>
      <w:r w:rsidRPr="00D750E5">
        <w:t>W</w:t>
      </w:r>
      <w:r w:rsidR="007D775F" w:rsidRPr="00D750E5">
        <w:t>ales</w:t>
      </w:r>
      <w:r w:rsidRPr="00D750E5">
        <w:t xml:space="preserve"> contribution</w:t>
      </w:r>
      <w:r w:rsidR="00290AC2" w:rsidRPr="00D750E5">
        <w:t>.</w:t>
      </w:r>
      <w:r w:rsidRPr="00D750E5">
        <w:t xml:space="preserve"> </w:t>
      </w:r>
    </w:p>
    <w:p w14:paraId="0A6CBB9A" w14:textId="5F326779" w:rsidR="00A06CA4" w:rsidRDefault="00A06CA4" w:rsidP="00473B41">
      <w:pPr>
        <w:pStyle w:val="Tablebullet9pt"/>
      </w:pPr>
      <w:r w:rsidRPr="00A06CA4">
        <w:t>Draft information pending finalisation of SOPs</w:t>
      </w:r>
      <w:r>
        <w:t>.</w:t>
      </w:r>
    </w:p>
    <w:p w14:paraId="0D193B58" w14:textId="61432C5D" w:rsidR="005B699B" w:rsidRDefault="00462DC7" w:rsidP="00297FC9">
      <w:pPr>
        <w:pStyle w:val="Tablecaption"/>
      </w:pPr>
      <w:bookmarkStart w:id="2363" w:name="_Toc201148587"/>
      <w:r w:rsidRPr="00A67ABC">
        <w:t>Table</w:t>
      </w:r>
      <w:r w:rsidR="000E0ED2">
        <w:t xml:space="preserve"> 2.</w:t>
      </w:r>
      <w:r>
        <w:fldChar w:fldCharType="begin"/>
      </w:r>
      <w:r>
        <w:instrText>SEQ Table \* ARABIC \</w:instrText>
      </w:r>
      <w:r w:rsidR="00C73589">
        <w:instrText>r</w:instrText>
      </w:r>
      <w:r>
        <w:instrText xml:space="preserve"> 1</w:instrText>
      </w:r>
      <w:r>
        <w:fldChar w:fldCharType="separate"/>
      </w:r>
      <w:r w:rsidR="007D262B">
        <w:rPr>
          <w:noProof/>
        </w:rPr>
        <w:t>1</w:t>
      </w:r>
      <w:r>
        <w:fldChar w:fldCharType="end"/>
      </w:r>
      <w:r w:rsidRPr="00A67ABC">
        <w:t xml:space="preserve">: </w:t>
      </w:r>
      <w:r w:rsidR="005B699B" w:rsidRPr="00A67ABC">
        <w:t xml:space="preserve">Expenditure budgets </w:t>
      </w:r>
      <w:bookmarkEnd w:id="2360"/>
      <w:bookmarkEnd w:id="2361"/>
      <w:bookmarkEnd w:id="2362"/>
      <w:r w:rsidR="005B699B" w:rsidRPr="00A67ABC">
        <w:t>202</w:t>
      </w:r>
      <w:r w:rsidR="000C0EF6">
        <w:t>5</w:t>
      </w:r>
      <w:r w:rsidR="005B699B" w:rsidRPr="00A67ABC">
        <w:t>–2</w:t>
      </w:r>
      <w:r w:rsidR="000C0EF6">
        <w:t>6</w:t>
      </w:r>
      <w:bookmarkEnd w:id="2363"/>
    </w:p>
    <w:p w14:paraId="1C066255" w14:textId="77777777" w:rsidR="005B699B" w:rsidRPr="00C73589" w:rsidRDefault="005B699B" w:rsidP="00C73589">
      <w:pPr>
        <w:pStyle w:val="Bodyafterfiguretable"/>
      </w:pPr>
      <w:r>
        <w:t>Metropolitan and regional – $’000s</w:t>
      </w:r>
    </w:p>
    <w:tbl>
      <w:tblPr>
        <w:tblStyle w:val="GridTable4-Accent1"/>
        <w:tblW w:w="10389" w:type="dxa"/>
        <w:tblInd w:w="-431" w:type="dxa"/>
        <w:tblLayout w:type="fixed"/>
        <w:tblLook w:val="04A0" w:firstRow="1" w:lastRow="0" w:firstColumn="1" w:lastColumn="0" w:noHBand="0" w:noVBand="1"/>
      </w:tblPr>
      <w:tblGrid>
        <w:gridCol w:w="1531"/>
        <w:gridCol w:w="1102"/>
        <w:gridCol w:w="1102"/>
        <w:gridCol w:w="1134"/>
        <w:gridCol w:w="1077"/>
        <w:gridCol w:w="1103"/>
        <w:gridCol w:w="1103"/>
        <w:gridCol w:w="1103"/>
        <w:gridCol w:w="1134"/>
      </w:tblGrid>
      <w:tr w:rsidR="00DD0145" w:rsidRPr="00473B41" w14:paraId="5AC16C1C" w14:textId="77777777" w:rsidTr="00AB2467">
        <w:trPr>
          <w:cnfStyle w:val="100000000000" w:firstRow="1" w:lastRow="0" w:firstColumn="0" w:lastColumn="0" w:oddVBand="0" w:evenVBand="0" w:oddHBand="0" w:evenHBand="0" w:firstRowFirstColumn="0" w:firstRowLastColumn="0" w:lastRowFirstColumn="0" w:lastRowLastColumn="0"/>
          <w:trHeight w:val="885"/>
          <w:tblHeader/>
        </w:trPr>
        <w:tc>
          <w:tcPr>
            <w:cnfStyle w:val="001000000000" w:firstRow="0" w:lastRow="0" w:firstColumn="1" w:lastColumn="0" w:oddVBand="0" w:evenVBand="0" w:oddHBand="0" w:evenHBand="0" w:firstRowFirstColumn="0" w:firstRowLastColumn="0" w:lastRowFirstColumn="0" w:lastRowLastColumn="0"/>
            <w:tcW w:w="1531" w:type="dxa"/>
            <w:hideMark/>
          </w:tcPr>
          <w:p w14:paraId="43195AFA" w14:textId="74DDB1F5" w:rsidR="00462DC7" w:rsidRPr="00AB2467" w:rsidRDefault="00462DC7" w:rsidP="00473B41">
            <w:pPr>
              <w:pStyle w:val="Tablecolhead8pt"/>
              <w:rPr>
                <w:b/>
                <w:bCs w:val="0"/>
                <w:color w:val="FFFFFF" w:themeColor="background1"/>
                <w:sz w:val="16"/>
              </w:rPr>
            </w:pPr>
            <w:bookmarkStart w:id="2364" w:name="_Hlk170282638"/>
            <w:r w:rsidRPr="00AB2467">
              <w:rPr>
                <w:b/>
                <w:bCs w:val="0"/>
                <w:color w:val="FFFFFF" w:themeColor="background1"/>
                <w:sz w:val="16"/>
              </w:rPr>
              <w:t xml:space="preserve">Health </w:t>
            </w:r>
            <w:r w:rsidR="002A3E82" w:rsidRPr="00AB2467">
              <w:rPr>
                <w:b/>
                <w:bCs w:val="0"/>
                <w:color w:val="FFFFFF" w:themeColor="background1"/>
                <w:sz w:val="16"/>
              </w:rPr>
              <w:t>service</w:t>
            </w:r>
          </w:p>
        </w:tc>
        <w:tc>
          <w:tcPr>
            <w:tcW w:w="1102" w:type="dxa"/>
            <w:hideMark/>
          </w:tcPr>
          <w:p w14:paraId="3EC40D86" w14:textId="7801039B"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002A3E82" w:rsidRPr="00AB2467">
              <w:rPr>
                <w:b/>
                <w:bCs w:val="0"/>
                <w:color w:val="FFFFFF" w:themeColor="background1"/>
                <w:sz w:val="16"/>
              </w:rPr>
              <w:t>–</w:t>
            </w:r>
            <w:r w:rsidRPr="00AB2467">
              <w:rPr>
                <w:b/>
                <w:bCs w:val="0"/>
                <w:color w:val="FFFFFF" w:themeColor="background1"/>
                <w:sz w:val="16"/>
              </w:rPr>
              <w:t>2</w:t>
            </w:r>
            <w:r w:rsidR="00350509" w:rsidRPr="00AB2467">
              <w:rPr>
                <w:b/>
                <w:bCs w:val="0"/>
                <w:color w:val="FFFFFF" w:themeColor="background1"/>
                <w:sz w:val="16"/>
              </w:rPr>
              <w:t>6</w:t>
            </w:r>
            <w:r w:rsidRPr="00AB2467">
              <w:rPr>
                <w:b/>
                <w:bCs w:val="0"/>
                <w:color w:val="FFFFFF" w:themeColor="background1"/>
                <w:sz w:val="16"/>
              </w:rPr>
              <w:br/>
              <w:t>Acute health services</w:t>
            </w:r>
          </w:p>
        </w:tc>
        <w:tc>
          <w:tcPr>
            <w:tcW w:w="1102" w:type="dxa"/>
            <w:hideMark/>
          </w:tcPr>
          <w:p w14:paraId="0247AC51" w14:textId="09975CA3"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Pr="00AB2467">
              <w:rPr>
                <w:b/>
                <w:bCs w:val="0"/>
                <w:color w:val="FFFFFF" w:themeColor="background1"/>
                <w:sz w:val="16"/>
              </w:rPr>
              <w:t>–2</w:t>
            </w:r>
            <w:r w:rsidR="00350509" w:rsidRPr="00AB2467">
              <w:rPr>
                <w:b/>
                <w:bCs w:val="0"/>
                <w:color w:val="FFFFFF" w:themeColor="background1"/>
                <w:sz w:val="16"/>
              </w:rPr>
              <w:t>6</w:t>
            </w:r>
            <w:r w:rsidRPr="00AB2467">
              <w:rPr>
                <w:b/>
                <w:bCs w:val="0"/>
                <w:color w:val="FFFFFF" w:themeColor="background1"/>
                <w:sz w:val="16"/>
              </w:rPr>
              <w:br/>
              <w:t>Ageing, aged and home care</w:t>
            </w:r>
          </w:p>
        </w:tc>
        <w:tc>
          <w:tcPr>
            <w:tcW w:w="1134" w:type="dxa"/>
          </w:tcPr>
          <w:p w14:paraId="37F02ED5" w14:textId="09168C50"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002A3E82" w:rsidRPr="00AB2467">
              <w:rPr>
                <w:b/>
                <w:bCs w:val="0"/>
                <w:color w:val="FFFFFF" w:themeColor="background1"/>
                <w:sz w:val="16"/>
              </w:rPr>
              <w:t>–</w:t>
            </w:r>
            <w:r w:rsidRPr="00AB2467">
              <w:rPr>
                <w:b/>
                <w:bCs w:val="0"/>
                <w:color w:val="FFFFFF" w:themeColor="background1"/>
                <w:sz w:val="16"/>
              </w:rPr>
              <w:t>2</w:t>
            </w:r>
            <w:r w:rsidR="00350509" w:rsidRPr="00AB2467">
              <w:rPr>
                <w:b/>
                <w:bCs w:val="0"/>
                <w:color w:val="FFFFFF" w:themeColor="background1"/>
                <w:sz w:val="16"/>
              </w:rPr>
              <w:t>6</w:t>
            </w:r>
            <w:r w:rsidR="002A3E82" w:rsidRPr="00AB2467">
              <w:rPr>
                <w:b/>
                <w:bCs w:val="0"/>
                <w:color w:val="FFFFFF" w:themeColor="background1"/>
                <w:sz w:val="16"/>
              </w:rPr>
              <w:br/>
            </w:r>
            <w:r w:rsidRPr="00AB2467">
              <w:rPr>
                <w:b/>
                <w:bCs w:val="0"/>
                <w:color w:val="FFFFFF" w:themeColor="background1"/>
                <w:sz w:val="16"/>
              </w:rPr>
              <w:t>Ambulance services</w:t>
            </w:r>
          </w:p>
        </w:tc>
        <w:tc>
          <w:tcPr>
            <w:tcW w:w="1077" w:type="dxa"/>
            <w:hideMark/>
          </w:tcPr>
          <w:p w14:paraId="12AA62B7" w14:textId="5786101C"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2A3E82" w:rsidRPr="00AB2467">
              <w:rPr>
                <w:b/>
                <w:bCs w:val="0"/>
                <w:color w:val="FFFFFF" w:themeColor="background1"/>
                <w:sz w:val="16"/>
              </w:rPr>
              <w:br/>
            </w:r>
            <w:r w:rsidR="00462DC7" w:rsidRPr="00AB2467">
              <w:rPr>
                <w:b/>
                <w:bCs w:val="0"/>
                <w:color w:val="FFFFFF" w:themeColor="background1"/>
                <w:sz w:val="16"/>
              </w:rPr>
              <w:t>Drugs services</w:t>
            </w:r>
          </w:p>
        </w:tc>
        <w:tc>
          <w:tcPr>
            <w:tcW w:w="1103" w:type="dxa"/>
            <w:hideMark/>
          </w:tcPr>
          <w:p w14:paraId="2D99BE4E" w14:textId="19419A77"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2A3E82" w:rsidRPr="00AB2467">
              <w:rPr>
                <w:b/>
                <w:bCs w:val="0"/>
                <w:color w:val="FFFFFF" w:themeColor="background1"/>
                <w:sz w:val="16"/>
              </w:rPr>
              <w:br/>
            </w:r>
            <w:r w:rsidR="00462DC7" w:rsidRPr="00AB2467">
              <w:rPr>
                <w:b/>
                <w:bCs w:val="0"/>
                <w:color w:val="FFFFFF" w:themeColor="background1"/>
                <w:sz w:val="16"/>
              </w:rPr>
              <w:t>Mental health</w:t>
            </w:r>
          </w:p>
        </w:tc>
        <w:tc>
          <w:tcPr>
            <w:tcW w:w="1103" w:type="dxa"/>
            <w:hideMark/>
          </w:tcPr>
          <w:p w14:paraId="7E268D2D" w14:textId="04CF7C6F"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Primary and dental health</w:t>
            </w:r>
          </w:p>
        </w:tc>
        <w:tc>
          <w:tcPr>
            <w:tcW w:w="1103" w:type="dxa"/>
            <w:hideMark/>
          </w:tcPr>
          <w:p w14:paraId="2802E532" w14:textId="26E56074"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Public health</w:t>
            </w:r>
          </w:p>
        </w:tc>
        <w:tc>
          <w:tcPr>
            <w:tcW w:w="1134" w:type="dxa"/>
            <w:hideMark/>
          </w:tcPr>
          <w:p w14:paraId="121F6DBB" w14:textId="48B20979"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Total</w:t>
            </w:r>
          </w:p>
        </w:tc>
      </w:tr>
      <w:tr w:rsidR="00DD0145" w:rsidRPr="00BF0CAC" w14:paraId="0D33EC84"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495D4B75" w14:textId="7B693B3E" w:rsidR="001D6375" w:rsidRPr="001B759D" w:rsidRDefault="001D6375" w:rsidP="001D6375">
            <w:pPr>
              <w:pStyle w:val="Tabletext8pt"/>
              <w:rPr>
                <w:rFonts w:cs="Arial"/>
                <w:b w:val="0"/>
                <w:bCs w:val="0"/>
                <w:sz w:val="16"/>
                <w:szCs w:val="16"/>
              </w:rPr>
            </w:pPr>
            <w:r w:rsidRPr="001B759D">
              <w:rPr>
                <w:b w:val="0"/>
                <w:bCs w:val="0"/>
                <w:sz w:val="16"/>
                <w:szCs w:val="16"/>
              </w:rPr>
              <w:t>Albury Wodonga Health</w:t>
            </w:r>
          </w:p>
        </w:tc>
        <w:tc>
          <w:tcPr>
            <w:tcW w:w="1102" w:type="dxa"/>
            <w:noWrap/>
            <w:vAlign w:val="center"/>
          </w:tcPr>
          <w:p w14:paraId="1B24A6D1" w14:textId="7C3AB0D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409,009</w:t>
            </w:r>
          </w:p>
        </w:tc>
        <w:tc>
          <w:tcPr>
            <w:tcW w:w="1102" w:type="dxa"/>
            <w:noWrap/>
            <w:vAlign w:val="center"/>
          </w:tcPr>
          <w:p w14:paraId="68205533" w14:textId="6A3CED4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1,084</w:t>
            </w:r>
          </w:p>
        </w:tc>
        <w:tc>
          <w:tcPr>
            <w:tcW w:w="1134" w:type="dxa"/>
            <w:vAlign w:val="center"/>
          </w:tcPr>
          <w:p w14:paraId="032E4341" w14:textId="5AC4486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3B7164FD" w14:textId="4DC2334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1,078</w:t>
            </w:r>
          </w:p>
        </w:tc>
        <w:tc>
          <w:tcPr>
            <w:tcW w:w="1103" w:type="dxa"/>
            <w:noWrap/>
            <w:vAlign w:val="center"/>
          </w:tcPr>
          <w:p w14:paraId="083C0120" w14:textId="1FFA74D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66,206</w:t>
            </w:r>
          </w:p>
        </w:tc>
        <w:tc>
          <w:tcPr>
            <w:tcW w:w="1103" w:type="dxa"/>
            <w:noWrap/>
            <w:vAlign w:val="center"/>
          </w:tcPr>
          <w:p w14:paraId="0103D97B" w14:textId="4112DC8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4,888</w:t>
            </w:r>
          </w:p>
        </w:tc>
        <w:tc>
          <w:tcPr>
            <w:tcW w:w="1103" w:type="dxa"/>
            <w:noWrap/>
            <w:vAlign w:val="center"/>
          </w:tcPr>
          <w:p w14:paraId="0BBB07A6" w14:textId="0BA3AA6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2,783</w:t>
            </w:r>
          </w:p>
        </w:tc>
        <w:tc>
          <w:tcPr>
            <w:tcW w:w="1134" w:type="dxa"/>
            <w:noWrap/>
            <w:vAlign w:val="center"/>
          </w:tcPr>
          <w:p w14:paraId="2121151E" w14:textId="0F8F50F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485,048</w:t>
            </w:r>
          </w:p>
        </w:tc>
      </w:tr>
      <w:tr w:rsidR="001D6375" w:rsidRPr="00BF0CAC" w14:paraId="24EC6FBD" w14:textId="77777777" w:rsidTr="00AB2467">
        <w:trPr>
          <w:trHeight w:val="374"/>
        </w:trPr>
        <w:tc>
          <w:tcPr>
            <w:cnfStyle w:val="001000000000" w:firstRow="0" w:lastRow="0" w:firstColumn="1" w:lastColumn="0" w:oddVBand="0" w:evenVBand="0" w:oddHBand="0" w:evenHBand="0" w:firstRowFirstColumn="0" w:firstRowLastColumn="0" w:lastRowFirstColumn="0" w:lastRowLastColumn="0"/>
            <w:tcW w:w="1531" w:type="dxa"/>
          </w:tcPr>
          <w:p w14:paraId="1C054029" w14:textId="5C9FA3FD" w:rsidR="001D6375" w:rsidRPr="001B759D" w:rsidRDefault="001D6375" w:rsidP="001D6375">
            <w:pPr>
              <w:pStyle w:val="Tabletext8pt"/>
              <w:rPr>
                <w:rFonts w:cs="Arial"/>
                <w:b w:val="0"/>
                <w:bCs w:val="0"/>
                <w:sz w:val="16"/>
                <w:szCs w:val="16"/>
              </w:rPr>
            </w:pPr>
            <w:r w:rsidRPr="001B759D">
              <w:rPr>
                <w:b w:val="0"/>
                <w:bCs w:val="0"/>
                <w:sz w:val="16"/>
                <w:szCs w:val="16"/>
              </w:rPr>
              <w:t>Alfred Health</w:t>
            </w:r>
          </w:p>
        </w:tc>
        <w:tc>
          <w:tcPr>
            <w:tcW w:w="1102" w:type="dxa"/>
            <w:noWrap/>
            <w:vAlign w:val="center"/>
          </w:tcPr>
          <w:p w14:paraId="107B2992" w14:textId="0431F1E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1,399,466</w:t>
            </w:r>
          </w:p>
        </w:tc>
        <w:tc>
          <w:tcPr>
            <w:tcW w:w="1102" w:type="dxa"/>
            <w:noWrap/>
            <w:vAlign w:val="center"/>
          </w:tcPr>
          <w:p w14:paraId="5FF67880" w14:textId="074D776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860</w:t>
            </w:r>
          </w:p>
        </w:tc>
        <w:tc>
          <w:tcPr>
            <w:tcW w:w="1134" w:type="dxa"/>
            <w:vAlign w:val="center"/>
          </w:tcPr>
          <w:p w14:paraId="65FBF599" w14:textId="35D1D6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0D79C060" w14:textId="56399BB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1,231</w:t>
            </w:r>
          </w:p>
        </w:tc>
        <w:tc>
          <w:tcPr>
            <w:tcW w:w="1103" w:type="dxa"/>
            <w:noWrap/>
            <w:vAlign w:val="center"/>
          </w:tcPr>
          <w:p w14:paraId="12D5D408" w14:textId="13C8D5F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155,161</w:t>
            </w:r>
          </w:p>
        </w:tc>
        <w:tc>
          <w:tcPr>
            <w:tcW w:w="1103" w:type="dxa"/>
            <w:noWrap/>
            <w:vAlign w:val="center"/>
          </w:tcPr>
          <w:p w14:paraId="3033F061" w14:textId="39B57D3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2,292</w:t>
            </w:r>
          </w:p>
        </w:tc>
        <w:tc>
          <w:tcPr>
            <w:tcW w:w="1103" w:type="dxa"/>
            <w:noWrap/>
            <w:vAlign w:val="center"/>
          </w:tcPr>
          <w:p w14:paraId="539978ED" w14:textId="0292AE7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9,738</w:t>
            </w:r>
          </w:p>
        </w:tc>
        <w:tc>
          <w:tcPr>
            <w:tcW w:w="1134" w:type="dxa"/>
            <w:noWrap/>
            <w:vAlign w:val="center"/>
          </w:tcPr>
          <w:p w14:paraId="41C10513" w14:textId="22101D9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1,568,748</w:t>
            </w:r>
          </w:p>
        </w:tc>
      </w:tr>
      <w:tr w:rsidR="00DD0145" w:rsidRPr="00BF0CAC" w14:paraId="4BA5786C" w14:textId="77777777" w:rsidTr="00AB246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31" w:type="dxa"/>
          </w:tcPr>
          <w:p w14:paraId="1D87643A" w14:textId="389639C6" w:rsidR="001D6375" w:rsidRPr="001B759D" w:rsidRDefault="001D6375" w:rsidP="001D6375">
            <w:pPr>
              <w:pStyle w:val="Tabletext8pt"/>
              <w:rPr>
                <w:rFonts w:cs="Arial"/>
                <w:b w:val="0"/>
                <w:bCs w:val="0"/>
                <w:sz w:val="16"/>
                <w:szCs w:val="16"/>
              </w:rPr>
            </w:pPr>
            <w:r w:rsidRPr="001B759D">
              <w:rPr>
                <w:b w:val="0"/>
                <w:bCs w:val="0"/>
                <w:sz w:val="16"/>
                <w:szCs w:val="16"/>
              </w:rPr>
              <w:t>Austin Health</w:t>
            </w:r>
          </w:p>
        </w:tc>
        <w:tc>
          <w:tcPr>
            <w:tcW w:w="1102" w:type="dxa"/>
            <w:noWrap/>
            <w:vAlign w:val="center"/>
          </w:tcPr>
          <w:p w14:paraId="6E1CD23E" w14:textId="72E4370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1,143,552</w:t>
            </w:r>
          </w:p>
        </w:tc>
        <w:tc>
          <w:tcPr>
            <w:tcW w:w="1102" w:type="dxa"/>
            <w:noWrap/>
            <w:vAlign w:val="center"/>
          </w:tcPr>
          <w:p w14:paraId="62BA982C" w14:textId="55D3072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335</w:t>
            </w:r>
          </w:p>
        </w:tc>
        <w:tc>
          <w:tcPr>
            <w:tcW w:w="1134" w:type="dxa"/>
            <w:vAlign w:val="center"/>
          </w:tcPr>
          <w:p w14:paraId="767AB3F5" w14:textId="2803A8B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B6CAF5F" w14:textId="500FA12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7,138</w:t>
            </w:r>
          </w:p>
        </w:tc>
        <w:tc>
          <w:tcPr>
            <w:tcW w:w="1103" w:type="dxa"/>
            <w:noWrap/>
            <w:vAlign w:val="center"/>
          </w:tcPr>
          <w:p w14:paraId="03908BC2" w14:textId="5B8B13A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125,267</w:t>
            </w:r>
          </w:p>
        </w:tc>
        <w:tc>
          <w:tcPr>
            <w:tcW w:w="1103" w:type="dxa"/>
            <w:noWrap/>
            <w:vAlign w:val="center"/>
          </w:tcPr>
          <w:p w14:paraId="5B4E4673" w14:textId="0E09A21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64F193B9" w14:textId="69084F5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7,113</w:t>
            </w:r>
          </w:p>
        </w:tc>
        <w:tc>
          <w:tcPr>
            <w:tcW w:w="1134" w:type="dxa"/>
            <w:noWrap/>
            <w:vAlign w:val="center"/>
          </w:tcPr>
          <w:p w14:paraId="22BD1A44" w14:textId="15484E3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1,283,405</w:t>
            </w:r>
          </w:p>
        </w:tc>
      </w:tr>
      <w:tr w:rsidR="001D6375" w:rsidRPr="00BF0CAC" w14:paraId="60DEBE66" w14:textId="77777777" w:rsidTr="00AB2467">
        <w:trPr>
          <w:trHeight w:val="269"/>
        </w:trPr>
        <w:tc>
          <w:tcPr>
            <w:cnfStyle w:val="001000000000" w:firstRow="0" w:lastRow="0" w:firstColumn="1" w:lastColumn="0" w:oddVBand="0" w:evenVBand="0" w:oddHBand="0" w:evenHBand="0" w:firstRowFirstColumn="0" w:firstRowLastColumn="0" w:lastRowFirstColumn="0" w:lastRowLastColumn="0"/>
            <w:tcW w:w="1531" w:type="dxa"/>
          </w:tcPr>
          <w:p w14:paraId="26099948" w14:textId="2656E9C2" w:rsidR="001D6375" w:rsidRPr="001B759D" w:rsidRDefault="001D6375" w:rsidP="001D6375">
            <w:pPr>
              <w:pStyle w:val="Tabletext8pt"/>
              <w:rPr>
                <w:rFonts w:cs="Arial"/>
                <w:b w:val="0"/>
                <w:bCs w:val="0"/>
                <w:sz w:val="16"/>
                <w:szCs w:val="16"/>
              </w:rPr>
            </w:pPr>
            <w:r w:rsidRPr="001B759D">
              <w:rPr>
                <w:b w:val="0"/>
                <w:bCs w:val="0"/>
                <w:sz w:val="16"/>
                <w:szCs w:val="16"/>
              </w:rPr>
              <w:t>Barwon Health</w:t>
            </w:r>
          </w:p>
        </w:tc>
        <w:tc>
          <w:tcPr>
            <w:tcW w:w="1102" w:type="dxa"/>
            <w:noWrap/>
            <w:vAlign w:val="center"/>
          </w:tcPr>
          <w:p w14:paraId="594A3506" w14:textId="270D11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822,184</w:t>
            </w:r>
          </w:p>
        </w:tc>
        <w:tc>
          <w:tcPr>
            <w:tcW w:w="1102" w:type="dxa"/>
            <w:noWrap/>
            <w:vAlign w:val="center"/>
          </w:tcPr>
          <w:p w14:paraId="0EE1072B" w14:textId="2A4A76A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11,187</w:t>
            </w:r>
          </w:p>
        </w:tc>
        <w:tc>
          <w:tcPr>
            <w:tcW w:w="1134" w:type="dxa"/>
            <w:vAlign w:val="center"/>
          </w:tcPr>
          <w:p w14:paraId="7CF60BBF" w14:textId="069DCB0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69DCA3E2" w14:textId="688DE77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4,198</w:t>
            </w:r>
          </w:p>
        </w:tc>
        <w:tc>
          <w:tcPr>
            <w:tcW w:w="1103" w:type="dxa"/>
            <w:noWrap/>
            <w:vAlign w:val="center"/>
          </w:tcPr>
          <w:p w14:paraId="5087F5D5" w14:textId="26F4969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140,259</w:t>
            </w:r>
          </w:p>
        </w:tc>
        <w:tc>
          <w:tcPr>
            <w:tcW w:w="1103" w:type="dxa"/>
            <w:noWrap/>
            <w:vAlign w:val="center"/>
          </w:tcPr>
          <w:p w14:paraId="0AEED954" w14:textId="1042161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6,142</w:t>
            </w:r>
          </w:p>
        </w:tc>
        <w:tc>
          <w:tcPr>
            <w:tcW w:w="1103" w:type="dxa"/>
            <w:noWrap/>
            <w:vAlign w:val="center"/>
          </w:tcPr>
          <w:p w14:paraId="0814230B" w14:textId="525563A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4,835</w:t>
            </w:r>
          </w:p>
        </w:tc>
        <w:tc>
          <w:tcPr>
            <w:tcW w:w="1134" w:type="dxa"/>
            <w:noWrap/>
            <w:vAlign w:val="center"/>
          </w:tcPr>
          <w:p w14:paraId="079100F7" w14:textId="4C0A917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988,805</w:t>
            </w:r>
          </w:p>
        </w:tc>
      </w:tr>
      <w:tr w:rsidR="00DD0145" w:rsidRPr="00BF0CAC" w14:paraId="44B9C690" w14:textId="77777777" w:rsidTr="00AB2467">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531" w:type="dxa"/>
          </w:tcPr>
          <w:p w14:paraId="5C3B3182" w14:textId="4A4AC861" w:rsidR="001D6375" w:rsidRPr="001B759D" w:rsidRDefault="001D6375" w:rsidP="001D6375">
            <w:pPr>
              <w:pStyle w:val="Tabletext8pt"/>
              <w:rPr>
                <w:rFonts w:cs="Arial"/>
                <w:b w:val="0"/>
                <w:bCs w:val="0"/>
                <w:sz w:val="16"/>
                <w:szCs w:val="16"/>
              </w:rPr>
            </w:pPr>
            <w:r w:rsidRPr="001B759D">
              <w:rPr>
                <w:b w:val="0"/>
                <w:bCs w:val="0"/>
                <w:sz w:val="16"/>
                <w:szCs w:val="16"/>
              </w:rPr>
              <w:t>Bendigo Health</w:t>
            </w:r>
          </w:p>
        </w:tc>
        <w:tc>
          <w:tcPr>
            <w:tcW w:w="1102" w:type="dxa"/>
            <w:noWrap/>
            <w:vAlign w:val="center"/>
          </w:tcPr>
          <w:p w14:paraId="65E73BFD" w14:textId="477BEA6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472,561</w:t>
            </w:r>
          </w:p>
        </w:tc>
        <w:tc>
          <w:tcPr>
            <w:tcW w:w="1102" w:type="dxa"/>
            <w:noWrap/>
            <w:vAlign w:val="center"/>
          </w:tcPr>
          <w:p w14:paraId="72F54B19" w14:textId="74A45D1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10,337</w:t>
            </w:r>
          </w:p>
        </w:tc>
        <w:tc>
          <w:tcPr>
            <w:tcW w:w="1134" w:type="dxa"/>
            <w:vAlign w:val="center"/>
          </w:tcPr>
          <w:p w14:paraId="2B2FC071" w14:textId="4C1996A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74EF764" w14:textId="60952E2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2,617</w:t>
            </w:r>
          </w:p>
        </w:tc>
        <w:tc>
          <w:tcPr>
            <w:tcW w:w="1103" w:type="dxa"/>
            <w:noWrap/>
            <w:vAlign w:val="center"/>
          </w:tcPr>
          <w:p w14:paraId="3B75942A" w14:textId="56194BF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105,206</w:t>
            </w:r>
          </w:p>
        </w:tc>
        <w:tc>
          <w:tcPr>
            <w:tcW w:w="1103" w:type="dxa"/>
            <w:noWrap/>
            <w:vAlign w:val="center"/>
          </w:tcPr>
          <w:p w14:paraId="28C1EB1F" w14:textId="23831CF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1,283</w:t>
            </w:r>
          </w:p>
        </w:tc>
        <w:tc>
          <w:tcPr>
            <w:tcW w:w="1103" w:type="dxa"/>
            <w:noWrap/>
            <w:vAlign w:val="center"/>
          </w:tcPr>
          <w:p w14:paraId="3265D243" w14:textId="77FBF7D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6,056</w:t>
            </w:r>
          </w:p>
        </w:tc>
        <w:tc>
          <w:tcPr>
            <w:tcW w:w="1134" w:type="dxa"/>
            <w:noWrap/>
            <w:vAlign w:val="center"/>
          </w:tcPr>
          <w:p w14:paraId="0740318E" w14:textId="6E55A77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598,058</w:t>
            </w:r>
          </w:p>
        </w:tc>
      </w:tr>
      <w:tr w:rsidR="001D6375" w:rsidRPr="00BF0CAC" w14:paraId="5B37D440" w14:textId="77777777" w:rsidTr="00AB2467">
        <w:trPr>
          <w:trHeight w:val="240"/>
        </w:trPr>
        <w:tc>
          <w:tcPr>
            <w:cnfStyle w:val="001000000000" w:firstRow="0" w:lastRow="0" w:firstColumn="1" w:lastColumn="0" w:oddVBand="0" w:evenVBand="0" w:oddHBand="0" w:evenHBand="0" w:firstRowFirstColumn="0" w:firstRowLastColumn="0" w:lastRowFirstColumn="0" w:lastRowLastColumn="0"/>
            <w:tcW w:w="1531" w:type="dxa"/>
          </w:tcPr>
          <w:p w14:paraId="26036213" w14:textId="45DD5DE8" w:rsidR="001D6375" w:rsidRPr="001B759D" w:rsidRDefault="001D6375" w:rsidP="001D6375">
            <w:pPr>
              <w:pStyle w:val="Tabletext8pt"/>
              <w:rPr>
                <w:rFonts w:cs="Arial"/>
                <w:b w:val="0"/>
                <w:bCs w:val="0"/>
                <w:sz w:val="16"/>
                <w:szCs w:val="16"/>
              </w:rPr>
            </w:pPr>
            <w:r w:rsidRPr="001B759D">
              <w:rPr>
                <w:b w:val="0"/>
                <w:bCs w:val="0"/>
                <w:sz w:val="16"/>
                <w:szCs w:val="16"/>
              </w:rPr>
              <w:t>Calvary Health Care Bethlehem Limited</w:t>
            </w:r>
          </w:p>
        </w:tc>
        <w:tc>
          <w:tcPr>
            <w:tcW w:w="1102" w:type="dxa"/>
            <w:noWrap/>
            <w:vAlign w:val="center"/>
          </w:tcPr>
          <w:p w14:paraId="6AD62B9F" w14:textId="00DE7FF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30,189</w:t>
            </w:r>
          </w:p>
        </w:tc>
        <w:tc>
          <w:tcPr>
            <w:tcW w:w="1102" w:type="dxa"/>
            <w:noWrap/>
            <w:vAlign w:val="center"/>
          </w:tcPr>
          <w:p w14:paraId="35545FDC" w14:textId="02A3CE0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vAlign w:val="center"/>
          </w:tcPr>
          <w:p w14:paraId="4FF5582E" w14:textId="091841D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00EE4062" w14:textId="4332A607"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4F28B1B0" w14:textId="7FA6F5D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67358EB8" w14:textId="091EDA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0CB10FB9" w14:textId="2EF1B0F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noWrap/>
            <w:vAlign w:val="center"/>
          </w:tcPr>
          <w:p w14:paraId="7FB4EEBD" w14:textId="72E0FA1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30,189</w:t>
            </w:r>
          </w:p>
        </w:tc>
      </w:tr>
      <w:tr w:rsidR="00DD0145" w:rsidRPr="00BF0CAC" w14:paraId="1D9E47B6" w14:textId="77777777" w:rsidTr="00AB246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31" w:type="dxa"/>
          </w:tcPr>
          <w:p w14:paraId="07D68461" w14:textId="35ED3D18" w:rsidR="001D6375" w:rsidRPr="001B759D" w:rsidRDefault="001D6375" w:rsidP="001D6375">
            <w:pPr>
              <w:pStyle w:val="Tabletext8pt"/>
              <w:rPr>
                <w:rFonts w:cs="Arial"/>
                <w:b w:val="0"/>
                <w:bCs w:val="0"/>
                <w:sz w:val="16"/>
                <w:szCs w:val="16"/>
              </w:rPr>
            </w:pPr>
            <w:r w:rsidRPr="001B759D">
              <w:rPr>
                <w:b w:val="0"/>
                <w:bCs w:val="0"/>
                <w:sz w:val="16"/>
                <w:szCs w:val="16"/>
              </w:rPr>
              <w:t>Eastern Health</w:t>
            </w:r>
          </w:p>
        </w:tc>
        <w:tc>
          <w:tcPr>
            <w:tcW w:w="1102" w:type="dxa"/>
            <w:noWrap/>
            <w:vAlign w:val="center"/>
          </w:tcPr>
          <w:p w14:paraId="4BA12AA5" w14:textId="1EFC3CF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1,220,727</w:t>
            </w:r>
          </w:p>
        </w:tc>
        <w:tc>
          <w:tcPr>
            <w:tcW w:w="1102" w:type="dxa"/>
            <w:noWrap/>
            <w:vAlign w:val="center"/>
          </w:tcPr>
          <w:p w14:paraId="00EDD8A2" w14:textId="764D38D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3,098</w:t>
            </w:r>
          </w:p>
        </w:tc>
        <w:tc>
          <w:tcPr>
            <w:tcW w:w="1134" w:type="dxa"/>
            <w:vAlign w:val="center"/>
          </w:tcPr>
          <w:p w14:paraId="111DFD7C" w14:textId="45B8B28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3F9C666A" w14:textId="233CB1D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24,327</w:t>
            </w:r>
          </w:p>
        </w:tc>
        <w:tc>
          <w:tcPr>
            <w:tcW w:w="1103" w:type="dxa"/>
            <w:noWrap/>
            <w:vAlign w:val="center"/>
          </w:tcPr>
          <w:p w14:paraId="6E11C6C0" w14:textId="7B7811C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217,520</w:t>
            </w:r>
          </w:p>
        </w:tc>
        <w:tc>
          <w:tcPr>
            <w:tcW w:w="1103" w:type="dxa"/>
            <w:noWrap/>
            <w:vAlign w:val="center"/>
          </w:tcPr>
          <w:p w14:paraId="3B029BAD" w14:textId="08B0C7A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4,552</w:t>
            </w:r>
          </w:p>
        </w:tc>
        <w:tc>
          <w:tcPr>
            <w:tcW w:w="1103" w:type="dxa"/>
            <w:noWrap/>
            <w:vAlign w:val="center"/>
          </w:tcPr>
          <w:p w14:paraId="6E1B1349" w14:textId="00E8E0E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w:t>
            </w:r>
          </w:p>
        </w:tc>
        <w:tc>
          <w:tcPr>
            <w:tcW w:w="1134" w:type="dxa"/>
            <w:noWrap/>
            <w:vAlign w:val="center"/>
          </w:tcPr>
          <w:p w14:paraId="1FBFD6C0" w14:textId="43FF397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1,470,245</w:t>
            </w:r>
          </w:p>
        </w:tc>
      </w:tr>
      <w:tr w:rsidR="001D6375" w:rsidRPr="00BF0CAC" w14:paraId="39E63690" w14:textId="77777777" w:rsidTr="00AB2467">
        <w:trPr>
          <w:trHeight w:val="255"/>
        </w:trPr>
        <w:tc>
          <w:tcPr>
            <w:cnfStyle w:val="001000000000" w:firstRow="0" w:lastRow="0" w:firstColumn="1" w:lastColumn="0" w:oddVBand="0" w:evenVBand="0" w:oddHBand="0" w:evenHBand="0" w:firstRowFirstColumn="0" w:firstRowLastColumn="0" w:lastRowFirstColumn="0" w:lastRowLastColumn="0"/>
            <w:tcW w:w="1531" w:type="dxa"/>
          </w:tcPr>
          <w:p w14:paraId="5C31E14A" w14:textId="5EBAACA0" w:rsidR="001D6375" w:rsidRPr="001B759D" w:rsidRDefault="001D6375" w:rsidP="001D6375">
            <w:pPr>
              <w:pStyle w:val="Tabletext8pt"/>
              <w:rPr>
                <w:rFonts w:cs="Arial"/>
                <w:b w:val="0"/>
                <w:bCs w:val="0"/>
                <w:sz w:val="16"/>
                <w:szCs w:val="16"/>
              </w:rPr>
            </w:pPr>
            <w:r w:rsidRPr="001B759D">
              <w:rPr>
                <w:b w:val="0"/>
                <w:bCs w:val="0"/>
                <w:sz w:val="16"/>
                <w:szCs w:val="16"/>
              </w:rPr>
              <w:t>Goulburn Valley Health</w:t>
            </w:r>
          </w:p>
        </w:tc>
        <w:tc>
          <w:tcPr>
            <w:tcW w:w="1102" w:type="dxa"/>
            <w:noWrap/>
            <w:vAlign w:val="center"/>
          </w:tcPr>
          <w:p w14:paraId="009CBB5D" w14:textId="618C2B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322,374</w:t>
            </w:r>
          </w:p>
        </w:tc>
        <w:tc>
          <w:tcPr>
            <w:tcW w:w="1102" w:type="dxa"/>
            <w:noWrap/>
            <w:vAlign w:val="center"/>
          </w:tcPr>
          <w:p w14:paraId="17CC8C58" w14:textId="3FEFAA6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3,093</w:t>
            </w:r>
          </w:p>
        </w:tc>
        <w:tc>
          <w:tcPr>
            <w:tcW w:w="1134" w:type="dxa"/>
            <w:vAlign w:val="center"/>
          </w:tcPr>
          <w:p w14:paraId="5ADF281A" w14:textId="32237EF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1D30D03B" w14:textId="1379E6B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3,477</w:t>
            </w:r>
          </w:p>
        </w:tc>
        <w:tc>
          <w:tcPr>
            <w:tcW w:w="1103" w:type="dxa"/>
            <w:noWrap/>
            <w:vAlign w:val="center"/>
          </w:tcPr>
          <w:p w14:paraId="74B1389E" w14:textId="3B772C0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53,108</w:t>
            </w:r>
          </w:p>
        </w:tc>
        <w:tc>
          <w:tcPr>
            <w:tcW w:w="1103" w:type="dxa"/>
            <w:noWrap/>
            <w:vAlign w:val="center"/>
          </w:tcPr>
          <w:p w14:paraId="4DD5EB0A" w14:textId="473A50E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1,908</w:t>
            </w:r>
          </w:p>
        </w:tc>
        <w:tc>
          <w:tcPr>
            <w:tcW w:w="1103" w:type="dxa"/>
            <w:noWrap/>
            <w:vAlign w:val="center"/>
          </w:tcPr>
          <w:p w14:paraId="22A6B494" w14:textId="233E494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3,296</w:t>
            </w:r>
          </w:p>
        </w:tc>
        <w:tc>
          <w:tcPr>
            <w:tcW w:w="1134" w:type="dxa"/>
            <w:noWrap/>
            <w:vAlign w:val="center"/>
          </w:tcPr>
          <w:p w14:paraId="706A525A" w14:textId="33F6CFA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387,255</w:t>
            </w:r>
          </w:p>
        </w:tc>
      </w:tr>
      <w:tr w:rsidR="00DD0145" w:rsidRPr="00BF0CAC" w14:paraId="2B3A6024" w14:textId="77777777" w:rsidTr="00AB246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31" w:type="dxa"/>
          </w:tcPr>
          <w:p w14:paraId="4FC8137E" w14:textId="73ED4E59" w:rsidR="001D6375" w:rsidRPr="001B759D" w:rsidRDefault="001D6375" w:rsidP="001D6375">
            <w:pPr>
              <w:pStyle w:val="Tabletext8pt"/>
              <w:rPr>
                <w:rFonts w:cs="Arial"/>
                <w:b w:val="0"/>
                <w:bCs w:val="0"/>
                <w:sz w:val="16"/>
                <w:szCs w:val="16"/>
              </w:rPr>
            </w:pPr>
            <w:r w:rsidRPr="001B759D">
              <w:rPr>
                <w:b w:val="0"/>
                <w:bCs w:val="0"/>
                <w:sz w:val="16"/>
                <w:szCs w:val="16"/>
              </w:rPr>
              <w:t>Grampians Health</w:t>
            </w:r>
          </w:p>
        </w:tc>
        <w:tc>
          <w:tcPr>
            <w:tcW w:w="1102" w:type="dxa"/>
            <w:noWrap/>
            <w:vAlign w:val="center"/>
          </w:tcPr>
          <w:p w14:paraId="49A0B92A" w14:textId="1EBE294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601,655</w:t>
            </w:r>
          </w:p>
        </w:tc>
        <w:tc>
          <w:tcPr>
            <w:tcW w:w="1102" w:type="dxa"/>
            <w:noWrap/>
            <w:vAlign w:val="center"/>
          </w:tcPr>
          <w:p w14:paraId="35EC6BC8" w14:textId="0139655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39,448</w:t>
            </w:r>
          </w:p>
        </w:tc>
        <w:tc>
          <w:tcPr>
            <w:tcW w:w="1134" w:type="dxa"/>
            <w:vAlign w:val="center"/>
          </w:tcPr>
          <w:p w14:paraId="2D852A7B" w14:textId="7CF4867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9EFA43C" w14:textId="14ADE36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331</w:t>
            </w:r>
          </w:p>
        </w:tc>
        <w:tc>
          <w:tcPr>
            <w:tcW w:w="1103" w:type="dxa"/>
            <w:noWrap/>
            <w:vAlign w:val="center"/>
          </w:tcPr>
          <w:p w14:paraId="097C5DB4" w14:textId="6DF8BD2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79,009</w:t>
            </w:r>
          </w:p>
        </w:tc>
        <w:tc>
          <w:tcPr>
            <w:tcW w:w="1103" w:type="dxa"/>
            <w:noWrap/>
            <w:vAlign w:val="center"/>
          </w:tcPr>
          <w:p w14:paraId="032375F2" w14:textId="7A7D833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4,093</w:t>
            </w:r>
          </w:p>
        </w:tc>
        <w:tc>
          <w:tcPr>
            <w:tcW w:w="1103" w:type="dxa"/>
            <w:noWrap/>
            <w:vAlign w:val="center"/>
          </w:tcPr>
          <w:p w14:paraId="02707732" w14:textId="3C201014"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4,716</w:t>
            </w:r>
          </w:p>
        </w:tc>
        <w:tc>
          <w:tcPr>
            <w:tcW w:w="1134" w:type="dxa"/>
            <w:noWrap/>
            <w:vAlign w:val="center"/>
          </w:tcPr>
          <w:p w14:paraId="2F996813" w14:textId="0A84881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729,252</w:t>
            </w:r>
          </w:p>
        </w:tc>
      </w:tr>
      <w:tr w:rsidR="001D6375" w:rsidRPr="00BF0CAC" w14:paraId="7C9B5EF5" w14:textId="77777777" w:rsidTr="00AB2467">
        <w:trPr>
          <w:trHeight w:val="255"/>
        </w:trPr>
        <w:tc>
          <w:tcPr>
            <w:cnfStyle w:val="001000000000" w:firstRow="0" w:lastRow="0" w:firstColumn="1" w:lastColumn="0" w:oddVBand="0" w:evenVBand="0" w:oddHBand="0" w:evenHBand="0" w:firstRowFirstColumn="0" w:firstRowLastColumn="0" w:lastRowFirstColumn="0" w:lastRowLastColumn="0"/>
            <w:tcW w:w="1531" w:type="dxa"/>
          </w:tcPr>
          <w:p w14:paraId="7986FC99" w14:textId="45F75A2C" w:rsidR="001D6375" w:rsidRPr="001B759D" w:rsidRDefault="001D6375" w:rsidP="001D6375">
            <w:pPr>
              <w:pStyle w:val="Tabletext8pt"/>
              <w:rPr>
                <w:rFonts w:cs="Arial"/>
                <w:b w:val="0"/>
                <w:bCs w:val="0"/>
                <w:sz w:val="16"/>
                <w:szCs w:val="16"/>
              </w:rPr>
            </w:pPr>
            <w:r w:rsidRPr="001B759D">
              <w:rPr>
                <w:b w:val="0"/>
                <w:bCs w:val="0"/>
                <w:sz w:val="16"/>
                <w:szCs w:val="16"/>
              </w:rPr>
              <w:t>Latrobe Regional Health</w:t>
            </w:r>
          </w:p>
        </w:tc>
        <w:tc>
          <w:tcPr>
            <w:tcW w:w="1102" w:type="dxa"/>
            <w:noWrap/>
            <w:vAlign w:val="center"/>
          </w:tcPr>
          <w:p w14:paraId="4A956A46" w14:textId="519E17C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317,319</w:t>
            </w:r>
          </w:p>
        </w:tc>
        <w:tc>
          <w:tcPr>
            <w:tcW w:w="1102" w:type="dxa"/>
            <w:noWrap/>
            <w:vAlign w:val="center"/>
          </w:tcPr>
          <w:p w14:paraId="611AE076" w14:textId="0798D34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579</w:t>
            </w:r>
          </w:p>
        </w:tc>
        <w:tc>
          <w:tcPr>
            <w:tcW w:w="1134" w:type="dxa"/>
            <w:vAlign w:val="center"/>
          </w:tcPr>
          <w:p w14:paraId="19820566" w14:textId="00F82E4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5F21F152" w14:textId="0CEF195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167</w:t>
            </w:r>
          </w:p>
        </w:tc>
        <w:tc>
          <w:tcPr>
            <w:tcW w:w="1103" w:type="dxa"/>
            <w:noWrap/>
            <w:vAlign w:val="center"/>
          </w:tcPr>
          <w:p w14:paraId="3433CA8E" w14:textId="4BAC462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87,734</w:t>
            </w:r>
          </w:p>
        </w:tc>
        <w:tc>
          <w:tcPr>
            <w:tcW w:w="1103" w:type="dxa"/>
            <w:noWrap/>
            <w:vAlign w:val="center"/>
          </w:tcPr>
          <w:p w14:paraId="41EE756A" w14:textId="12C5872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741B3673" w14:textId="2B0BD8F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5,255</w:t>
            </w:r>
          </w:p>
        </w:tc>
        <w:tc>
          <w:tcPr>
            <w:tcW w:w="1134" w:type="dxa"/>
            <w:noWrap/>
            <w:vAlign w:val="center"/>
          </w:tcPr>
          <w:p w14:paraId="5304DCE7" w14:textId="3B88549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411,054</w:t>
            </w:r>
          </w:p>
        </w:tc>
      </w:tr>
      <w:tr w:rsidR="00DD0145" w:rsidRPr="00BF0CAC" w14:paraId="305035FA"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6F96E36C" w14:textId="06E3A4BE" w:rsidR="001D6375" w:rsidRPr="001B759D" w:rsidRDefault="001D6375" w:rsidP="001D6375">
            <w:pPr>
              <w:pStyle w:val="Tabletext8pt"/>
              <w:rPr>
                <w:rFonts w:cs="Arial"/>
                <w:b w:val="0"/>
                <w:bCs w:val="0"/>
                <w:sz w:val="16"/>
                <w:szCs w:val="16"/>
              </w:rPr>
            </w:pPr>
            <w:r w:rsidRPr="001B759D">
              <w:rPr>
                <w:b w:val="0"/>
                <w:bCs w:val="0"/>
                <w:sz w:val="16"/>
                <w:szCs w:val="16"/>
              </w:rPr>
              <w:t>Melbourne Health</w:t>
            </w:r>
          </w:p>
        </w:tc>
        <w:tc>
          <w:tcPr>
            <w:tcW w:w="1102" w:type="dxa"/>
            <w:noWrap/>
            <w:vAlign w:val="center"/>
          </w:tcPr>
          <w:p w14:paraId="0A9FA158" w14:textId="69786B6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1,168,659</w:t>
            </w:r>
          </w:p>
        </w:tc>
        <w:tc>
          <w:tcPr>
            <w:tcW w:w="1102" w:type="dxa"/>
            <w:noWrap/>
            <w:vAlign w:val="center"/>
          </w:tcPr>
          <w:p w14:paraId="28FD713B" w14:textId="4BBDC00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3,193</w:t>
            </w:r>
          </w:p>
        </w:tc>
        <w:tc>
          <w:tcPr>
            <w:tcW w:w="1134" w:type="dxa"/>
            <w:vAlign w:val="center"/>
          </w:tcPr>
          <w:p w14:paraId="5879A3C6" w14:textId="497C87B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077" w:type="dxa"/>
            <w:noWrap/>
            <w:vAlign w:val="center"/>
          </w:tcPr>
          <w:p w14:paraId="1DEDAA1F" w14:textId="4970242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327</w:t>
            </w:r>
          </w:p>
        </w:tc>
        <w:tc>
          <w:tcPr>
            <w:tcW w:w="1103" w:type="dxa"/>
            <w:noWrap/>
            <w:vAlign w:val="center"/>
          </w:tcPr>
          <w:p w14:paraId="41A417E4" w14:textId="02B113B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118,621</w:t>
            </w:r>
          </w:p>
        </w:tc>
        <w:tc>
          <w:tcPr>
            <w:tcW w:w="1103" w:type="dxa"/>
            <w:noWrap/>
            <w:vAlign w:val="center"/>
          </w:tcPr>
          <w:p w14:paraId="4F355B3F" w14:textId="6C577D9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4CFA5C6C" w14:textId="1D72E89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17,418</w:t>
            </w:r>
          </w:p>
        </w:tc>
        <w:tc>
          <w:tcPr>
            <w:tcW w:w="1134" w:type="dxa"/>
            <w:noWrap/>
            <w:vAlign w:val="center"/>
          </w:tcPr>
          <w:p w14:paraId="3BB88196" w14:textId="41246BD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1,309,526</w:t>
            </w:r>
          </w:p>
        </w:tc>
      </w:tr>
      <w:tr w:rsidR="001D6375" w:rsidRPr="00BF0CAC" w14:paraId="1D3368A8" w14:textId="77777777" w:rsidTr="00AB2467">
        <w:trPr>
          <w:trHeight w:val="300"/>
        </w:trPr>
        <w:tc>
          <w:tcPr>
            <w:cnfStyle w:val="001000000000" w:firstRow="0" w:lastRow="0" w:firstColumn="1" w:lastColumn="0" w:oddVBand="0" w:evenVBand="0" w:oddHBand="0" w:evenHBand="0" w:firstRowFirstColumn="0" w:firstRowLastColumn="0" w:lastRowFirstColumn="0" w:lastRowLastColumn="0"/>
            <w:tcW w:w="1531" w:type="dxa"/>
          </w:tcPr>
          <w:p w14:paraId="10339389" w14:textId="69810AC6" w:rsidR="001D6375" w:rsidRPr="001B759D" w:rsidRDefault="001D6375" w:rsidP="001D6375">
            <w:pPr>
              <w:pStyle w:val="Tabletext8pt"/>
              <w:rPr>
                <w:rFonts w:cs="Arial"/>
                <w:b w:val="0"/>
                <w:bCs w:val="0"/>
                <w:sz w:val="16"/>
                <w:szCs w:val="16"/>
              </w:rPr>
            </w:pPr>
            <w:r w:rsidRPr="001B759D">
              <w:rPr>
                <w:b w:val="0"/>
                <w:bCs w:val="0"/>
                <w:sz w:val="16"/>
                <w:szCs w:val="16"/>
              </w:rPr>
              <w:t>Mercy Hospitals Victoria Limited</w:t>
            </w:r>
          </w:p>
        </w:tc>
        <w:tc>
          <w:tcPr>
            <w:tcW w:w="1102" w:type="dxa"/>
            <w:noWrap/>
            <w:vAlign w:val="center"/>
          </w:tcPr>
          <w:p w14:paraId="25AFAED6" w14:textId="7338528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532,023</w:t>
            </w:r>
          </w:p>
        </w:tc>
        <w:tc>
          <w:tcPr>
            <w:tcW w:w="1102" w:type="dxa"/>
            <w:noWrap/>
            <w:vAlign w:val="center"/>
          </w:tcPr>
          <w:p w14:paraId="5FD306D5" w14:textId="470C728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263</w:t>
            </w:r>
          </w:p>
        </w:tc>
        <w:tc>
          <w:tcPr>
            <w:tcW w:w="1134" w:type="dxa"/>
            <w:vAlign w:val="center"/>
          </w:tcPr>
          <w:p w14:paraId="2F02F4A6" w14:textId="49AD0E8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DB9F0F8" w14:textId="2219CC1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211</w:t>
            </w:r>
          </w:p>
        </w:tc>
        <w:tc>
          <w:tcPr>
            <w:tcW w:w="1103" w:type="dxa"/>
            <w:noWrap/>
            <w:vAlign w:val="center"/>
          </w:tcPr>
          <w:p w14:paraId="215E40E6" w14:textId="31CAF59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86,968</w:t>
            </w:r>
          </w:p>
        </w:tc>
        <w:tc>
          <w:tcPr>
            <w:tcW w:w="1103" w:type="dxa"/>
            <w:noWrap/>
            <w:vAlign w:val="center"/>
          </w:tcPr>
          <w:p w14:paraId="37EC7320" w14:textId="04EE1BA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4,065</w:t>
            </w:r>
          </w:p>
        </w:tc>
        <w:tc>
          <w:tcPr>
            <w:tcW w:w="1103" w:type="dxa"/>
            <w:noWrap/>
            <w:vAlign w:val="center"/>
          </w:tcPr>
          <w:p w14:paraId="0509559D" w14:textId="5FBC999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noWrap/>
            <w:vAlign w:val="center"/>
          </w:tcPr>
          <w:p w14:paraId="52262A59" w14:textId="360A97A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623,530</w:t>
            </w:r>
          </w:p>
        </w:tc>
      </w:tr>
      <w:tr w:rsidR="00DD0145" w:rsidRPr="00BF0CAC" w14:paraId="06E0C3C9" w14:textId="77777777" w:rsidTr="00AB246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31" w:type="dxa"/>
          </w:tcPr>
          <w:p w14:paraId="5842C414" w14:textId="5EA24D79" w:rsidR="001D6375" w:rsidRPr="001B759D" w:rsidRDefault="001D6375" w:rsidP="001D6375">
            <w:pPr>
              <w:pStyle w:val="Tabletext8pt"/>
              <w:rPr>
                <w:rFonts w:cs="Arial"/>
                <w:b w:val="0"/>
                <w:bCs w:val="0"/>
                <w:sz w:val="16"/>
                <w:szCs w:val="16"/>
              </w:rPr>
            </w:pPr>
            <w:r w:rsidRPr="001B759D">
              <w:rPr>
                <w:b w:val="0"/>
                <w:bCs w:val="0"/>
                <w:sz w:val="16"/>
                <w:szCs w:val="16"/>
              </w:rPr>
              <w:t>Monash Health</w:t>
            </w:r>
          </w:p>
        </w:tc>
        <w:tc>
          <w:tcPr>
            <w:tcW w:w="1102" w:type="dxa"/>
            <w:noWrap/>
            <w:vAlign w:val="center"/>
          </w:tcPr>
          <w:p w14:paraId="1469254F" w14:textId="4695AA8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2,403,261</w:t>
            </w:r>
          </w:p>
        </w:tc>
        <w:tc>
          <w:tcPr>
            <w:tcW w:w="1102" w:type="dxa"/>
            <w:noWrap/>
            <w:vAlign w:val="center"/>
          </w:tcPr>
          <w:p w14:paraId="20C90CB6" w14:textId="4DB8F92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9,171</w:t>
            </w:r>
          </w:p>
        </w:tc>
        <w:tc>
          <w:tcPr>
            <w:tcW w:w="1134" w:type="dxa"/>
            <w:vAlign w:val="center"/>
          </w:tcPr>
          <w:p w14:paraId="2CC4252E" w14:textId="618DC61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5BF960C2" w14:textId="01B3016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7,878</w:t>
            </w:r>
          </w:p>
        </w:tc>
        <w:tc>
          <w:tcPr>
            <w:tcW w:w="1103" w:type="dxa"/>
            <w:noWrap/>
            <w:vAlign w:val="center"/>
          </w:tcPr>
          <w:p w14:paraId="0901C6A0" w14:textId="508ABAB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308,413</w:t>
            </w:r>
          </w:p>
        </w:tc>
        <w:tc>
          <w:tcPr>
            <w:tcW w:w="1103" w:type="dxa"/>
            <w:noWrap/>
            <w:vAlign w:val="center"/>
          </w:tcPr>
          <w:p w14:paraId="242D9AEE" w14:textId="4730498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18,527</w:t>
            </w:r>
          </w:p>
        </w:tc>
        <w:tc>
          <w:tcPr>
            <w:tcW w:w="1103" w:type="dxa"/>
            <w:noWrap/>
            <w:vAlign w:val="center"/>
          </w:tcPr>
          <w:p w14:paraId="049D55C9" w14:textId="22828B3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6,922</w:t>
            </w:r>
          </w:p>
        </w:tc>
        <w:tc>
          <w:tcPr>
            <w:tcW w:w="1134" w:type="dxa"/>
            <w:noWrap/>
            <w:vAlign w:val="center"/>
          </w:tcPr>
          <w:p w14:paraId="22F0B1C6" w14:textId="2B38631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2,754,173</w:t>
            </w:r>
          </w:p>
        </w:tc>
      </w:tr>
      <w:tr w:rsidR="001D6375" w:rsidRPr="00BF0CAC" w14:paraId="5A2B0BB8" w14:textId="77777777" w:rsidTr="00AB2467">
        <w:trPr>
          <w:trHeight w:val="340"/>
        </w:trPr>
        <w:tc>
          <w:tcPr>
            <w:cnfStyle w:val="001000000000" w:firstRow="0" w:lastRow="0" w:firstColumn="1" w:lastColumn="0" w:oddVBand="0" w:evenVBand="0" w:oddHBand="0" w:evenHBand="0" w:firstRowFirstColumn="0" w:firstRowLastColumn="0" w:lastRowFirstColumn="0" w:lastRowLastColumn="0"/>
            <w:tcW w:w="1531" w:type="dxa"/>
          </w:tcPr>
          <w:p w14:paraId="77C3BB1A" w14:textId="22E1BD2E" w:rsidR="001D6375" w:rsidRPr="001B759D" w:rsidRDefault="001D6375" w:rsidP="001D6375">
            <w:pPr>
              <w:pStyle w:val="Tabletext8pt"/>
              <w:rPr>
                <w:rFonts w:cs="Arial"/>
                <w:b w:val="0"/>
                <w:bCs w:val="0"/>
                <w:sz w:val="16"/>
                <w:szCs w:val="16"/>
              </w:rPr>
            </w:pPr>
            <w:r w:rsidRPr="001B759D">
              <w:rPr>
                <w:b w:val="0"/>
                <w:bCs w:val="0"/>
                <w:sz w:val="16"/>
                <w:szCs w:val="16"/>
              </w:rPr>
              <w:t>Northern Health</w:t>
            </w:r>
          </w:p>
        </w:tc>
        <w:tc>
          <w:tcPr>
            <w:tcW w:w="1102" w:type="dxa"/>
            <w:noWrap/>
            <w:vAlign w:val="center"/>
          </w:tcPr>
          <w:p w14:paraId="2AEDC06B" w14:textId="2F60EA2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1,011,006</w:t>
            </w:r>
          </w:p>
        </w:tc>
        <w:tc>
          <w:tcPr>
            <w:tcW w:w="1102" w:type="dxa"/>
            <w:noWrap/>
            <w:vAlign w:val="center"/>
          </w:tcPr>
          <w:p w14:paraId="7DFB98F7" w14:textId="4395C7C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3,227</w:t>
            </w:r>
          </w:p>
        </w:tc>
        <w:tc>
          <w:tcPr>
            <w:tcW w:w="1134" w:type="dxa"/>
            <w:vAlign w:val="center"/>
          </w:tcPr>
          <w:p w14:paraId="1ED6DA9C" w14:textId="58AD3C8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828429A" w14:textId="649D34E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166</w:t>
            </w:r>
          </w:p>
        </w:tc>
        <w:tc>
          <w:tcPr>
            <w:tcW w:w="1103" w:type="dxa"/>
            <w:noWrap/>
            <w:vAlign w:val="center"/>
          </w:tcPr>
          <w:p w14:paraId="7B8FE5FC" w14:textId="4F6E0253"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194,807</w:t>
            </w:r>
          </w:p>
        </w:tc>
        <w:tc>
          <w:tcPr>
            <w:tcW w:w="1103" w:type="dxa"/>
            <w:noWrap/>
            <w:vAlign w:val="center"/>
          </w:tcPr>
          <w:p w14:paraId="5A76DECB" w14:textId="15664E1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1D4E0177" w14:textId="3C494443"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w:t>
            </w:r>
          </w:p>
        </w:tc>
        <w:tc>
          <w:tcPr>
            <w:tcW w:w="1134" w:type="dxa"/>
            <w:noWrap/>
            <w:vAlign w:val="center"/>
          </w:tcPr>
          <w:p w14:paraId="549B0566" w14:textId="42D824E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1,209,228</w:t>
            </w:r>
          </w:p>
        </w:tc>
      </w:tr>
      <w:tr w:rsidR="00DD0145" w:rsidRPr="00BF0CAC" w14:paraId="190D70CC" w14:textId="77777777" w:rsidTr="00AB246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31" w:type="dxa"/>
          </w:tcPr>
          <w:p w14:paraId="406D80BD" w14:textId="326E3BB1" w:rsidR="001D6375" w:rsidRPr="001B759D" w:rsidRDefault="001D6375" w:rsidP="001D6375">
            <w:pPr>
              <w:pStyle w:val="Tabletext8pt"/>
              <w:rPr>
                <w:rFonts w:cs="Arial"/>
                <w:b w:val="0"/>
                <w:bCs w:val="0"/>
                <w:sz w:val="16"/>
                <w:szCs w:val="16"/>
              </w:rPr>
            </w:pPr>
            <w:r w:rsidRPr="001B759D">
              <w:rPr>
                <w:b w:val="0"/>
                <w:bCs w:val="0"/>
                <w:sz w:val="16"/>
                <w:szCs w:val="16"/>
              </w:rPr>
              <w:t xml:space="preserve">Parkville Youth Mental Health </w:t>
            </w:r>
            <w:r w:rsidR="006B7F7F">
              <w:rPr>
                <w:b w:val="0"/>
                <w:bCs w:val="0"/>
                <w:sz w:val="16"/>
                <w:szCs w:val="16"/>
              </w:rPr>
              <w:t>a</w:t>
            </w:r>
            <w:r w:rsidRPr="001B759D">
              <w:rPr>
                <w:b w:val="0"/>
                <w:bCs w:val="0"/>
                <w:sz w:val="16"/>
                <w:szCs w:val="16"/>
              </w:rPr>
              <w:t>nd Wellbeing Service</w:t>
            </w:r>
          </w:p>
        </w:tc>
        <w:tc>
          <w:tcPr>
            <w:tcW w:w="1102" w:type="dxa"/>
            <w:noWrap/>
            <w:vAlign w:val="center"/>
          </w:tcPr>
          <w:p w14:paraId="43F0A5E8" w14:textId="1C62393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4,112</w:t>
            </w:r>
          </w:p>
        </w:tc>
        <w:tc>
          <w:tcPr>
            <w:tcW w:w="1102" w:type="dxa"/>
            <w:noWrap/>
            <w:vAlign w:val="center"/>
          </w:tcPr>
          <w:p w14:paraId="0219878E" w14:textId="05EDFD1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2EBDB6FD" w14:textId="4B3D338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87216FF" w14:textId="2815111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3BE90842" w14:textId="7F396A3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75,911</w:t>
            </w:r>
          </w:p>
        </w:tc>
        <w:tc>
          <w:tcPr>
            <w:tcW w:w="1103" w:type="dxa"/>
            <w:noWrap/>
            <w:vAlign w:val="center"/>
          </w:tcPr>
          <w:p w14:paraId="75EEB1BA" w14:textId="780872A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61252008" w14:textId="7D27B99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noWrap/>
            <w:vAlign w:val="center"/>
          </w:tcPr>
          <w:p w14:paraId="684ACFA9" w14:textId="58AC902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80,023</w:t>
            </w:r>
          </w:p>
        </w:tc>
      </w:tr>
      <w:tr w:rsidR="001D6375" w:rsidRPr="00BF0CAC" w14:paraId="7E69C73D" w14:textId="77777777" w:rsidTr="00AB2467">
        <w:trPr>
          <w:trHeight w:val="225"/>
        </w:trPr>
        <w:tc>
          <w:tcPr>
            <w:cnfStyle w:val="001000000000" w:firstRow="0" w:lastRow="0" w:firstColumn="1" w:lastColumn="0" w:oddVBand="0" w:evenVBand="0" w:oddHBand="0" w:evenHBand="0" w:firstRowFirstColumn="0" w:firstRowLastColumn="0" w:lastRowFirstColumn="0" w:lastRowLastColumn="0"/>
            <w:tcW w:w="1531" w:type="dxa"/>
          </w:tcPr>
          <w:p w14:paraId="33ACF2E4" w14:textId="78C7D430" w:rsidR="001D6375" w:rsidRPr="001B759D" w:rsidRDefault="001D6375" w:rsidP="001D6375">
            <w:pPr>
              <w:pStyle w:val="Tabletext8pt"/>
              <w:rPr>
                <w:rFonts w:cs="Arial"/>
                <w:b w:val="0"/>
                <w:bCs w:val="0"/>
                <w:sz w:val="16"/>
                <w:szCs w:val="16"/>
              </w:rPr>
            </w:pPr>
            <w:r w:rsidRPr="001B759D">
              <w:rPr>
                <w:b w:val="0"/>
                <w:bCs w:val="0"/>
                <w:sz w:val="16"/>
                <w:szCs w:val="16"/>
              </w:rPr>
              <w:t>Peninsula Health</w:t>
            </w:r>
          </w:p>
        </w:tc>
        <w:tc>
          <w:tcPr>
            <w:tcW w:w="1102" w:type="dxa"/>
            <w:noWrap/>
            <w:vAlign w:val="center"/>
          </w:tcPr>
          <w:p w14:paraId="0CEED1D3" w14:textId="2F21C09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810,725</w:t>
            </w:r>
          </w:p>
        </w:tc>
        <w:tc>
          <w:tcPr>
            <w:tcW w:w="1102" w:type="dxa"/>
            <w:noWrap/>
            <w:vAlign w:val="center"/>
          </w:tcPr>
          <w:p w14:paraId="40F43995" w14:textId="5CDB7D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2,632</w:t>
            </w:r>
          </w:p>
        </w:tc>
        <w:tc>
          <w:tcPr>
            <w:tcW w:w="1134" w:type="dxa"/>
            <w:vAlign w:val="center"/>
          </w:tcPr>
          <w:p w14:paraId="2B51FD75" w14:textId="63415FF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7451F03A" w14:textId="79F33AB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3,755</w:t>
            </w:r>
          </w:p>
        </w:tc>
        <w:tc>
          <w:tcPr>
            <w:tcW w:w="1103" w:type="dxa"/>
            <w:noWrap/>
            <w:vAlign w:val="center"/>
          </w:tcPr>
          <w:p w14:paraId="0679DEE1" w14:textId="0C89EE9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94,990</w:t>
            </w:r>
          </w:p>
        </w:tc>
        <w:tc>
          <w:tcPr>
            <w:tcW w:w="1103" w:type="dxa"/>
            <w:noWrap/>
            <w:vAlign w:val="center"/>
          </w:tcPr>
          <w:p w14:paraId="0C681051" w14:textId="65B3001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8,352</w:t>
            </w:r>
          </w:p>
        </w:tc>
        <w:tc>
          <w:tcPr>
            <w:tcW w:w="1103" w:type="dxa"/>
            <w:noWrap/>
            <w:vAlign w:val="center"/>
          </w:tcPr>
          <w:p w14:paraId="0F46BE35" w14:textId="1F18857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w:t>
            </w:r>
          </w:p>
        </w:tc>
        <w:tc>
          <w:tcPr>
            <w:tcW w:w="1134" w:type="dxa"/>
            <w:noWrap/>
            <w:vAlign w:val="center"/>
          </w:tcPr>
          <w:p w14:paraId="27FBB55F" w14:textId="104B7FB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920,475</w:t>
            </w:r>
          </w:p>
        </w:tc>
      </w:tr>
      <w:tr w:rsidR="00DD0145" w:rsidRPr="00BF0CAC" w14:paraId="421FB5B3"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3B0D652C" w14:textId="63A3F2B0" w:rsidR="001D6375" w:rsidRPr="001B759D" w:rsidRDefault="001D6375" w:rsidP="001D6375">
            <w:pPr>
              <w:pStyle w:val="Tabletext8pt"/>
              <w:rPr>
                <w:rFonts w:cs="Arial"/>
                <w:b w:val="0"/>
                <w:bCs w:val="0"/>
                <w:sz w:val="16"/>
                <w:szCs w:val="16"/>
              </w:rPr>
            </w:pPr>
            <w:r w:rsidRPr="001B759D">
              <w:rPr>
                <w:b w:val="0"/>
                <w:bCs w:val="0"/>
                <w:sz w:val="16"/>
                <w:szCs w:val="16"/>
              </w:rPr>
              <w:t>Peter Mac</w:t>
            </w:r>
            <w:r w:rsidR="00C42D86">
              <w:rPr>
                <w:b w:val="0"/>
                <w:bCs w:val="0"/>
                <w:sz w:val="16"/>
                <w:szCs w:val="16"/>
              </w:rPr>
              <w:t>C</w:t>
            </w:r>
            <w:r w:rsidRPr="001B759D">
              <w:rPr>
                <w:b w:val="0"/>
                <w:bCs w:val="0"/>
                <w:sz w:val="16"/>
                <w:szCs w:val="16"/>
              </w:rPr>
              <w:t>allum Cancer Institute</w:t>
            </w:r>
          </w:p>
        </w:tc>
        <w:tc>
          <w:tcPr>
            <w:tcW w:w="1102" w:type="dxa"/>
            <w:noWrap/>
            <w:vAlign w:val="center"/>
          </w:tcPr>
          <w:p w14:paraId="0BEF2620" w14:textId="6629A4C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400,168</w:t>
            </w:r>
          </w:p>
        </w:tc>
        <w:tc>
          <w:tcPr>
            <w:tcW w:w="1102" w:type="dxa"/>
            <w:noWrap/>
            <w:vAlign w:val="center"/>
          </w:tcPr>
          <w:p w14:paraId="709644A2" w14:textId="284F09C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2AE59B2D" w14:textId="7680050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FD3DEBB" w14:textId="3F6A926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0E148AB9" w14:textId="66A3398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631</w:t>
            </w:r>
          </w:p>
        </w:tc>
        <w:tc>
          <w:tcPr>
            <w:tcW w:w="1103" w:type="dxa"/>
            <w:noWrap/>
            <w:vAlign w:val="center"/>
          </w:tcPr>
          <w:p w14:paraId="451A8611" w14:textId="0CCC006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2596101F" w14:textId="1EE3356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50</w:t>
            </w:r>
          </w:p>
        </w:tc>
        <w:tc>
          <w:tcPr>
            <w:tcW w:w="1134" w:type="dxa"/>
            <w:noWrap/>
            <w:vAlign w:val="center"/>
          </w:tcPr>
          <w:p w14:paraId="08F535DB" w14:textId="0D849B3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400,850</w:t>
            </w:r>
          </w:p>
        </w:tc>
      </w:tr>
      <w:tr w:rsidR="001D6375" w:rsidRPr="00BF0CAC" w14:paraId="562E3F6E" w14:textId="77777777" w:rsidTr="00AB2467">
        <w:trPr>
          <w:trHeight w:val="285"/>
        </w:trPr>
        <w:tc>
          <w:tcPr>
            <w:cnfStyle w:val="001000000000" w:firstRow="0" w:lastRow="0" w:firstColumn="1" w:lastColumn="0" w:oddVBand="0" w:evenVBand="0" w:oddHBand="0" w:evenHBand="0" w:firstRowFirstColumn="0" w:firstRowLastColumn="0" w:lastRowFirstColumn="0" w:lastRowLastColumn="0"/>
            <w:tcW w:w="1531" w:type="dxa"/>
          </w:tcPr>
          <w:p w14:paraId="558A7522" w14:textId="6ADAE54F" w:rsidR="001D6375" w:rsidRPr="001B759D" w:rsidRDefault="001D6375" w:rsidP="001D6375">
            <w:pPr>
              <w:pStyle w:val="Tabletext8pt"/>
              <w:rPr>
                <w:rFonts w:cs="Arial"/>
                <w:b w:val="0"/>
                <w:bCs w:val="0"/>
                <w:sz w:val="16"/>
                <w:szCs w:val="16"/>
              </w:rPr>
            </w:pPr>
            <w:r w:rsidRPr="001B759D">
              <w:rPr>
                <w:b w:val="0"/>
                <w:bCs w:val="0"/>
                <w:sz w:val="16"/>
                <w:szCs w:val="16"/>
              </w:rPr>
              <w:t>St Vincents Hospital Melbourne Limited</w:t>
            </w:r>
          </w:p>
        </w:tc>
        <w:tc>
          <w:tcPr>
            <w:tcW w:w="1102" w:type="dxa"/>
            <w:noWrap/>
            <w:vAlign w:val="center"/>
          </w:tcPr>
          <w:p w14:paraId="3BBC82C7" w14:textId="185F4FFD"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713,314</w:t>
            </w:r>
          </w:p>
        </w:tc>
        <w:tc>
          <w:tcPr>
            <w:tcW w:w="1102" w:type="dxa"/>
            <w:noWrap/>
            <w:vAlign w:val="center"/>
          </w:tcPr>
          <w:p w14:paraId="49F1D593" w14:textId="187DBFE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3,241</w:t>
            </w:r>
          </w:p>
        </w:tc>
        <w:tc>
          <w:tcPr>
            <w:tcW w:w="1134" w:type="dxa"/>
            <w:vAlign w:val="center"/>
          </w:tcPr>
          <w:p w14:paraId="3D37C129" w14:textId="1B59C2C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5D9B349A" w14:textId="7067DDF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6,743</w:t>
            </w:r>
          </w:p>
        </w:tc>
        <w:tc>
          <w:tcPr>
            <w:tcW w:w="1103" w:type="dxa"/>
            <w:noWrap/>
            <w:vAlign w:val="center"/>
          </w:tcPr>
          <w:p w14:paraId="263DEDBC" w14:textId="1AE83D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98,467</w:t>
            </w:r>
          </w:p>
        </w:tc>
        <w:tc>
          <w:tcPr>
            <w:tcW w:w="1103" w:type="dxa"/>
            <w:noWrap/>
            <w:vAlign w:val="center"/>
          </w:tcPr>
          <w:p w14:paraId="30D60D74" w14:textId="42B5CB9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341</w:t>
            </w:r>
          </w:p>
        </w:tc>
        <w:tc>
          <w:tcPr>
            <w:tcW w:w="1103" w:type="dxa"/>
            <w:noWrap/>
            <w:vAlign w:val="center"/>
          </w:tcPr>
          <w:p w14:paraId="1ECEF1E9" w14:textId="53508B7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253</w:t>
            </w:r>
          </w:p>
        </w:tc>
        <w:tc>
          <w:tcPr>
            <w:tcW w:w="1134" w:type="dxa"/>
            <w:noWrap/>
            <w:vAlign w:val="center"/>
          </w:tcPr>
          <w:p w14:paraId="04233829" w14:textId="4A025B4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822,358</w:t>
            </w:r>
          </w:p>
        </w:tc>
      </w:tr>
      <w:tr w:rsidR="00DD0145" w:rsidRPr="00BF0CAC" w14:paraId="594CE69F" w14:textId="77777777" w:rsidTr="00AB24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tcPr>
          <w:p w14:paraId="47444430" w14:textId="7FAC6019" w:rsidR="001D6375" w:rsidRPr="001B759D" w:rsidRDefault="001D6375" w:rsidP="001D6375">
            <w:pPr>
              <w:pStyle w:val="Tabletext8pt"/>
              <w:rPr>
                <w:rFonts w:cs="Arial"/>
                <w:b w:val="0"/>
                <w:bCs w:val="0"/>
                <w:sz w:val="16"/>
                <w:szCs w:val="16"/>
              </w:rPr>
            </w:pPr>
            <w:r w:rsidRPr="001B759D">
              <w:rPr>
                <w:b w:val="0"/>
                <w:bCs w:val="0"/>
                <w:sz w:val="16"/>
                <w:szCs w:val="16"/>
              </w:rPr>
              <w:t xml:space="preserve">The Royal </w:t>
            </w:r>
            <w:r w:rsidR="006B7F7F" w:rsidRPr="001B759D">
              <w:rPr>
                <w:b w:val="0"/>
                <w:bCs w:val="0"/>
                <w:sz w:val="16"/>
                <w:szCs w:val="16"/>
              </w:rPr>
              <w:t>Children</w:t>
            </w:r>
            <w:r w:rsidR="006B7F7F" w:rsidRPr="00AB2467">
              <w:rPr>
                <w:b w:val="0"/>
                <w:bCs w:val="0"/>
                <w:sz w:val="16"/>
                <w:szCs w:val="16"/>
              </w:rPr>
              <w:t>’s</w:t>
            </w:r>
            <w:r w:rsidRPr="00AB2467">
              <w:rPr>
                <w:b w:val="0"/>
                <w:bCs w:val="0"/>
                <w:sz w:val="16"/>
                <w:szCs w:val="16"/>
              </w:rPr>
              <w:t xml:space="preserve"> </w:t>
            </w:r>
            <w:r w:rsidRPr="001B759D">
              <w:rPr>
                <w:b w:val="0"/>
                <w:bCs w:val="0"/>
                <w:sz w:val="16"/>
                <w:szCs w:val="16"/>
              </w:rPr>
              <w:t>Hospital</w:t>
            </w:r>
          </w:p>
        </w:tc>
        <w:tc>
          <w:tcPr>
            <w:tcW w:w="1102" w:type="dxa"/>
            <w:noWrap/>
            <w:vAlign w:val="center"/>
          </w:tcPr>
          <w:p w14:paraId="20F8CE7D" w14:textId="17C1394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709,424</w:t>
            </w:r>
          </w:p>
        </w:tc>
        <w:tc>
          <w:tcPr>
            <w:tcW w:w="1102" w:type="dxa"/>
            <w:noWrap/>
            <w:vAlign w:val="center"/>
          </w:tcPr>
          <w:p w14:paraId="04165E37" w14:textId="708B15D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572E5BCD" w14:textId="03C9D20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69291E6C" w14:textId="6ABFDEA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210</w:t>
            </w:r>
          </w:p>
        </w:tc>
        <w:tc>
          <w:tcPr>
            <w:tcW w:w="1103" w:type="dxa"/>
            <w:noWrap/>
            <w:vAlign w:val="center"/>
          </w:tcPr>
          <w:p w14:paraId="69810925" w14:textId="5DCE199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35,230</w:t>
            </w:r>
          </w:p>
        </w:tc>
        <w:tc>
          <w:tcPr>
            <w:tcW w:w="1103" w:type="dxa"/>
            <w:noWrap/>
            <w:vAlign w:val="center"/>
          </w:tcPr>
          <w:p w14:paraId="1648D092" w14:textId="46B89D0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984</w:t>
            </w:r>
          </w:p>
        </w:tc>
        <w:tc>
          <w:tcPr>
            <w:tcW w:w="1103" w:type="dxa"/>
            <w:noWrap/>
            <w:vAlign w:val="center"/>
          </w:tcPr>
          <w:p w14:paraId="02763BBF" w14:textId="336D1A5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318</w:t>
            </w:r>
          </w:p>
        </w:tc>
        <w:tc>
          <w:tcPr>
            <w:tcW w:w="1134" w:type="dxa"/>
            <w:noWrap/>
            <w:vAlign w:val="center"/>
          </w:tcPr>
          <w:p w14:paraId="0CDEC58A" w14:textId="7B976A2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746,165</w:t>
            </w:r>
          </w:p>
        </w:tc>
      </w:tr>
      <w:tr w:rsidR="001D6375" w:rsidRPr="00BF0CAC" w14:paraId="5547B525" w14:textId="77777777" w:rsidTr="00AB2467">
        <w:trPr>
          <w:trHeight w:val="285"/>
        </w:trPr>
        <w:tc>
          <w:tcPr>
            <w:cnfStyle w:val="001000000000" w:firstRow="0" w:lastRow="0" w:firstColumn="1" w:lastColumn="0" w:oddVBand="0" w:evenVBand="0" w:oddHBand="0" w:evenHBand="0" w:firstRowFirstColumn="0" w:firstRowLastColumn="0" w:lastRowFirstColumn="0" w:lastRowLastColumn="0"/>
            <w:tcW w:w="1531" w:type="dxa"/>
          </w:tcPr>
          <w:p w14:paraId="76384807" w14:textId="5B17D936" w:rsidR="001D6375" w:rsidRPr="001B759D" w:rsidRDefault="001D6375" w:rsidP="001D6375">
            <w:pPr>
              <w:pStyle w:val="Tabletext8pt"/>
              <w:rPr>
                <w:rFonts w:cs="Arial"/>
                <w:b w:val="0"/>
                <w:bCs w:val="0"/>
                <w:sz w:val="16"/>
                <w:szCs w:val="16"/>
              </w:rPr>
            </w:pPr>
            <w:r w:rsidRPr="001B759D">
              <w:rPr>
                <w:b w:val="0"/>
                <w:bCs w:val="0"/>
                <w:sz w:val="16"/>
                <w:szCs w:val="16"/>
              </w:rPr>
              <w:lastRenderedPageBreak/>
              <w:t xml:space="preserve">The Royal Victorian Eye </w:t>
            </w:r>
            <w:r w:rsidR="006B7F7F">
              <w:rPr>
                <w:b w:val="0"/>
                <w:bCs w:val="0"/>
                <w:sz w:val="16"/>
                <w:szCs w:val="16"/>
              </w:rPr>
              <w:t>a</w:t>
            </w:r>
            <w:r w:rsidRPr="001B759D">
              <w:rPr>
                <w:b w:val="0"/>
                <w:bCs w:val="0"/>
                <w:sz w:val="16"/>
                <w:szCs w:val="16"/>
              </w:rPr>
              <w:t>nd Ear Hospital</w:t>
            </w:r>
          </w:p>
        </w:tc>
        <w:tc>
          <w:tcPr>
            <w:tcW w:w="1102" w:type="dxa"/>
            <w:noWrap/>
            <w:vAlign w:val="center"/>
          </w:tcPr>
          <w:p w14:paraId="68302323" w14:textId="39E7FCD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140,022</w:t>
            </w:r>
          </w:p>
        </w:tc>
        <w:tc>
          <w:tcPr>
            <w:tcW w:w="1102" w:type="dxa"/>
            <w:noWrap/>
            <w:vAlign w:val="center"/>
          </w:tcPr>
          <w:p w14:paraId="19C0D374" w14:textId="5FA753E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vAlign w:val="center"/>
          </w:tcPr>
          <w:p w14:paraId="54752F32" w14:textId="3347AC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157CC589" w14:textId="2734E52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6EB2DBAE" w14:textId="257F7EE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5EA283EA" w14:textId="6CF8F297"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1BABA2D1" w14:textId="13DBF9F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23</w:t>
            </w:r>
          </w:p>
        </w:tc>
        <w:tc>
          <w:tcPr>
            <w:tcW w:w="1134" w:type="dxa"/>
            <w:noWrap/>
            <w:vAlign w:val="center"/>
          </w:tcPr>
          <w:p w14:paraId="2291FA9A" w14:textId="7910FFC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140,045</w:t>
            </w:r>
          </w:p>
        </w:tc>
      </w:tr>
      <w:tr w:rsidR="00DD0145" w:rsidRPr="00BF0CAC" w14:paraId="5D7DE663" w14:textId="77777777" w:rsidTr="00AB24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tcPr>
          <w:p w14:paraId="3AFD260E" w14:textId="482B149C" w:rsidR="001D6375" w:rsidRPr="001B759D" w:rsidRDefault="001D6375" w:rsidP="001D6375">
            <w:pPr>
              <w:pStyle w:val="Tabletext8pt"/>
              <w:rPr>
                <w:rFonts w:cs="Arial"/>
                <w:b w:val="0"/>
                <w:bCs w:val="0"/>
                <w:sz w:val="16"/>
                <w:szCs w:val="16"/>
              </w:rPr>
            </w:pPr>
            <w:r w:rsidRPr="001B759D">
              <w:rPr>
                <w:b w:val="0"/>
                <w:bCs w:val="0"/>
                <w:sz w:val="16"/>
                <w:szCs w:val="16"/>
              </w:rPr>
              <w:t xml:space="preserve">The Royal </w:t>
            </w:r>
            <w:r w:rsidR="006B7F7F" w:rsidRPr="001B759D">
              <w:rPr>
                <w:b w:val="0"/>
                <w:bCs w:val="0"/>
                <w:sz w:val="16"/>
                <w:szCs w:val="16"/>
              </w:rPr>
              <w:t>Women’</w:t>
            </w:r>
            <w:r w:rsidR="006B7F7F" w:rsidRPr="00AB2467">
              <w:rPr>
                <w:b w:val="0"/>
                <w:bCs w:val="0"/>
                <w:sz w:val="16"/>
                <w:szCs w:val="16"/>
              </w:rPr>
              <w:t>s</w:t>
            </w:r>
            <w:r w:rsidRPr="00AB2467">
              <w:rPr>
                <w:b w:val="0"/>
                <w:bCs w:val="0"/>
                <w:sz w:val="16"/>
                <w:szCs w:val="16"/>
              </w:rPr>
              <w:t xml:space="preserve"> </w:t>
            </w:r>
            <w:r w:rsidRPr="001B759D">
              <w:rPr>
                <w:b w:val="0"/>
                <w:bCs w:val="0"/>
                <w:sz w:val="16"/>
                <w:szCs w:val="16"/>
              </w:rPr>
              <w:t>Hospital</w:t>
            </w:r>
          </w:p>
        </w:tc>
        <w:tc>
          <w:tcPr>
            <w:tcW w:w="1102" w:type="dxa"/>
            <w:noWrap/>
            <w:vAlign w:val="center"/>
          </w:tcPr>
          <w:p w14:paraId="1CA9CA38" w14:textId="25631A6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328,750</w:t>
            </w:r>
          </w:p>
        </w:tc>
        <w:tc>
          <w:tcPr>
            <w:tcW w:w="1102" w:type="dxa"/>
            <w:noWrap/>
            <w:vAlign w:val="center"/>
          </w:tcPr>
          <w:p w14:paraId="38BF85BC" w14:textId="692B253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54076AD2" w14:textId="76F67D2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67A4A66" w14:textId="65F8984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1,243</w:t>
            </w:r>
          </w:p>
        </w:tc>
        <w:tc>
          <w:tcPr>
            <w:tcW w:w="1103" w:type="dxa"/>
            <w:noWrap/>
            <w:vAlign w:val="center"/>
          </w:tcPr>
          <w:p w14:paraId="3C85015F" w14:textId="0CF6410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955</w:t>
            </w:r>
          </w:p>
        </w:tc>
        <w:tc>
          <w:tcPr>
            <w:tcW w:w="1103" w:type="dxa"/>
            <w:noWrap/>
            <w:vAlign w:val="center"/>
          </w:tcPr>
          <w:p w14:paraId="55927CF1" w14:textId="5E2A22C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318</w:t>
            </w:r>
          </w:p>
        </w:tc>
        <w:tc>
          <w:tcPr>
            <w:tcW w:w="1103" w:type="dxa"/>
            <w:noWrap/>
            <w:vAlign w:val="center"/>
          </w:tcPr>
          <w:p w14:paraId="6FD004D0" w14:textId="32F9894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noWrap/>
            <w:vAlign w:val="center"/>
          </w:tcPr>
          <w:p w14:paraId="1A55828C" w14:textId="1184253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331,266</w:t>
            </w:r>
          </w:p>
        </w:tc>
      </w:tr>
      <w:tr w:rsidR="001D6375" w:rsidRPr="00BF0CAC" w14:paraId="546B124E" w14:textId="77777777" w:rsidTr="00AB2467">
        <w:trPr>
          <w:trHeight w:val="270"/>
        </w:trPr>
        <w:tc>
          <w:tcPr>
            <w:cnfStyle w:val="001000000000" w:firstRow="0" w:lastRow="0" w:firstColumn="1" w:lastColumn="0" w:oddVBand="0" w:evenVBand="0" w:oddHBand="0" w:evenHBand="0" w:firstRowFirstColumn="0" w:firstRowLastColumn="0" w:lastRowFirstColumn="0" w:lastRowLastColumn="0"/>
            <w:tcW w:w="1531" w:type="dxa"/>
            <w:noWrap/>
            <w:hideMark/>
          </w:tcPr>
          <w:p w14:paraId="41FC4047" w14:textId="1CCE522A" w:rsidR="001D6375" w:rsidRPr="001B759D" w:rsidRDefault="001D6375" w:rsidP="001D6375">
            <w:pPr>
              <w:pStyle w:val="Tabletext8pt"/>
              <w:rPr>
                <w:rFonts w:cs="Arial"/>
                <w:b w:val="0"/>
                <w:bCs w:val="0"/>
                <w:sz w:val="16"/>
                <w:szCs w:val="16"/>
              </w:rPr>
            </w:pPr>
            <w:r w:rsidRPr="001B759D">
              <w:rPr>
                <w:b w:val="0"/>
                <w:bCs w:val="0"/>
                <w:sz w:val="16"/>
                <w:szCs w:val="16"/>
              </w:rPr>
              <w:t>Western Health</w:t>
            </w:r>
          </w:p>
        </w:tc>
        <w:tc>
          <w:tcPr>
            <w:tcW w:w="1102" w:type="dxa"/>
            <w:noWrap/>
            <w:vAlign w:val="center"/>
          </w:tcPr>
          <w:p w14:paraId="053AB53E" w14:textId="13B2699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1,412,365</w:t>
            </w:r>
          </w:p>
        </w:tc>
        <w:tc>
          <w:tcPr>
            <w:tcW w:w="1102" w:type="dxa"/>
            <w:noWrap/>
            <w:vAlign w:val="center"/>
          </w:tcPr>
          <w:p w14:paraId="3847D002" w14:textId="2DDB4E1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2,830</w:t>
            </w:r>
          </w:p>
        </w:tc>
        <w:tc>
          <w:tcPr>
            <w:tcW w:w="1134" w:type="dxa"/>
            <w:vAlign w:val="center"/>
          </w:tcPr>
          <w:p w14:paraId="22ADF06A" w14:textId="1012D4B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603B751" w14:textId="13F3055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20,152</w:t>
            </w:r>
          </w:p>
        </w:tc>
        <w:tc>
          <w:tcPr>
            <w:tcW w:w="1103" w:type="dxa"/>
            <w:noWrap/>
            <w:vAlign w:val="center"/>
          </w:tcPr>
          <w:p w14:paraId="479C690E" w14:textId="6D20F1E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152,530</w:t>
            </w:r>
          </w:p>
        </w:tc>
        <w:tc>
          <w:tcPr>
            <w:tcW w:w="1103" w:type="dxa"/>
            <w:noWrap/>
            <w:vAlign w:val="center"/>
          </w:tcPr>
          <w:p w14:paraId="567714A1" w14:textId="23EC610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4,041</w:t>
            </w:r>
          </w:p>
        </w:tc>
        <w:tc>
          <w:tcPr>
            <w:tcW w:w="1103" w:type="dxa"/>
            <w:noWrap/>
            <w:vAlign w:val="center"/>
          </w:tcPr>
          <w:p w14:paraId="315F3676" w14:textId="3E5392E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6,955</w:t>
            </w:r>
          </w:p>
        </w:tc>
        <w:tc>
          <w:tcPr>
            <w:tcW w:w="1134" w:type="dxa"/>
            <w:noWrap/>
            <w:vAlign w:val="center"/>
          </w:tcPr>
          <w:p w14:paraId="2CB91BC5" w14:textId="5D99C3F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1,598,873</w:t>
            </w:r>
          </w:p>
        </w:tc>
      </w:tr>
      <w:tr w:rsidR="00DD0145" w:rsidRPr="00BF0CAC" w14:paraId="49A3E907"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noWrap/>
            <w:vAlign w:val="bottom"/>
          </w:tcPr>
          <w:p w14:paraId="0339E53E" w14:textId="447965EF" w:rsidR="001D6375" w:rsidRPr="001B759D" w:rsidRDefault="001D6375" w:rsidP="001D6375">
            <w:pPr>
              <w:pStyle w:val="Tabletext8pt"/>
              <w:rPr>
                <w:rFonts w:cs="Arial"/>
                <w:color w:val="000000"/>
                <w:sz w:val="16"/>
                <w:szCs w:val="16"/>
              </w:rPr>
            </w:pPr>
            <w:r w:rsidRPr="001B759D">
              <w:rPr>
                <w:rFonts w:cs="Arial"/>
                <w:b w:val="0"/>
                <w:bCs w:val="0"/>
                <w:color w:val="000000"/>
                <w:sz w:val="16"/>
                <w:szCs w:val="16"/>
              </w:rPr>
              <w:t>Total</w:t>
            </w:r>
          </w:p>
        </w:tc>
        <w:tc>
          <w:tcPr>
            <w:tcW w:w="1102" w:type="dxa"/>
            <w:noWrap/>
            <w:vAlign w:val="center"/>
          </w:tcPr>
          <w:p w14:paraId="5F1C2243" w14:textId="54C7379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16,372,865</w:t>
            </w:r>
          </w:p>
        </w:tc>
        <w:tc>
          <w:tcPr>
            <w:tcW w:w="1102" w:type="dxa"/>
            <w:noWrap/>
            <w:vAlign w:val="center"/>
          </w:tcPr>
          <w:p w14:paraId="555B3AA9" w14:textId="6BC3D5F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94,578</w:t>
            </w:r>
          </w:p>
        </w:tc>
        <w:tc>
          <w:tcPr>
            <w:tcW w:w="1134" w:type="dxa"/>
            <w:vAlign w:val="center"/>
          </w:tcPr>
          <w:p w14:paraId="27E63977" w14:textId="04DA10A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077" w:type="dxa"/>
            <w:noWrap/>
            <w:vAlign w:val="center"/>
          </w:tcPr>
          <w:p w14:paraId="46375C6D" w14:textId="3CBE21F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85,249</w:t>
            </w:r>
          </w:p>
        </w:tc>
        <w:tc>
          <w:tcPr>
            <w:tcW w:w="1103" w:type="dxa"/>
            <w:noWrap/>
            <w:vAlign w:val="center"/>
          </w:tcPr>
          <w:p w14:paraId="54E1A567" w14:textId="2FFA1B5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2,196,992</w:t>
            </w:r>
          </w:p>
        </w:tc>
        <w:tc>
          <w:tcPr>
            <w:tcW w:w="1103" w:type="dxa"/>
            <w:noWrap/>
            <w:vAlign w:val="center"/>
          </w:tcPr>
          <w:p w14:paraId="6F933828" w14:textId="79805B6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61,784</w:t>
            </w:r>
          </w:p>
        </w:tc>
        <w:tc>
          <w:tcPr>
            <w:tcW w:w="1103" w:type="dxa"/>
            <w:noWrap/>
            <w:vAlign w:val="center"/>
          </w:tcPr>
          <w:p w14:paraId="7DDE4B44" w14:textId="4C3F912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75,795</w:t>
            </w:r>
          </w:p>
        </w:tc>
        <w:tc>
          <w:tcPr>
            <w:tcW w:w="1134" w:type="dxa"/>
            <w:noWrap/>
            <w:vAlign w:val="center"/>
          </w:tcPr>
          <w:p w14:paraId="53FA6FE8" w14:textId="13E98F8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18,888,571</w:t>
            </w:r>
          </w:p>
        </w:tc>
      </w:tr>
    </w:tbl>
    <w:p w14:paraId="59DE52D0" w14:textId="0F61AF45" w:rsidR="005B699B" w:rsidRPr="00C73589" w:rsidRDefault="005B699B" w:rsidP="00AB2467">
      <w:pPr>
        <w:pStyle w:val="Bodyafterfiguretable"/>
        <w:ind w:hanging="426"/>
      </w:pPr>
      <w:r>
        <w:t>Subregional and local – $’000s</w:t>
      </w:r>
    </w:p>
    <w:tbl>
      <w:tblPr>
        <w:tblStyle w:val="GridTable4-Accent1"/>
        <w:tblW w:w="10507" w:type="dxa"/>
        <w:tblInd w:w="-572" w:type="dxa"/>
        <w:tblLayout w:type="fixed"/>
        <w:tblLook w:val="04A0" w:firstRow="1" w:lastRow="0" w:firstColumn="1" w:lastColumn="0" w:noHBand="0" w:noVBand="1"/>
      </w:tblPr>
      <w:tblGrid>
        <w:gridCol w:w="1560"/>
        <w:gridCol w:w="1118"/>
        <w:gridCol w:w="1119"/>
        <w:gridCol w:w="1118"/>
        <w:gridCol w:w="1118"/>
        <w:gridCol w:w="1119"/>
        <w:gridCol w:w="1118"/>
        <w:gridCol w:w="1118"/>
        <w:gridCol w:w="1119"/>
      </w:tblGrid>
      <w:tr w:rsidR="00CC02E9" w:rsidRPr="00BF0CAC" w14:paraId="2DBC173C" w14:textId="77777777" w:rsidTr="005C5683">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7B5B4A31" w14:textId="23E153F1" w:rsidR="00462DC7" w:rsidRPr="005D7D2C" w:rsidRDefault="00462DC7" w:rsidP="00473B41">
            <w:pPr>
              <w:pStyle w:val="Tablecolhead8pt"/>
              <w:rPr>
                <w:b/>
                <w:bCs w:val="0"/>
                <w:color w:val="FFFFFF" w:themeColor="background1"/>
                <w:sz w:val="16"/>
              </w:rPr>
            </w:pPr>
            <w:r w:rsidRPr="005D7D2C">
              <w:rPr>
                <w:b/>
                <w:bCs w:val="0"/>
                <w:color w:val="FFFFFF" w:themeColor="background1"/>
                <w:sz w:val="16"/>
              </w:rPr>
              <w:t xml:space="preserve">Health </w:t>
            </w:r>
            <w:r w:rsidR="002A3E82" w:rsidRPr="005D7D2C">
              <w:rPr>
                <w:b/>
                <w:bCs w:val="0"/>
                <w:color w:val="FFFFFF" w:themeColor="background1"/>
                <w:sz w:val="16"/>
              </w:rPr>
              <w:t>service</w:t>
            </w:r>
          </w:p>
        </w:tc>
        <w:tc>
          <w:tcPr>
            <w:tcW w:w="1118" w:type="dxa"/>
            <w:hideMark/>
          </w:tcPr>
          <w:p w14:paraId="783A240C" w14:textId="165E017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Acute health services</w:t>
            </w:r>
          </w:p>
        </w:tc>
        <w:tc>
          <w:tcPr>
            <w:tcW w:w="1119" w:type="dxa"/>
            <w:hideMark/>
          </w:tcPr>
          <w:p w14:paraId="6985D013" w14:textId="2F6B25E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Ageing, aged and home care</w:t>
            </w:r>
          </w:p>
        </w:tc>
        <w:tc>
          <w:tcPr>
            <w:tcW w:w="1118" w:type="dxa"/>
          </w:tcPr>
          <w:p w14:paraId="01028E0B" w14:textId="3C9A939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Ambulance services</w:t>
            </w:r>
          </w:p>
        </w:tc>
        <w:tc>
          <w:tcPr>
            <w:tcW w:w="1118" w:type="dxa"/>
            <w:hideMark/>
          </w:tcPr>
          <w:p w14:paraId="4D8C6283" w14:textId="4224C66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Drugs services</w:t>
            </w:r>
          </w:p>
        </w:tc>
        <w:tc>
          <w:tcPr>
            <w:tcW w:w="1119" w:type="dxa"/>
            <w:hideMark/>
          </w:tcPr>
          <w:p w14:paraId="1DAC0DDD" w14:textId="17DCF6ED"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Mental health</w:t>
            </w:r>
          </w:p>
        </w:tc>
        <w:tc>
          <w:tcPr>
            <w:tcW w:w="1118" w:type="dxa"/>
            <w:hideMark/>
          </w:tcPr>
          <w:p w14:paraId="6C9C9BB1" w14:textId="12F9B14D"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Primary and dental health</w:t>
            </w:r>
          </w:p>
        </w:tc>
        <w:tc>
          <w:tcPr>
            <w:tcW w:w="1118" w:type="dxa"/>
            <w:hideMark/>
          </w:tcPr>
          <w:p w14:paraId="4F0DCF49" w14:textId="10138A3A"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Public health</w:t>
            </w:r>
          </w:p>
        </w:tc>
        <w:tc>
          <w:tcPr>
            <w:tcW w:w="1119" w:type="dxa"/>
            <w:hideMark/>
          </w:tcPr>
          <w:p w14:paraId="5FD5F244" w14:textId="58AA8FD6"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Total</w:t>
            </w:r>
          </w:p>
        </w:tc>
      </w:tr>
      <w:tr w:rsidR="00CC02E9" w:rsidRPr="00BF0CAC" w14:paraId="572364DD"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3D42E4B" w14:textId="583D9622" w:rsidR="000B6E14" w:rsidRPr="00C63162" w:rsidRDefault="000B6E14" w:rsidP="000B6E14">
            <w:pPr>
              <w:pStyle w:val="Tabletext8pt"/>
              <w:rPr>
                <w:rFonts w:eastAsia="Times New Roman"/>
                <w:b w:val="0"/>
                <w:sz w:val="16"/>
              </w:rPr>
            </w:pPr>
            <w:r w:rsidRPr="001B759D">
              <w:rPr>
                <w:b w:val="0"/>
                <w:bCs w:val="0"/>
                <w:sz w:val="16"/>
                <w:szCs w:val="16"/>
              </w:rPr>
              <w:t>Bairnsdale Regional Health Service</w:t>
            </w:r>
          </w:p>
        </w:tc>
        <w:tc>
          <w:tcPr>
            <w:tcW w:w="1118" w:type="dxa"/>
            <w:noWrap/>
            <w:vAlign w:val="center"/>
          </w:tcPr>
          <w:p w14:paraId="1E00B064" w14:textId="218ADAA8"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122,213</w:t>
            </w:r>
          </w:p>
        </w:tc>
        <w:tc>
          <w:tcPr>
            <w:tcW w:w="1119" w:type="dxa"/>
            <w:noWrap/>
            <w:vAlign w:val="center"/>
          </w:tcPr>
          <w:p w14:paraId="1B7BA833" w14:textId="18EB567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1,590</w:t>
            </w:r>
          </w:p>
        </w:tc>
        <w:tc>
          <w:tcPr>
            <w:tcW w:w="1118" w:type="dxa"/>
            <w:vAlign w:val="center"/>
          </w:tcPr>
          <w:p w14:paraId="1A063D2E" w14:textId="3EE5A26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1F06505" w14:textId="6E75AE8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658</w:t>
            </w:r>
          </w:p>
        </w:tc>
        <w:tc>
          <w:tcPr>
            <w:tcW w:w="1119" w:type="dxa"/>
            <w:noWrap/>
            <w:vAlign w:val="center"/>
          </w:tcPr>
          <w:p w14:paraId="2E606F5F" w14:textId="6442F0D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449D6169" w14:textId="33B6694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162</w:t>
            </w:r>
          </w:p>
        </w:tc>
        <w:tc>
          <w:tcPr>
            <w:tcW w:w="1118" w:type="dxa"/>
            <w:noWrap/>
            <w:vAlign w:val="center"/>
          </w:tcPr>
          <w:p w14:paraId="64AEC113" w14:textId="10BA0CC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F31DE21" w14:textId="79F55BC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124,623</w:t>
            </w:r>
          </w:p>
        </w:tc>
      </w:tr>
      <w:tr w:rsidR="000B6E14" w:rsidRPr="00BF0CAC" w14:paraId="49FBDDDA"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3E15A11" w14:textId="6F56FC4D" w:rsidR="000B6E14" w:rsidRPr="00C63162" w:rsidRDefault="000B6E14" w:rsidP="000B6E14">
            <w:pPr>
              <w:pStyle w:val="Tabletext8pt"/>
              <w:rPr>
                <w:rFonts w:eastAsia="Times New Roman"/>
                <w:b w:val="0"/>
                <w:sz w:val="16"/>
              </w:rPr>
            </w:pPr>
            <w:r w:rsidRPr="001B759D">
              <w:rPr>
                <w:b w:val="0"/>
                <w:bCs w:val="0"/>
                <w:sz w:val="16"/>
                <w:szCs w:val="16"/>
              </w:rPr>
              <w:t>Bass Coast Health</w:t>
            </w:r>
          </w:p>
        </w:tc>
        <w:tc>
          <w:tcPr>
            <w:tcW w:w="1118" w:type="dxa"/>
            <w:noWrap/>
            <w:vAlign w:val="center"/>
          </w:tcPr>
          <w:p w14:paraId="7748E13D" w14:textId="771A12E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139,889</w:t>
            </w:r>
          </w:p>
        </w:tc>
        <w:tc>
          <w:tcPr>
            <w:tcW w:w="1119" w:type="dxa"/>
            <w:noWrap/>
            <w:vAlign w:val="center"/>
          </w:tcPr>
          <w:p w14:paraId="41F5E1AA" w14:textId="4E02548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1,968</w:t>
            </w:r>
          </w:p>
        </w:tc>
        <w:tc>
          <w:tcPr>
            <w:tcW w:w="1118" w:type="dxa"/>
            <w:vAlign w:val="center"/>
          </w:tcPr>
          <w:p w14:paraId="0AC605E4" w14:textId="343DF99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0DEFE05" w14:textId="142ADB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w:t>
            </w:r>
          </w:p>
        </w:tc>
        <w:tc>
          <w:tcPr>
            <w:tcW w:w="1119" w:type="dxa"/>
            <w:noWrap/>
            <w:vAlign w:val="center"/>
          </w:tcPr>
          <w:p w14:paraId="55C3AF53" w14:textId="5F6CB8C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F29F51E" w14:textId="4B45535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2,509</w:t>
            </w:r>
          </w:p>
        </w:tc>
        <w:tc>
          <w:tcPr>
            <w:tcW w:w="1118" w:type="dxa"/>
            <w:noWrap/>
            <w:vAlign w:val="center"/>
          </w:tcPr>
          <w:p w14:paraId="17AD644E" w14:textId="57D2108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71EDC718" w14:textId="06D080D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144,419</w:t>
            </w:r>
          </w:p>
        </w:tc>
      </w:tr>
      <w:tr w:rsidR="00CC02E9" w:rsidRPr="00BF0CAC" w14:paraId="7DC2D7FF"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7AD108" w14:textId="60BB305A" w:rsidR="000B6E14" w:rsidRPr="00C63162" w:rsidRDefault="000B6E14" w:rsidP="000B6E14">
            <w:pPr>
              <w:pStyle w:val="Tabletext8pt"/>
              <w:rPr>
                <w:rFonts w:eastAsia="Times New Roman"/>
                <w:b w:val="0"/>
                <w:sz w:val="16"/>
              </w:rPr>
            </w:pPr>
            <w:r w:rsidRPr="001B759D">
              <w:rPr>
                <w:b w:val="0"/>
                <w:bCs w:val="0"/>
                <w:sz w:val="16"/>
                <w:szCs w:val="16"/>
              </w:rPr>
              <w:t>Benalla Health</w:t>
            </w:r>
          </w:p>
        </w:tc>
        <w:tc>
          <w:tcPr>
            <w:tcW w:w="1118" w:type="dxa"/>
            <w:noWrap/>
            <w:vAlign w:val="center"/>
          </w:tcPr>
          <w:p w14:paraId="28B1FBC5" w14:textId="083AD62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27,558</w:t>
            </w:r>
          </w:p>
        </w:tc>
        <w:tc>
          <w:tcPr>
            <w:tcW w:w="1119" w:type="dxa"/>
            <w:noWrap/>
            <w:vAlign w:val="center"/>
          </w:tcPr>
          <w:p w14:paraId="4F148291" w14:textId="54352C8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1,345</w:t>
            </w:r>
          </w:p>
        </w:tc>
        <w:tc>
          <w:tcPr>
            <w:tcW w:w="1118" w:type="dxa"/>
            <w:vAlign w:val="center"/>
          </w:tcPr>
          <w:p w14:paraId="227C527C" w14:textId="1E1CA16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0E1D1E3" w14:textId="7365A94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523DC9CE" w14:textId="097BF4A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773C399" w14:textId="16FA9CB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1,306</w:t>
            </w:r>
          </w:p>
        </w:tc>
        <w:tc>
          <w:tcPr>
            <w:tcW w:w="1118" w:type="dxa"/>
            <w:noWrap/>
            <w:vAlign w:val="center"/>
          </w:tcPr>
          <w:p w14:paraId="1F237D4E" w14:textId="0438796C"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2F8AE012" w14:textId="275A4E7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30,209</w:t>
            </w:r>
          </w:p>
        </w:tc>
      </w:tr>
      <w:tr w:rsidR="000B6E14" w:rsidRPr="00BF0CAC" w14:paraId="5FC747F1"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6E53A16" w14:textId="4E80804C" w:rsidR="000B6E14" w:rsidRPr="00C63162" w:rsidRDefault="000B6E14" w:rsidP="000B6E14">
            <w:pPr>
              <w:pStyle w:val="Tabletext8pt"/>
              <w:rPr>
                <w:rFonts w:eastAsia="Times New Roman"/>
                <w:b w:val="0"/>
                <w:sz w:val="16"/>
              </w:rPr>
            </w:pPr>
            <w:r w:rsidRPr="001B759D">
              <w:rPr>
                <w:b w:val="0"/>
                <w:bCs w:val="0"/>
                <w:sz w:val="16"/>
                <w:szCs w:val="16"/>
              </w:rPr>
              <w:t>Central Gippsland Health Service</w:t>
            </w:r>
          </w:p>
        </w:tc>
        <w:tc>
          <w:tcPr>
            <w:tcW w:w="1118" w:type="dxa"/>
            <w:noWrap/>
            <w:vAlign w:val="center"/>
          </w:tcPr>
          <w:p w14:paraId="12F23FED" w14:textId="32C6BA6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85,699</w:t>
            </w:r>
          </w:p>
        </w:tc>
        <w:tc>
          <w:tcPr>
            <w:tcW w:w="1119" w:type="dxa"/>
            <w:noWrap/>
            <w:vAlign w:val="center"/>
          </w:tcPr>
          <w:p w14:paraId="728B2A15" w14:textId="275A922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3,880</w:t>
            </w:r>
          </w:p>
        </w:tc>
        <w:tc>
          <w:tcPr>
            <w:tcW w:w="1118" w:type="dxa"/>
            <w:vAlign w:val="center"/>
          </w:tcPr>
          <w:p w14:paraId="661970CE" w14:textId="6414129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5FDA504D" w14:textId="5C433DA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652</w:t>
            </w:r>
          </w:p>
        </w:tc>
        <w:tc>
          <w:tcPr>
            <w:tcW w:w="1119" w:type="dxa"/>
            <w:noWrap/>
            <w:vAlign w:val="center"/>
          </w:tcPr>
          <w:p w14:paraId="554790BC" w14:textId="779F163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35885251" w14:textId="1AA0EE8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2,065</w:t>
            </w:r>
          </w:p>
        </w:tc>
        <w:tc>
          <w:tcPr>
            <w:tcW w:w="1118" w:type="dxa"/>
            <w:noWrap/>
            <w:vAlign w:val="center"/>
          </w:tcPr>
          <w:p w14:paraId="49CAB4FB" w14:textId="3171BC9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008DECEF" w14:textId="0397F30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92,295</w:t>
            </w:r>
          </w:p>
        </w:tc>
      </w:tr>
      <w:tr w:rsidR="00CC02E9" w:rsidRPr="00BF0CAC" w14:paraId="7A29FE17"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1FCE73" w14:textId="3143154E" w:rsidR="000B6E14" w:rsidRPr="00C63162" w:rsidRDefault="000B6E14" w:rsidP="000B6E14">
            <w:pPr>
              <w:pStyle w:val="Tabletext8pt"/>
              <w:rPr>
                <w:rFonts w:eastAsia="Times New Roman"/>
                <w:b w:val="0"/>
                <w:sz w:val="16"/>
              </w:rPr>
            </w:pPr>
            <w:r w:rsidRPr="001B759D">
              <w:rPr>
                <w:b w:val="0"/>
                <w:bCs w:val="0"/>
                <w:sz w:val="16"/>
                <w:szCs w:val="16"/>
              </w:rPr>
              <w:t>Colac Area Health</w:t>
            </w:r>
          </w:p>
        </w:tc>
        <w:tc>
          <w:tcPr>
            <w:tcW w:w="1118" w:type="dxa"/>
            <w:noWrap/>
            <w:vAlign w:val="center"/>
          </w:tcPr>
          <w:p w14:paraId="0E401EA5" w14:textId="7595322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48,408</w:t>
            </w:r>
          </w:p>
        </w:tc>
        <w:tc>
          <w:tcPr>
            <w:tcW w:w="1119" w:type="dxa"/>
            <w:noWrap/>
            <w:vAlign w:val="center"/>
          </w:tcPr>
          <w:p w14:paraId="4CE46600" w14:textId="77B182F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2,505</w:t>
            </w:r>
          </w:p>
        </w:tc>
        <w:tc>
          <w:tcPr>
            <w:tcW w:w="1118" w:type="dxa"/>
            <w:vAlign w:val="center"/>
          </w:tcPr>
          <w:p w14:paraId="032DDEF3" w14:textId="6BE2017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129E178" w14:textId="6FFB241C"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w:t>
            </w:r>
          </w:p>
        </w:tc>
        <w:tc>
          <w:tcPr>
            <w:tcW w:w="1119" w:type="dxa"/>
            <w:noWrap/>
            <w:vAlign w:val="center"/>
          </w:tcPr>
          <w:p w14:paraId="6EBB9FC4" w14:textId="362B474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EED270D" w14:textId="10A53E4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709</w:t>
            </w:r>
          </w:p>
        </w:tc>
        <w:tc>
          <w:tcPr>
            <w:tcW w:w="1118" w:type="dxa"/>
            <w:noWrap/>
            <w:vAlign w:val="center"/>
          </w:tcPr>
          <w:p w14:paraId="5AFFF982" w14:textId="4664DBB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2913DDA0" w14:textId="2E53309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51,632</w:t>
            </w:r>
          </w:p>
        </w:tc>
      </w:tr>
      <w:tr w:rsidR="000B6E14" w:rsidRPr="00BF0CAC" w14:paraId="2D206743"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805B6AF" w14:textId="487BE1ED" w:rsidR="000B6E14" w:rsidRPr="00C63162" w:rsidRDefault="000B6E14" w:rsidP="000B6E14">
            <w:pPr>
              <w:pStyle w:val="Tabletext8pt"/>
              <w:rPr>
                <w:rFonts w:eastAsia="Times New Roman"/>
                <w:b w:val="0"/>
                <w:sz w:val="16"/>
              </w:rPr>
            </w:pPr>
            <w:r w:rsidRPr="001B759D">
              <w:rPr>
                <w:b w:val="0"/>
                <w:bCs w:val="0"/>
                <w:sz w:val="16"/>
                <w:szCs w:val="16"/>
              </w:rPr>
              <w:t>Dhelkaya Health</w:t>
            </w:r>
          </w:p>
        </w:tc>
        <w:tc>
          <w:tcPr>
            <w:tcW w:w="1118" w:type="dxa"/>
            <w:noWrap/>
            <w:vAlign w:val="center"/>
          </w:tcPr>
          <w:p w14:paraId="4E3E3B01" w14:textId="53972F7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53,741</w:t>
            </w:r>
          </w:p>
        </w:tc>
        <w:tc>
          <w:tcPr>
            <w:tcW w:w="1119" w:type="dxa"/>
            <w:noWrap/>
            <w:vAlign w:val="center"/>
          </w:tcPr>
          <w:p w14:paraId="446A70A0" w14:textId="71CAA2A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4,199</w:t>
            </w:r>
          </w:p>
        </w:tc>
        <w:tc>
          <w:tcPr>
            <w:tcW w:w="1118" w:type="dxa"/>
            <w:vAlign w:val="center"/>
          </w:tcPr>
          <w:p w14:paraId="7ED0E574" w14:textId="74DCED1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26F8D1B" w14:textId="7A24E7C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4C851CA0" w14:textId="5BC39B2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9A7FB78" w14:textId="56C9395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988</w:t>
            </w:r>
          </w:p>
        </w:tc>
        <w:tc>
          <w:tcPr>
            <w:tcW w:w="1118" w:type="dxa"/>
            <w:noWrap/>
            <w:vAlign w:val="center"/>
          </w:tcPr>
          <w:p w14:paraId="2C67002A" w14:textId="6CFE433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067E0F5F" w14:textId="6F87F71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58,928</w:t>
            </w:r>
          </w:p>
        </w:tc>
      </w:tr>
      <w:tr w:rsidR="00CC02E9" w:rsidRPr="00BF0CAC" w14:paraId="4144694F"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F262E36" w14:textId="18AE5FBE" w:rsidR="000B6E14" w:rsidRPr="00C63162" w:rsidRDefault="000B6E14" w:rsidP="000B6E14">
            <w:pPr>
              <w:pStyle w:val="Tabletext8pt"/>
              <w:rPr>
                <w:rFonts w:eastAsia="Times New Roman"/>
                <w:b w:val="0"/>
                <w:sz w:val="16"/>
              </w:rPr>
            </w:pPr>
            <w:r w:rsidRPr="001B759D">
              <w:rPr>
                <w:b w:val="0"/>
                <w:bCs w:val="0"/>
                <w:sz w:val="16"/>
                <w:szCs w:val="16"/>
              </w:rPr>
              <w:t>East Grampians Health Service</w:t>
            </w:r>
          </w:p>
        </w:tc>
        <w:tc>
          <w:tcPr>
            <w:tcW w:w="1118" w:type="dxa"/>
            <w:noWrap/>
            <w:vAlign w:val="center"/>
          </w:tcPr>
          <w:p w14:paraId="06C7A24A" w14:textId="3C8B8EE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44,286</w:t>
            </w:r>
          </w:p>
        </w:tc>
        <w:tc>
          <w:tcPr>
            <w:tcW w:w="1119" w:type="dxa"/>
            <w:noWrap/>
            <w:vAlign w:val="center"/>
          </w:tcPr>
          <w:p w14:paraId="33A9AE1A" w14:textId="165D5F8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1,952</w:t>
            </w:r>
          </w:p>
        </w:tc>
        <w:tc>
          <w:tcPr>
            <w:tcW w:w="1118" w:type="dxa"/>
            <w:vAlign w:val="center"/>
          </w:tcPr>
          <w:p w14:paraId="3755ADB0" w14:textId="7BCBE3A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0F88DE49" w14:textId="1A103B9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0C44AE6" w14:textId="56C68CB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557A0BC1" w14:textId="1725C44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962</w:t>
            </w:r>
          </w:p>
        </w:tc>
        <w:tc>
          <w:tcPr>
            <w:tcW w:w="1118" w:type="dxa"/>
            <w:noWrap/>
            <w:vAlign w:val="center"/>
          </w:tcPr>
          <w:p w14:paraId="4621DFC7" w14:textId="15FE5E25"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C92A804" w14:textId="2DC4D55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47,201</w:t>
            </w:r>
          </w:p>
        </w:tc>
      </w:tr>
      <w:tr w:rsidR="000B6E14" w:rsidRPr="00BF0CAC" w14:paraId="66CDF222"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888DCF4" w14:textId="44218C16" w:rsidR="000B6E14" w:rsidRPr="00C63162" w:rsidRDefault="000B6E14" w:rsidP="000B6E14">
            <w:pPr>
              <w:pStyle w:val="Tabletext8pt"/>
              <w:rPr>
                <w:rFonts w:eastAsia="Times New Roman"/>
                <w:b w:val="0"/>
                <w:sz w:val="16"/>
              </w:rPr>
            </w:pPr>
            <w:r w:rsidRPr="001B759D">
              <w:rPr>
                <w:b w:val="0"/>
                <w:bCs w:val="0"/>
                <w:sz w:val="16"/>
                <w:szCs w:val="16"/>
              </w:rPr>
              <w:t>Echuca Regional Health</w:t>
            </w:r>
          </w:p>
        </w:tc>
        <w:tc>
          <w:tcPr>
            <w:tcW w:w="1118" w:type="dxa"/>
            <w:noWrap/>
            <w:vAlign w:val="center"/>
          </w:tcPr>
          <w:p w14:paraId="35917401" w14:textId="0AC6CE7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121,072</w:t>
            </w:r>
          </w:p>
        </w:tc>
        <w:tc>
          <w:tcPr>
            <w:tcW w:w="1119" w:type="dxa"/>
            <w:noWrap/>
            <w:vAlign w:val="center"/>
          </w:tcPr>
          <w:p w14:paraId="281C0B7A" w14:textId="00D5E30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2,247</w:t>
            </w:r>
          </w:p>
        </w:tc>
        <w:tc>
          <w:tcPr>
            <w:tcW w:w="1118" w:type="dxa"/>
            <w:vAlign w:val="center"/>
          </w:tcPr>
          <w:p w14:paraId="75EF7DFB" w14:textId="3B74091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56F11B3D" w14:textId="192A797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258</w:t>
            </w:r>
          </w:p>
        </w:tc>
        <w:tc>
          <w:tcPr>
            <w:tcW w:w="1119" w:type="dxa"/>
            <w:noWrap/>
            <w:vAlign w:val="center"/>
          </w:tcPr>
          <w:p w14:paraId="7AAEDDC8" w14:textId="55A82CA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17F2DB4" w14:textId="0D81C92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1,094</w:t>
            </w:r>
          </w:p>
        </w:tc>
        <w:tc>
          <w:tcPr>
            <w:tcW w:w="1118" w:type="dxa"/>
            <w:noWrap/>
            <w:vAlign w:val="center"/>
          </w:tcPr>
          <w:p w14:paraId="27092989" w14:textId="50C711C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258B29C3" w14:textId="1518C1F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124,670</w:t>
            </w:r>
          </w:p>
        </w:tc>
      </w:tr>
      <w:tr w:rsidR="00CC02E9" w:rsidRPr="00BF0CAC" w14:paraId="03FCFF46"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5CEE975" w14:textId="7842047C" w:rsidR="000B6E14" w:rsidRPr="00C63162" w:rsidRDefault="000B6E14" w:rsidP="000B6E14">
            <w:pPr>
              <w:pStyle w:val="Tabletext8pt"/>
              <w:rPr>
                <w:rFonts w:eastAsia="Times New Roman"/>
                <w:b w:val="0"/>
                <w:sz w:val="16"/>
              </w:rPr>
            </w:pPr>
            <w:r w:rsidRPr="001B759D">
              <w:rPr>
                <w:b w:val="0"/>
                <w:bCs w:val="0"/>
                <w:sz w:val="16"/>
                <w:szCs w:val="16"/>
              </w:rPr>
              <w:t>Gippsland Southern Health Service</w:t>
            </w:r>
          </w:p>
        </w:tc>
        <w:tc>
          <w:tcPr>
            <w:tcW w:w="1118" w:type="dxa"/>
            <w:noWrap/>
            <w:vAlign w:val="center"/>
          </w:tcPr>
          <w:p w14:paraId="6DDEDE94" w14:textId="17B30F7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32,297</w:t>
            </w:r>
          </w:p>
        </w:tc>
        <w:tc>
          <w:tcPr>
            <w:tcW w:w="1119" w:type="dxa"/>
            <w:noWrap/>
            <w:vAlign w:val="center"/>
          </w:tcPr>
          <w:p w14:paraId="1A0DD2FF" w14:textId="4B65435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2,704</w:t>
            </w:r>
          </w:p>
        </w:tc>
        <w:tc>
          <w:tcPr>
            <w:tcW w:w="1118" w:type="dxa"/>
            <w:vAlign w:val="center"/>
          </w:tcPr>
          <w:p w14:paraId="2211D806" w14:textId="7845410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1F644499" w14:textId="06D524C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244</w:t>
            </w:r>
          </w:p>
        </w:tc>
        <w:tc>
          <w:tcPr>
            <w:tcW w:w="1119" w:type="dxa"/>
            <w:noWrap/>
            <w:vAlign w:val="center"/>
          </w:tcPr>
          <w:p w14:paraId="64A871C1" w14:textId="0708140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D20E097" w14:textId="39F13E7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452</w:t>
            </w:r>
          </w:p>
        </w:tc>
        <w:tc>
          <w:tcPr>
            <w:tcW w:w="1118" w:type="dxa"/>
            <w:noWrap/>
            <w:vAlign w:val="center"/>
          </w:tcPr>
          <w:p w14:paraId="6154D4C6" w14:textId="294777B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E739A8E" w14:textId="76F60FF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35,697</w:t>
            </w:r>
          </w:p>
        </w:tc>
      </w:tr>
      <w:tr w:rsidR="000B6E14" w:rsidRPr="00BF0CAC" w14:paraId="62B2AD03"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BD9D110" w14:textId="58CFE53A" w:rsidR="000B6E14" w:rsidRPr="00C63162" w:rsidRDefault="000B6E14" w:rsidP="000B6E14">
            <w:pPr>
              <w:pStyle w:val="Tabletext8pt"/>
              <w:rPr>
                <w:rFonts w:eastAsia="Times New Roman"/>
                <w:b w:val="0"/>
                <w:sz w:val="16"/>
              </w:rPr>
            </w:pPr>
            <w:r w:rsidRPr="001B759D">
              <w:rPr>
                <w:b w:val="0"/>
                <w:bCs w:val="0"/>
                <w:sz w:val="16"/>
                <w:szCs w:val="16"/>
              </w:rPr>
              <w:t>Kyabram District Health Service</w:t>
            </w:r>
          </w:p>
        </w:tc>
        <w:tc>
          <w:tcPr>
            <w:tcW w:w="1118" w:type="dxa"/>
            <w:noWrap/>
            <w:vAlign w:val="center"/>
          </w:tcPr>
          <w:p w14:paraId="0E3601DF" w14:textId="3A99C234"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22,572</w:t>
            </w:r>
          </w:p>
        </w:tc>
        <w:tc>
          <w:tcPr>
            <w:tcW w:w="1119" w:type="dxa"/>
            <w:noWrap/>
            <w:vAlign w:val="center"/>
          </w:tcPr>
          <w:p w14:paraId="48F27E2F" w14:textId="37BC2074"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1,591</w:t>
            </w:r>
          </w:p>
        </w:tc>
        <w:tc>
          <w:tcPr>
            <w:tcW w:w="1118" w:type="dxa"/>
            <w:vAlign w:val="center"/>
          </w:tcPr>
          <w:p w14:paraId="1621B397" w14:textId="7262A8B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9DFB76E" w14:textId="7281A34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368CAF15" w14:textId="5CBA4F5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E259457" w14:textId="4735DAA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1,293</w:t>
            </w:r>
          </w:p>
        </w:tc>
        <w:tc>
          <w:tcPr>
            <w:tcW w:w="1118" w:type="dxa"/>
            <w:noWrap/>
            <w:vAlign w:val="center"/>
          </w:tcPr>
          <w:p w14:paraId="12B8B409" w14:textId="7153211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52DF7C5C" w14:textId="7811402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25,456</w:t>
            </w:r>
          </w:p>
        </w:tc>
      </w:tr>
      <w:tr w:rsidR="00CC02E9" w:rsidRPr="00BF0CAC" w14:paraId="23E17A49"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A432E3" w14:textId="48D821EA" w:rsidR="000B6E14" w:rsidRPr="00C63162" w:rsidRDefault="000B6E14" w:rsidP="000B6E14">
            <w:pPr>
              <w:pStyle w:val="Tabletext8pt"/>
              <w:rPr>
                <w:rFonts w:eastAsia="Times New Roman"/>
                <w:b w:val="0"/>
                <w:sz w:val="16"/>
              </w:rPr>
            </w:pPr>
            <w:r w:rsidRPr="001B759D">
              <w:rPr>
                <w:b w:val="0"/>
                <w:bCs w:val="0"/>
                <w:sz w:val="16"/>
                <w:szCs w:val="16"/>
              </w:rPr>
              <w:t>Maryborough District Health Service</w:t>
            </w:r>
          </w:p>
        </w:tc>
        <w:tc>
          <w:tcPr>
            <w:tcW w:w="1118" w:type="dxa"/>
            <w:noWrap/>
            <w:vAlign w:val="center"/>
          </w:tcPr>
          <w:p w14:paraId="654136C2" w14:textId="2699FBE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38,324</w:t>
            </w:r>
          </w:p>
        </w:tc>
        <w:tc>
          <w:tcPr>
            <w:tcW w:w="1119" w:type="dxa"/>
            <w:noWrap/>
            <w:vAlign w:val="center"/>
          </w:tcPr>
          <w:p w14:paraId="11DE99E7" w14:textId="7C629ED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2,892</w:t>
            </w:r>
          </w:p>
        </w:tc>
        <w:tc>
          <w:tcPr>
            <w:tcW w:w="1118" w:type="dxa"/>
            <w:vAlign w:val="center"/>
          </w:tcPr>
          <w:p w14:paraId="78D84BE4" w14:textId="0CA104B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3C2FC33" w14:textId="2EABB73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A51FCBC" w14:textId="5F67DD9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0659615D" w14:textId="6E74A5F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841</w:t>
            </w:r>
          </w:p>
        </w:tc>
        <w:tc>
          <w:tcPr>
            <w:tcW w:w="1118" w:type="dxa"/>
            <w:noWrap/>
            <w:vAlign w:val="center"/>
          </w:tcPr>
          <w:p w14:paraId="2DF8CE94" w14:textId="338D973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3D19DA88" w14:textId="0C0F414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42,057</w:t>
            </w:r>
          </w:p>
        </w:tc>
      </w:tr>
      <w:tr w:rsidR="000B6E14" w:rsidRPr="00BF0CAC" w14:paraId="136DCEE7"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C1D050F" w14:textId="40473CB2" w:rsidR="000B6E14" w:rsidRPr="00C63162" w:rsidRDefault="000B6E14" w:rsidP="000B6E14">
            <w:pPr>
              <w:pStyle w:val="Tabletext8pt"/>
              <w:rPr>
                <w:rFonts w:eastAsia="Times New Roman"/>
                <w:b w:val="0"/>
                <w:sz w:val="16"/>
              </w:rPr>
            </w:pPr>
            <w:r w:rsidRPr="001B759D">
              <w:rPr>
                <w:b w:val="0"/>
                <w:bCs w:val="0"/>
                <w:sz w:val="16"/>
                <w:szCs w:val="16"/>
              </w:rPr>
              <w:t>Mildura Base Public Hospital</w:t>
            </w:r>
          </w:p>
        </w:tc>
        <w:tc>
          <w:tcPr>
            <w:tcW w:w="1118" w:type="dxa"/>
            <w:noWrap/>
            <w:vAlign w:val="center"/>
          </w:tcPr>
          <w:p w14:paraId="2057CF51" w14:textId="552CFC7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189,019</w:t>
            </w:r>
          </w:p>
        </w:tc>
        <w:tc>
          <w:tcPr>
            <w:tcW w:w="1119" w:type="dxa"/>
            <w:noWrap/>
            <w:vAlign w:val="center"/>
          </w:tcPr>
          <w:p w14:paraId="63B9191C" w14:textId="39DF289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w:t>
            </w:r>
          </w:p>
        </w:tc>
        <w:tc>
          <w:tcPr>
            <w:tcW w:w="1118" w:type="dxa"/>
            <w:vAlign w:val="center"/>
          </w:tcPr>
          <w:p w14:paraId="0369B06D" w14:textId="7ED0C72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F053A56" w14:textId="2843DFE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482</w:t>
            </w:r>
          </w:p>
        </w:tc>
        <w:tc>
          <w:tcPr>
            <w:tcW w:w="1119" w:type="dxa"/>
            <w:noWrap/>
            <w:vAlign w:val="center"/>
          </w:tcPr>
          <w:p w14:paraId="169BD60D" w14:textId="4EF2582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32,626</w:t>
            </w:r>
          </w:p>
        </w:tc>
        <w:tc>
          <w:tcPr>
            <w:tcW w:w="1118" w:type="dxa"/>
            <w:noWrap/>
            <w:vAlign w:val="center"/>
          </w:tcPr>
          <w:p w14:paraId="736F7E45" w14:textId="75BF5B4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74C1D32" w14:textId="422D57F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w:t>
            </w:r>
          </w:p>
        </w:tc>
        <w:tc>
          <w:tcPr>
            <w:tcW w:w="1119" w:type="dxa"/>
            <w:noWrap/>
            <w:vAlign w:val="center"/>
          </w:tcPr>
          <w:p w14:paraId="5E08D204" w14:textId="2BCF5FF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222,183</w:t>
            </w:r>
          </w:p>
        </w:tc>
      </w:tr>
      <w:tr w:rsidR="00CC02E9" w:rsidRPr="00BF0CAC" w14:paraId="7FDA2C44"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6A73986" w14:textId="6093F890" w:rsidR="000B6E14" w:rsidRPr="00C63162" w:rsidRDefault="000B6E14" w:rsidP="000B6E14">
            <w:pPr>
              <w:pStyle w:val="Tabletext8pt"/>
              <w:rPr>
                <w:rFonts w:eastAsia="Times New Roman"/>
                <w:b w:val="0"/>
                <w:sz w:val="16"/>
              </w:rPr>
            </w:pPr>
            <w:r w:rsidRPr="001B759D">
              <w:rPr>
                <w:b w:val="0"/>
                <w:bCs w:val="0"/>
                <w:sz w:val="16"/>
                <w:szCs w:val="16"/>
              </w:rPr>
              <w:t>Northeast Health Wangaratta</w:t>
            </w:r>
          </w:p>
        </w:tc>
        <w:tc>
          <w:tcPr>
            <w:tcW w:w="1118" w:type="dxa"/>
            <w:noWrap/>
            <w:vAlign w:val="center"/>
          </w:tcPr>
          <w:p w14:paraId="0856C012" w14:textId="37D9534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223,720</w:t>
            </w:r>
          </w:p>
        </w:tc>
        <w:tc>
          <w:tcPr>
            <w:tcW w:w="1119" w:type="dxa"/>
            <w:noWrap/>
            <w:vAlign w:val="center"/>
          </w:tcPr>
          <w:p w14:paraId="031325B8" w14:textId="0FCCC4E8"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2,432</w:t>
            </w:r>
          </w:p>
        </w:tc>
        <w:tc>
          <w:tcPr>
            <w:tcW w:w="1118" w:type="dxa"/>
            <w:vAlign w:val="center"/>
          </w:tcPr>
          <w:p w14:paraId="542E0205" w14:textId="26E9F03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109AB9A5" w14:textId="2C75AD9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407</w:t>
            </w:r>
          </w:p>
        </w:tc>
        <w:tc>
          <w:tcPr>
            <w:tcW w:w="1119" w:type="dxa"/>
            <w:noWrap/>
            <w:vAlign w:val="center"/>
          </w:tcPr>
          <w:p w14:paraId="1AD0B275" w14:textId="25A7159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535AEFDF" w14:textId="3992291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801</w:t>
            </w:r>
          </w:p>
        </w:tc>
        <w:tc>
          <w:tcPr>
            <w:tcW w:w="1118" w:type="dxa"/>
            <w:noWrap/>
            <w:vAlign w:val="center"/>
          </w:tcPr>
          <w:p w14:paraId="62B10EC8" w14:textId="373F350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376</w:t>
            </w:r>
          </w:p>
        </w:tc>
        <w:tc>
          <w:tcPr>
            <w:tcW w:w="1119" w:type="dxa"/>
            <w:noWrap/>
            <w:vAlign w:val="center"/>
          </w:tcPr>
          <w:p w14:paraId="3D910784" w14:textId="5FBDE17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227,737</w:t>
            </w:r>
          </w:p>
        </w:tc>
      </w:tr>
      <w:tr w:rsidR="000B6E14" w:rsidRPr="00BF0CAC" w14:paraId="2959918C"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FE11A52" w14:textId="04192F8F" w:rsidR="000B6E14" w:rsidRPr="00C63162" w:rsidRDefault="000B6E14" w:rsidP="000B6E14">
            <w:pPr>
              <w:pStyle w:val="Tabletext8pt"/>
              <w:rPr>
                <w:rFonts w:eastAsia="Times New Roman"/>
                <w:b w:val="0"/>
                <w:sz w:val="16"/>
              </w:rPr>
            </w:pPr>
            <w:r w:rsidRPr="001B759D">
              <w:rPr>
                <w:b w:val="0"/>
                <w:bCs w:val="0"/>
                <w:sz w:val="16"/>
                <w:szCs w:val="16"/>
              </w:rPr>
              <w:t>Portland District Health</w:t>
            </w:r>
          </w:p>
        </w:tc>
        <w:tc>
          <w:tcPr>
            <w:tcW w:w="1118" w:type="dxa"/>
            <w:noWrap/>
            <w:vAlign w:val="center"/>
          </w:tcPr>
          <w:p w14:paraId="29BBB21A" w14:textId="66D662B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51,248</w:t>
            </w:r>
          </w:p>
        </w:tc>
        <w:tc>
          <w:tcPr>
            <w:tcW w:w="1119" w:type="dxa"/>
            <w:noWrap/>
            <w:vAlign w:val="center"/>
          </w:tcPr>
          <w:p w14:paraId="20AC6218" w14:textId="69017E5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1,355</w:t>
            </w:r>
          </w:p>
        </w:tc>
        <w:tc>
          <w:tcPr>
            <w:tcW w:w="1118" w:type="dxa"/>
            <w:vAlign w:val="center"/>
          </w:tcPr>
          <w:p w14:paraId="6A91936E" w14:textId="6604E2F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03BF39C" w14:textId="15151C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66FD66AF" w14:textId="0676C2A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2593E90" w14:textId="79588C8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2,108</w:t>
            </w:r>
          </w:p>
        </w:tc>
        <w:tc>
          <w:tcPr>
            <w:tcW w:w="1118" w:type="dxa"/>
            <w:noWrap/>
            <w:vAlign w:val="center"/>
          </w:tcPr>
          <w:p w14:paraId="54C1DEDF" w14:textId="761E2BE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2C8FF292" w14:textId="21CF78F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54,711</w:t>
            </w:r>
          </w:p>
        </w:tc>
      </w:tr>
      <w:tr w:rsidR="00CC02E9" w:rsidRPr="00BF0CAC" w14:paraId="47C7FBE8"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C317EC6" w14:textId="716D1795" w:rsidR="000B6E14" w:rsidRPr="00C63162" w:rsidRDefault="000B6E14" w:rsidP="000B6E14">
            <w:pPr>
              <w:pStyle w:val="Tabletext8pt"/>
              <w:rPr>
                <w:rFonts w:eastAsia="Times New Roman"/>
                <w:b w:val="0"/>
                <w:sz w:val="16"/>
              </w:rPr>
            </w:pPr>
            <w:r w:rsidRPr="001B759D">
              <w:rPr>
                <w:b w:val="0"/>
                <w:bCs w:val="0"/>
                <w:sz w:val="16"/>
                <w:szCs w:val="16"/>
              </w:rPr>
              <w:t>South West Healthcare</w:t>
            </w:r>
          </w:p>
        </w:tc>
        <w:tc>
          <w:tcPr>
            <w:tcW w:w="1118" w:type="dxa"/>
            <w:noWrap/>
            <w:vAlign w:val="center"/>
          </w:tcPr>
          <w:p w14:paraId="41D966BE" w14:textId="38AFB4A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211,810</w:t>
            </w:r>
          </w:p>
        </w:tc>
        <w:tc>
          <w:tcPr>
            <w:tcW w:w="1119" w:type="dxa"/>
            <w:noWrap/>
            <w:vAlign w:val="center"/>
          </w:tcPr>
          <w:p w14:paraId="4C4767C1" w14:textId="4619674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2,253</w:t>
            </w:r>
          </w:p>
        </w:tc>
        <w:tc>
          <w:tcPr>
            <w:tcW w:w="1118" w:type="dxa"/>
            <w:vAlign w:val="center"/>
          </w:tcPr>
          <w:p w14:paraId="071B72B0" w14:textId="562E6F2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A64440F" w14:textId="4431696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739</w:t>
            </w:r>
          </w:p>
        </w:tc>
        <w:tc>
          <w:tcPr>
            <w:tcW w:w="1119" w:type="dxa"/>
            <w:noWrap/>
            <w:vAlign w:val="center"/>
          </w:tcPr>
          <w:p w14:paraId="2393D156" w14:textId="36A5581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42,220</w:t>
            </w:r>
          </w:p>
        </w:tc>
        <w:tc>
          <w:tcPr>
            <w:tcW w:w="1118" w:type="dxa"/>
            <w:noWrap/>
            <w:vAlign w:val="center"/>
          </w:tcPr>
          <w:p w14:paraId="78D29A91" w14:textId="0030D1E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2,418</w:t>
            </w:r>
          </w:p>
        </w:tc>
        <w:tc>
          <w:tcPr>
            <w:tcW w:w="1118" w:type="dxa"/>
            <w:noWrap/>
            <w:vAlign w:val="center"/>
          </w:tcPr>
          <w:p w14:paraId="4280B412" w14:textId="6BF2690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159</w:t>
            </w:r>
          </w:p>
        </w:tc>
        <w:tc>
          <w:tcPr>
            <w:tcW w:w="1119" w:type="dxa"/>
            <w:noWrap/>
            <w:vAlign w:val="center"/>
          </w:tcPr>
          <w:p w14:paraId="5E88F911" w14:textId="4AE4F7F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259,600</w:t>
            </w:r>
          </w:p>
        </w:tc>
      </w:tr>
      <w:tr w:rsidR="000B6E14" w:rsidRPr="00BF0CAC" w14:paraId="72D64A55"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17E159" w14:textId="3C06E9BF" w:rsidR="000B6E14" w:rsidRPr="00C63162" w:rsidRDefault="000B6E14" w:rsidP="000B6E14">
            <w:pPr>
              <w:pStyle w:val="Tabletext8pt"/>
              <w:rPr>
                <w:rFonts w:eastAsia="Times New Roman"/>
                <w:b w:val="0"/>
                <w:sz w:val="16"/>
              </w:rPr>
            </w:pPr>
            <w:r w:rsidRPr="001B759D">
              <w:rPr>
                <w:b w:val="0"/>
                <w:bCs w:val="0"/>
                <w:sz w:val="16"/>
                <w:szCs w:val="16"/>
              </w:rPr>
              <w:t>Swan Hill District Health</w:t>
            </w:r>
          </w:p>
        </w:tc>
        <w:tc>
          <w:tcPr>
            <w:tcW w:w="1118" w:type="dxa"/>
            <w:noWrap/>
            <w:vAlign w:val="center"/>
          </w:tcPr>
          <w:p w14:paraId="552D0D04" w14:textId="70420A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72,731</w:t>
            </w:r>
          </w:p>
        </w:tc>
        <w:tc>
          <w:tcPr>
            <w:tcW w:w="1119" w:type="dxa"/>
            <w:noWrap/>
            <w:vAlign w:val="center"/>
          </w:tcPr>
          <w:p w14:paraId="3C592BB1" w14:textId="24FC9CB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2,461</w:t>
            </w:r>
          </w:p>
        </w:tc>
        <w:tc>
          <w:tcPr>
            <w:tcW w:w="1118" w:type="dxa"/>
            <w:vAlign w:val="center"/>
          </w:tcPr>
          <w:p w14:paraId="5451ED56" w14:textId="3510CAD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3EE0BF4" w14:textId="12BB434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1E4D63A3" w14:textId="10C5E3A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9F42F72" w14:textId="44A4CC9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1,728</w:t>
            </w:r>
          </w:p>
        </w:tc>
        <w:tc>
          <w:tcPr>
            <w:tcW w:w="1118" w:type="dxa"/>
            <w:noWrap/>
            <w:vAlign w:val="center"/>
          </w:tcPr>
          <w:p w14:paraId="47CCE9FA" w14:textId="648EEBF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1B38F330" w14:textId="687E3BB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76,920</w:t>
            </w:r>
          </w:p>
        </w:tc>
      </w:tr>
      <w:tr w:rsidR="00CC02E9" w:rsidRPr="00BF0CAC" w14:paraId="35E8FEF4"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EE8D2D" w14:textId="7B86861B" w:rsidR="000B6E14" w:rsidRPr="00C63162" w:rsidRDefault="000B6E14" w:rsidP="000B6E14">
            <w:pPr>
              <w:pStyle w:val="Tabletext8pt"/>
              <w:rPr>
                <w:rFonts w:eastAsia="Times New Roman"/>
                <w:b w:val="0"/>
                <w:sz w:val="16"/>
              </w:rPr>
            </w:pPr>
            <w:r w:rsidRPr="001B759D">
              <w:rPr>
                <w:b w:val="0"/>
                <w:bCs w:val="0"/>
                <w:sz w:val="16"/>
                <w:szCs w:val="16"/>
              </w:rPr>
              <w:t>West Gippsland Healthcare Group</w:t>
            </w:r>
          </w:p>
        </w:tc>
        <w:tc>
          <w:tcPr>
            <w:tcW w:w="1118" w:type="dxa"/>
            <w:noWrap/>
            <w:vAlign w:val="center"/>
          </w:tcPr>
          <w:p w14:paraId="57AAB935" w14:textId="72D3ADF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147,613</w:t>
            </w:r>
          </w:p>
        </w:tc>
        <w:tc>
          <w:tcPr>
            <w:tcW w:w="1119" w:type="dxa"/>
            <w:noWrap/>
            <w:vAlign w:val="center"/>
          </w:tcPr>
          <w:p w14:paraId="4B90197E" w14:textId="046215E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3,149</w:t>
            </w:r>
          </w:p>
        </w:tc>
        <w:tc>
          <w:tcPr>
            <w:tcW w:w="1118" w:type="dxa"/>
            <w:vAlign w:val="center"/>
          </w:tcPr>
          <w:p w14:paraId="5D2E63DA" w14:textId="13D7568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22EDE8C" w14:textId="3FEA1FE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B1C90A8" w14:textId="1BC717D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1E630CE" w14:textId="4D14E3F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1,103</w:t>
            </w:r>
          </w:p>
        </w:tc>
        <w:tc>
          <w:tcPr>
            <w:tcW w:w="1118" w:type="dxa"/>
            <w:noWrap/>
            <w:vAlign w:val="center"/>
          </w:tcPr>
          <w:p w14:paraId="56EB3C61" w14:textId="6990DF9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9784482" w14:textId="1CA3177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151,864</w:t>
            </w:r>
          </w:p>
        </w:tc>
      </w:tr>
      <w:tr w:rsidR="000B6E14" w:rsidRPr="00BF0CAC" w14:paraId="6EDC05CB"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689944E" w14:textId="57ED96DB" w:rsidR="000B6E14" w:rsidRPr="00C63162" w:rsidRDefault="000B6E14" w:rsidP="000B6E14">
            <w:pPr>
              <w:pStyle w:val="Tabletext8pt"/>
              <w:rPr>
                <w:rFonts w:eastAsia="Times New Roman"/>
                <w:b w:val="0"/>
                <w:sz w:val="16"/>
              </w:rPr>
            </w:pPr>
            <w:r w:rsidRPr="001B759D">
              <w:rPr>
                <w:b w:val="0"/>
                <w:bCs w:val="0"/>
                <w:sz w:val="16"/>
                <w:szCs w:val="16"/>
              </w:rPr>
              <w:t>Western District Health Service</w:t>
            </w:r>
          </w:p>
        </w:tc>
        <w:tc>
          <w:tcPr>
            <w:tcW w:w="1118" w:type="dxa"/>
            <w:noWrap/>
            <w:vAlign w:val="center"/>
          </w:tcPr>
          <w:p w14:paraId="270B60FC" w14:textId="50C128D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75,697</w:t>
            </w:r>
          </w:p>
        </w:tc>
        <w:tc>
          <w:tcPr>
            <w:tcW w:w="1119" w:type="dxa"/>
            <w:noWrap/>
            <w:vAlign w:val="center"/>
          </w:tcPr>
          <w:p w14:paraId="7A94658E" w14:textId="7377AA9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4,367</w:t>
            </w:r>
          </w:p>
        </w:tc>
        <w:tc>
          <w:tcPr>
            <w:tcW w:w="1118" w:type="dxa"/>
            <w:vAlign w:val="center"/>
          </w:tcPr>
          <w:p w14:paraId="45C7A95D" w14:textId="49D0880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A08F9C4" w14:textId="457F905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35628D60" w14:textId="363B76B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128</w:t>
            </w:r>
          </w:p>
        </w:tc>
        <w:tc>
          <w:tcPr>
            <w:tcW w:w="1118" w:type="dxa"/>
            <w:noWrap/>
            <w:vAlign w:val="center"/>
          </w:tcPr>
          <w:p w14:paraId="20D6660E" w14:textId="2246892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735</w:t>
            </w:r>
          </w:p>
        </w:tc>
        <w:tc>
          <w:tcPr>
            <w:tcW w:w="1118" w:type="dxa"/>
            <w:noWrap/>
            <w:vAlign w:val="center"/>
          </w:tcPr>
          <w:p w14:paraId="5C15FA2E" w14:textId="753BDD3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522BA168" w14:textId="7D3DE52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80,928</w:t>
            </w:r>
          </w:p>
        </w:tc>
      </w:tr>
      <w:tr w:rsidR="00CC02E9" w:rsidRPr="00BF0CAC" w14:paraId="13AFFFE6"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9D735FC" w14:textId="091E5C18" w:rsidR="000B6E14" w:rsidRPr="005D7D2C" w:rsidRDefault="000B6E14" w:rsidP="000B6E14">
            <w:pPr>
              <w:pStyle w:val="Tabletext8pt"/>
              <w:rPr>
                <w:rFonts w:eastAsia="Times New Roman"/>
                <w:b w:val="0"/>
                <w:sz w:val="16"/>
              </w:rPr>
            </w:pPr>
            <w:r w:rsidRPr="001B759D">
              <w:rPr>
                <w:rFonts w:cs="Arial"/>
                <w:b w:val="0"/>
                <w:bCs w:val="0"/>
                <w:color w:val="000000"/>
                <w:sz w:val="16"/>
                <w:szCs w:val="16"/>
              </w:rPr>
              <w:t>Total</w:t>
            </w:r>
          </w:p>
        </w:tc>
        <w:tc>
          <w:tcPr>
            <w:tcW w:w="1118" w:type="dxa"/>
            <w:noWrap/>
            <w:vAlign w:val="center"/>
          </w:tcPr>
          <w:p w14:paraId="203EB421" w14:textId="2B46AD9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1,707,897</w:t>
            </w:r>
          </w:p>
        </w:tc>
        <w:tc>
          <w:tcPr>
            <w:tcW w:w="1119" w:type="dxa"/>
            <w:noWrap/>
            <w:vAlign w:val="center"/>
          </w:tcPr>
          <w:p w14:paraId="20911694" w14:textId="767D43E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42,927</w:t>
            </w:r>
          </w:p>
        </w:tc>
        <w:tc>
          <w:tcPr>
            <w:tcW w:w="1118" w:type="dxa"/>
            <w:vAlign w:val="center"/>
          </w:tcPr>
          <w:p w14:paraId="0451F74F" w14:textId="3EA33A6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91BF544" w14:textId="5BE6640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3,504</w:t>
            </w:r>
          </w:p>
        </w:tc>
        <w:tc>
          <w:tcPr>
            <w:tcW w:w="1119" w:type="dxa"/>
            <w:noWrap/>
            <w:vAlign w:val="center"/>
          </w:tcPr>
          <w:p w14:paraId="409D392C" w14:textId="30981285"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74,974</w:t>
            </w:r>
          </w:p>
        </w:tc>
        <w:tc>
          <w:tcPr>
            <w:tcW w:w="1118" w:type="dxa"/>
            <w:noWrap/>
            <w:vAlign w:val="center"/>
          </w:tcPr>
          <w:p w14:paraId="6AA73668" w14:textId="550B581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21,272</w:t>
            </w:r>
          </w:p>
        </w:tc>
        <w:tc>
          <w:tcPr>
            <w:tcW w:w="1118" w:type="dxa"/>
            <w:noWrap/>
            <w:vAlign w:val="center"/>
          </w:tcPr>
          <w:p w14:paraId="2BDF236D" w14:textId="2F3EAFF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556</w:t>
            </w:r>
          </w:p>
        </w:tc>
        <w:tc>
          <w:tcPr>
            <w:tcW w:w="1119" w:type="dxa"/>
            <w:noWrap/>
            <w:vAlign w:val="center"/>
          </w:tcPr>
          <w:p w14:paraId="2A5ED8CD" w14:textId="025D462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1,851,130</w:t>
            </w:r>
          </w:p>
        </w:tc>
      </w:tr>
    </w:tbl>
    <w:p w14:paraId="25D6D620" w14:textId="2E6035E7" w:rsidR="005B699B" w:rsidRPr="00E00C4E" w:rsidRDefault="005B699B" w:rsidP="00C73589">
      <w:pPr>
        <w:pStyle w:val="Bodyafterfiguretable"/>
      </w:pPr>
      <w:r w:rsidRPr="00E00C4E">
        <w:lastRenderedPageBreak/>
        <w:t>Combined total – $’000s</w:t>
      </w:r>
    </w:p>
    <w:tbl>
      <w:tblPr>
        <w:tblStyle w:val="GridTable4-Accent1"/>
        <w:tblW w:w="10534" w:type="dxa"/>
        <w:tblInd w:w="-572" w:type="dxa"/>
        <w:tblLayout w:type="fixed"/>
        <w:tblLook w:val="04A0" w:firstRow="1" w:lastRow="0" w:firstColumn="1" w:lastColumn="0" w:noHBand="0" w:noVBand="1"/>
      </w:tblPr>
      <w:tblGrid>
        <w:gridCol w:w="1587"/>
        <w:gridCol w:w="1118"/>
        <w:gridCol w:w="1119"/>
        <w:gridCol w:w="1118"/>
        <w:gridCol w:w="1118"/>
        <w:gridCol w:w="1119"/>
        <w:gridCol w:w="1118"/>
        <w:gridCol w:w="1118"/>
        <w:gridCol w:w="1119"/>
      </w:tblGrid>
      <w:tr w:rsidR="00CC02E9" w:rsidRPr="001B1818" w14:paraId="40733FF7" w14:textId="77777777" w:rsidTr="005C568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87" w:type="dxa"/>
            <w:hideMark/>
          </w:tcPr>
          <w:p w14:paraId="400A04EC" w14:textId="225CEA7F" w:rsidR="00462DC7" w:rsidRPr="005D7D2C" w:rsidRDefault="00462DC7" w:rsidP="00473B41">
            <w:pPr>
              <w:pStyle w:val="Tablecolhead8pt"/>
              <w:rPr>
                <w:b/>
                <w:bCs w:val="0"/>
                <w:color w:val="FFFFFF" w:themeColor="background1"/>
                <w:sz w:val="16"/>
              </w:rPr>
            </w:pPr>
            <w:r w:rsidRPr="005D7D2C">
              <w:rPr>
                <w:b/>
                <w:bCs w:val="0"/>
                <w:color w:val="FFFFFF" w:themeColor="background1"/>
                <w:sz w:val="16"/>
              </w:rPr>
              <w:t xml:space="preserve">Health </w:t>
            </w:r>
            <w:r w:rsidR="0076772D" w:rsidRPr="005D7D2C">
              <w:rPr>
                <w:b/>
                <w:bCs w:val="0"/>
                <w:color w:val="FFFFFF" w:themeColor="background1"/>
                <w:sz w:val="16"/>
              </w:rPr>
              <w:t>service</w:t>
            </w:r>
          </w:p>
        </w:tc>
        <w:tc>
          <w:tcPr>
            <w:tcW w:w="1118" w:type="dxa"/>
            <w:hideMark/>
          </w:tcPr>
          <w:p w14:paraId="5B6B9F49" w14:textId="619CD73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ype="page"/>
              <w:t xml:space="preserve"> Acute health services</w:t>
            </w:r>
          </w:p>
        </w:tc>
        <w:tc>
          <w:tcPr>
            <w:tcW w:w="1119" w:type="dxa"/>
            <w:hideMark/>
          </w:tcPr>
          <w:p w14:paraId="4ACA8D49" w14:textId="58FA157A"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Ageing, aged and home care</w:t>
            </w:r>
          </w:p>
        </w:tc>
        <w:tc>
          <w:tcPr>
            <w:tcW w:w="1118" w:type="dxa"/>
          </w:tcPr>
          <w:p w14:paraId="06B438D1" w14:textId="0D16CCC1"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Ambulance services</w:t>
            </w:r>
          </w:p>
        </w:tc>
        <w:tc>
          <w:tcPr>
            <w:tcW w:w="1118" w:type="dxa"/>
            <w:hideMark/>
          </w:tcPr>
          <w:p w14:paraId="579AF439" w14:textId="3EB9BD03"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Drugs services</w:t>
            </w:r>
          </w:p>
        </w:tc>
        <w:tc>
          <w:tcPr>
            <w:tcW w:w="1119" w:type="dxa"/>
            <w:hideMark/>
          </w:tcPr>
          <w:p w14:paraId="6E980C37" w14:textId="7694FF11"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Mental health</w:t>
            </w:r>
          </w:p>
        </w:tc>
        <w:tc>
          <w:tcPr>
            <w:tcW w:w="1118" w:type="dxa"/>
            <w:hideMark/>
          </w:tcPr>
          <w:p w14:paraId="5A198E31" w14:textId="4D0A2D5B"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Primary and dental health</w:t>
            </w:r>
          </w:p>
        </w:tc>
        <w:tc>
          <w:tcPr>
            <w:tcW w:w="1118" w:type="dxa"/>
            <w:hideMark/>
          </w:tcPr>
          <w:p w14:paraId="2170E384" w14:textId="1A7AD16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 xml:space="preserve"> Public health</w:t>
            </w:r>
          </w:p>
        </w:tc>
        <w:tc>
          <w:tcPr>
            <w:tcW w:w="1119" w:type="dxa"/>
            <w:hideMark/>
          </w:tcPr>
          <w:p w14:paraId="02D50025" w14:textId="6D642BB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 xml:space="preserve"> Total</w:t>
            </w:r>
          </w:p>
        </w:tc>
      </w:tr>
      <w:tr w:rsidR="00CC02E9" w:rsidRPr="001B1818" w14:paraId="485C9BC4"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069CD3D" w14:textId="77777777" w:rsidR="001B759D" w:rsidRPr="001B759D" w:rsidRDefault="001B759D" w:rsidP="001B759D">
            <w:pPr>
              <w:pStyle w:val="Tabletext8pt"/>
              <w:rPr>
                <w:b w:val="0"/>
                <w:bCs w:val="0"/>
                <w:sz w:val="16"/>
                <w:szCs w:val="16"/>
              </w:rPr>
            </w:pPr>
            <w:r w:rsidRPr="001B759D">
              <w:rPr>
                <w:b w:val="0"/>
                <w:bCs w:val="0"/>
                <w:sz w:val="16"/>
                <w:szCs w:val="16"/>
              </w:rPr>
              <w:t>Total</w:t>
            </w:r>
          </w:p>
        </w:tc>
        <w:tc>
          <w:tcPr>
            <w:tcW w:w="1118" w:type="dxa"/>
            <w:noWrap/>
          </w:tcPr>
          <w:p w14:paraId="15F353DC" w14:textId="75E2FBA9"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18,080,762</w:t>
            </w:r>
          </w:p>
        </w:tc>
        <w:tc>
          <w:tcPr>
            <w:tcW w:w="1119" w:type="dxa"/>
            <w:noWrap/>
          </w:tcPr>
          <w:p w14:paraId="32E4E954" w14:textId="0DCB91A5"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137,505</w:t>
            </w:r>
          </w:p>
        </w:tc>
        <w:tc>
          <w:tcPr>
            <w:tcW w:w="1118" w:type="dxa"/>
          </w:tcPr>
          <w:p w14:paraId="36D43A69" w14:textId="294BEEBB"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118" w:type="dxa"/>
            <w:noWrap/>
          </w:tcPr>
          <w:p w14:paraId="12D7FD28" w14:textId="61123EB1"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88,753</w:t>
            </w:r>
          </w:p>
        </w:tc>
        <w:tc>
          <w:tcPr>
            <w:tcW w:w="1119" w:type="dxa"/>
            <w:noWrap/>
          </w:tcPr>
          <w:p w14:paraId="03179F82" w14:textId="7B7ADD91"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2,271,966</w:t>
            </w:r>
          </w:p>
        </w:tc>
        <w:tc>
          <w:tcPr>
            <w:tcW w:w="1118" w:type="dxa"/>
            <w:noWrap/>
          </w:tcPr>
          <w:p w14:paraId="3C4EE5A4" w14:textId="468FAD03"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83,056</w:t>
            </w:r>
          </w:p>
        </w:tc>
        <w:tc>
          <w:tcPr>
            <w:tcW w:w="1118" w:type="dxa"/>
            <w:noWrap/>
          </w:tcPr>
          <w:p w14:paraId="39CC8CE3" w14:textId="10ED1A05"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76,351</w:t>
            </w:r>
          </w:p>
        </w:tc>
        <w:tc>
          <w:tcPr>
            <w:tcW w:w="1119" w:type="dxa"/>
            <w:noWrap/>
          </w:tcPr>
          <w:p w14:paraId="7745B5CE" w14:textId="6C4B1FCA"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20,739,701</w:t>
            </w:r>
          </w:p>
        </w:tc>
      </w:tr>
    </w:tbl>
    <w:p w14:paraId="08251B43" w14:textId="392A7B11" w:rsidR="005B699B" w:rsidRDefault="005B699B" w:rsidP="005D7D2C">
      <w:pPr>
        <w:pStyle w:val="Heading2"/>
        <w:numPr>
          <w:ilvl w:val="1"/>
          <w:numId w:val="12"/>
        </w:numPr>
        <w:ind w:left="851" w:hanging="851"/>
      </w:pPr>
      <w:bookmarkStart w:id="2365" w:name="_Toc144905632"/>
      <w:bookmarkStart w:id="2366" w:name="_Toc144905633"/>
      <w:bookmarkStart w:id="2367" w:name="_Toc144905665"/>
      <w:bookmarkStart w:id="2368" w:name="_Toc111713615"/>
      <w:bookmarkStart w:id="2369" w:name="_Toc111713616"/>
      <w:bookmarkStart w:id="2370" w:name="_Toc111713617"/>
      <w:bookmarkStart w:id="2371" w:name="_Toc12780657"/>
      <w:bookmarkStart w:id="2372" w:name="_Toc14172298"/>
      <w:bookmarkStart w:id="2373" w:name="_Toc33703972"/>
      <w:bookmarkStart w:id="2374" w:name="_Toc55381160"/>
      <w:bookmarkStart w:id="2375" w:name="_Toc165961862"/>
      <w:bookmarkStart w:id="2376" w:name="_Toc201148290"/>
      <w:bookmarkStart w:id="2377" w:name="_Hlk170302717"/>
      <w:bookmarkEnd w:id="2364"/>
      <w:bookmarkEnd w:id="2365"/>
      <w:bookmarkEnd w:id="2366"/>
      <w:bookmarkEnd w:id="2367"/>
      <w:bookmarkEnd w:id="2368"/>
      <w:bookmarkEnd w:id="2369"/>
      <w:bookmarkEnd w:id="2370"/>
      <w:r w:rsidRPr="004903A7">
        <w:t xml:space="preserve">Small </w:t>
      </w:r>
      <w:r>
        <w:t>r</w:t>
      </w:r>
      <w:r w:rsidRPr="004903A7">
        <w:t xml:space="preserve">ural </w:t>
      </w:r>
      <w:r w:rsidRPr="00731B6C">
        <w:t>health</w:t>
      </w:r>
      <w:r w:rsidRPr="004903A7">
        <w:t xml:space="preserve"> </w:t>
      </w:r>
      <w:r>
        <w:t>s</w:t>
      </w:r>
      <w:r w:rsidRPr="004903A7">
        <w:t xml:space="preserve">ervices </w:t>
      </w:r>
      <w:r>
        <w:t>expen</w:t>
      </w:r>
      <w:r w:rsidRPr="005353E5">
        <w:t xml:space="preserve">diture budgets </w:t>
      </w:r>
      <w:bookmarkEnd w:id="2371"/>
      <w:bookmarkEnd w:id="2372"/>
      <w:bookmarkEnd w:id="2373"/>
      <w:bookmarkEnd w:id="2374"/>
      <w:r w:rsidRPr="005353E5">
        <w:t>202</w:t>
      </w:r>
      <w:r w:rsidR="000C0EF6">
        <w:t>5</w:t>
      </w:r>
      <w:r w:rsidRPr="005353E5">
        <w:t>–2</w:t>
      </w:r>
      <w:bookmarkEnd w:id="2375"/>
      <w:r w:rsidR="000C0EF6">
        <w:t>6</w:t>
      </w:r>
      <w:bookmarkEnd w:id="2376"/>
      <w:r w:rsidR="00054728">
        <w:t xml:space="preserve"> </w:t>
      </w:r>
    </w:p>
    <w:bookmarkEnd w:id="2377"/>
    <w:p w14:paraId="12F9E8AC" w14:textId="77777777" w:rsidR="00541C64" w:rsidRPr="00D750E5" w:rsidRDefault="00541C64" w:rsidP="00473B41">
      <w:pPr>
        <w:pStyle w:val="Tablefigurenote9pt"/>
      </w:pPr>
      <w:r>
        <w:t>Notes</w:t>
      </w:r>
    </w:p>
    <w:p w14:paraId="185FCF4D" w14:textId="77777777" w:rsidR="00541C64" w:rsidRPr="00C87BD7" w:rsidRDefault="00541C64" w:rsidP="00473B41">
      <w:pPr>
        <w:pStyle w:val="Tablebullet9pt"/>
      </w:pPr>
      <w:r w:rsidRPr="00D750E5">
        <w:t>Subtotals and totals may not add up due to rounding.</w:t>
      </w:r>
    </w:p>
    <w:p w14:paraId="2EA07505" w14:textId="77777777" w:rsidR="00541C64" w:rsidRDefault="00541C64" w:rsidP="00473B41">
      <w:pPr>
        <w:pStyle w:val="Tablebullet9pt"/>
      </w:pPr>
      <w:r w:rsidRPr="00D750E5">
        <w:t>When published, Statement of Priorities Part C supersede these tables.</w:t>
      </w:r>
    </w:p>
    <w:p w14:paraId="16949D04" w14:textId="77777777" w:rsidR="00A06CA4" w:rsidRDefault="00A06CA4" w:rsidP="00A06CA4">
      <w:pPr>
        <w:pStyle w:val="Tablebullet9pt"/>
      </w:pPr>
      <w:bookmarkStart w:id="2378" w:name="_Toc12780561"/>
      <w:bookmarkStart w:id="2379" w:name="_Toc14194817"/>
      <w:bookmarkStart w:id="2380" w:name="_Toc33703998"/>
      <w:bookmarkStart w:id="2381" w:name="_Toc109894128"/>
      <w:bookmarkStart w:id="2382" w:name="_Ref199253003"/>
      <w:bookmarkStart w:id="2383" w:name="_Toc201148588"/>
      <w:r w:rsidRPr="00A06CA4">
        <w:t>Draft information pending finalisation of SOPs</w:t>
      </w:r>
      <w:r>
        <w:t>.</w:t>
      </w:r>
    </w:p>
    <w:p w14:paraId="4B451A69" w14:textId="7B1381A9" w:rsidR="005B699B" w:rsidRDefault="00462DC7" w:rsidP="00297FC9">
      <w:pPr>
        <w:pStyle w:val="Tablecaption"/>
      </w:pPr>
      <w:r w:rsidRPr="005353E5">
        <w:t xml:space="preserve">Table </w:t>
      </w:r>
      <w:r w:rsidR="000E0ED2">
        <w:t>2.</w:t>
      </w:r>
      <w:r>
        <w:fldChar w:fldCharType="begin"/>
      </w:r>
      <w:r>
        <w:instrText>SEQ Table \* ARABIC \s 1</w:instrText>
      </w:r>
      <w:r>
        <w:fldChar w:fldCharType="separate"/>
      </w:r>
      <w:r w:rsidR="007D262B">
        <w:rPr>
          <w:noProof/>
        </w:rPr>
        <w:t>2</w:t>
      </w:r>
      <w:r>
        <w:fldChar w:fldCharType="end"/>
      </w:r>
      <w:r w:rsidRPr="005353E5">
        <w:t xml:space="preserve">: </w:t>
      </w:r>
      <w:r w:rsidR="005B699B" w:rsidRPr="005353E5">
        <w:t xml:space="preserve">Small rural health services expenditure budgets </w:t>
      </w:r>
      <w:bookmarkEnd w:id="2378"/>
      <w:bookmarkEnd w:id="2379"/>
      <w:bookmarkEnd w:id="2380"/>
      <w:bookmarkEnd w:id="2381"/>
      <w:r w:rsidR="005B699B" w:rsidRPr="005353E5">
        <w:t>202</w:t>
      </w:r>
      <w:r w:rsidR="000C0EF6">
        <w:t>5</w:t>
      </w:r>
      <w:r w:rsidR="005B699B" w:rsidRPr="005353E5">
        <w:t>–2</w:t>
      </w:r>
      <w:r w:rsidR="000C0EF6">
        <w:t>6</w:t>
      </w:r>
      <w:r w:rsidR="005B699B">
        <w:t xml:space="preserve"> – $’000s</w:t>
      </w:r>
      <w:bookmarkEnd w:id="2382"/>
      <w:bookmarkEnd w:id="2383"/>
    </w:p>
    <w:tbl>
      <w:tblPr>
        <w:tblStyle w:val="GridTable4-Accent1"/>
        <w:tblW w:w="9351" w:type="dxa"/>
        <w:tblLayout w:type="fixed"/>
        <w:tblLook w:val="04A0" w:firstRow="1" w:lastRow="0" w:firstColumn="1" w:lastColumn="0" w:noHBand="0" w:noVBand="1"/>
      </w:tblPr>
      <w:tblGrid>
        <w:gridCol w:w="2689"/>
        <w:gridCol w:w="1332"/>
        <w:gridCol w:w="1332"/>
        <w:gridCol w:w="1333"/>
        <w:gridCol w:w="1332"/>
        <w:gridCol w:w="1333"/>
      </w:tblGrid>
      <w:tr w:rsidR="00F04148" w:rsidRPr="001B1818" w14:paraId="4BAB3441" w14:textId="77777777" w:rsidTr="00FB44E2">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689" w:type="dxa"/>
            <w:hideMark/>
          </w:tcPr>
          <w:p w14:paraId="13A1661B" w14:textId="4FF7D1F6" w:rsidR="00F04148" w:rsidRPr="00257223" w:rsidRDefault="00F04148" w:rsidP="00473B41">
            <w:pPr>
              <w:pStyle w:val="Tablecolhead8pt"/>
              <w:rPr>
                <w:b/>
                <w:bCs w:val="0"/>
                <w:color w:val="FFFFFF" w:themeColor="background1"/>
              </w:rPr>
            </w:pPr>
            <w:r w:rsidRPr="00257223">
              <w:rPr>
                <w:b/>
                <w:bCs w:val="0"/>
                <w:color w:val="FFFFFF" w:themeColor="background1"/>
              </w:rPr>
              <w:t xml:space="preserve">Health </w:t>
            </w:r>
            <w:r w:rsidR="002A3E82" w:rsidRPr="00257223">
              <w:rPr>
                <w:b/>
                <w:bCs w:val="0"/>
                <w:color w:val="FFFFFF" w:themeColor="background1"/>
              </w:rPr>
              <w:t>service</w:t>
            </w:r>
          </w:p>
        </w:tc>
        <w:tc>
          <w:tcPr>
            <w:tcW w:w="1332" w:type="dxa"/>
            <w:hideMark/>
          </w:tcPr>
          <w:p w14:paraId="31D6DE5F" w14:textId="713E9CDC"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Acute health services</w:t>
            </w:r>
          </w:p>
        </w:tc>
        <w:tc>
          <w:tcPr>
            <w:tcW w:w="1332" w:type="dxa"/>
            <w:hideMark/>
          </w:tcPr>
          <w:p w14:paraId="1B1D9DB5" w14:textId="0A14A39A"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Ageing, aged and home care</w:t>
            </w:r>
          </w:p>
        </w:tc>
        <w:tc>
          <w:tcPr>
            <w:tcW w:w="1333" w:type="dxa"/>
            <w:hideMark/>
          </w:tcPr>
          <w:p w14:paraId="5A37EF43" w14:textId="54D51234"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Mental health</w:t>
            </w:r>
          </w:p>
        </w:tc>
        <w:tc>
          <w:tcPr>
            <w:tcW w:w="1332" w:type="dxa"/>
            <w:hideMark/>
          </w:tcPr>
          <w:p w14:paraId="2EE2B442" w14:textId="0D2824C5"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 xml:space="preserve">Primary and dental health </w:t>
            </w:r>
          </w:p>
        </w:tc>
        <w:tc>
          <w:tcPr>
            <w:tcW w:w="1333" w:type="dxa"/>
            <w:hideMark/>
          </w:tcPr>
          <w:p w14:paraId="4A2A166D" w14:textId="58173ECE"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Total</w:t>
            </w:r>
          </w:p>
        </w:tc>
      </w:tr>
      <w:tr w:rsidR="00924883" w:rsidRPr="001B1818" w14:paraId="1B5D87B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2008798" w14:textId="3B53E25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Alexandra District Health</w:t>
            </w:r>
          </w:p>
        </w:tc>
        <w:tc>
          <w:tcPr>
            <w:tcW w:w="1332" w:type="dxa"/>
            <w:noWrap/>
            <w:vAlign w:val="center"/>
          </w:tcPr>
          <w:p w14:paraId="695E8DDC" w14:textId="1C2018F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10,315</w:t>
            </w:r>
          </w:p>
        </w:tc>
        <w:tc>
          <w:tcPr>
            <w:tcW w:w="1332" w:type="dxa"/>
            <w:noWrap/>
          </w:tcPr>
          <w:p w14:paraId="6B75213D" w14:textId="586059D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155</w:t>
            </w:r>
          </w:p>
        </w:tc>
        <w:tc>
          <w:tcPr>
            <w:tcW w:w="1333" w:type="dxa"/>
            <w:noWrap/>
            <w:vAlign w:val="center"/>
          </w:tcPr>
          <w:p w14:paraId="07891CB8" w14:textId="149767A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21F868D" w14:textId="1E21E7A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517</w:t>
            </w:r>
          </w:p>
        </w:tc>
        <w:tc>
          <w:tcPr>
            <w:tcW w:w="1333" w:type="dxa"/>
            <w:noWrap/>
            <w:vAlign w:val="center"/>
          </w:tcPr>
          <w:p w14:paraId="7E79A28A" w14:textId="15C0BE1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10,987</w:t>
            </w:r>
          </w:p>
        </w:tc>
      </w:tr>
      <w:tr w:rsidR="001373B5" w:rsidRPr="001B1818" w14:paraId="1687EDF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E2D1E05" w14:textId="1E49830D"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Alpine Health</w:t>
            </w:r>
          </w:p>
        </w:tc>
        <w:tc>
          <w:tcPr>
            <w:tcW w:w="1332" w:type="dxa"/>
            <w:noWrap/>
            <w:vAlign w:val="center"/>
          </w:tcPr>
          <w:p w14:paraId="53E5A724" w14:textId="0535458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19,212</w:t>
            </w:r>
          </w:p>
        </w:tc>
        <w:tc>
          <w:tcPr>
            <w:tcW w:w="1332" w:type="dxa"/>
            <w:noWrap/>
          </w:tcPr>
          <w:p w14:paraId="2C49FDB3" w14:textId="2701305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2,286</w:t>
            </w:r>
          </w:p>
        </w:tc>
        <w:tc>
          <w:tcPr>
            <w:tcW w:w="1333" w:type="dxa"/>
            <w:noWrap/>
            <w:vAlign w:val="center"/>
          </w:tcPr>
          <w:p w14:paraId="2D968BE7" w14:textId="3946777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0381E886" w14:textId="33652AC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358</w:t>
            </w:r>
          </w:p>
        </w:tc>
        <w:tc>
          <w:tcPr>
            <w:tcW w:w="1333" w:type="dxa"/>
            <w:noWrap/>
            <w:vAlign w:val="center"/>
          </w:tcPr>
          <w:p w14:paraId="29C21AB9" w14:textId="4B270C1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21,855</w:t>
            </w:r>
          </w:p>
        </w:tc>
      </w:tr>
      <w:tr w:rsidR="00924883" w:rsidRPr="001B1818" w14:paraId="566C1671"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7C116DC" w14:textId="34082C4B"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Beaufort And Skipton Health Service</w:t>
            </w:r>
          </w:p>
        </w:tc>
        <w:tc>
          <w:tcPr>
            <w:tcW w:w="1332" w:type="dxa"/>
            <w:noWrap/>
            <w:vAlign w:val="center"/>
          </w:tcPr>
          <w:p w14:paraId="4596F8F9" w14:textId="389813D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7,151</w:t>
            </w:r>
          </w:p>
        </w:tc>
        <w:tc>
          <w:tcPr>
            <w:tcW w:w="1332" w:type="dxa"/>
            <w:noWrap/>
          </w:tcPr>
          <w:p w14:paraId="4BDA3675" w14:textId="1C2B875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1,144</w:t>
            </w:r>
          </w:p>
        </w:tc>
        <w:tc>
          <w:tcPr>
            <w:tcW w:w="1333" w:type="dxa"/>
            <w:noWrap/>
            <w:vAlign w:val="center"/>
          </w:tcPr>
          <w:p w14:paraId="0D6803B8" w14:textId="15EBB9E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A635BD2" w14:textId="057CEA0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172</w:t>
            </w:r>
          </w:p>
        </w:tc>
        <w:tc>
          <w:tcPr>
            <w:tcW w:w="1333" w:type="dxa"/>
            <w:noWrap/>
            <w:vAlign w:val="center"/>
          </w:tcPr>
          <w:p w14:paraId="00C6670D" w14:textId="242BED0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8,468</w:t>
            </w:r>
          </w:p>
        </w:tc>
      </w:tr>
      <w:tr w:rsidR="001373B5" w:rsidRPr="001B1818" w14:paraId="4B9652F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BA5DA27" w14:textId="4432275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Beechworth Health Service</w:t>
            </w:r>
          </w:p>
        </w:tc>
        <w:tc>
          <w:tcPr>
            <w:tcW w:w="1332" w:type="dxa"/>
            <w:noWrap/>
            <w:vAlign w:val="center"/>
          </w:tcPr>
          <w:p w14:paraId="74AEB4B9" w14:textId="531C656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6,170</w:t>
            </w:r>
          </w:p>
        </w:tc>
        <w:tc>
          <w:tcPr>
            <w:tcW w:w="1332" w:type="dxa"/>
            <w:noWrap/>
          </w:tcPr>
          <w:p w14:paraId="6D582400" w14:textId="6423F71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1,306</w:t>
            </w:r>
          </w:p>
        </w:tc>
        <w:tc>
          <w:tcPr>
            <w:tcW w:w="1333" w:type="dxa"/>
            <w:noWrap/>
            <w:vAlign w:val="center"/>
          </w:tcPr>
          <w:p w14:paraId="696A0B82" w14:textId="7F06C5F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4486FA4" w14:textId="6BEA497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403</w:t>
            </w:r>
          </w:p>
        </w:tc>
        <w:tc>
          <w:tcPr>
            <w:tcW w:w="1333" w:type="dxa"/>
            <w:noWrap/>
            <w:vAlign w:val="center"/>
          </w:tcPr>
          <w:p w14:paraId="09EFB242" w14:textId="16104F3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7,878</w:t>
            </w:r>
          </w:p>
        </w:tc>
      </w:tr>
      <w:tr w:rsidR="00924883" w:rsidRPr="001B1818" w14:paraId="143B645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0FA728C" w14:textId="0ABCB34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Boort District Health</w:t>
            </w:r>
          </w:p>
        </w:tc>
        <w:tc>
          <w:tcPr>
            <w:tcW w:w="1332" w:type="dxa"/>
            <w:noWrap/>
            <w:vAlign w:val="center"/>
          </w:tcPr>
          <w:p w14:paraId="03095F5F" w14:textId="04355AC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3,531</w:t>
            </w:r>
          </w:p>
        </w:tc>
        <w:tc>
          <w:tcPr>
            <w:tcW w:w="1332" w:type="dxa"/>
            <w:noWrap/>
          </w:tcPr>
          <w:p w14:paraId="199C7251" w14:textId="7253251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429</w:t>
            </w:r>
          </w:p>
        </w:tc>
        <w:tc>
          <w:tcPr>
            <w:tcW w:w="1333" w:type="dxa"/>
            <w:noWrap/>
            <w:vAlign w:val="center"/>
          </w:tcPr>
          <w:p w14:paraId="21DA46C0" w14:textId="29A1CA4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4DD8FC81" w14:textId="68A5545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185BC904" w14:textId="3C1616A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3,960</w:t>
            </w:r>
          </w:p>
        </w:tc>
      </w:tr>
      <w:tr w:rsidR="001373B5" w:rsidRPr="001B1818" w14:paraId="756CECE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5860952" w14:textId="36710CC5"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Casterton Memorial Hospital</w:t>
            </w:r>
          </w:p>
        </w:tc>
        <w:tc>
          <w:tcPr>
            <w:tcW w:w="1332" w:type="dxa"/>
            <w:noWrap/>
            <w:vAlign w:val="center"/>
          </w:tcPr>
          <w:p w14:paraId="422057D8" w14:textId="2A03A93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5,802</w:t>
            </w:r>
          </w:p>
        </w:tc>
        <w:tc>
          <w:tcPr>
            <w:tcW w:w="1332" w:type="dxa"/>
            <w:noWrap/>
          </w:tcPr>
          <w:p w14:paraId="6DD6D720" w14:textId="137AD9A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1,139</w:t>
            </w:r>
          </w:p>
        </w:tc>
        <w:tc>
          <w:tcPr>
            <w:tcW w:w="1333" w:type="dxa"/>
            <w:noWrap/>
            <w:vAlign w:val="center"/>
          </w:tcPr>
          <w:p w14:paraId="6607E8C6" w14:textId="381F2B2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5879E166" w14:textId="41DFF61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42</w:t>
            </w:r>
          </w:p>
        </w:tc>
        <w:tc>
          <w:tcPr>
            <w:tcW w:w="1333" w:type="dxa"/>
            <w:noWrap/>
            <w:vAlign w:val="center"/>
          </w:tcPr>
          <w:p w14:paraId="56C8EE5B" w14:textId="47F1035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6,983</w:t>
            </w:r>
          </w:p>
        </w:tc>
      </w:tr>
      <w:tr w:rsidR="00924883" w:rsidRPr="001B1818" w14:paraId="065F477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EC93D92" w14:textId="041AB7F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Central Highlands Rural Health</w:t>
            </w:r>
          </w:p>
        </w:tc>
        <w:tc>
          <w:tcPr>
            <w:tcW w:w="1332" w:type="dxa"/>
            <w:noWrap/>
            <w:vAlign w:val="center"/>
          </w:tcPr>
          <w:p w14:paraId="394BFA5B" w14:textId="100F520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34,736</w:t>
            </w:r>
          </w:p>
        </w:tc>
        <w:tc>
          <w:tcPr>
            <w:tcW w:w="1332" w:type="dxa"/>
            <w:noWrap/>
          </w:tcPr>
          <w:p w14:paraId="32D059B0" w14:textId="734EEFA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2,684</w:t>
            </w:r>
          </w:p>
        </w:tc>
        <w:tc>
          <w:tcPr>
            <w:tcW w:w="1333" w:type="dxa"/>
            <w:noWrap/>
            <w:vAlign w:val="center"/>
          </w:tcPr>
          <w:p w14:paraId="7E0D8C9A" w14:textId="084785B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8D7DDB7" w14:textId="0F3280A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1,239</w:t>
            </w:r>
          </w:p>
        </w:tc>
        <w:tc>
          <w:tcPr>
            <w:tcW w:w="1333" w:type="dxa"/>
            <w:noWrap/>
            <w:vAlign w:val="center"/>
          </w:tcPr>
          <w:p w14:paraId="3C61935E" w14:textId="1F7D3FF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38,659</w:t>
            </w:r>
          </w:p>
        </w:tc>
      </w:tr>
      <w:tr w:rsidR="001373B5" w:rsidRPr="001B1818" w14:paraId="1D6D9014"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045F45B" w14:textId="230B7EE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Cohuna District Hospital</w:t>
            </w:r>
          </w:p>
        </w:tc>
        <w:tc>
          <w:tcPr>
            <w:tcW w:w="1332" w:type="dxa"/>
            <w:noWrap/>
            <w:vAlign w:val="center"/>
          </w:tcPr>
          <w:p w14:paraId="66BC0326" w14:textId="0B11640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8,595</w:t>
            </w:r>
          </w:p>
        </w:tc>
        <w:tc>
          <w:tcPr>
            <w:tcW w:w="1332" w:type="dxa"/>
            <w:noWrap/>
          </w:tcPr>
          <w:p w14:paraId="55D1BC91" w14:textId="4FB93DA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642</w:t>
            </w:r>
          </w:p>
        </w:tc>
        <w:tc>
          <w:tcPr>
            <w:tcW w:w="1333" w:type="dxa"/>
            <w:noWrap/>
            <w:vAlign w:val="center"/>
          </w:tcPr>
          <w:p w14:paraId="6A3BF8DD" w14:textId="01EBECB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19C72F99" w14:textId="4C23511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0979B6FC" w14:textId="7B0D9CD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9,237</w:t>
            </w:r>
          </w:p>
        </w:tc>
      </w:tr>
      <w:tr w:rsidR="00924883" w:rsidRPr="001B1818" w14:paraId="33DFABF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F3D2164" w14:textId="54464CA7"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Corryong Health</w:t>
            </w:r>
          </w:p>
        </w:tc>
        <w:tc>
          <w:tcPr>
            <w:tcW w:w="1332" w:type="dxa"/>
            <w:noWrap/>
            <w:vAlign w:val="center"/>
          </w:tcPr>
          <w:p w14:paraId="3736AFCD" w14:textId="27F7823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6,987</w:t>
            </w:r>
          </w:p>
        </w:tc>
        <w:tc>
          <w:tcPr>
            <w:tcW w:w="1332" w:type="dxa"/>
            <w:noWrap/>
          </w:tcPr>
          <w:p w14:paraId="48032756" w14:textId="05D8EB6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943</w:t>
            </w:r>
          </w:p>
        </w:tc>
        <w:tc>
          <w:tcPr>
            <w:tcW w:w="1333" w:type="dxa"/>
            <w:noWrap/>
            <w:vAlign w:val="center"/>
          </w:tcPr>
          <w:p w14:paraId="3C08DC3E" w14:textId="7B77B4C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AF613BC" w14:textId="19F6B8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141</w:t>
            </w:r>
          </w:p>
        </w:tc>
        <w:tc>
          <w:tcPr>
            <w:tcW w:w="1333" w:type="dxa"/>
            <w:noWrap/>
            <w:vAlign w:val="center"/>
          </w:tcPr>
          <w:p w14:paraId="0D5FEBA4" w14:textId="2916098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8,070</w:t>
            </w:r>
          </w:p>
        </w:tc>
      </w:tr>
      <w:tr w:rsidR="001373B5" w:rsidRPr="001B1818" w14:paraId="0E5D7B7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6D54E8B" w14:textId="4D7932E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East Wimmera Health Service</w:t>
            </w:r>
          </w:p>
        </w:tc>
        <w:tc>
          <w:tcPr>
            <w:tcW w:w="1332" w:type="dxa"/>
            <w:noWrap/>
            <w:vAlign w:val="center"/>
          </w:tcPr>
          <w:p w14:paraId="6032F13A" w14:textId="3DA18E3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20,581</w:t>
            </w:r>
          </w:p>
        </w:tc>
        <w:tc>
          <w:tcPr>
            <w:tcW w:w="1332" w:type="dxa"/>
            <w:noWrap/>
          </w:tcPr>
          <w:p w14:paraId="1D5D29E5" w14:textId="1CD0E26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3,239</w:t>
            </w:r>
          </w:p>
        </w:tc>
        <w:tc>
          <w:tcPr>
            <w:tcW w:w="1333" w:type="dxa"/>
            <w:noWrap/>
            <w:vAlign w:val="center"/>
          </w:tcPr>
          <w:p w14:paraId="1A1CF848" w14:textId="1A5AF6F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646D9D93" w14:textId="5C50D83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705</w:t>
            </w:r>
          </w:p>
        </w:tc>
        <w:tc>
          <w:tcPr>
            <w:tcW w:w="1333" w:type="dxa"/>
            <w:noWrap/>
            <w:vAlign w:val="center"/>
          </w:tcPr>
          <w:p w14:paraId="5C42EBD0" w14:textId="2483FAD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24,525</w:t>
            </w:r>
          </w:p>
        </w:tc>
      </w:tr>
      <w:tr w:rsidR="00924883" w:rsidRPr="001B1818" w14:paraId="5AF13F2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356ED42" w14:textId="763A044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Great Ocean Road Health</w:t>
            </w:r>
          </w:p>
        </w:tc>
        <w:tc>
          <w:tcPr>
            <w:tcW w:w="1332" w:type="dxa"/>
            <w:noWrap/>
            <w:vAlign w:val="center"/>
          </w:tcPr>
          <w:p w14:paraId="28D8D312" w14:textId="2AC32EA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8,990</w:t>
            </w:r>
          </w:p>
        </w:tc>
        <w:tc>
          <w:tcPr>
            <w:tcW w:w="1332" w:type="dxa"/>
            <w:noWrap/>
          </w:tcPr>
          <w:p w14:paraId="21262811" w14:textId="037D479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1,352</w:t>
            </w:r>
          </w:p>
        </w:tc>
        <w:tc>
          <w:tcPr>
            <w:tcW w:w="1333" w:type="dxa"/>
            <w:noWrap/>
            <w:vAlign w:val="center"/>
          </w:tcPr>
          <w:p w14:paraId="4FDBD570" w14:textId="6B2AC92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F980B8B" w14:textId="6B0E71F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225</w:t>
            </w:r>
          </w:p>
        </w:tc>
        <w:tc>
          <w:tcPr>
            <w:tcW w:w="1333" w:type="dxa"/>
            <w:noWrap/>
            <w:vAlign w:val="center"/>
          </w:tcPr>
          <w:p w14:paraId="46FFB5E0" w14:textId="2435F2B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10,567</w:t>
            </w:r>
          </w:p>
        </w:tc>
      </w:tr>
      <w:tr w:rsidR="001373B5" w:rsidRPr="001B1818" w14:paraId="629D5B3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114AEE" w14:textId="44ACE09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Heathcote Health</w:t>
            </w:r>
          </w:p>
        </w:tc>
        <w:tc>
          <w:tcPr>
            <w:tcW w:w="1332" w:type="dxa"/>
            <w:noWrap/>
            <w:vAlign w:val="center"/>
          </w:tcPr>
          <w:p w14:paraId="56748565" w14:textId="3731151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5,042</w:t>
            </w:r>
          </w:p>
        </w:tc>
        <w:tc>
          <w:tcPr>
            <w:tcW w:w="1332" w:type="dxa"/>
            <w:noWrap/>
          </w:tcPr>
          <w:p w14:paraId="4F2E5420" w14:textId="1195403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594</w:t>
            </w:r>
          </w:p>
        </w:tc>
        <w:tc>
          <w:tcPr>
            <w:tcW w:w="1333" w:type="dxa"/>
            <w:noWrap/>
            <w:vAlign w:val="center"/>
          </w:tcPr>
          <w:p w14:paraId="3F5E20B3" w14:textId="66D6AA1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19193B09" w14:textId="71B7E57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146</w:t>
            </w:r>
          </w:p>
        </w:tc>
        <w:tc>
          <w:tcPr>
            <w:tcW w:w="1333" w:type="dxa"/>
            <w:noWrap/>
            <w:vAlign w:val="center"/>
          </w:tcPr>
          <w:p w14:paraId="77FA9119" w14:textId="36EA9F0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5,782</w:t>
            </w:r>
          </w:p>
        </w:tc>
      </w:tr>
      <w:tr w:rsidR="00924883" w:rsidRPr="001B1818" w14:paraId="7F2FA45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9C09BC1" w14:textId="61E3D48A"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Hesse Rural Health Service</w:t>
            </w:r>
          </w:p>
        </w:tc>
        <w:tc>
          <w:tcPr>
            <w:tcW w:w="1332" w:type="dxa"/>
            <w:noWrap/>
            <w:vAlign w:val="center"/>
          </w:tcPr>
          <w:p w14:paraId="7D2407FC" w14:textId="7C5D9BC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2,794</w:t>
            </w:r>
          </w:p>
        </w:tc>
        <w:tc>
          <w:tcPr>
            <w:tcW w:w="1332" w:type="dxa"/>
            <w:noWrap/>
          </w:tcPr>
          <w:p w14:paraId="6A535CAF" w14:textId="713679D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1,421</w:t>
            </w:r>
          </w:p>
        </w:tc>
        <w:tc>
          <w:tcPr>
            <w:tcW w:w="1333" w:type="dxa"/>
            <w:noWrap/>
            <w:vAlign w:val="center"/>
          </w:tcPr>
          <w:p w14:paraId="1B179572" w14:textId="323DFBB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72CCF128" w14:textId="3B6E8F6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662</w:t>
            </w:r>
          </w:p>
        </w:tc>
        <w:tc>
          <w:tcPr>
            <w:tcW w:w="1333" w:type="dxa"/>
            <w:noWrap/>
            <w:vAlign w:val="center"/>
          </w:tcPr>
          <w:p w14:paraId="3B4C74F5" w14:textId="48F2471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w:t>
            </w:r>
            <w:r w:rsidR="00CB7779">
              <w:rPr>
                <w:rFonts w:cs="Arial"/>
                <w:color w:val="000000"/>
                <w:sz w:val="16"/>
                <w:szCs w:val="16"/>
              </w:rPr>
              <w:t>876</w:t>
            </w:r>
          </w:p>
        </w:tc>
      </w:tr>
      <w:tr w:rsidR="001373B5" w:rsidRPr="001B1818" w14:paraId="0342FFC0"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1C13097" w14:textId="047CB0B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Heywood Rural Health</w:t>
            </w:r>
          </w:p>
        </w:tc>
        <w:tc>
          <w:tcPr>
            <w:tcW w:w="1332" w:type="dxa"/>
            <w:noWrap/>
            <w:vAlign w:val="center"/>
          </w:tcPr>
          <w:p w14:paraId="4B7202AC" w14:textId="3E94DBF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5,027</w:t>
            </w:r>
          </w:p>
        </w:tc>
        <w:tc>
          <w:tcPr>
            <w:tcW w:w="1332" w:type="dxa"/>
            <w:noWrap/>
          </w:tcPr>
          <w:p w14:paraId="6FDD56F3" w14:textId="66F1BC2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565</w:t>
            </w:r>
          </w:p>
        </w:tc>
        <w:tc>
          <w:tcPr>
            <w:tcW w:w="1333" w:type="dxa"/>
            <w:noWrap/>
            <w:vAlign w:val="center"/>
          </w:tcPr>
          <w:p w14:paraId="195D99A6" w14:textId="0C17AB5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6DC220A" w14:textId="27192E7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36129DF8" w14:textId="6FA0498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5,592</w:t>
            </w:r>
          </w:p>
        </w:tc>
      </w:tr>
      <w:tr w:rsidR="00924883" w:rsidRPr="001B1818" w14:paraId="660961D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C5A1542" w14:textId="73310B84"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Inglewood And Districts Health Service</w:t>
            </w:r>
          </w:p>
        </w:tc>
        <w:tc>
          <w:tcPr>
            <w:tcW w:w="1332" w:type="dxa"/>
            <w:noWrap/>
            <w:vAlign w:val="center"/>
          </w:tcPr>
          <w:p w14:paraId="66EE5AC5" w14:textId="3B93BA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4,026</w:t>
            </w:r>
          </w:p>
        </w:tc>
        <w:tc>
          <w:tcPr>
            <w:tcW w:w="1332" w:type="dxa"/>
            <w:noWrap/>
          </w:tcPr>
          <w:p w14:paraId="611D2795" w14:textId="3BA4C59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763</w:t>
            </w:r>
          </w:p>
        </w:tc>
        <w:tc>
          <w:tcPr>
            <w:tcW w:w="1333" w:type="dxa"/>
            <w:noWrap/>
            <w:vAlign w:val="center"/>
          </w:tcPr>
          <w:p w14:paraId="36846E2C" w14:textId="2B9751E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11836F2B" w14:textId="3789D58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621</w:t>
            </w:r>
          </w:p>
        </w:tc>
        <w:tc>
          <w:tcPr>
            <w:tcW w:w="1333" w:type="dxa"/>
            <w:noWrap/>
            <w:vAlign w:val="center"/>
          </w:tcPr>
          <w:p w14:paraId="7A4C8EA6" w14:textId="3DD1273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5,410</w:t>
            </w:r>
          </w:p>
        </w:tc>
      </w:tr>
      <w:tr w:rsidR="001373B5" w:rsidRPr="001B1818" w14:paraId="2D8C9EB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0FACEAC" w14:textId="1BD9F89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Kerang District Health</w:t>
            </w:r>
          </w:p>
        </w:tc>
        <w:tc>
          <w:tcPr>
            <w:tcW w:w="1332" w:type="dxa"/>
            <w:noWrap/>
            <w:vAlign w:val="center"/>
          </w:tcPr>
          <w:p w14:paraId="00D748FF" w14:textId="1421A42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8,843</w:t>
            </w:r>
          </w:p>
        </w:tc>
        <w:tc>
          <w:tcPr>
            <w:tcW w:w="1332" w:type="dxa"/>
            <w:noWrap/>
          </w:tcPr>
          <w:p w14:paraId="5E180E11" w14:textId="3773C71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1,255</w:t>
            </w:r>
          </w:p>
        </w:tc>
        <w:tc>
          <w:tcPr>
            <w:tcW w:w="1333" w:type="dxa"/>
            <w:noWrap/>
            <w:vAlign w:val="center"/>
          </w:tcPr>
          <w:p w14:paraId="5BE07B31" w14:textId="682E0D2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4DE2E403" w14:textId="551A2C9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14521F6F" w14:textId="0C5020C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10,098</w:t>
            </w:r>
          </w:p>
        </w:tc>
      </w:tr>
      <w:tr w:rsidR="00924883" w:rsidRPr="001B1818" w14:paraId="6242A65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6B1D7EE" w14:textId="7905A377"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Kooweerup Regional Health Service</w:t>
            </w:r>
          </w:p>
        </w:tc>
        <w:tc>
          <w:tcPr>
            <w:tcW w:w="1332" w:type="dxa"/>
            <w:noWrap/>
            <w:vAlign w:val="center"/>
          </w:tcPr>
          <w:p w14:paraId="6FB58C31" w14:textId="685D092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6,732</w:t>
            </w:r>
          </w:p>
        </w:tc>
        <w:tc>
          <w:tcPr>
            <w:tcW w:w="1332" w:type="dxa"/>
            <w:noWrap/>
          </w:tcPr>
          <w:p w14:paraId="22D01FA0" w14:textId="430C7D5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1,044</w:t>
            </w:r>
          </w:p>
        </w:tc>
        <w:tc>
          <w:tcPr>
            <w:tcW w:w="1333" w:type="dxa"/>
            <w:noWrap/>
            <w:vAlign w:val="center"/>
          </w:tcPr>
          <w:p w14:paraId="2559FF4A" w14:textId="73B65C0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08A37C46" w14:textId="550D20F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02E33A5D" w14:textId="76CAEFB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7,776</w:t>
            </w:r>
          </w:p>
        </w:tc>
      </w:tr>
      <w:tr w:rsidR="001373B5" w:rsidRPr="001B1818" w14:paraId="554B897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1F496C0" w14:textId="625AD2B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Mallee Track Health &amp; Community Service</w:t>
            </w:r>
          </w:p>
        </w:tc>
        <w:tc>
          <w:tcPr>
            <w:tcW w:w="1332" w:type="dxa"/>
            <w:noWrap/>
            <w:vAlign w:val="center"/>
          </w:tcPr>
          <w:p w14:paraId="0F481C3E" w14:textId="51536A5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6,938</w:t>
            </w:r>
          </w:p>
        </w:tc>
        <w:tc>
          <w:tcPr>
            <w:tcW w:w="1332" w:type="dxa"/>
            <w:noWrap/>
          </w:tcPr>
          <w:p w14:paraId="5C703DDB" w14:textId="50E5B34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1,895</w:t>
            </w:r>
          </w:p>
        </w:tc>
        <w:tc>
          <w:tcPr>
            <w:tcW w:w="1333" w:type="dxa"/>
            <w:noWrap/>
            <w:vAlign w:val="center"/>
          </w:tcPr>
          <w:p w14:paraId="5901D166" w14:textId="406AB73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5CB23E7" w14:textId="732A7F8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4D2D1355" w14:textId="6FCA151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8,833</w:t>
            </w:r>
          </w:p>
        </w:tc>
      </w:tr>
      <w:tr w:rsidR="00924883" w:rsidRPr="001B1818" w14:paraId="018A526E"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DE61936" w14:textId="3697CB4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Mansfield District Hospital</w:t>
            </w:r>
          </w:p>
        </w:tc>
        <w:tc>
          <w:tcPr>
            <w:tcW w:w="1332" w:type="dxa"/>
            <w:noWrap/>
            <w:vAlign w:val="center"/>
          </w:tcPr>
          <w:p w14:paraId="0F620B2E" w14:textId="785D43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14,800</w:t>
            </w:r>
          </w:p>
        </w:tc>
        <w:tc>
          <w:tcPr>
            <w:tcW w:w="1332" w:type="dxa"/>
            <w:noWrap/>
          </w:tcPr>
          <w:p w14:paraId="3F53A007" w14:textId="7CB1ECEB"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1,349</w:t>
            </w:r>
          </w:p>
        </w:tc>
        <w:tc>
          <w:tcPr>
            <w:tcW w:w="1333" w:type="dxa"/>
            <w:noWrap/>
            <w:vAlign w:val="center"/>
          </w:tcPr>
          <w:p w14:paraId="062F0EDA" w14:textId="12A7999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565980A9" w14:textId="772CD5A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458</w:t>
            </w:r>
          </w:p>
        </w:tc>
        <w:tc>
          <w:tcPr>
            <w:tcW w:w="1333" w:type="dxa"/>
            <w:noWrap/>
            <w:vAlign w:val="center"/>
          </w:tcPr>
          <w:p w14:paraId="42A9A777" w14:textId="0E0D588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16,607</w:t>
            </w:r>
          </w:p>
        </w:tc>
      </w:tr>
      <w:tr w:rsidR="001373B5" w:rsidRPr="001B1818" w14:paraId="66A133EA"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2890367" w14:textId="3109625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Moyne Health Services</w:t>
            </w:r>
          </w:p>
        </w:tc>
        <w:tc>
          <w:tcPr>
            <w:tcW w:w="1332" w:type="dxa"/>
            <w:noWrap/>
            <w:vAlign w:val="center"/>
          </w:tcPr>
          <w:p w14:paraId="4D545E29" w14:textId="500EB21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7,050</w:t>
            </w:r>
          </w:p>
        </w:tc>
        <w:tc>
          <w:tcPr>
            <w:tcW w:w="1332" w:type="dxa"/>
            <w:noWrap/>
          </w:tcPr>
          <w:p w14:paraId="38AD24C6" w14:textId="7818BEA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1,485</w:t>
            </w:r>
          </w:p>
        </w:tc>
        <w:tc>
          <w:tcPr>
            <w:tcW w:w="1333" w:type="dxa"/>
            <w:noWrap/>
            <w:vAlign w:val="center"/>
          </w:tcPr>
          <w:p w14:paraId="656881DD" w14:textId="272C5DF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54AF57E" w14:textId="093CFE8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w:t>
            </w:r>
          </w:p>
        </w:tc>
        <w:tc>
          <w:tcPr>
            <w:tcW w:w="1333" w:type="dxa"/>
            <w:noWrap/>
            <w:vAlign w:val="center"/>
          </w:tcPr>
          <w:p w14:paraId="57B8C66D" w14:textId="03FCFD6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8,544</w:t>
            </w:r>
          </w:p>
        </w:tc>
      </w:tr>
      <w:tr w:rsidR="00924883" w:rsidRPr="001B1818" w14:paraId="1B9BCC9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51517C90" w14:textId="1B91032D"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Ncn Health</w:t>
            </w:r>
          </w:p>
        </w:tc>
        <w:tc>
          <w:tcPr>
            <w:tcW w:w="1332" w:type="dxa"/>
            <w:noWrap/>
            <w:vAlign w:val="center"/>
          </w:tcPr>
          <w:p w14:paraId="3E247103" w14:textId="25338AC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29,808</w:t>
            </w:r>
          </w:p>
        </w:tc>
        <w:tc>
          <w:tcPr>
            <w:tcW w:w="1332" w:type="dxa"/>
            <w:noWrap/>
          </w:tcPr>
          <w:p w14:paraId="17104B9F" w14:textId="02D44FA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3,147</w:t>
            </w:r>
          </w:p>
        </w:tc>
        <w:tc>
          <w:tcPr>
            <w:tcW w:w="1333" w:type="dxa"/>
            <w:noWrap/>
            <w:vAlign w:val="center"/>
          </w:tcPr>
          <w:p w14:paraId="6731C9D5" w14:textId="0FBE75B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7C18DD9F" w14:textId="7EE282B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444</w:t>
            </w:r>
          </w:p>
        </w:tc>
        <w:tc>
          <w:tcPr>
            <w:tcW w:w="1333" w:type="dxa"/>
            <w:noWrap/>
            <w:vAlign w:val="center"/>
          </w:tcPr>
          <w:p w14:paraId="60FB1685" w14:textId="52BCE4F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33,398</w:t>
            </w:r>
          </w:p>
        </w:tc>
      </w:tr>
      <w:tr w:rsidR="001373B5" w:rsidRPr="001B1818" w14:paraId="6321DE26"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304F315" w14:textId="33A9C7B4"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Omeo District Health</w:t>
            </w:r>
          </w:p>
        </w:tc>
        <w:tc>
          <w:tcPr>
            <w:tcW w:w="1332" w:type="dxa"/>
            <w:noWrap/>
            <w:vAlign w:val="center"/>
          </w:tcPr>
          <w:p w14:paraId="2FEE3CE1" w14:textId="135F1FA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4,768</w:t>
            </w:r>
          </w:p>
        </w:tc>
        <w:tc>
          <w:tcPr>
            <w:tcW w:w="1332" w:type="dxa"/>
            <w:noWrap/>
          </w:tcPr>
          <w:p w14:paraId="61A24BD1" w14:textId="08C1655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422</w:t>
            </w:r>
          </w:p>
        </w:tc>
        <w:tc>
          <w:tcPr>
            <w:tcW w:w="1333" w:type="dxa"/>
            <w:noWrap/>
            <w:vAlign w:val="center"/>
          </w:tcPr>
          <w:p w14:paraId="2A438717" w14:textId="46218CB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BA241FD" w14:textId="0317E10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1ACA6F70" w14:textId="2913B41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5,191</w:t>
            </w:r>
          </w:p>
        </w:tc>
      </w:tr>
      <w:tr w:rsidR="00924883" w:rsidRPr="001B1818" w14:paraId="4C29A45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5543611" w14:textId="73F1DE9A"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Orbost Regional Health</w:t>
            </w:r>
          </w:p>
        </w:tc>
        <w:tc>
          <w:tcPr>
            <w:tcW w:w="1332" w:type="dxa"/>
            <w:noWrap/>
            <w:vAlign w:val="center"/>
          </w:tcPr>
          <w:p w14:paraId="2AAAF0FC" w14:textId="20F5B5E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9,372</w:t>
            </w:r>
          </w:p>
        </w:tc>
        <w:tc>
          <w:tcPr>
            <w:tcW w:w="1332" w:type="dxa"/>
            <w:noWrap/>
          </w:tcPr>
          <w:p w14:paraId="7AEBBFF8" w14:textId="3AE602C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710</w:t>
            </w:r>
          </w:p>
        </w:tc>
        <w:tc>
          <w:tcPr>
            <w:tcW w:w="1333" w:type="dxa"/>
            <w:noWrap/>
            <w:vAlign w:val="center"/>
          </w:tcPr>
          <w:p w14:paraId="413097C9" w14:textId="509937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003BDC41" w14:textId="33E3EEA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404</w:t>
            </w:r>
          </w:p>
        </w:tc>
        <w:tc>
          <w:tcPr>
            <w:tcW w:w="1333" w:type="dxa"/>
            <w:noWrap/>
            <w:vAlign w:val="center"/>
          </w:tcPr>
          <w:p w14:paraId="137D621D" w14:textId="4A4886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10,486</w:t>
            </w:r>
          </w:p>
        </w:tc>
      </w:tr>
      <w:tr w:rsidR="001373B5" w:rsidRPr="001B1818" w14:paraId="7FA43A8E"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9363F9" w14:textId="5B5F3E1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Robinvale District Health Services</w:t>
            </w:r>
          </w:p>
        </w:tc>
        <w:tc>
          <w:tcPr>
            <w:tcW w:w="1332" w:type="dxa"/>
            <w:noWrap/>
            <w:vAlign w:val="center"/>
          </w:tcPr>
          <w:p w14:paraId="556F31DB" w14:textId="6FDDFB4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9,344</w:t>
            </w:r>
          </w:p>
        </w:tc>
        <w:tc>
          <w:tcPr>
            <w:tcW w:w="1332" w:type="dxa"/>
            <w:noWrap/>
          </w:tcPr>
          <w:p w14:paraId="25D875B4" w14:textId="7EA75F5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1,071</w:t>
            </w:r>
          </w:p>
        </w:tc>
        <w:tc>
          <w:tcPr>
            <w:tcW w:w="1333" w:type="dxa"/>
            <w:noWrap/>
            <w:vAlign w:val="center"/>
          </w:tcPr>
          <w:p w14:paraId="7C283761" w14:textId="394C9517"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DE17EE6" w14:textId="4B362C5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270</w:t>
            </w:r>
          </w:p>
        </w:tc>
        <w:tc>
          <w:tcPr>
            <w:tcW w:w="1333" w:type="dxa"/>
            <w:noWrap/>
            <w:vAlign w:val="center"/>
          </w:tcPr>
          <w:p w14:paraId="3ECDFE5E" w14:textId="7850D56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10,685</w:t>
            </w:r>
          </w:p>
        </w:tc>
      </w:tr>
      <w:tr w:rsidR="00924883" w:rsidRPr="001B1818" w14:paraId="2DB42560"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5A6754B1" w14:textId="5018E182"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lastRenderedPageBreak/>
              <w:t>Rochester And Elmore District Health Service</w:t>
            </w:r>
          </w:p>
        </w:tc>
        <w:tc>
          <w:tcPr>
            <w:tcW w:w="1332" w:type="dxa"/>
            <w:noWrap/>
            <w:vAlign w:val="center"/>
          </w:tcPr>
          <w:p w14:paraId="4928F4EC" w14:textId="65901E8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6,672</w:t>
            </w:r>
          </w:p>
        </w:tc>
        <w:tc>
          <w:tcPr>
            <w:tcW w:w="1332" w:type="dxa"/>
            <w:noWrap/>
          </w:tcPr>
          <w:p w14:paraId="4348EDC8" w14:textId="4316CB1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1,211</w:t>
            </w:r>
          </w:p>
        </w:tc>
        <w:tc>
          <w:tcPr>
            <w:tcW w:w="1333" w:type="dxa"/>
            <w:noWrap/>
            <w:vAlign w:val="center"/>
          </w:tcPr>
          <w:p w14:paraId="5FD6E8A5" w14:textId="75D7765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52A7FDB9" w14:textId="5C925BC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11BD7EBF" w14:textId="42A0F31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7,883</w:t>
            </w:r>
          </w:p>
        </w:tc>
      </w:tr>
      <w:tr w:rsidR="001373B5" w:rsidRPr="001B1818" w14:paraId="69B1D2A8"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30AB25B" w14:textId="3399DF9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Rural Northwest Health</w:t>
            </w:r>
          </w:p>
        </w:tc>
        <w:tc>
          <w:tcPr>
            <w:tcW w:w="1332" w:type="dxa"/>
            <w:noWrap/>
            <w:vAlign w:val="center"/>
          </w:tcPr>
          <w:p w14:paraId="7C694F21" w14:textId="31238CD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14,318</w:t>
            </w:r>
          </w:p>
        </w:tc>
        <w:tc>
          <w:tcPr>
            <w:tcW w:w="1332" w:type="dxa"/>
            <w:noWrap/>
          </w:tcPr>
          <w:p w14:paraId="6F0DB1C7" w14:textId="440BA49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2,127</w:t>
            </w:r>
          </w:p>
        </w:tc>
        <w:tc>
          <w:tcPr>
            <w:tcW w:w="1333" w:type="dxa"/>
            <w:noWrap/>
            <w:vAlign w:val="center"/>
          </w:tcPr>
          <w:p w14:paraId="7B6A04D1" w14:textId="17EEFF1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D47CAED" w14:textId="63DC358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669</w:t>
            </w:r>
          </w:p>
        </w:tc>
        <w:tc>
          <w:tcPr>
            <w:tcW w:w="1333" w:type="dxa"/>
            <w:noWrap/>
            <w:vAlign w:val="center"/>
          </w:tcPr>
          <w:p w14:paraId="3640A976" w14:textId="11FF090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17,114</w:t>
            </w:r>
          </w:p>
        </w:tc>
      </w:tr>
      <w:tr w:rsidR="00924883" w:rsidRPr="001B1818" w14:paraId="6C48AF0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5EB591C" w14:textId="000A7B8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Seymour Health</w:t>
            </w:r>
          </w:p>
        </w:tc>
        <w:tc>
          <w:tcPr>
            <w:tcW w:w="1332" w:type="dxa"/>
            <w:noWrap/>
            <w:vAlign w:val="center"/>
          </w:tcPr>
          <w:p w14:paraId="10C67E76" w14:textId="2D32D5E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18,134</w:t>
            </w:r>
          </w:p>
        </w:tc>
        <w:tc>
          <w:tcPr>
            <w:tcW w:w="1332" w:type="dxa"/>
            <w:noWrap/>
          </w:tcPr>
          <w:p w14:paraId="29EE2EF0" w14:textId="2451B8C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1,449</w:t>
            </w:r>
          </w:p>
        </w:tc>
        <w:tc>
          <w:tcPr>
            <w:tcW w:w="1333" w:type="dxa"/>
            <w:noWrap/>
            <w:vAlign w:val="center"/>
          </w:tcPr>
          <w:p w14:paraId="318B7E43" w14:textId="3B82948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4F779858" w14:textId="6B01EB1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102</w:t>
            </w:r>
          </w:p>
        </w:tc>
        <w:tc>
          <w:tcPr>
            <w:tcW w:w="1333" w:type="dxa"/>
            <w:noWrap/>
            <w:vAlign w:val="center"/>
          </w:tcPr>
          <w:p w14:paraId="3A1C572A" w14:textId="6538DF5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19,</w:t>
            </w:r>
            <w:r w:rsidR="00996DDF">
              <w:rPr>
                <w:rFonts w:cs="Arial"/>
                <w:color w:val="000000"/>
                <w:sz w:val="16"/>
                <w:szCs w:val="16"/>
              </w:rPr>
              <w:t>686</w:t>
            </w:r>
          </w:p>
        </w:tc>
      </w:tr>
      <w:tr w:rsidR="001373B5" w:rsidRPr="001B1818" w14:paraId="738629E0"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B6EEE3E" w14:textId="3EB904C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South Gippsland Hospital</w:t>
            </w:r>
          </w:p>
        </w:tc>
        <w:tc>
          <w:tcPr>
            <w:tcW w:w="1332" w:type="dxa"/>
            <w:noWrap/>
            <w:vAlign w:val="center"/>
          </w:tcPr>
          <w:p w14:paraId="29B68695" w14:textId="5AF9EED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9,531</w:t>
            </w:r>
          </w:p>
        </w:tc>
        <w:tc>
          <w:tcPr>
            <w:tcW w:w="1332" w:type="dxa"/>
            <w:noWrap/>
          </w:tcPr>
          <w:p w14:paraId="5A55D599" w14:textId="69FA64A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54</w:t>
            </w:r>
          </w:p>
        </w:tc>
        <w:tc>
          <w:tcPr>
            <w:tcW w:w="1333" w:type="dxa"/>
            <w:noWrap/>
            <w:vAlign w:val="center"/>
          </w:tcPr>
          <w:p w14:paraId="29F035C3" w14:textId="2528DAD7"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F4B31E2" w14:textId="4C6519E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93</w:t>
            </w:r>
          </w:p>
        </w:tc>
        <w:tc>
          <w:tcPr>
            <w:tcW w:w="1333" w:type="dxa"/>
            <w:noWrap/>
            <w:vAlign w:val="center"/>
          </w:tcPr>
          <w:p w14:paraId="02C5A636" w14:textId="5D9FCBB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9,678</w:t>
            </w:r>
          </w:p>
        </w:tc>
      </w:tr>
      <w:tr w:rsidR="00924883" w:rsidRPr="001B1818" w14:paraId="690F49B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D01626C" w14:textId="56565383"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Tallangatta Health Service</w:t>
            </w:r>
          </w:p>
        </w:tc>
        <w:tc>
          <w:tcPr>
            <w:tcW w:w="1332" w:type="dxa"/>
            <w:noWrap/>
            <w:vAlign w:val="center"/>
          </w:tcPr>
          <w:p w14:paraId="3929B74E" w14:textId="48CEBF5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7,372</w:t>
            </w:r>
          </w:p>
        </w:tc>
        <w:tc>
          <w:tcPr>
            <w:tcW w:w="1332" w:type="dxa"/>
            <w:noWrap/>
          </w:tcPr>
          <w:p w14:paraId="1069FEBC" w14:textId="2B7F518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731</w:t>
            </w:r>
          </w:p>
        </w:tc>
        <w:tc>
          <w:tcPr>
            <w:tcW w:w="1333" w:type="dxa"/>
            <w:noWrap/>
            <w:vAlign w:val="center"/>
          </w:tcPr>
          <w:p w14:paraId="4D5E2C24" w14:textId="45EB863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0D0439C" w14:textId="2A3AF50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261</w:t>
            </w:r>
          </w:p>
        </w:tc>
        <w:tc>
          <w:tcPr>
            <w:tcW w:w="1333" w:type="dxa"/>
            <w:noWrap/>
            <w:vAlign w:val="center"/>
          </w:tcPr>
          <w:p w14:paraId="40BE8C0B" w14:textId="32D7460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8,365</w:t>
            </w:r>
          </w:p>
        </w:tc>
      </w:tr>
      <w:tr w:rsidR="001373B5" w:rsidRPr="001B1818" w14:paraId="5FFEB275"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A8B51B7" w14:textId="07A5E8F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Terang And Mortlake Health Service</w:t>
            </w:r>
          </w:p>
        </w:tc>
        <w:tc>
          <w:tcPr>
            <w:tcW w:w="1332" w:type="dxa"/>
            <w:noWrap/>
            <w:vAlign w:val="center"/>
          </w:tcPr>
          <w:p w14:paraId="1DCA8C5C" w14:textId="02E5FEB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7,010</w:t>
            </w:r>
          </w:p>
        </w:tc>
        <w:tc>
          <w:tcPr>
            <w:tcW w:w="1332" w:type="dxa"/>
            <w:noWrap/>
          </w:tcPr>
          <w:p w14:paraId="7E7765B5" w14:textId="1AC28D9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754</w:t>
            </w:r>
          </w:p>
        </w:tc>
        <w:tc>
          <w:tcPr>
            <w:tcW w:w="1333" w:type="dxa"/>
            <w:noWrap/>
            <w:vAlign w:val="center"/>
          </w:tcPr>
          <w:p w14:paraId="4585CB1D" w14:textId="711EF53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8CDE2D7" w14:textId="19A62EC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1,406</w:t>
            </w:r>
          </w:p>
        </w:tc>
        <w:tc>
          <w:tcPr>
            <w:tcW w:w="1333" w:type="dxa"/>
            <w:noWrap/>
            <w:vAlign w:val="center"/>
          </w:tcPr>
          <w:p w14:paraId="4D841AA3" w14:textId="175C509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9,170</w:t>
            </w:r>
          </w:p>
        </w:tc>
      </w:tr>
      <w:tr w:rsidR="00924883" w:rsidRPr="001B1818" w14:paraId="4C8D3C52"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9112B23" w14:textId="4B8BBC3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Timboon &amp; District Healthcare Service</w:t>
            </w:r>
          </w:p>
        </w:tc>
        <w:tc>
          <w:tcPr>
            <w:tcW w:w="1332" w:type="dxa"/>
            <w:noWrap/>
            <w:vAlign w:val="center"/>
          </w:tcPr>
          <w:p w14:paraId="32B0C87D" w14:textId="4ABF84C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6,253</w:t>
            </w:r>
          </w:p>
        </w:tc>
        <w:tc>
          <w:tcPr>
            <w:tcW w:w="1332" w:type="dxa"/>
            <w:noWrap/>
          </w:tcPr>
          <w:p w14:paraId="43083708" w14:textId="6DC4B22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395</w:t>
            </w:r>
          </w:p>
        </w:tc>
        <w:tc>
          <w:tcPr>
            <w:tcW w:w="1333" w:type="dxa"/>
            <w:noWrap/>
            <w:vAlign w:val="center"/>
          </w:tcPr>
          <w:p w14:paraId="2D33FCA8" w14:textId="351884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E708F33" w14:textId="436D924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314</w:t>
            </w:r>
          </w:p>
        </w:tc>
        <w:tc>
          <w:tcPr>
            <w:tcW w:w="1333" w:type="dxa"/>
            <w:noWrap/>
            <w:vAlign w:val="center"/>
          </w:tcPr>
          <w:p w14:paraId="7F326D04" w14:textId="5D90931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6,962</w:t>
            </w:r>
          </w:p>
        </w:tc>
      </w:tr>
      <w:tr w:rsidR="001373B5" w:rsidRPr="001B1818" w14:paraId="430D506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14FF805" w14:textId="0E66C9A5"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West Wimmera Health Service</w:t>
            </w:r>
          </w:p>
        </w:tc>
        <w:tc>
          <w:tcPr>
            <w:tcW w:w="1332" w:type="dxa"/>
            <w:noWrap/>
            <w:vAlign w:val="center"/>
          </w:tcPr>
          <w:p w14:paraId="53EAB6AD" w14:textId="185289F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20,879</w:t>
            </w:r>
          </w:p>
        </w:tc>
        <w:tc>
          <w:tcPr>
            <w:tcW w:w="1332" w:type="dxa"/>
            <w:noWrap/>
          </w:tcPr>
          <w:p w14:paraId="6E6EE309" w14:textId="1580EDC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3,707</w:t>
            </w:r>
          </w:p>
        </w:tc>
        <w:tc>
          <w:tcPr>
            <w:tcW w:w="1333" w:type="dxa"/>
            <w:noWrap/>
            <w:vAlign w:val="center"/>
          </w:tcPr>
          <w:p w14:paraId="2F08C875" w14:textId="043C438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300</w:t>
            </w:r>
          </w:p>
        </w:tc>
        <w:tc>
          <w:tcPr>
            <w:tcW w:w="1332" w:type="dxa"/>
            <w:noWrap/>
            <w:vAlign w:val="center"/>
          </w:tcPr>
          <w:p w14:paraId="7EFEF177" w14:textId="16F86F5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3,635</w:t>
            </w:r>
          </w:p>
        </w:tc>
        <w:tc>
          <w:tcPr>
            <w:tcW w:w="1333" w:type="dxa"/>
            <w:noWrap/>
            <w:vAlign w:val="center"/>
          </w:tcPr>
          <w:p w14:paraId="15824E94" w14:textId="53D4EEE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28,521</w:t>
            </w:r>
          </w:p>
        </w:tc>
      </w:tr>
      <w:tr w:rsidR="00924883" w:rsidRPr="001B1818" w14:paraId="0645A507"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0D2EBBD" w14:textId="2ADE86B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Yarram And District Health Service</w:t>
            </w:r>
          </w:p>
        </w:tc>
        <w:tc>
          <w:tcPr>
            <w:tcW w:w="1332" w:type="dxa"/>
            <w:noWrap/>
            <w:vAlign w:val="center"/>
          </w:tcPr>
          <w:p w14:paraId="66AAADD0" w14:textId="35E1D53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7,362</w:t>
            </w:r>
          </w:p>
        </w:tc>
        <w:tc>
          <w:tcPr>
            <w:tcW w:w="1332" w:type="dxa"/>
            <w:noWrap/>
          </w:tcPr>
          <w:p w14:paraId="3CDB0404" w14:textId="3486CCE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888</w:t>
            </w:r>
          </w:p>
        </w:tc>
        <w:tc>
          <w:tcPr>
            <w:tcW w:w="1333" w:type="dxa"/>
            <w:noWrap/>
            <w:vAlign w:val="center"/>
          </w:tcPr>
          <w:p w14:paraId="3935E62B" w14:textId="1099B13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3CBDBDB" w14:textId="6893DE3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620</w:t>
            </w:r>
          </w:p>
        </w:tc>
        <w:tc>
          <w:tcPr>
            <w:tcW w:w="1333" w:type="dxa"/>
            <w:noWrap/>
            <w:vAlign w:val="center"/>
          </w:tcPr>
          <w:p w14:paraId="1EBE5167" w14:textId="0BC1883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8,870</w:t>
            </w:r>
          </w:p>
        </w:tc>
      </w:tr>
      <w:tr w:rsidR="001373B5" w:rsidRPr="001B1818" w14:paraId="2A6F82B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8D8B165" w14:textId="1A92F5A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Yarrawonga Health</w:t>
            </w:r>
          </w:p>
        </w:tc>
        <w:tc>
          <w:tcPr>
            <w:tcW w:w="1332" w:type="dxa"/>
            <w:noWrap/>
            <w:vAlign w:val="center"/>
          </w:tcPr>
          <w:p w14:paraId="6C1A3DD7" w14:textId="12E6DB7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15,147</w:t>
            </w:r>
          </w:p>
        </w:tc>
        <w:tc>
          <w:tcPr>
            <w:tcW w:w="1332" w:type="dxa"/>
            <w:noWrap/>
          </w:tcPr>
          <w:p w14:paraId="45C34C41" w14:textId="219DCB5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1,552</w:t>
            </w:r>
          </w:p>
        </w:tc>
        <w:tc>
          <w:tcPr>
            <w:tcW w:w="1333" w:type="dxa"/>
            <w:noWrap/>
            <w:vAlign w:val="center"/>
          </w:tcPr>
          <w:p w14:paraId="705129DC" w14:textId="1CC7A3C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4BFCB5D" w14:textId="074F14C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755</w:t>
            </w:r>
          </w:p>
        </w:tc>
        <w:tc>
          <w:tcPr>
            <w:tcW w:w="1333" w:type="dxa"/>
            <w:noWrap/>
            <w:vAlign w:val="center"/>
          </w:tcPr>
          <w:p w14:paraId="7CE9A518" w14:textId="7FDDD2B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17,454</w:t>
            </w:r>
          </w:p>
        </w:tc>
      </w:tr>
      <w:tr w:rsidR="00924883" w:rsidRPr="001B1818" w14:paraId="57DA47A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2F700E6" w14:textId="7BE992F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Yea And District Memorial Hospital</w:t>
            </w:r>
          </w:p>
        </w:tc>
        <w:tc>
          <w:tcPr>
            <w:tcW w:w="1332" w:type="dxa"/>
            <w:noWrap/>
            <w:vAlign w:val="center"/>
          </w:tcPr>
          <w:p w14:paraId="28EA3D8A" w14:textId="4AB7071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4,350</w:t>
            </w:r>
          </w:p>
        </w:tc>
        <w:tc>
          <w:tcPr>
            <w:tcW w:w="1332" w:type="dxa"/>
            <w:noWrap/>
          </w:tcPr>
          <w:p w14:paraId="3D47A3A3" w14:textId="4A13EA4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435</w:t>
            </w:r>
          </w:p>
        </w:tc>
        <w:tc>
          <w:tcPr>
            <w:tcW w:w="1333" w:type="dxa"/>
            <w:noWrap/>
            <w:vAlign w:val="center"/>
          </w:tcPr>
          <w:p w14:paraId="005D6927" w14:textId="607C441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1A97B4D8" w14:textId="5611C7F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426</w:t>
            </w:r>
          </w:p>
        </w:tc>
        <w:tc>
          <w:tcPr>
            <w:tcW w:w="1333" w:type="dxa"/>
            <w:noWrap/>
            <w:vAlign w:val="center"/>
          </w:tcPr>
          <w:p w14:paraId="4901745F" w14:textId="03309BD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5,211</w:t>
            </w:r>
          </w:p>
        </w:tc>
      </w:tr>
      <w:tr w:rsidR="00D94D1A" w:rsidRPr="001B1818" w14:paraId="5AC03DE8" w14:textId="77777777">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bottom"/>
          </w:tcPr>
          <w:p w14:paraId="6BFC5165" w14:textId="058645F2" w:rsidR="00D94D1A" w:rsidRPr="00D94D1A" w:rsidRDefault="00D94D1A" w:rsidP="00D94D1A">
            <w:pPr>
              <w:pStyle w:val="Tabletext9pt"/>
              <w:rPr>
                <w:rFonts w:cs="Arial"/>
                <w:b w:val="0"/>
                <w:sz w:val="16"/>
                <w:szCs w:val="16"/>
              </w:rPr>
            </w:pPr>
            <w:r w:rsidRPr="00D94D1A">
              <w:rPr>
                <w:rFonts w:cs="Arial"/>
                <w:b w:val="0"/>
                <w:bCs/>
                <w:color w:val="000000"/>
                <w:sz w:val="16"/>
                <w:szCs w:val="16"/>
              </w:rPr>
              <w:t>Total</w:t>
            </w:r>
          </w:p>
        </w:tc>
        <w:tc>
          <w:tcPr>
            <w:tcW w:w="1332" w:type="dxa"/>
            <w:noWrap/>
            <w:vAlign w:val="bottom"/>
          </w:tcPr>
          <w:p w14:paraId="49CB8D92" w14:textId="4C13EB8E"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363,643</w:t>
            </w:r>
          </w:p>
        </w:tc>
        <w:tc>
          <w:tcPr>
            <w:tcW w:w="1332" w:type="dxa"/>
            <w:noWrap/>
            <w:vAlign w:val="bottom"/>
          </w:tcPr>
          <w:p w14:paraId="2102F9E0" w14:textId="11DFACB2" w:rsidR="00D94D1A" w:rsidRPr="0065082F" w:rsidRDefault="00966E38"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sz w:val="16"/>
                <w:szCs w:val="16"/>
              </w:rPr>
              <w:t>44,340</w:t>
            </w:r>
          </w:p>
        </w:tc>
        <w:tc>
          <w:tcPr>
            <w:tcW w:w="1333" w:type="dxa"/>
            <w:noWrap/>
            <w:vAlign w:val="bottom"/>
          </w:tcPr>
          <w:p w14:paraId="0A38C611" w14:textId="4E1295AE"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300</w:t>
            </w:r>
          </w:p>
        </w:tc>
        <w:tc>
          <w:tcPr>
            <w:tcW w:w="1332" w:type="dxa"/>
            <w:noWrap/>
            <w:vAlign w:val="bottom"/>
          </w:tcPr>
          <w:p w14:paraId="3F133CCA" w14:textId="3A051C96"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15,095</w:t>
            </w:r>
          </w:p>
        </w:tc>
        <w:tc>
          <w:tcPr>
            <w:tcW w:w="1333" w:type="dxa"/>
            <w:noWrap/>
            <w:vAlign w:val="bottom"/>
          </w:tcPr>
          <w:p w14:paraId="600FD737" w14:textId="44F80AB1" w:rsidR="00D94D1A" w:rsidRPr="0065082F" w:rsidRDefault="0065082F"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sz w:val="16"/>
                <w:szCs w:val="16"/>
              </w:rPr>
              <w:t>423,378</w:t>
            </w:r>
          </w:p>
        </w:tc>
      </w:tr>
    </w:tbl>
    <w:p w14:paraId="35130BCE" w14:textId="68CF7214" w:rsidR="00D26DF2" w:rsidRDefault="00D26DF2" w:rsidP="005B699B">
      <w:pPr>
        <w:pStyle w:val="Body"/>
      </w:pPr>
    </w:p>
    <w:p w14:paraId="47B7C4A2" w14:textId="77777777" w:rsidR="00563BA8" w:rsidRDefault="00563BA8" w:rsidP="005D7D2C">
      <w:pPr>
        <w:pStyle w:val="Heading2"/>
        <w:numPr>
          <w:ilvl w:val="1"/>
          <w:numId w:val="12"/>
        </w:numPr>
        <w:ind w:left="851" w:hanging="851"/>
        <w:sectPr w:rsidR="00563BA8" w:rsidSect="00AC52D2">
          <w:pgSz w:w="11906" w:h="16838" w:code="9"/>
          <w:pgMar w:top="1418" w:right="1304" w:bottom="1134" w:left="1304" w:header="680" w:footer="567" w:gutter="0"/>
          <w:cols w:space="340"/>
          <w:docGrid w:linePitch="360"/>
        </w:sectPr>
      </w:pPr>
    </w:p>
    <w:p w14:paraId="4B3510AA" w14:textId="5C7FC521" w:rsidR="00C13F85" w:rsidRDefault="00C50343" w:rsidP="005D7D2C">
      <w:pPr>
        <w:pStyle w:val="Heading2"/>
        <w:numPr>
          <w:ilvl w:val="1"/>
          <w:numId w:val="12"/>
        </w:numPr>
        <w:ind w:left="851" w:hanging="851"/>
        <w:rPr>
          <w:color w:val="FF0000"/>
        </w:rPr>
      </w:pPr>
      <w:bookmarkStart w:id="2384" w:name="_Toc144905667"/>
      <w:bookmarkStart w:id="2385" w:name="_Toc144905668"/>
      <w:bookmarkStart w:id="2386" w:name="_Toc12780658"/>
      <w:bookmarkStart w:id="2387" w:name="_Toc14172299"/>
      <w:bookmarkStart w:id="2388" w:name="_Toc33703973"/>
      <w:bookmarkStart w:id="2389" w:name="_Toc55381161"/>
      <w:bookmarkStart w:id="2390" w:name="_Toc100263367"/>
      <w:bookmarkStart w:id="2391" w:name="_Toc165961863"/>
      <w:bookmarkStart w:id="2392" w:name="_Toc201148291"/>
      <w:bookmarkEnd w:id="2384"/>
      <w:bookmarkEnd w:id="2385"/>
      <w:r>
        <w:lastRenderedPageBreak/>
        <w:t>Funding summary</w:t>
      </w:r>
      <w:r w:rsidR="005B699B" w:rsidRPr="00977693">
        <w:t>: health service expenditure budgets 202</w:t>
      </w:r>
      <w:r w:rsidR="000C0EF6">
        <w:t>5</w:t>
      </w:r>
      <w:r w:rsidR="005B699B" w:rsidRPr="00977693">
        <w:t>–2</w:t>
      </w:r>
      <w:r w:rsidR="000C0EF6">
        <w:t>6</w:t>
      </w:r>
      <w:r w:rsidR="005B699B" w:rsidRPr="00977693">
        <w:t xml:space="preserve"> by service category</w:t>
      </w:r>
      <w:bookmarkEnd w:id="2386"/>
      <w:bookmarkEnd w:id="2387"/>
      <w:bookmarkEnd w:id="2388"/>
      <w:bookmarkEnd w:id="2389"/>
      <w:bookmarkEnd w:id="2390"/>
      <w:bookmarkEnd w:id="2391"/>
      <w:bookmarkEnd w:id="2392"/>
      <w:r w:rsidR="00054728">
        <w:t xml:space="preserve"> </w:t>
      </w:r>
    </w:p>
    <w:p w14:paraId="37C3A707" w14:textId="77777777" w:rsidR="003F33E2" w:rsidRPr="00216EF2" w:rsidRDefault="003F33E2" w:rsidP="00FB44E2">
      <w:pPr>
        <w:pStyle w:val="Tablefigurenote9pt"/>
      </w:pPr>
      <w:r w:rsidRPr="00C40CE8">
        <w:t>Notes</w:t>
      </w:r>
      <w:r w:rsidRPr="00216EF2">
        <w:t>:</w:t>
      </w:r>
    </w:p>
    <w:p w14:paraId="67EB83D1" w14:textId="1EFD9937" w:rsidR="003F33E2" w:rsidRPr="00D750E5" w:rsidRDefault="003F33E2" w:rsidP="00473B41">
      <w:pPr>
        <w:pStyle w:val="Tablebullet9pt"/>
      </w:pPr>
      <w:r w:rsidRPr="00D750E5">
        <w:t>This table shows (</w:t>
      </w:r>
      <w:r w:rsidR="002A3E82" w:rsidRPr="00D750E5">
        <w:t xml:space="preserve">state </w:t>
      </w:r>
      <w:r w:rsidRPr="00D750E5">
        <w:t>and Commonwealth) funding flowed through the National Health Funding Pool to activity funding.</w:t>
      </w:r>
    </w:p>
    <w:p w14:paraId="512CE5AE" w14:textId="77777777" w:rsidR="003F33E2" w:rsidRPr="00D750E5" w:rsidRDefault="003F33E2" w:rsidP="00473B41">
      <w:pPr>
        <w:pStyle w:val="Tablebullet9pt"/>
      </w:pPr>
      <w:r w:rsidRPr="00D750E5">
        <w:t>This table does not include public hospital services provided by small rural health services or non-health service organisations.</w:t>
      </w:r>
    </w:p>
    <w:p w14:paraId="4D790BB9" w14:textId="6A2F1ACF" w:rsidR="003F33E2" w:rsidRDefault="003217DF" w:rsidP="00473B41">
      <w:pPr>
        <w:pStyle w:val="Tablebullet9pt"/>
      </w:pPr>
      <w:r w:rsidRPr="00D750E5">
        <w:t>Subtotals and totals may not add up due to rounding.</w:t>
      </w:r>
    </w:p>
    <w:p w14:paraId="5E584F7C" w14:textId="77777777" w:rsidR="00A06CA4" w:rsidRDefault="00A06CA4" w:rsidP="00A06CA4">
      <w:pPr>
        <w:pStyle w:val="Tablebullet9pt"/>
      </w:pPr>
      <w:bookmarkStart w:id="2393" w:name="_Ref485757837"/>
      <w:bookmarkStart w:id="2394" w:name="_Ref423037493"/>
      <w:bookmarkStart w:id="2395" w:name="_Toc12780562"/>
      <w:bookmarkStart w:id="2396" w:name="_Toc14194818"/>
      <w:bookmarkStart w:id="2397" w:name="_Toc33703999"/>
      <w:bookmarkStart w:id="2398" w:name="_Toc109894129"/>
      <w:bookmarkStart w:id="2399" w:name="_Ref201047519"/>
      <w:bookmarkStart w:id="2400" w:name="_Toc201148589"/>
      <w:bookmarkStart w:id="2401" w:name="_Hlk170294557"/>
      <w:r w:rsidRPr="00A06CA4">
        <w:t>Draft information pending finalisation of SOPs</w:t>
      </w:r>
      <w:r>
        <w:t>.</w:t>
      </w:r>
    </w:p>
    <w:p w14:paraId="59AEF8E1" w14:textId="5C2EF7E4" w:rsidR="005B699B" w:rsidRPr="001D69B6" w:rsidRDefault="00462DC7" w:rsidP="00297FC9">
      <w:pPr>
        <w:pStyle w:val="Tablecaption"/>
      </w:pPr>
      <w:r w:rsidRPr="00216EF2">
        <w:t>Table</w:t>
      </w:r>
      <w:r w:rsidR="00D72666">
        <w:t xml:space="preserve"> 2</w:t>
      </w:r>
      <w:r w:rsidR="000E0ED2">
        <w:t>.</w:t>
      </w:r>
      <w:r>
        <w:fldChar w:fldCharType="begin"/>
      </w:r>
      <w:r>
        <w:instrText>SEQ Table \* ARABIC \s 1</w:instrText>
      </w:r>
      <w:r>
        <w:fldChar w:fldCharType="separate"/>
      </w:r>
      <w:r w:rsidR="007D262B">
        <w:rPr>
          <w:noProof/>
        </w:rPr>
        <w:t>3</w:t>
      </w:r>
      <w:r>
        <w:fldChar w:fldCharType="end"/>
      </w:r>
      <w:bookmarkEnd w:id="2393"/>
      <w:r w:rsidRPr="00216EF2">
        <w:t xml:space="preserve">: </w:t>
      </w:r>
      <w:bookmarkEnd w:id="2394"/>
      <w:r w:rsidR="00C50343">
        <w:t>Funding summary</w:t>
      </w:r>
      <w:r w:rsidR="009709A2">
        <w:t>: h</w:t>
      </w:r>
      <w:r w:rsidR="005B699B" w:rsidRPr="00216EF2">
        <w:t>ealth service expenditure budgets 202</w:t>
      </w:r>
      <w:r w:rsidR="000C0EF6">
        <w:t>5</w:t>
      </w:r>
      <w:r w:rsidR="005B699B" w:rsidRPr="00216EF2">
        <w:t>–2</w:t>
      </w:r>
      <w:r w:rsidR="000C0EF6">
        <w:t>6</w:t>
      </w:r>
      <w:r w:rsidR="005B699B" w:rsidRPr="00216EF2">
        <w:t xml:space="preserve"> by service category</w:t>
      </w:r>
      <w:bookmarkEnd w:id="2395"/>
      <w:bookmarkEnd w:id="2396"/>
      <w:bookmarkEnd w:id="2397"/>
      <w:bookmarkEnd w:id="2398"/>
      <w:bookmarkEnd w:id="2399"/>
      <w:bookmarkEnd w:id="2400"/>
    </w:p>
    <w:p w14:paraId="288EC108" w14:textId="77777777" w:rsidR="005B699B" w:rsidRDefault="005B699B" w:rsidP="005B699B">
      <w:pPr>
        <w:pStyle w:val="Body"/>
        <w:keepNext/>
        <w:keepLines/>
        <w:spacing w:line="240" w:lineRule="auto"/>
      </w:pPr>
      <w:bookmarkStart w:id="2402" w:name="_Toc12780659"/>
      <w:bookmarkStart w:id="2403" w:name="_Toc14172300"/>
      <w:bookmarkStart w:id="2404" w:name="_Toc33703974"/>
      <w:bookmarkStart w:id="2405" w:name="_Toc55381162"/>
      <w:bookmarkStart w:id="2406" w:name="_Toc100263368"/>
      <w:bookmarkEnd w:id="2401"/>
      <w:r>
        <w:t>Metropolitan and regional – $’000s</w:t>
      </w:r>
    </w:p>
    <w:tbl>
      <w:tblPr>
        <w:tblStyle w:val="GridTable4-Accent1"/>
        <w:tblW w:w="14514" w:type="dxa"/>
        <w:tblInd w:w="-5" w:type="dxa"/>
        <w:tblLayout w:type="fixed"/>
        <w:tblLook w:val="04A0" w:firstRow="1" w:lastRow="0" w:firstColumn="1" w:lastColumn="0" w:noHBand="0" w:noVBand="1"/>
      </w:tblPr>
      <w:tblGrid>
        <w:gridCol w:w="2268"/>
        <w:gridCol w:w="1247"/>
        <w:gridCol w:w="1247"/>
        <w:gridCol w:w="1247"/>
        <w:gridCol w:w="1247"/>
        <w:gridCol w:w="1191"/>
        <w:gridCol w:w="1191"/>
        <w:gridCol w:w="1191"/>
        <w:gridCol w:w="1247"/>
        <w:gridCol w:w="1247"/>
        <w:gridCol w:w="1191"/>
      </w:tblGrid>
      <w:tr w:rsidR="00924883" w:rsidRPr="00A2223A" w14:paraId="6D81D1E5" w14:textId="46B1FFEB" w:rsidTr="00136964">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0632DC81" w14:textId="01EB972B" w:rsidR="009D4BF1" w:rsidRPr="00257223" w:rsidRDefault="009D4BF1" w:rsidP="00473B41">
            <w:pPr>
              <w:pStyle w:val="Tablecolhead8pt"/>
              <w:rPr>
                <w:b/>
                <w:bCs w:val="0"/>
                <w:color w:val="FFFFFF" w:themeColor="background1"/>
              </w:rPr>
            </w:pPr>
            <w:bookmarkStart w:id="2407" w:name="_Hlk170294604"/>
            <w:r w:rsidRPr="00257223">
              <w:rPr>
                <w:b/>
                <w:bCs w:val="0"/>
                <w:color w:val="FFFFFF" w:themeColor="background1"/>
              </w:rPr>
              <w:t>Health service</w:t>
            </w:r>
          </w:p>
        </w:tc>
        <w:tc>
          <w:tcPr>
            <w:tcW w:w="1247" w:type="dxa"/>
            <w:hideMark/>
          </w:tcPr>
          <w:p w14:paraId="5662CBC3"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841FD2E" w14:textId="374B149E"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2B400D36"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769F1E43" w14:textId="70E20E00" w:rsidR="009D4BF1" w:rsidRPr="00563BA8"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tcPr>
          <w:p w14:paraId="6A140D41"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75F6F48" w14:textId="75160D95"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tcPr>
          <w:p w14:paraId="1A951B7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633CF139" w14:textId="1E4D67D5"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191" w:type="dxa"/>
            <w:hideMark/>
          </w:tcPr>
          <w:p w14:paraId="3558248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718E26F7" w14:textId="19282D22"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6E184E4C"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7579C677" w14:textId="7B3652ED" w:rsidR="009D4BF1" w:rsidRPr="00C16B70"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Other public hospitals</w:t>
            </w:r>
          </w:p>
        </w:tc>
        <w:tc>
          <w:tcPr>
            <w:tcW w:w="1191" w:type="dxa"/>
            <w:hideMark/>
          </w:tcPr>
          <w:p w14:paraId="0D9334DE"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BBFC36E" w14:textId="252EC047"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2325E84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6B94B12" w14:textId="5F2B81F8"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tcPr>
          <w:p w14:paraId="19E824D0" w14:textId="77777777"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91B2056" w14:textId="7E71137A"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6B681871" w14:textId="7F5147CB"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16B39B5A" w14:textId="77777777"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5B3BE8D" w14:textId="4F4C97BD"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C16B70">
              <w:rPr>
                <w:b/>
                <w:bCs w:val="0"/>
                <w:color w:val="FFFFFF" w:themeColor="background1"/>
              </w:rPr>
              <w:t>Total</w:t>
            </w:r>
          </w:p>
        </w:tc>
      </w:tr>
      <w:tr w:rsidR="00924883" w:rsidRPr="00A2223A" w14:paraId="09812B55" w14:textId="1F1F2CA4"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285E2EA9" w14:textId="18795B9B" w:rsidR="00136964" w:rsidRPr="00136964" w:rsidRDefault="00136964" w:rsidP="00136964">
            <w:pPr>
              <w:pStyle w:val="Tabletext8pt"/>
              <w:rPr>
                <w:rFonts w:cs="Arial"/>
                <w:b w:val="0"/>
                <w:bCs w:val="0"/>
                <w:sz w:val="16"/>
                <w:szCs w:val="16"/>
              </w:rPr>
            </w:pPr>
            <w:r w:rsidRPr="00136964">
              <w:rPr>
                <w:b w:val="0"/>
                <w:bCs w:val="0"/>
                <w:sz w:val="16"/>
                <w:szCs w:val="16"/>
              </w:rPr>
              <w:t>Albury Wodonga Health</w:t>
            </w:r>
            <w:r w:rsidR="00E90518">
              <w:rPr>
                <w:rStyle w:val="FootnoteReference"/>
                <w:b w:val="0"/>
                <w:bCs w:val="0"/>
                <w:sz w:val="16"/>
                <w:szCs w:val="16"/>
              </w:rPr>
              <w:footnoteReference w:id="13"/>
            </w:r>
          </w:p>
        </w:tc>
        <w:tc>
          <w:tcPr>
            <w:tcW w:w="1247" w:type="dxa"/>
            <w:noWrap/>
            <w:vAlign w:val="center"/>
          </w:tcPr>
          <w:p w14:paraId="4030D599" w14:textId="6DFABDA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258,933</w:t>
            </w:r>
          </w:p>
        </w:tc>
        <w:tc>
          <w:tcPr>
            <w:tcW w:w="1247" w:type="dxa"/>
            <w:vAlign w:val="center"/>
          </w:tcPr>
          <w:p w14:paraId="04A52600" w14:textId="2F64AC7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27,363</w:t>
            </w:r>
          </w:p>
        </w:tc>
        <w:tc>
          <w:tcPr>
            <w:tcW w:w="1247" w:type="dxa"/>
            <w:vAlign w:val="center"/>
          </w:tcPr>
          <w:p w14:paraId="23AEFAE2" w14:textId="6BC3751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0ADB86DF" w14:textId="5EE5E61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6A55CFF" w14:textId="34B8852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7,758</w:t>
            </w:r>
          </w:p>
        </w:tc>
        <w:tc>
          <w:tcPr>
            <w:tcW w:w="1191" w:type="dxa"/>
            <w:noWrap/>
            <w:vAlign w:val="center"/>
          </w:tcPr>
          <w:p w14:paraId="10ED6553" w14:textId="25D8F49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E54EDF3" w14:textId="02601E6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B398A73" w14:textId="581EF87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9,252</w:t>
            </w:r>
          </w:p>
        </w:tc>
        <w:tc>
          <w:tcPr>
            <w:tcW w:w="1247" w:type="dxa"/>
            <w:vAlign w:val="center"/>
          </w:tcPr>
          <w:p w14:paraId="78B8DF72" w14:textId="6F540A7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181,742</w:t>
            </w:r>
          </w:p>
        </w:tc>
        <w:tc>
          <w:tcPr>
            <w:tcW w:w="1191" w:type="dxa"/>
            <w:vAlign w:val="center"/>
          </w:tcPr>
          <w:p w14:paraId="0A0041B5" w14:textId="062307D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485,048</w:t>
            </w:r>
          </w:p>
        </w:tc>
      </w:tr>
      <w:tr w:rsidR="00136964" w:rsidRPr="00A2223A" w14:paraId="601B8B2F" w14:textId="6DBDD739"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3B680F48" w14:textId="04F23DE5" w:rsidR="00136964" w:rsidRPr="00136964" w:rsidRDefault="00136964" w:rsidP="00136964">
            <w:pPr>
              <w:pStyle w:val="Tabletext8pt"/>
              <w:rPr>
                <w:rFonts w:cs="Arial"/>
                <w:b w:val="0"/>
                <w:bCs w:val="0"/>
                <w:sz w:val="16"/>
                <w:szCs w:val="16"/>
              </w:rPr>
            </w:pPr>
            <w:r w:rsidRPr="00136964">
              <w:rPr>
                <w:b w:val="0"/>
                <w:bCs w:val="0"/>
                <w:sz w:val="16"/>
                <w:szCs w:val="16"/>
              </w:rPr>
              <w:t>Alfred Health</w:t>
            </w:r>
          </w:p>
        </w:tc>
        <w:tc>
          <w:tcPr>
            <w:tcW w:w="1247" w:type="dxa"/>
            <w:noWrap/>
            <w:vAlign w:val="center"/>
          </w:tcPr>
          <w:p w14:paraId="221F07DD" w14:textId="1EBE79E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1,390,386</w:t>
            </w:r>
          </w:p>
        </w:tc>
        <w:tc>
          <w:tcPr>
            <w:tcW w:w="1247" w:type="dxa"/>
            <w:vAlign w:val="center"/>
          </w:tcPr>
          <w:p w14:paraId="0E8BA4D4" w14:textId="6862C50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79,391</w:t>
            </w:r>
          </w:p>
        </w:tc>
        <w:tc>
          <w:tcPr>
            <w:tcW w:w="1247" w:type="dxa"/>
            <w:vAlign w:val="center"/>
          </w:tcPr>
          <w:p w14:paraId="33E9502D" w14:textId="2239787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28,339</w:t>
            </w:r>
          </w:p>
        </w:tc>
        <w:tc>
          <w:tcPr>
            <w:tcW w:w="1247" w:type="dxa"/>
            <w:vAlign w:val="center"/>
          </w:tcPr>
          <w:p w14:paraId="18B59DA0" w14:textId="08EFD5F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BA6D7F2" w14:textId="73EF191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7,067</w:t>
            </w:r>
          </w:p>
        </w:tc>
        <w:tc>
          <w:tcPr>
            <w:tcW w:w="1191" w:type="dxa"/>
            <w:noWrap/>
            <w:vAlign w:val="center"/>
          </w:tcPr>
          <w:p w14:paraId="5AB74EDB" w14:textId="36A1D34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5590FA2" w14:textId="4B069D2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4B99F29" w14:textId="3E723A1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25,653</w:t>
            </w:r>
          </w:p>
        </w:tc>
        <w:tc>
          <w:tcPr>
            <w:tcW w:w="1247" w:type="dxa"/>
            <w:vAlign w:val="center"/>
          </w:tcPr>
          <w:p w14:paraId="2E2A01B6" w14:textId="7893B1D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37,913</w:t>
            </w:r>
          </w:p>
        </w:tc>
        <w:tc>
          <w:tcPr>
            <w:tcW w:w="1191" w:type="dxa"/>
            <w:vAlign w:val="center"/>
          </w:tcPr>
          <w:p w14:paraId="26F68AA3" w14:textId="551A7ED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1,568,748</w:t>
            </w:r>
          </w:p>
        </w:tc>
      </w:tr>
      <w:tr w:rsidR="00924883" w:rsidRPr="00A2223A" w14:paraId="1EAE1661" w14:textId="336BE13C"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BB7791F" w14:textId="522FC00A" w:rsidR="00136964" w:rsidRPr="00136964" w:rsidRDefault="00136964" w:rsidP="00136964">
            <w:pPr>
              <w:pStyle w:val="Tabletext8pt"/>
              <w:rPr>
                <w:rFonts w:cs="Arial"/>
                <w:b w:val="0"/>
                <w:bCs w:val="0"/>
                <w:sz w:val="16"/>
                <w:szCs w:val="16"/>
              </w:rPr>
            </w:pPr>
            <w:r w:rsidRPr="00136964">
              <w:rPr>
                <w:b w:val="0"/>
                <w:bCs w:val="0"/>
                <w:sz w:val="16"/>
                <w:szCs w:val="16"/>
              </w:rPr>
              <w:t>Austin Health</w:t>
            </w:r>
          </w:p>
        </w:tc>
        <w:tc>
          <w:tcPr>
            <w:tcW w:w="1247" w:type="dxa"/>
            <w:noWrap/>
            <w:vAlign w:val="center"/>
          </w:tcPr>
          <w:p w14:paraId="68AE5514" w14:textId="790C537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1,032,047</w:t>
            </w:r>
          </w:p>
        </w:tc>
        <w:tc>
          <w:tcPr>
            <w:tcW w:w="1247" w:type="dxa"/>
            <w:vAlign w:val="center"/>
          </w:tcPr>
          <w:p w14:paraId="0BADE3BA" w14:textId="0DCB369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50,360</w:t>
            </w:r>
          </w:p>
        </w:tc>
        <w:tc>
          <w:tcPr>
            <w:tcW w:w="1247" w:type="dxa"/>
            <w:vAlign w:val="center"/>
          </w:tcPr>
          <w:p w14:paraId="1E0BA88E" w14:textId="11CE3AC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404E1C2A" w14:textId="315ED82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9,756</w:t>
            </w:r>
          </w:p>
        </w:tc>
        <w:tc>
          <w:tcPr>
            <w:tcW w:w="1191" w:type="dxa"/>
            <w:noWrap/>
            <w:vAlign w:val="center"/>
          </w:tcPr>
          <w:p w14:paraId="5F95BB45" w14:textId="4941E3A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11,515</w:t>
            </w:r>
          </w:p>
        </w:tc>
        <w:tc>
          <w:tcPr>
            <w:tcW w:w="1191" w:type="dxa"/>
            <w:noWrap/>
            <w:vAlign w:val="center"/>
          </w:tcPr>
          <w:p w14:paraId="0E3E41A0" w14:textId="7FC7C08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5685EC3" w14:textId="3DB21D4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0804D5" w14:textId="169126A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24,092</w:t>
            </w:r>
          </w:p>
        </w:tc>
        <w:tc>
          <w:tcPr>
            <w:tcW w:w="1247" w:type="dxa"/>
            <w:vAlign w:val="center"/>
          </w:tcPr>
          <w:p w14:paraId="6F5AAF47" w14:textId="5463892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155,635</w:t>
            </w:r>
          </w:p>
        </w:tc>
        <w:tc>
          <w:tcPr>
            <w:tcW w:w="1191" w:type="dxa"/>
            <w:vAlign w:val="center"/>
          </w:tcPr>
          <w:p w14:paraId="4CAC96CF" w14:textId="0991DB3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1,283,405</w:t>
            </w:r>
          </w:p>
        </w:tc>
      </w:tr>
      <w:tr w:rsidR="00136964" w:rsidRPr="00A2223A" w14:paraId="2A52DDB8" w14:textId="2FA990AA"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79D4728" w14:textId="5CDD2A16" w:rsidR="00136964" w:rsidRPr="00136964" w:rsidRDefault="00136964" w:rsidP="00136964">
            <w:pPr>
              <w:pStyle w:val="Tabletext8pt"/>
              <w:rPr>
                <w:rFonts w:cs="Arial"/>
                <w:b w:val="0"/>
                <w:bCs w:val="0"/>
                <w:sz w:val="16"/>
                <w:szCs w:val="16"/>
              </w:rPr>
            </w:pPr>
            <w:r w:rsidRPr="00136964">
              <w:rPr>
                <w:b w:val="0"/>
                <w:bCs w:val="0"/>
                <w:sz w:val="16"/>
                <w:szCs w:val="16"/>
              </w:rPr>
              <w:t>Barwon Health</w:t>
            </w:r>
          </w:p>
        </w:tc>
        <w:tc>
          <w:tcPr>
            <w:tcW w:w="1247" w:type="dxa"/>
            <w:noWrap/>
            <w:vAlign w:val="center"/>
          </w:tcPr>
          <w:p w14:paraId="07BF7AB0" w14:textId="2F18EBB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896,537</w:t>
            </w:r>
          </w:p>
        </w:tc>
        <w:tc>
          <w:tcPr>
            <w:tcW w:w="1247" w:type="dxa"/>
            <w:vAlign w:val="center"/>
          </w:tcPr>
          <w:p w14:paraId="02FBC347" w14:textId="3CF4508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64,285</w:t>
            </w:r>
          </w:p>
        </w:tc>
        <w:tc>
          <w:tcPr>
            <w:tcW w:w="1247" w:type="dxa"/>
            <w:vAlign w:val="center"/>
          </w:tcPr>
          <w:p w14:paraId="3E6F5AD6" w14:textId="2FB0BE5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0FC865A" w14:textId="3B928C7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59E98A8" w14:textId="00247F4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7,683</w:t>
            </w:r>
          </w:p>
        </w:tc>
        <w:tc>
          <w:tcPr>
            <w:tcW w:w="1191" w:type="dxa"/>
            <w:noWrap/>
            <w:vAlign w:val="center"/>
          </w:tcPr>
          <w:p w14:paraId="505332F5" w14:textId="1332FDB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2D6B740" w14:textId="39A5BE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240C85A" w14:textId="0FDC162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21,535</w:t>
            </w:r>
          </w:p>
        </w:tc>
        <w:tc>
          <w:tcPr>
            <w:tcW w:w="1247" w:type="dxa"/>
            <w:vAlign w:val="center"/>
          </w:tcPr>
          <w:p w14:paraId="73E757F2" w14:textId="77B5354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-1,233</w:t>
            </w:r>
          </w:p>
        </w:tc>
        <w:tc>
          <w:tcPr>
            <w:tcW w:w="1191" w:type="dxa"/>
            <w:vAlign w:val="center"/>
          </w:tcPr>
          <w:p w14:paraId="171FA27A" w14:textId="7DC921B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988,805</w:t>
            </w:r>
          </w:p>
        </w:tc>
      </w:tr>
      <w:tr w:rsidR="00924883" w:rsidRPr="00A2223A" w14:paraId="5FD4EA79" w14:textId="533D428C"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48109816" w14:textId="1CC8CAB8" w:rsidR="00136964" w:rsidRPr="00136964" w:rsidRDefault="00136964" w:rsidP="00136964">
            <w:pPr>
              <w:pStyle w:val="Tabletext8pt"/>
              <w:rPr>
                <w:rFonts w:cs="Arial"/>
                <w:b w:val="0"/>
                <w:bCs w:val="0"/>
                <w:sz w:val="16"/>
                <w:szCs w:val="16"/>
              </w:rPr>
            </w:pPr>
            <w:r w:rsidRPr="00136964">
              <w:rPr>
                <w:b w:val="0"/>
                <w:bCs w:val="0"/>
                <w:sz w:val="16"/>
                <w:szCs w:val="16"/>
              </w:rPr>
              <w:t>Bendigo Health</w:t>
            </w:r>
          </w:p>
        </w:tc>
        <w:tc>
          <w:tcPr>
            <w:tcW w:w="1247" w:type="dxa"/>
            <w:noWrap/>
            <w:vAlign w:val="center"/>
          </w:tcPr>
          <w:p w14:paraId="3FA75F55" w14:textId="1193B0C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534,803</w:t>
            </w:r>
          </w:p>
        </w:tc>
        <w:tc>
          <w:tcPr>
            <w:tcW w:w="1247" w:type="dxa"/>
            <w:vAlign w:val="center"/>
          </w:tcPr>
          <w:p w14:paraId="20F5AFC3" w14:textId="767F03E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56,396</w:t>
            </w:r>
          </w:p>
        </w:tc>
        <w:tc>
          <w:tcPr>
            <w:tcW w:w="1247" w:type="dxa"/>
            <w:vAlign w:val="center"/>
          </w:tcPr>
          <w:p w14:paraId="28EEBFED" w14:textId="2A82698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A45BCD0" w14:textId="281FED6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8B04522" w14:textId="6BE38CF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10,676</w:t>
            </w:r>
          </w:p>
        </w:tc>
        <w:tc>
          <w:tcPr>
            <w:tcW w:w="1191" w:type="dxa"/>
            <w:noWrap/>
            <w:vAlign w:val="center"/>
          </w:tcPr>
          <w:p w14:paraId="1D591D58" w14:textId="13A3C5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EC77356" w14:textId="787C72A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4A09730" w14:textId="02B24A7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14,663</w:t>
            </w:r>
          </w:p>
        </w:tc>
        <w:tc>
          <w:tcPr>
            <w:tcW w:w="1247" w:type="dxa"/>
            <w:vAlign w:val="center"/>
          </w:tcPr>
          <w:p w14:paraId="32F023A2" w14:textId="79935CC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-18,480</w:t>
            </w:r>
          </w:p>
        </w:tc>
        <w:tc>
          <w:tcPr>
            <w:tcW w:w="1191" w:type="dxa"/>
            <w:vAlign w:val="center"/>
          </w:tcPr>
          <w:p w14:paraId="702ECF25" w14:textId="255B2FB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598,058</w:t>
            </w:r>
          </w:p>
        </w:tc>
      </w:tr>
      <w:tr w:rsidR="00136964" w:rsidRPr="00A2223A" w14:paraId="22A2FA2D" w14:textId="6DE5FE4F"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hideMark/>
          </w:tcPr>
          <w:p w14:paraId="0633FC3A" w14:textId="31BA388A" w:rsidR="00136964" w:rsidRPr="00136964" w:rsidRDefault="00136964" w:rsidP="00136964">
            <w:pPr>
              <w:pStyle w:val="Tabletext8pt"/>
              <w:rPr>
                <w:rFonts w:cs="Arial"/>
                <w:b w:val="0"/>
                <w:bCs w:val="0"/>
                <w:sz w:val="16"/>
                <w:szCs w:val="16"/>
              </w:rPr>
            </w:pPr>
            <w:r w:rsidRPr="00136964">
              <w:rPr>
                <w:b w:val="0"/>
                <w:bCs w:val="0"/>
                <w:sz w:val="16"/>
                <w:szCs w:val="16"/>
              </w:rPr>
              <w:t>Calvary Health Care Bethlehem Limited</w:t>
            </w:r>
          </w:p>
        </w:tc>
        <w:tc>
          <w:tcPr>
            <w:tcW w:w="1247" w:type="dxa"/>
            <w:noWrap/>
            <w:vAlign w:val="center"/>
          </w:tcPr>
          <w:p w14:paraId="135FEF80" w14:textId="0D4EDE0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29,523</w:t>
            </w:r>
          </w:p>
        </w:tc>
        <w:tc>
          <w:tcPr>
            <w:tcW w:w="1247" w:type="dxa"/>
            <w:vAlign w:val="center"/>
          </w:tcPr>
          <w:p w14:paraId="11114ACE"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0D59FC54" w14:textId="74D8D0C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031EB7F" w14:textId="20CD08D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13CC3C1" w14:textId="4869E04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32EA7F8" w14:textId="3642BD6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FEE9B4D" w14:textId="7667211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FC8BA62" w14:textId="30D41DD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636</w:t>
            </w:r>
          </w:p>
        </w:tc>
        <w:tc>
          <w:tcPr>
            <w:tcW w:w="1247" w:type="dxa"/>
            <w:vAlign w:val="center"/>
          </w:tcPr>
          <w:p w14:paraId="438A2C37" w14:textId="39132D9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31</w:t>
            </w:r>
          </w:p>
        </w:tc>
        <w:tc>
          <w:tcPr>
            <w:tcW w:w="1191" w:type="dxa"/>
            <w:vAlign w:val="center"/>
          </w:tcPr>
          <w:p w14:paraId="2B5A200D" w14:textId="2FCA08E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30,189</w:t>
            </w:r>
          </w:p>
        </w:tc>
      </w:tr>
      <w:tr w:rsidR="00924883" w:rsidRPr="00A2223A" w14:paraId="0453AA5C" w14:textId="34B4D685"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61644924" w14:textId="094EAC68" w:rsidR="00136964" w:rsidRPr="00136964" w:rsidRDefault="00136964" w:rsidP="00136964">
            <w:pPr>
              <w:pStyle w:val="Tabletext8pt"/>
              <w:rPr>
                <w:rFonts w:cs="Arial"/>
                <w:b w:val="0"/>
                <w:bCs w:val="0"/>
                <w:sz w:val="16"/>
                <w:szCs w:val="16"/>
              </w:rPr>
            </w:pPr>
            <w:r w:rsidRPr="00136964">
              <w:rPr>
                <w:b w:val="0"/>
                <w:bCs w:val="0"/>
                <w:sz w:val="16"/>
                <w:szCs w:val="16"/>
              </w:rPr>
              <w:t>Eastern Health</w:t>
            </w:r>
          </w:p>
        </w:tc>
        <w:tc>
          <w:tcPr>
            <w:tcW w:w="1247" w:type="dxa"/>
            <w:noWrap/>
            <w:vAlign w:val="center"/>
          </w:tcPr>
          <w:p w14:paraId="5F56DE24" w14:textId="59A725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1,251,808</w:t>
            </w:r>
          </w:p>
        </w:tc>
        <w:tc>
          <w:tcPr>
            <w:tcW w:w="1247" w:type="dxa"/>
            <w:vAlign w:val="center"/>
          </w:tcPr>
          <w:p w14:paraId="698131C0" w14:textId="11EE86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124,570</w:t>
            </w:r>
          </w:p>
        </w:tc>
        <w:tc>
          <w:tcPr>
            <w:tcW w:w="1247" w:type="dxa"/>
            <w:vAlign w:val="center"/>
          </w:tcPr>
          <w:p w14:paraId="4732A51E" w14:textId="6817C8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7CF54E28" w14:textId="74C52F9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DF3B020" w14:textId="4BC0406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24,167</w:t>
            </w:r>
          </w:p>
        </w:tc>
        <w:tc>
          <w:tcPr>
            <w:tcW w:w="1191" w:type="dxa"/>
            <w:noWrap/>
            <w:vAlign w:val="center"/>
          </w:tcPr>
          <w:p w14:paraId="18B899AA" w14:textId="297362E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CEBC0A8" w14:textId="7643E69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B4AEC2E" w14:textId="534B43A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23,262</w:t>
            </w:r>
          </w:p>
        </w:tc>
        <w:tc>
          <w:tcPr>
            <w:tcW w:w="1247" w:type="dxa"/>
            <w:vAlign w:val="center"/>
          </w:tcPr>
          <w:p w14:paraId="21BFC8A9" w14:textId="2B722EA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46,438</w:t>
            </w:r>
          </w:p>
        </w:tc>
        <w:tc>
          <w:tcPr>
            <w:tcW w:w="1191" w:type="dxa"/>
            <w:vAlign w:val="center"/>
          </w:tcPr>
          <w:p w14:paraId="18967DFE" w14:textId="5674AF0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1,470,245</w:t>
            </w:r>
          </w:p>
        </w:tc>
      </w:tr>
      <w:tr w:rsidR="00136964" w:rsidRPr="00A2223A" w14:paraId="7328394B" w14:textId="7566F447"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8BB3276" w14:textId="76D11A4A" w:rsidR="00136964" w:rsidRPr="00136964" w:rsidRDefault="00136964" w:rsidP="00136964">
            <w:pPr>
              <w:pStyle w:val="Tabletext8pt"/>
              <w:rPr>
                <w:rFonts w:cs="Arial"/>
                <w:b w:val="0"/>
                <w:bCs w:val="0"/>
                <w:sz w:val="16"/>
                <w:szCs w:val="16"/>
              </w:rPr>
            </w:pPr>
            <w:r w:rsidRPr="00136964">
              <w:rPr>
                <w:b w:val="0"/>
                <w:bCs w:val="0"/>
                <w:sz w:val="16"/>
                <w:szCs w:val="16"/>
              </w:rPr>
              <w:t>Goulburn Valley Health</w:t>
            </w:r>
            <w:r w:rsidR="00081FAC">
              <w:rPr>
                <w:rStyle w:val="FootnoteReference"/>
                <w:b w:val="0"/>
                <w:bCs w:val="0"/>
                <w:sz w:val="16"/>
                <w:szCs w:val="16"/>
              </w:rPr>
              <w:footnoteReference w:id="14"/>
            </w:r>
          </w:p>
        </w:tc>
        <w:tc>
          <w:tcPr>
            <w:tcW w:w="1247" w:type="dxa"/>
            <w:noWrap/>
            <w:vAlign w:val="center"/>
          </w:tcPr>
          <w:p w14:paraId="608BA4B1" w14:textId="188AF48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298,677</w:t>
            </w:r>
          </w:p>
        </w:tc>
        <w:tc>
          <w:tcPr>
            <w:tcW w:w="1247" w:type="dxa"/>
            <w:vAlign w:val="center"/>
          </w:tcPr>
          <w:p w14:paraId="425211E3" w14:textId="2A1F02D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31,031</w:t>
            </w:r>
          </w:p>
        </w:tc>
        <w:tc>
          <w:tcPr>
            <w:tcW w:w="1247" w:type="dxa"/>
            <w:vAlign w:val="center"/>
          </w:tcPr>
          <w:p w14:paraId="170F2470" w14:textId="7380EE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3AF58B38" w14:textId="556AC09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68B2F1D" w14:textId="7B6BF53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6,261</w:t>
            </w:r>
          </w:p>
        </w:tc>
        <w:tc>
          <w:tcPr>
            <w:tcW w:w="1191" w:type="dxa"/>
            <w:noWrap/>
            <w:vAlign w:val="center"/>
          </w:tcPr>
          <w:p w14:paraId="649B4080" w14:textId="77AA2E7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3066DF4" w14:textId="2F9E140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8B5025C" w14:textId="4ED119B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17,800</w:t>
            </w:r>
          </w:p>
        </w:tc>
        <w:tc>
          <w:tcPr>
            <w:tcW w:w="1247" w:type="dxa"/>
            <w:vAlign w:val="center"/>
          </w:tcPr>
          <w:p w14:paraId="6228759B" w14:textId="518B40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33,486</w:t>
            </w:r>
          </w:p>
        </w:tc>
        <w:tc>
          <w:tcPr>
            <w:tcW w:w="1191" w:type="dxa"/>
            <w:vAlign w:val="center"/>
          </w:tcPr>
          <w:p w14:paraId="09B63A23" w14:textId="6623CBA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387,255</w:t>
            </w:r>
          </w:p>
        </w:tc>
      </w:tr>
      <w:tr w:rsidR="00924883" w:rsidRPr="00A2223A" w14:paraId="558637DE" w14:textId="348FB9DA"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692AE316" w14:textId="605AFF45" w:rsidR="00136964" w:rsidRPr="00136964" w:rsidRDefault="00136964" w:rsidP="00136964">
            <w:pPr>
              <w:pStyle w:val="Tabletext8pt"/>
              <w:rPr>
                <w:rFonts w:cs="Arial"/>
                <w:b w:val="0"/>
                <w:bCs w:val="0"/>
                <w:sz w:val="16"/>
                <w:szCs w:val="16"/>
              </w:rPr>
            </w:pPr>
            <w:r w:rsidRPr="00136964">
              <w:rPr>
                <w:b w:val="0"/>
                <w:bCs w:val="0"/>
                <w:sz w:val="16"/>
                <w:szCs w:val="16"/>
              </w:rPr>
              <w:t>Grampians Health</w:t>
            </w:r>
          </w:p>
        </w:tc>
        <w:tc>
          <w:tcPr>
            <w:tcW w:w="1247" w:type="dxa"/>
            <w:noWrap/>
            <w:vAlign w:val="center"/>
          </w:tcPr>
          <w:p w14:paraId="2D56B21D" w14:textId="6881E4B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560,301</w:t>
            </w:r>
          </w:p>
        </w:tc>
        <w:tc>
          <w:tcPr>
            <w:tcW w:w="1247" w:type="dxa"/>
            <w:vAlign w:val="center"/>
          </w:tcPr>
          <w:p w14:paraId="4D6D462B" w14:textId="7EAC536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42,930</w:t>
            </w:r>
          </w:p>
        </w:tc>
        <w:tc>
          <w:tcPr>
            <w:tcW w:w="1247" w:type="dxa"/>
            <w:vAlign w:val="center"/>
          </w:tcPr>
          <w:p w14:paraId="62A76A0F" w14:textId="343810B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4B9CAD6C" w14:textId="06484BE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DAFE51E" w14:textId="1E94203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5,499</w:t>
            </w:r>
          </w:p>
        </w:tc>
        <w:tc>
          <w:tcPr>
            <w:tcW w:w="1191" w:type="dxa"/>
            <w:noWrap/>
            <w:vAlign w:val="center"/>
          </w:tcPr>
          <w:p w14:paraId="1FF57369" w14:textId="33A525F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6594FDF" w14:textId="1502574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5,806</w:t>
            </w:r>
          </w:p>
        </w:tc>
        <w:tc>
          <w:tcPr>
            <w:tcW w:w="1247" w:type="dxa"/>
            <w:noWrap/>
            <w:vAlign w:val="center"/>
          </w:tcPr>
          <w:p w14:paraId="4B59F7DA" w14:textId="6F519CE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16,808</w:t>
            </w:r>
          </w:p>
        </w:tc>
        <w:tc>
          <w:tcPr>
            <w:tcW w:w="1247" w:type="dxa"/>
            <w:vAlign w:val="center"/>
          </w:tcPr>
          <w:p w14:paraId="72DC53CB" w14:textId="0211D29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97,908</w:t>
            </w:r>
          </w:p>
        </w:tc>
        <w:tc>
          <w:tcPr>
            <w:tcW w:w="1191" w:type="dxa"/>
            <w:vAlign w:val="center"/>
          </w:tcPr>
          <w:p w14:paraId="08D9AC07" w14:textId="00C8A50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729,252</w:t>
            </w:r>
          </w:p>
        </w:tc>
      </w:tr>
      <w:tr w:rsidR="00136964" w:rsidRPr="00A2223A" w14:paraId="1AE7CDCB" w14:textId="74714FDB"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91A190A" w14:textId="60E256E4" w:rsidR="00136964" w:rsidRPr="00136964" w:rsidRDefault="00136964" w:rsidP="00136964">
            <w:pPr>
              <w:pStyle w:val="Tabletext8pt"/>
              <w:rPr>
                <w:rFonts w:cs="Arial"/>
                <w:b w:val="0"/>
                <w:bCs w:val="0"/>
                <w:sz w:val="16"/>
                <w:szCs w:val="16"/>
              </w:rPr>
            </w:pPr>
            <w:r w:rsidRPr="00136964">
              <w:rPr>
                <w:b w:val="0"/>
                <w:bCs w:val="0"/>
                <w:sz w:val="16"/>
                <w:szCs w:val="16"/>
              </w:rPr>
              <w:t>Latrobe Regional Health</w:t>
            </w:r>
          </w:p>
        </w:tc>
        <w:tc>
          <w:tcPr>
            <w:tcW w:w="1247" w:type="dxa"/>
            <w:noWrap/>
            <w:vAlign w:val="center"/>
          </w:tcPr>
          <w:p w14:paraId="193F62DC" w14:textId="009CE26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342,419</w:t>
            </w:r>
          </w:p>
        </w:tc>
        <w:tc>
          <w:tcPr>
            <w:tcW w:w="1247" w:type="dxa"/>
            <w:vAlign w:val="center"/>
          </w:tcPr>
          <w:p w14:paraId="29169B2B" w14:textId="3149062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51,664</w:t>
            </w:r>
          </w:p>
        </w:tc>
        <w:tc>
          <w:tcPr>
            <w:tcW w:w="1247" w:type="dxa"/>
            <w:vAlign w:val="center"/>
          </w:tcPr>
          <w:p w14:paraId="01D681D4" w14:textId="65E5AFF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1D3F5C89" w14:textId="2C6EC90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B86426A" w14:textId="312385E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5,095</w:t>
            </w:r>
          </w:p>
        </w:tc>
        <w:tc>
          <w:tcPr>
            <w:tcW w:w="1191" w:type="dxa"/>
            <w:noWrap/>
            <w:vAlign w:val="center"/>
          </w:tcPr>
          <w:p w14:paraId="68AEDDAF" w14:textId="3AD3DC1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177B621C" w14:textId="13042BA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6F9659" w14:textId="2219EF8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10,141</w:t>
            </w:r>
          </w:p>
        </w:tc>
        <w:tc>
          <w:tcPr>
            <w:tcW w:w="1247" w:type="dxa"/>
            <w:vAlign w:val="center"/>
          </w:tcPr>
          <w:p w14:paraId="276999BB" w14:textId="6F839AE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1,734</w:t>
            </w:r>
          </w:p>
        </w:tc>
        <w:tc>
          <w:tcPr>
            <w:tcW w:w="1191" w:type="dxa"/>
            <w:vAlign w:val="center"/>
          </w:tcPr>
          <w:p w14:paraId="3A117D1E" w14:textId="26DA784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411,054</w:t>
            </w:r>
          </w:p>
        </w:tc>
      </w:tr>
      <w:tr w:rsidR="00924883" w:rsidRPr="00A2223A" w14:paraId="1F5BC85E" w14:textId="56D4A09E"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49CEA928" w14:textId="2F99D91E" w:rsidR="00136964" w:rsidRPr="00136964" w:rsidRDefault="00136964" w:rsidP="00136964">
            <w:pPr>
              <w:pStyle w:val="Tabletext8pt"/>
              <w:rPr>
                <w:rFonts w:cs="Arial"/>
                <w:b w:val="0"/>
                <w:bCs w:val="0"/>
                <w:sz w:val="16"/>
                <w:szCs w:val="16"/>
              </w:rPr>
            </w:pPr>
            <w:r w:rsidRPr="00136964">
              <w:rPr>
                <w:b w:val="0"/>
                <w:bCs w:val="0"/>
                <w:sz w:val="16"/>
                <w:szCs w:val="16"/>
              </w:rPr>
              <w:t>Melbourne Health</w:t>
            </w:r>
          </w:p>
        </w:tc>
        <w:tc>
          <w:tcPr>
            <w:tcW w:w="1247" w:type="dxa"/>
            <w:noWrap/>
            <w:vAlign w:val="center"/>
          </w:tcPr>
          <w:p w14:paraId="183C3727" w14:textId="20F90E5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1,063,744</w:t>
            </w:r>
          </w:p>
        </w:tc>
        <w:tc>
          <w:tcPr>
            <w:tcW w:w="1247" w:type="dxa"/>
            <w:vAlign w:val="center"/>
          </w:tcPr>
          <w:p w14:paraId="5D0C934F" w14:textId="3C71DD6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54,925</w:t>
            </w:r>
          </w:p>
        </w:tc>
        <w:tc>
          <w:tcPr>
            <w:tcW w:w="1247" w:type="dxa"/>
            <w:vAlign w:val="center"/>
          </w:tcPr>
          <w:p w14:paraId="3A7C8A8A" w14:textId="0B6B969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625</w:t>
            </w:r>
          </w:p>
        </w:tc>
        <w:tc>
          <w:tcPr>
            <w:tcW w:w="1247" w:type="dxa"/>
            <w:vAlign w:val="center"/>
          </w:tcPr>
          <w:p w14:paraId="56DBA5A0" w14:textId="2645B02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A32E9B4" w14:textId="5A82EED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5,664</w:t>
            </w:r>
          </w:p>
        </w:tc>
        <w:tc>
          <w:tcPr>
            <w:tcW w:w="1191" w:type="dxa"/>
            <w:noWrap/>
            <w:vAlign w:val="center"/>
          </w:tcPr>
          <w:p w14:paraId="7E3C7694" w14:textId="6C120D9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09E03F3" w14:textId="1A3206B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90A689A" w14:textId="4335E0F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28,686</w:t>
            </w:r>
          </w:p>
        </w:tc>
        <w:tc>
          <w:tcPr>
            <w:tcW w:w="1247" w:type="dxa"/>
            <w:vAlign w:val="center"/>
          </w:tcPr>
          <w:p w14:paraId="4B1FE7EF" w14:textId="1D00575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155,881</w:t>
            </w:r>
          </w:p>
        </w:tc>
        <w:tc>
          <w:tcPr>
            <w:tcW w:w="1191" w:type="dxa"/>
            <w:vAlign w:val="center"/>
          </w:tcPr>
          <w:p w14:paraId="3622A777" w14:textId="3123698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1,309,526</w:t>
            </w:r>
          </w:p>
        </w:tc>
      </w:tr>
      <w:tr w:rsidR="00136964" w:rsidRPr="00A2223A" w14:paraId="65744D79" w14:textId="34AE1867"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F2291B2" w14:textId="504F0346" w:rsidR="00136964" w:rsidRPr="00136964" w:rsidRDefault="00136964" w:rsidP="00136964">
            <w:pPr>
              <w:pStyle w:val="Tabletext8pt"/>
              <w:rPr>
                <w:rFonts w:cs="Arial"/>
                <w:b w:val="0"/>
                <w:bCs w:val="0"/>
                <w:sz w:val="16"/>
                <w:szCs w:val="16"/>
              </w:rPr>
            </w:pPr>
            <w:r w:rsidRPr="00136964">
              <w:rPr>
                <w:b w:val="0"/>
                <w:bCs w:val="0"/>
                <w:sz w:val="16"/>
                <w:szCs w:val="16"/>
              </w:rPr>
              <w:lastRenderedPageBreak/>
              <w:t>Mercy Hospitals Victoria Limited</w:t>
            </w:r>
          </w:p>
        </w:tc>
        <w:tc>
          <w:tcPr>
            <w:tcW w:w="1247" w:type="dxa"/>
            <w:noWrap/>
            <w:vAlign w:val="center"/>
          </w:tcPr>
          <w:p w14:paraId="0C3C2173" w14:textId="6AEC9D7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542,444</w:t>
            </w:r>
          </w:p>
        </w:tc>
        <w:tc>
          <w:tcPr>
            <w:tcW w:w="1247" w:type="dxa"/>
            <w:vAlign w:val="center"/>
          </w:tcPr>
          <w:p w14:paraId="4D9E4D76" w14:textId="1EFF702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44,637</w:t>
            </w:r>
          </w:p>
        </w:tc>
        <w:tc>
          <w:tcPr>
            <w:tcW w:w="1247" w:type="dxa"/>
            <w:vAlign w:val="center"/>
          </w:tcPr>
          <w:p w14:paraId="05148A83" w14:textId="397DC63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00128442" w14:textId="3694B12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7090841" w14:textId="015D96E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7,067</w:t>
            </w:r>
          </w:p>
        </w:tc>
        <w:tc>
          <w:tcPr>
            <w:tcW w:w="1191" w:type="dxa"/>
            <w:noWrap/>
            <w:vAlign w:val="center"/>
          </w:tcPr>
          <w:p w14:paraId="308E93FC" w14:textId="7E725B4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8CFFEFD" w14:textId="15145E2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E7624F4" w14:textId="681CDD2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10,896</w:t>
            </w:r>
          </w:p>
        </w:tc>
        <w:tc>
          <w:tcPr>
            <w:tcW w:w="1247" w:type="dxa"/>
            <w:vAlign w:val="center"/>
          </w:tcPr>
          <w:p w14:paraId="2FAA723A" w14:textId="5924F85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18,485</w:t>
            </w:r>
          </w:p>
        </w:tc>
        <w:tc>
          <w:tcPr>
            <w:tcW w:w="1191" w:type="dxa"/>
            <w:vAlign w:val="center"/>
          </w:tcPr>
          <w:p w14:paraId="15EAE89C" w14:textId="7A5947C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623,530</w:t>
            </w:r>
          </w:p>
        </w:tc>
      </w:tr>
      <w:tr w:rsidR="00924883" w:rsidRPr="00A2223A" w14:paraId="635D6745" w14:textId="4112BF2E"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39CD1AEF" w14:textId="74C9CCC8" w:rsidR="00136964" w:rsidRPr="00136964" w:rsidRDefault="00136964" w:rsidP="00136964">
            <w:pPr>
              <w:pStyle w:val="Tabletext8pt"/>
              <w:rPr>
                <w:rFonts w:cs="Arial"/>
                <w:b w:val="0"/>
                <w:bCs w:val="0"/>
                <w:sz w:val="16"/>
                <w:szCs w:val="16"/>
              </w:rPr>
            </w:pPr>
            <w:r w:rsidRPr="00136964">
              <w:rPr>
                <w:b w:val="0"/>
                <w:bCs w:val="0"/>
                <w:sz w:val="16"/>
                <w:szCs w:val="16"/>
              </w:rPr>
              <w:t>Monash Health</w:t>
            </w:r>
          </w:p>
        </w:tc>
        <w:tc>
          <w:tcPr>
            <w:tcW w:w="1247" w:type="dxa"/>
            <w:noWrap/>
            <w:vAlign w:val="center"/>
          </w:tcPr>
          <w:p w14:paraId="0C8F25F5" w14:textId="1D584DB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2,365,738</w:t>
            </w:r>
          </w:p>
        </w:tc>
        <w:tc>
          <w:tcPr>
            <w:tcW w:w="1247" w:type="dxa"/>
            <w:vAlign w:val="center"/>
          </w:tcPr>
          <w:p w14:paraId="640E391C" w14:textId="34C4A9E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151,355</w:t>
            </w:r>
          </w:p>
        </w:tc>
        <w:tc>
          <w:tcPr>
            <w:tcW w:w="1247" w:type="dxa"/>
            <w:vAlign w:val="center"/>
          </w:tcPr>
          <w:p w14:paraId="794CDACA" w14:textId="57D5D4B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1,576</w:t>
            </w:r>
          </w:p>
        </w:tc>
        <w:tc>
          <w:tcPr>
            <w:tcW w:w="1247" w:type="dxa"/>
            <w:vAlign w:val="center"/>
          </w:tcPr>
          <w:p w14:paraId="14727411" w14:textId="4E22788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7760800" w14:textId="1B769C8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30,965</w:t>
            </w:r>
          </w:p>
        </w:tc>
        <w:tc>
          <w:tcPr>
            <w:tcW w:w="1191" w:type="dxa"/>
            <w:noWrap/>
            <w:vAlign w:val="center"/>
          </w:tcPr>
          <w:p w14:paraId="761DBFD0" w14:textId="306087F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E548A44" w14:textId="32B3E68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C494EB6" w14:textId="5DD8DFC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46,088</w:t>
            </w:r>
          </w:p>
        </w:tc>
        <w:tc>
          <w:tcPr>
            <w:tcW w:w="1247" w:type="dxa"/>
            <w:vAlign w:val="center"/>
          </w:tcPr>
          <w:p w14:paraId="454FF3DB" w14:textId="2DB717A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158,451</w:t>
            </w:r>
          </w:p>
        </w:tc>
        <w:tc>
          <w:tcPr>
            <w:tcW w:w="1191" w:type="dxa"/>
            <w:vAlign w:val="center"/>
          </w:tcPr>
          <w:p w14:paraId="073D1B2F" w14:textId="641260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2,754,173</w:t>
            </w:r>
          </w:p>
        </w:tc>
      </w:tr>
      <w:tr w:rsidR="00136964" w:rsidRPr="00A2223A" w14:paraId="4AE3B102" w14:textId="67756A1E"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14FA307" w14:textId="4328E2CA" w:rsidR="00136964" w:rsidRPr="00136964" w:rsidRDefault="00136964" w:rsidP="00136964">
            <w:pPr>
              <w:pStyle w:val="Tabletext8pt"/>
              <w:rPr>
                <w:rFonts w:cs="Arial"/>
                <w:b w:val="0"/>
                <w:bCs w:val="0"/>
                <w:sz w:val="16"/>
                <w:szCs w:val="16"/>
              </w:rPr>
            </w:pPr>
            <w:r w:rsidRPr="00136964">
              <w:rPr>
                <w:b w:val="0"/>
                <w:bCs w:val="0"/>
                <w:sz w:val="16"/>
                <w:szCs w:val="16"/>
              </w:rPr>
              <w:t>Northern Health</w:t>
            </w:r>
          </w:p>
        </w:tc>
        <w:tc>
          <w:tcPr>
            <w:tcW w:w="1247" w:type="dxa"/>
            <w:noWrap/>
            <w:vAlign w:val="center"/>
          </w:tcPr>
          <w:p w14:paraId="372DF8AB" w14:textId="7622A85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1,070,283</w:t>
            </w:r>
          </w:p>
        </w:tc>
        <w:tc>
          <w:tcPr>
            <w:tcW w:w="1247" w:type="dxa"/>
            <w:vAlign w:val="center"/>
          </w:tcPr>
          <w:p w14:paraId="4192E755" w14:textId="4E3FCC5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93,420</w:t>
            </w:r>
          </w:p>
        </w:tc>
        <w:tc>
          <w:tcPr>
            <w:tcW w:w="1247" w:type="dxa"/>
            <w:vAlign w:val="center"/>
          </w:tcPr>
          <w:p w14:paraId="78124A64" w14:textId="414E834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70BCDB3B" w14:textId="301DD52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EFB5519" w14:textId="60A315A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15,064</w:t>
            </w:r>
          </w:p>
        </w:tc>
        <w:tc>
          <w:tcPr>
            <w:tcW w:w="1191" w:type="dxa"/>
            <w:noWrap/>
            <w:vAlign w:val="center"/>
          </w:tcPr>
          <w:p w14:paraId="4AFC6996" w14:textId="2201264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81,419</w:t>
            </w:r>
          </w:p>
        </w:tc>
        <w:tc>
          <w:tcPr>
            <w:tcW w:w="1191" w:type="dxa"/>
            <w:noWrap/>
            <w:vAlign w:val="center"/>
          </w:tcPr>
          <w:p w14:paraId="506B8099" w14:textId="4846AC3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21,499</w:t>
            </w:r>
          </w:p>
        </w:tc>
        <w:tc>
          <w:tcPr>
            <w:tcW w:w="1247" w:type="dxa"/>
            <w:noWrap/>
            <w:vAlign w:val="center"/>
          </w:tcPr>
          <w:p w14:paraId="47315702" w14:textId="04B8FC9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20,733</w:t>
            </w:r>
          </w:p>
        </w:tc>
        <w:tc>
          <w:tcPr>
            <w:tcW w:w="1247" w:type="dxa"/>
            <w:vAlign w:val="center"/>
          </w:tcPr>
          <w:p w14:paraId="715B8A78" w14:textId="7C16639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-93,190</w:t>
            </w:r>
          </w:p>
        </w:tc>
        <w:tc>
          <w:tcPr>
            <w:tcW w:w="1191" w:type="dxa"/>
            <w:vAlign w:val="center"/>
          </w:tcPr>
          <w:p w14:paraId="1E74EB73" w14:textId="01F6D97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1,209,228</w:t>
            </w:r>
          </w:p>
        </w:tc>
      </w:tr>
      <w:tr w:rsidR="00924883" w:rsidRPr="00A2223A" w14:paraId="573630BA" w14:textId="3E9A0682"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E399E18" w14:textId="6B1D24EE" w:rsidR="00136964" w:rsidRPr="00136964" w:rsidRDefault="00136964" w:rsidP="00136964">
            <w:pPr>
              <w:pStyle w:val="Tabletext8pt"/>
              <w:rPr>
                <w:rFonts w:cs="Arial"/>
                <w:b w:val="0"/>
                <w:bCs w:val="0"/>
                <w:sz w:val="16"/>
                <w:szCs w:val="16"/>
              </w:rPr>
            </w:pPr>
            <w:r w:rsidRPr="00136964">
              <w:rPr>
                <w:b w:val="0"/>
                <w:bCs w:val="0"/>
                <w:sz w:val="16"/>
                <w:szCs w:val="16"/>
              </w:rPr>
              <w:t>Parkville Youth Mental Health and Wellbeing Service</w:t>
            </w:r>
          </w:p>
        </w:tc>
        <w:tc>
          <w:tcPr>
            <w:tcW w:w="1247" w:type="dxa"/>
            <w:noWrap/>
            <w:vAlign w:val="center"/>
          </w:tcPr>
          <w:p w14:paraId="0373049F" w14:textId="0FE4AF3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21,264</w:t>
            </w:r>
          </w:p>
        </w:tc>
        <w:tc>
          <w:tcPr>
            <w:tcW w:w="1247" w:type="dxa"/>
            <w:vAlign w:val="center"/>
          </w:tcPr>
          <w:p w14:paraId="6E84EBA6" w14:textId="166F6E6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42,322</w:t>
            </w:r>
          </w:p>
        </w:tc>
        <w:tc>
          <w:tcPr>
            <w:tcW w:w="1247" w:type="dxa"/>
            <w:vAlign w:val="center"/>
          </w:tcPr>
          <w:p w14:paraId="5406CFA9" w14:textId="7C0E9B2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2459616F" w14:textId="7600923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13FBAD67"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938063C" w14:textId="0EF599A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5540004"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2917995" w14:textId="183F4C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2,382</w:t>
            </w:r>
          </w:p>
        </w:tc>
        <w:tc>
          <w:tcPr>
            <w:tcW w:w="1247" w:type="dxa"/>
            <w:vAlign w:val="center"/>
          </w:tcPr>
          <w:p w14:paraId="51F24B0E" w14:textId="1E594A3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14,055</w:t>
            </w:r>
          </w:p>
        </w:tc>
        <w:tc>
          <w:tcPr>
            <w:tcW w:w="1191" w:type="dxa"/>
            <w:vAlign w:val="center"/>
          </w:tcPr>
          <w:p w14:paraId="35F8895C" w14:textId="628098E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36964">
              <w:rPr>
                <w:sz w:val="16"/>
                <w:szCs w:val="16"/>
              </w:rPr>
              <w:t>80,023</w:t>
            </w:r>
          </w:p>
        </w:tc>
      </w:tr>
      <w:tr w:rsidR="00136964" w:rsidRPr="00A2223A" w14:paraId="4E3D8AF9" w14:textId="727A63F6"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C0A65EE" w14:textId="1E1D5FC3" w:rsidR="00136964" w:rsidRPr="00136964" w:rsidRDefault="00136964" w:rsidP="00136964">
            <w:pPr>
              <w:pStyle w:val="Tabletext8pt"/>
              <w:rPr>
                <w:rFonts w:cs="Arial"/>
                <w:b w:val="0"/>
                <w:bCs w:val="0"/>
                <w:sz w:val="16"/>
                <w:szCs w:val="16"/>
              </w:rPr>
            </w:pPr>
            <w:r w:rsidRPr="00136964">
              <w:rPr>
                <w:b w:val="0"/>
                <w:bCs w:val="0"/>
                <w:sz w:val="16"/>
                <w:szCs w:val="16"/>
              </w:rPr>
              <w:t>Peninsula Health</w:t>
            </w:r>
          </w:p>
        </w:tc>
        <w:tc>
          <w:tcPr>
            <w:tcW w:w="1247" w:type="dxa"/>
            <w:noWrap/>
            <w:vAlign w:val="center"/>
          </w:tcPr>
          <w:p w14:paraId="55F52AE2" w14:textId="2B0BB7C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811,115</w:t>
            </w:r>
          </w:p>
        </w:tc>
        <w:tc>
          <w:tcPr>
            <w:tcW w:w="1247" w:type="dxa"/>
            <w:vAlign w:val="center"/>
          </w:tcPr>
          <w:p w14:paraId="535705D1" w14:textId="7668887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54,305</w:t>
            </w:r>
          </w:p>
        </w:tc>
        <w:tc>
          <w:tcPr>
            <w:tcW w:w="1247" w:type="dxa"/>
            <w:vAlign w:val="center"/>
          </w:tcPr>
          <w:p w14:paraId="40ECC087" w14:textId="5763CE2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5A2E1EB" w14:textId="7A78062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4D0774D" w14:textId="6991E82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12,364</w:t>
            </w:r>
          </w:p>
        </w:tc>
        <w:tc>
          <w:tcPr>
            <w:tcW w:w="1191" w:type="dxa"/>
            <w:noWrap/>
            <w:vAlign w:val="center"/>
          </w:tcPr>
          <w:p w14:paraId="4C7D6B8F" w14:textId="1D83168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2943BB3" w14:textId="085A307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BC2E0FA" w14:textId="3875866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15,543</w:t>
            </w:r>
          </w:p>
        </w:tc>
        <w:tc>
          <w:tcPr>
            <w:tcW w:w="1247" w:type="dxa"/>
            <w:vAlign w:val="center"/>
          </w:tcPr>
          <w:p w14:paraId="1182A0E5" w14:textId="2870141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27,148</w:t>
            </w:r>
          </w:p>
        </w:tc>
        <w:tc>
          <w:tcPr>
            <w:tcW w:w="1191" w:type="dxa"/>
            <w:vAlign w:val="center"/>
          </w:tcPr>
          <w:p w14:paraId="5C59D192" w14:textId="6EBE68E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920,475</w:t>
            </w:r>
          </w:p>
        </w:tc>
      </w:tr>
      <w:tr w:rsidR="00924883" w:rsidRPr="00A2223A" w14:paraId="3F2C4C31" w14:textId="48B05462"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2A094D1D" w14:textId="0BD732E3" w:rsidR="00136964" w:rsidRPr="00136964" w:rsidRDefault="00136964" w:rsidP="00136964">
            <w:pPr>
              <w:pStyle w:val="Tabletext8pt"/>
              <w:rPr>
                <w:rFonts w:cs="Arial"/>
                <w:b w:val="0"/>
                <w:bCs w:val="0"/>
                <w:sz w:val="16"/>
                <w:szCs w:val="16"/>
              </w:rPr>
            </w:pPr>
            <w:r w:rsidRPr="00136964">
              <w:rPr>
                <w:b w:val="0"/>
                <w:bCs w:val="0"/>
                <w:sz w:val="16"/>
                <w:szCs w:val="16"/>
              </w:rPr>
              <w:t>Peter Mac</w:t>
            </w:r>
            <w:r w:rsidR="00C42D86">
              <w:rPr>
                <w:b w:val="0"/>
                <w:bCs w:val="0"/>
                <w:sz w:val="16"/>
                <w:szCs w:val="16"/>
              </w:rPr>
              <w:t>C</w:t>
            </w:r>
            <w:r w:rsidRPr="00136964">
              <w:rPr>
                <w:b w:val="0"/>
                <w:bCs w:val="0"/>
                <w:sz w:val="16"/>
                <w:szCs w:val="16"/>
              </w:rPr>
              <w:t>allum Cancer Institute</w:t>
            </w:r>
          </w:p>
        </w:tc>
        <w:tc>
          <w:tcPr>
            <w:tcW w:w="1247" w:type="dxa"/>
            <w:noWrap/>
            <w:vAlign w:val="center"/>
          </w:tcPr>
          <w:p w14:paraId="41E013D9" w14:textId="5D4A91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296,396</w:t>
            </w:r>
          </w:p>
        </w:tc>
        <w:tc>
          <w:tcPr>
            <w:tcW w:w="1247" w:type="dxa"/>
            <w:vAlign w:val="center"/>
          </w:tcPr>
          <w:p w14:paraId="245500F6"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091E9996" w14:textId="2AE8D96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56,649</w:t>
            </w:r>
          </w:p>
        </w:tc>
        <w:tc>
          <w:tcPr>
            <w:tcW w:w="1247" w:type="dxa"/>
            <w:vAlign w:val="center"/>
          </w:tcPr>
          <w:p w14:paraId="75F6B4CE" w14:textId="4BF7528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F6473FE" w14:textId="02F6AA7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BC2AC51" w14:textId="19CB3D8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6597F7C" w14:textId="75FBA0C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27C8CA4" w14:textId="793FFE4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3,719</w:t>
            </w:r>
          </w:p>
        </w:tc>
        <w:tc>
          <w:tcPr>
            <w:tcW w:w="1247" w:type="dxa"/>
            <w:vAlign w:val="center"/>
          </w:tcPr>
          <w:p w14:paraId="6F2DCD55" w14:textId="3B9D7D3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44,086</w:t>
            </w:r>
          </w:p>
        </w:tc>
        <w:tc>
          <w:tcPr>
            <w:tcW w:w="1191" w:type="dxa"/>
            <w:vAlign w:val="center"/>
          </w:tcPr>
          <w:p w14:paraId="2FA20114" w14:textId="23D973C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400,850</w:t>
            </w:r>
          </w:p>
        </w:tc>
      </w:tr>
      <w:tr w:rsidR="00136964" w:rsidRPr="00A2223A" w14:paraId="3E3907F4" w14:textId="1ECB155A"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5D8A2EB6" w14:textId="5859E204" w:rsidR="00136964" w:rsidRPr="00136964" w:rsidRDefault="00136964" w:rsidP="00136964">
            <w:pPr>
              <w:pStyle w:val="Tabletext8pt"/>
              <w:rPr>
                <w:rFonts w:cs="Arial"/>
                <w:b w:val="0"/>
                <w:bCs w:val="0"/>
                <w:sz w:val="16"/>
                <w:szCs w:val="16"/>
              </w:rPr>
            </w:pPr>
            <w:r w:rsidRPr="00136964">
              <w:rPr>
                <w:b w:val="0"/>
                <w:bCs w:val="0"/>
                <w:sz w:val="16"/>
                <w:szCs w:val="16"/>
              </w:rPr>
              <w:t>St Vincents Hospital Melbourne Limited</w:t>
            </w:r>
          </w:p>
        </w:tc>
        <w:tc>
          <w:tcPr>
            <w:tcW w:w="1247" w:type="dxa"/>
            <w:noWrap/>
            <w:vAlign w:val="center"/>
          </w:tcPr>
          <w:p w14:paraId="192EE2D9" w14:textId="383380E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709,267</w:t>
            </w:r>
          </w:p>
        </w:tc>
        <w:tc>
          <w:tcPr>
            <w:tcW w:w="1247" w:type="dxa"/>
            <w:vAlign w:val="center"/>
          </w:tcPr>
          <w:p w14:paraId="5677FCB9" w14:textId="16FBE35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46,711</w:t>
            </w:r>
          </w:p>
        </w:tc>
        <w:tc>
          <w:tcPr>
            <w:tcW w:w="1247" w:type="dxa"/>
            <w:vAlign w:val="center"/>
          </w:tcPr>
          <w:p w14:paraId="31AA906F" w14:textId="050405B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537</w:t>
            </w:r>
          </w:p>
        </w:tc>
        <w:tc>
          <w:tcPr>
            <w:tcW w:w="1247" w:type="dxa"/>
            <w:vAlign w:val="center"/>
          </w:tcPr>
          <w:p w14:paraId="7773B442" w14:textId="683BA07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CD74230" w14:textId="5287C2C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13,415</w:t>
            </w:r>
          </w:p>
        </w:tc>
        <w:tc>
          <w:tcPr>
            <w:tcW w:w="1191" w:type="dxa"/>
            <w:noWrap/>
            <w:vAlign w:val="center"/>
          </w:tcPr>
          <w:p w14:paraId="5912E8CD" w14:textId="3D484C6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579F79C"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1CEE2A" w14:textId="738CF5B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23,008</w:t>
            </w:r>
          </w:p>
        </w:tc>
        <w:tc>
          <w:tcPr>
            <w:tcW w:w="1247" w:type="dxa"/>
            <w:vAlign w:val="center"/>
          </w:tcPr>
          <w:p w14:paraId="37E9C0F0" w14:textId="6FE1041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29,420</w:t>
            </w:r>
          </w:p>
        </w:tc>
        <w:tc>
          <w:tcPr>
            <w:tcW w:w="1191" w:type="dxa"/>
            <w:vAlign w:val="center"/>
          </w:tcPr>
          <w:p w14:paraId="6FFEEF11" w14:textId="2666A78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822,358</w:t>
            </w:r>
          </w:p>
        </w:tc>
      </w:tr>
      <w:tr w:rsidR="00924883" w:rsidRPr="00A2223A" w14:paraId="285E871A" w14:textId="34C9923C" w:rsidTr="006B7F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tcPr>
          <w:p w14:paraId="7D90DEB0" w14:textId="423C019D" w:rsidR="00136964" w:rsidRPr="00136964" w:rsidRDefault="00136964" w:rsidP="00136964">
            <w:pPr>
              <w:pStyle w:val="Tabletext8pt"/>
              <w:rPr>
                <w:rFonts w:cs="Arial"/>
                <w:b w:val="0"/>
                <w:bCs w:val="0"/>
                <w:sz w:val="16"/>
                <w:szCs w:val="16"/>
              </w:rPr>
            </w:pPr>
            <w:r w:rsidRPr="00136964">
              <w:rPr>
                <w:b w:val="0"/>
                <w:bCs w:val="0"/>
                <w:sz w:val="16"/>
                <w:szCs w:val="16"/>
              </w:rPr>
              <w:t>The Royal Children’</w:t>
            </w:r>
            <w:r w:rsidRPr="001B6181">
              <w:rPr>
                <w:b w:val="0"/>
                <w:bCs w:val="0"/>
                <w:sz w:val="16"/>
                <w:szCs w:val="16"/>
              </w:rPr>
              <w:t xml:space="preserve">s </w:t>
            </w:r>
            <w:r w:rsidRPr="00136964">
              <w:rPr>
                <w:b w:val="0"/>
                <w:bCs w:val="0"/>
                <w:sz w:val="16"/>
                <w:szCs w:val="16"/>
              </w:rPr>
              <w:t>Hospital</w:t>
            </w:r>
          </w:p>
        </w:tc>
        <w:tc>
          <w:tcPr>
            <w:tcW w:w="1247" w:type="dxa"/>
            <w:noWrap/>
            <w:vAlign w:val="center"/>
          </w:tcPr>
          <w:p w14:paraId="39BBF0C9" w14:textId="0CF5D03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696,140</w:t>
            </w:r>
          </w:p>
        </w:tc>
        <w:tc>
          <w:tcPr>
            <w:tcW w:w="1247" w:type="dxa"/>
            <w:vAlign w:val="center"/>
          </w:tcPr>
          <w:p w14:paraId="7FFD4BF5" w14:textId="1B9065F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24,017</w:t>
            </w:r>
          </w:p>
        </w:tc>
        <w:tc>
          <w:tcPr>
            <w:tcW w:w="1247" w:type="dxa"/>
            <w:vAlign w:val="center"/>
          </w:tcPr>
          <w:p w14:paraId="7F76104C" w14:textId="0675C91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5,823</w:t>
            </w:r>
          </w:p>
        </w:tc>
        <w:tc>
          <w:tcPr>
            <w:tcW w:w="1247" w:type="dxa"/>
            <w:vAlign w:val="center"/>
          </w:tcPr>
          <w:p w14:paraId="6F5C3083" w14:textId="02ABA04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2,657</w:t>
            </w:r>
          </w:p>
        </w:tc>
        <w:tc>
          <w:tcPr>
            <w:tcW w:w="1191" w:type="dxa"/>
            <w:noWrap/>
            <w:vAlign w:val="center"/>
          </w:tcPr>
          <w:p w14:paraId="3EBE0A00" w14:textId="13E70B9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1,828</w:t>
            </w:r>
          </w:p>
        </w:tc>
        <w:tc>
          <w:tcPr>
            <w:tcW w:w="1191" w:type="dxa"/>
            <w:noWrap/>
            <w:vAlign w:val="center"/>
          </w:tcPr>
          <w:p w14:paraId="1B9277F2" w14:textId="21B3D3B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D103F80"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361015E" w14:textId="5242105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10,564</w:t>
            </w:r>
          </w:p>
        </w:tc>
        <w:tc>
          <w:tcPr>
            <w:tcW w:w="1247" w:type="dxa"/>
            <w:vAlign w:val="center"/>
          </w:tcPr>
          <w:p w14:paraId="4B7E5441" w14:textId="16D043C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5,135</w:t>
            </w:r>
          </w:p>
        </w:tc>
        <w:tc>
          <w:tcPr>
            <w:tcW w:w="1191" w:type="dxa"/>
            <w:vAlign w:val="center"/>
          </w:tcPr>
          <w:p w14:paraId="33FBDDBE" w14:textId="4EC5C39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746,165</w:t>
            </w:r>
          </w:p>
        </w:tc>
      </w:tr>
      <w:tr w:rsidR="00136964" w:rsidRPr="00A2223A" w14:paraId="60F3E9DB" w14:textId="1438B13E"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0EFA2573" w14:textId="784B631C" w:rsidR="00136964" w:rsidRPr="00136964" w:rsidRDefault="00136964" w:rsidP="00136964">
            <w:pPr>
              <w:pStyle w:val="Tabletext8pt"/>
              <w:rPr>
                <w:rFonts w:cs="Arial"/>
                <w:b w:val="0"/>
                <w:bCs w:val="0"/>
                <w:sz w:val="16"/>
                <w:szCs w:val="16"/>
              </w:rPr>
            </w:pPr>
            <w:r w:rsidRPr="00136964">
              <w:rPr>
                <w:b w:val="0"/>
                <w:bCs w:val="0"/>
                <w:sz w:val="16"/>
                <w:szCs w:val="16"/>
              </w:rPr>
              <w:t>The Royal Victorian Eye and Ear Hospital</w:t>
            </w:r>
          </w:p>
        </w:tc>
        <w:tc>
          <w:tcPr>
            <w:tcW w:w="1247" w:type="dxa"/>
            <w:noWrap/>
            <w:vAlign w:val="center"/>
          </w:tcPr>
          <w:p w14:paraId="2D7B5637" w14:textId="7566166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147,209</w:t>
            </w:r>
          </w:p>
        </w:tc>
        <w:tc>
          <w:tcPr>
            <w:tcW w:w="1247" w:type="dxa"/>
            <w:vAlign w:val="center"/>
          </w:tcPr>
          <w:p w14:paraId="689F8501"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7E66AF8F" w14:textId="6FAF2B4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2,143</w:t>
            </w:r>
          </w:p>
        </w:tc>
        <w:tc>
          <w:tcPr>
            <w:tcW w:w="1247" w:type="dxa"/>
            <w:vAlign w:val="center"/>
          </w:tcPr>
          <w:p w14:paraId="4469E9C6"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E3A2F44"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934117B" w14:textId="13EE94C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D8F63FE"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0FBC59C" w14:textId="4B7A061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2,231</w:t>
            </w:r>
          </w:p>
        </w:tc>
        <w:tc>
          <w:tcPr>
            <w:tcW w:w="1247" w:type="dxa"/>
            <w:vAlign w:val="center"/>
          </w:tcPr>
          <w:p w14:paraId="05D8F6AC" w14:textId="455E3E2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-11,538</w:t>
            </w:r>
          </w:p>
        </w:tc>
        <w:tc>
          <w:tcPr>
            <w:tcW w:w="1191" w:type="dxa"/>
            <w:vAlign w:val="center"/>
          </w:tcPr>
          <w:p w14:paraId="5DF45A95" w14:textId="4B82435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140,045</w:t>
            </w:r>
          </w:p>
        </w:tc>
      </w:tr>
      <w:tr w:rsidR="00924883" w:rsidRPr="00A2223A" w14:paraId="402C00A3" w14:textId="058BDCC8" w:rsidTr="006B7F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hideMark/>
          </w:tcPr>
          <w:p w14:paraId="2173BAC3" w14:textId="3B3B134E" w:rsidR="00136964" w:rsidRPr="00136964" w:rsidRDefault="00136964" w:rsidP="00136964">
            <w:pPr>
              <w:pStyle w:val="Tabletext8pt"/>
              <w:rPr>
                <w:rFonts w:cs="Arial"/>
                <w:b w:val="0"/>
                <w:bCs w:val="0"/>
                <w:sz w:val="16"/>
                <w:szCs w:val="16"/>
              </w:rPr>
            </w:pPr>
            <w:r w:rsidRPr="00136964">
              <w:rPr>
                <w:b w:val="0"/>
                <w:bCs w:val="0"/>
                <w:sz w:val="16"/>
                <w:szCs w:val="16"/>
              </w:rPr>
              <w:t>The Royal Women’</w:t>
            </w:r>
            <w:r w:rsidRPr="001B6181">
              <w:rPr>
                <w:b w:val="0"/>
                <w:bCs w:val="0"/>
                <w:sz w:val="16"/>
                <w:szCs w:val="16"/>
              </w:rPr>
              <w:t>s</w:t>
            </w:r>
            <w:r w:rsidRPr="00136964">
              <w:rPr>
                <w:b w:val="0"/>
                <w:bCs w:val="0"/>
                <w:sz w:val="16"/>
                <w:szCs w:val="16"/>
              </w:rPr>
              <w:t xml:space="preserve"> Hospital</w:t>
            </w:r>
          </w:p>
        </w:tc>
        <w:tc>
          <w:tcPr>
            <w:tcW w:w="1247" w:type="dxa"/>
            <w:noWrap/>
            <w:vAlign w:val="center"/>
          </w:tcPr>
          <w:p w14:paraId="6FD07ED6" w14:textId="17AD795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302,727</w:t>
            </w:r>
          </w:p>
        </w:tc>
        <w:tc>
          <w:tcPr>
            <w:tcW w:w="1247" w:type="dxa"/>
            <w:vAlign w:val="center"/>
          </w:tcPr>
          <w:p w14:paraId="449C1FD4"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5256CC7" w14:textId="2E1B182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7CB0C78" w14:textId="5F5F3CA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E1846C2" w14:textId="63A67B6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335</w:t>
            </w:r>
          </w:p>
        </w:tc>
        <w:tc>
          <w:tcPr>
            <w:tcW w:w="1191" w:type="dxa"/>
            <w:noWrap/>
            <w:vAlign w:val="center"/>
          </w:tcPr>
          <w:p w14:paraId="545F4629" w14:textId="04D9FD9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61369E2" w14:textId="0AE58A0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1D1FEE3" w14:textId="23487F7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4,517</w:t>
            </w:r>
          </w:p>
        </w:tc>
        <w:tc>
          <w:tcPr>
            <w:tcW w:w="1247" w:type="dxa"/>
            <w:vAlign w:val="center"/>
          </w:tcPr>
          <w:p w14:paraId="4938BF8D" w14:textId="0A0FF1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23,687</w:t>
            </w:r>
          </w:p>
        </w:tc>
        <w:tc>
          <w:tcPr>
            <w:tcW w:w="1191" w:type="dxa"/>
            <w:vAlign w:val="center"/>
          </w:tcPr>
          <w:p w14:paraId="61A19D71" w14:textId="20B5DBC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331,266</w:t>
            </w:r>
          </w:p>
        </w:tc>
      </w:tr>
      <w:tr w:rsidR="00FC6BA5" w:rsidRPr="00A2223A" w14:paraId="766A5B8F" w14:textId="12F6D49F"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5D496240" w14:textId="28EE3645" w:rsidR="00136964" w:rsidRPr="00136964" w:rsidRDefault="00136964" w:rsidP="00136964">
            <w:pPr>
              <w:pStyle w:val="Tabletext8pt"/>
              <w:rPr>
                <w:rFonts w:cs="Arial"/>
                <w:b w:val="0"/>
                <w:bCs w:val="0"/>
                <w:sz w:val="16"/>
                <w:szCs w:val="16"/>
              </w:rPr>
            </w:pPr>
            <w:r w:rsidRPr="00136964">
              <w:rPr>
                <w:b w:val="0"/>
                <w:bCs w:val="0"/>
                <w:sz w:val="16"/>
                <w:szCs w:val="16"/>
              </w:rPr>
              <w:t>Western Health</w:t>
            </w:r>
          </w:p>
        </w:tc>
        <w:tc>
          <w:tcPr>
            <w:tcW w:w="1247" w:type="dxa"/>
            <w:noWrap/>
            <w:vAlign w:val="center"/>
          </w:tcPr>
          <w:p w14:paraId="634B2709" w14:textId="296B8BC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1,369,097</w:t>
            </w:r>
          </w:p>
        </w:tc>
        <w:tc>
          <w:tcPr>
            <w:tcW w:w="1247" w:type="dxa"/>
            <w:vAlign w:val="center"/>
          </w:tcPr>
          <w:p w14:paraId="54BB8837" w14:textId="28C030B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54,223</w:t>
            </w:r>
          </w:p>
        </w:tc>
        <w:tc>
          <w:tcPr>
            <w:tcW w:w="1247" w:type="dxa"/>
            <w:vAlign w:val="center"/>
          </w:tcPr>
          <w:p w14:paraId="18B18627" w14:textId="607B862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6D7446AE" w14:textId="7BBD016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358C71B" w14:textId="1CECFC9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24,870</w:t>
            </w:r>
          </w:p>
        </w:tc>
        <w:tc>
          <w:tcPr>
            <w:tcW w:w="1191" w:type="dxa"/>
            <w:noWrap/>
            <w:vAlign w:val="center"/>
          </w:tcPr>
          <w:p w14:paraId="3FDB239C" w14:textId="4AA394C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4F1F87A" w14:textId="7F95F24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1D6543C" w14:textId="7E14795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26,491</w:t>
            </w:r>
          </w:p>
        </w:tc>
        <w:tc>
          <w:tcPr>
            <w:tcW w:w="1247" w:type="dxa"/>
            <w:vAlign w:val="center"/>
          </w:tcPr>
          <w:p w14:paraId="27D873DD" w14:textId="1D99832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124,192</w:t>
            </w:r>
          </w:p>
        </w:tc>
        <w:tc>
          <w:tcPr>
            <w:tcW w:w="1191" w:type="dxa"/>
            <w:vAlign w:val="center"/>
          </w:tcPr>
          <w:p w14:paraId="22479E1F" w14:textId="254A129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1,598,873</w:t>
            </w:r>
          </w:p>
        </w:tc>
      </w:tr>
      <w:tr w:rsidR="00924883" w:rsidRPr="00A2223A" w14:paraId="452A50D0" w14:textId="44C08EE4"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9476E04" w14:textId="2A52BD4F" w:rsidR="00136964" w:rsidRPr="00136964" w:rsidRDefault="00136964" w:rsidP="00136964">
            <w:pPr>
              <w:pStyle w:val="Tabletext8pt"/>
              <w:rPr>
                <w:rFonts w:cs="Arial"/>
                <w:b w:val="0"/>
                <w:bCs w:val="0"/>
                <w:sz w:val="16"/>
                <w:szCs w:val="16"/>
              </w:rPr>
            </w:pPr>
            <w:r w:rsidRPr="00136964">
              <w:rPr>
                <w:rFonts w:cs="Arial"/>
                <w:b w:val="0"/>
                <w:bCs w:val="0"/>
                <w:color w:val="000000"/>
                <w:sz w:val="16"/>
                <w:szCs w:val="16"/>
              </w:rPr>
              <w:t>Total</w:t>
            </w:r>
          </w:p>
        </w:tc>
        <w:tc>
          <w:tcPr>
            <w:tcW w:w="1247" w:type="dxa"/>
            <w:noWrap/>
            <w:vAlign w:val="center"/>
          </w:tcPr>
          <w:p w14:paraId="74546D09" w14:textId="7772E99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15,990,856</w:t>
            </w:r>
          </w:p>
        </w:tc>
        <w:tc>
          <w:tcPr>
            <w:tcW w:w="1247" w:type="dxa"/>
            <w:vAlign w:val="center"/>
          </w:tcPr>
          <w:p w14:paraId="430DC024" w14:textId="38CCFAA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1,093,905</w:t>
            </w:r>
          </w:p>
        </w:tc>
        <w:tc>
          <w:tcPr>
            <w:tcW w:w="1247" w:type="dxa"/>
            <w:vAlign w:val="center"/>
          </w:tcPr>
          <w:p w14:paraId="0D8D464C" w14:textId="0AB3C3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95,692</w:t>
            </w:r>
          </w:p>
        </w:tc>
        <w:tc>
          <w:tcPr>
            <w:tcW w:w="1247" w:type="dxa"/>
            <w:vAlign w:val="center"/>
          </w:tcPr>
          <w:p w14:paraId="7FCE8C33" w14:textId="79A8075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12,413</w:t>
            </w:r>
          </w:p>
        </w:tc>
        <w:tc>
          <w:tcPr>
            <w:tcW w:w="1191" w:type="dxa"/>
            <w:noWrap/>
            <w:vAlign w:val="center"/>
          </w:tcPr>
          <w:p w14:paraId="1FA5A82A" w14:textId="04DFC61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197,294</w:t>
            </w:r>
          </w:p>
        </w:tc>
        <w:tc>
          <w:tcPr>
            <w:tcW w:w="1191" w:type="dxa"/>
            <w:noWrap/>
            <w:vAlign w:val="center"/>
          </w:tcPr>
          <w:p w14:paraId="3131259B" w14:textId="0DEEBCB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81,419</w:t>
            </w:r>
          </w:p>
        </w:tc>
        <w:tc>
          <w:tcPr>
            <w:tcW w:w="1191" w:type="dxa"/>
            <w:noWrap/>
            <w:vAlign w:val="center"/>
          </w:tcPr>
          <w:p w14:paraId="457C76B0" w14:textId="63D5B99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27,305</w:t>
            </w:r>
          </w:p>
        </w:tc>
        <w:tc>
          <w:tcPr>
            <w:tcW w:w="1247" w:type="dxa"/>
            <w:noWrap/>
            <w:vAlign w:val="center"/>
          </w:tcPr>
          <w:p w14:paraId="52E20D70" w14:textId="5EE5E57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358,701</w:t>
            </w:r>
          </w:p>
        </w:tc>
        <w:tc>
          <w:tcPr>
            <w:tcW w:w="1247" w:type="dxa"/>
            <w:vAlign w:val="center"/>
          </w:tcPr>
          <w:p w14:paraId="27020E9E" w14:textId="3B1A4FA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1,030,985</w:t>
            </w:r>
          </w:p>
        </w:tc>
        <w:tc>
          <w:tcPr>
            <w:tcW w:w="1191" w:type="dxa"/>
            <w:vAlign w:val="center"/>
          </w:tcPr>
          <w:p w14:paraId="2A36877D" w14:textId="7B6D740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18,888,571</w:t>
            </w:r>
          </w:p>
        </w:tc>
      </w:tr>
    </w:tbl>
    <w:p w14:paraId="3E8D6DDB" w14:textId="77777777" w:rsidR="005B699B" w:rsidRPr="009F14D0" w:rsidRDefault="005B699B" w:rsidP="00473B41">
      <w:pPr>
        <w:pStyle w:val="Bodyafterfiguretable"/>
      </w:pPr>
      <w:r w:rsidRPr="009F14D0">
        <w:t xml:space="preserve">Subregional </w:t>
      </w:r>
      <w:r w:rsidRPr="00D750E5">
        <w:t>and</w:t>
      </w:r>
      <w:r w:rsidRPr="009F14D0">
        <w:t xml:space="preserve"> local – $’000s</w:t>
      </w:r>
    </w:p>
    <w:tbl>
      <w:tblPr>
        <w:tblStyle w:val="GridTable4-Accent1"/>
        <w:tblW w:w="14626" w:type="dxa"/>
        <w:tblInd w:w="-5" w:type="dxa"/>
        <w:tblLayout w:type="fixed"/>
        <w:tblLook w:val="04A0" w:firstRow="1" w:lastRow="0" w:firstColumn="1" w:lastColumn="0" w:noHBand="0" w:noVBand="1"/>
      </w:tblPr>
      <w:tblGrid>
        <w:gridCol w:w="2268"/>
        <w:gridCol w:w="1247"/>
        <w:gridCol w:w="1247"/>
        <w:gridCol w:w="1247"/>
        <w:gridCol w:w="1247"/>
        <w:gridCol w:w="1247"/>
        <w:gridCol w:w="1191"/>
        <w:gridCol w:w="1247"/>
        <w:gridCol w:w="1247"/>
        <w:gridCol w:w="1247"/>
        <w:gridCol w:w="1191"/>
      </w:tblGrid>
      <w:tr w:rsidR="00136964" w:rsidRPr="009F14D0" w14:paraId="52292EA8" w14:textId="254DDC81" w:rsidTr="00136964">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3C985C17" w14:textId="33CB93EC" w:rsidR="009D4BF1" w:rsidRPr="00257223" w:rsidRDefault="009D4BF1" w:rsidP="009D4BF1">
            <w:pPr>
              <w:pStyle w:val="Tablecolhead8pt"/>
              <w:rPr>
                <w:b/>
                <w:bCs w:val="0"/>
                <w:color w:val="FFFFFF" w:themeColor="background1"/>
              </w:rPr>
            </w:pPr>
            <w:r w:rsidRPr="00257223">
              <w:rPr>
                <w:b/>
                <w:bCs w:val="0"/>
                <w:color w:val="FFFFFF" w:themeColor="background1"/>
              </w:rPr>
              <w:t>Health service</w:t>
            </w:r>
          </w:p>
        </w:tc>
        <w:tc>
          <w:tcPr>
            <w:tcW w:w="1247" w:type="dxa"/>
            <w:hideMark/>
          </w:tcPr>
          <w:p w14:paraId="468E0594"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C11B8A5" w14:textId="5178D395"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4BD856E6"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2DF1CF6E" w14:textId="458A910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hideMark/>
          </w:tcPr>
          <w:p w14:paraId="2AE4CDC5"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0EE56710" w14:textId="26B6D51C"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hideMark/>
          </w:tcPr>
          <w:p w14:paraId="42A70B57"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11AF917B" w14:textId="1D6AECB6"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247" w:type="dxa"/>
            <w:hideMark/>
          </w:tcPr>
          <w:p w14:paraId="08AB2D68"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76CC5CC" w14:textId="29F9A39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31D11EBA"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2ECD9BB" w14:textId="3E949A8A"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public hospitals</w:t>
            </w:r>
          </w:p>
        </w:tc>
        <w:tc>
          <w:tcPr>
            <w:tcW w:w="1247" w:type="dxa"/>
            <w:hideMark/>
          </w:tcPr>
          <w:p w14:paraId="2EAC586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369C4BC" w14:textId="24C90379"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126BA84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BAD260E" w14:textId="47241F76"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hideMark/>
          </w:tcPr>
          <w:p w14:paraId="22EE449A"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29CA980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1C99C50C" w14:textId="4FD7C004"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619432E7"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71115E8" w14:textId="0D71B22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C16B70">
              <w:rPr>
                <w:b/>
                <w:bCs w:val="0"/>
                <w:color w:val="FFFFFF" w:themeColor="background1"/>
              </w:rPr>
              <w:t>Total</w:t>
            </w:r>
          </w:p>
        </w:tc>
      </w:tr>
      <w:tr w:rsidR="00DE2C54" w:rsidRPr="006B7F7F" w14:paraId="78A70541" w14:textId="65A75423"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0EFBFF2" w14:textId="45D20481"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Bairnsdale Regional Health Service</w:t>
            </w:r>
          </w:p>
        </w:tc>
        <w:tc>
          <w:tcPr>
            <w:tcW w:w="1247" w:type="dxa"/>
            <w:noWrap/>
            <w:vAlign w:val="center"/>
          </w:tcPr>
          <w:p w14:paraId="58A36361" w14:textId="5283B76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121,363</w:t>
            </w:r>
          </w:p>
        </w:tc>
        <w:tc>
          <w:tcPr>
            <w:tcW w:w="1247" w:type="dxa"/>
            <w:vAlign w:val="center"/>
          </w:tcPr>
          <w:p w14:paraId="4D89D061"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F28707C" w14:textId="35E7146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D6FFC45" w14:textId="092D9CD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C2DB7E2" w14:textId="05BB3E11"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658</w:t>
            </w:r>
          </w:p>
        </w:tc>
        <w:tc>
          <w:tcPr>
            <w:tcW w:w="1191" w:type="dxa"/>
            <w:noWrap/>
            <w:vAlign w:val="center"/>
          </w:tcPr>
          <w:p w14:paraId="30F44A9F" w14:textId="34F0955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6DF706F" w14:textId="4A2D1EB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4E90E6A" w14:textId="4000EB0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3,241</w:t>
            </w:r>
          </w:p>
        </w:tc>
        <w:tc>
          <w:tcPr>
            <w:tcW w:w="1247" w:type="dxa"/>
            <w:noWrap/>
            <w:vAlign w:val="center"/>
          </w:tcPr>
          <w:p w14:paraId="5BDAEC45" w14:textId="2BE096F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-639</w:t>
            </w:r>
          </w:p>
        </w:tc>
        <w:tc>
          <w:tcPr>
            <w:tcW w:w="1191" w:type="dxa"/>
            <w:vAlign w:val="center"/>
          </w:tcPr>
          <w:p w14:paraId="5F53B009" w14:textId="3A904D7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124,623</w:t>
            </w:r>
          </w:p>
        </w:tc>
      </w:tr>
      <w:tr w:rsidR="00FF10B3" w:rsidRPr="006B7F7F" w14:paraId="6163F668" w14:textId="0FA9AF19"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A8187EC" w14:textId="32FBCFE6"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Bass Coast Health</w:t>
            </w:r>
          </w:p>
        </w:tc>
        <w:tc>
          <w:tcPr>
            <w:tcW w:w="1247" w:type="dxa"/>
            <w:noWrap/>
            <w:vAlign w:val="center"/>
          </w:tcPr>
          <w:p w14:paraId="16484593" w14:textId="221F528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141,033</w:t>
            </w:r>
          </w:p>
        </w:tc>
        <w:tc>
          <w:tcPr>
            <w:tcW w:w="1247" w:type="dxa"/>
            <w:vAlign w:val="center"/>
          </w:tcPr>
          <w:p w14:paraId="179FA311"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DA1CDE6" w14:textId="2E9CEF5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64E4EA" w14:textId="7D512F9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0AEE8A9" w14:textId="75529CA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120546A" w14:textId="4746771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053491D" w14:textId="4CF92D9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628C455" w14:textId="0E56E5C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2,057</w:t>
            </w:r>
          </w:p>
        </w:tc>
        <w:tc>
          <w:tcPr>
            <w:tcW w:w="1247" w:type="dxa"/>
            <w:noWrap/>
            <w:vAlign w:val="center"/>
          </w:tcPr>
          <w:p w14:paraId="1500F92D" w14:textId="6E62DD4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1,329</w:t>
            </w:r>
          </w:p>
        </w:tc>
        <w:tc>
          <w:tcPr>
            <w:tcW w:w="1191" w:type="dxa"/>
            <w:vAlign w:val="center"/>
          </w:tcPr>
          <w:p w14:paraId="7BAEFC90" w14:textId="010E810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144,419</w:t>
            </w:r>
          </w:p>
        </w:tc>
      </w:tr>
      <w:tr w:rsidR="00DE2C54" w:rsidRPr="006B7F7F" w14:paraId="5EB791A8" w14:textId="3A0D36CE"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2F0E36C" w14:textId="26F9736D"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Benalla Health</w:t>
            </w:r>
          </w:p>
        </w:tc>
        <w:tc>
          <w:tcPr>
            <w:tcW w:w="1247" w:type="dxa"/>
            <w:noWrap/>
            <w:vAlign w:val="center"/>
          </w:tcPr>
          <w:p w14:paraId="7E5198CC" w14:textId="26AD6DF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27,672</w:t>
            </w:r>
          </w:p>
        </w:tc>
        <w:tc>
          <w:tcPr>
            <w:tcW w:w="1247" w:type="dxa"/>
            <w:vAlign w:val="center"/>
          </w:tcPr>
          <w:p w14:paraId="0D4D3587"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B5FBFE6" w14:textId="07411E5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351A2B6" w14:textId="4A2BA40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DDBF6E3" w14:textId="7485C03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A9B22FA" w14:textId="289B9A9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C99B9B8" w14:textId="2478851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76AD13" w14:textId="3E97A3B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390</w:t>
            </w:r>
          </w:p>
        </w:tc>
        <w:tc>
          <w:tcPr>
            <w:tcW w:w="1247" w:type="dxa"/>
            <w:noWrap/>
            <w:vAlign w:val="center"/>
          </w:tcPr>
          <w:p w14:paraId="33DA7497" w14:textId="53F4802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2,147</w:t>
            </w:r>
          </w:p>
        </w:tc>
        <w:tc>
          <w:tcPr>
            <w:tcW w:w="1191" w:type="dxa"/>
            <w:vAlign w:val="center"/>
          </w:tcPr>
          <w:p w14:paraId="27FC57F3" w14:textId="564D887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30,209</w:t>
            </w:r>
          </w:p>
        </w:tc>
      </w:tr>
      <w:tr w:rsidR="00FF10B3" w:rsidRPr="006B7F7F" w14:paraId="545FD8C6" w14:textId="067A686E"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35BBAD7" w14:textId="5ABC5E92"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lastRenderedPageBreak/>
              <w:t>Central Gippsland Health Service</w:t>
            </w:r>
          </w:p>
        </w:tc>
        <w:tc>
          <w:tcPr>
            <w:tcW w:w="1247" w:type="dxa"/>
            <w:noWrap/>
            <w:vAlign w:val="center"/>
          </w:tcPr>
          <w:p w14:paraId="311B97A8" w14:textId="666078A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102,545</w:t>
            </w:r>
          </w:p>
        </w:tc>
        <w:tc>
          <w:tcPr>
            <w:tcW w:w="1247" w:type="dxa"/>
            <w:vAlign w:val="center"/>
          </w:tcPr>
          <w:p w14:paraId="6FF48FA6"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A95E1CD" w14:textId="522DD5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30419D0" w14:textId="70FDC2F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F5F1E13" w14:textId="7B48C86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652</w:t>
            </w:r>
          </w:p>
        </w:tc>
        <w:tc>
          <w:tcPr>
            <w:tcW w:w="1191" w:type="dxa"/>
            <w:noWrap/>
            <w:vAlign w:val="center"/>
          </w:tcPr>
          <w:p w14:paraId="3F118CC1" w14:textId="66D2F93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F519764" w14:textId="211D593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829918D" w14:textId="7DF365F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2,062</w:t>
            </w:r>
          </w:p>
        </w:tc>
        <w:tc>
          <w:tcPr>
            <w:tcW w:w="1247" w:type="dxa"/>
            <w:noWrap/>
            <w:vAlign w:val="center"/>
          </w:tcPr>
          <w:p w14:paraId="0DC186DF" w14:textId="5CDFFF7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-12,963</w:t>
            </w:r>
          </w:p>
        </w:tc>
        <w:tc>
          <w:tcPr>
            <w:tcW w:w="1191" w:type="dxa"/>
            <w:vAlign w:val="center"/>
          </w:tcPr>
          <w:p w14:paraId="2104FA36" w14:textId="08721D5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92,295</w:t>
            </w:r>
          </w:p>
        </w:tc>
      </w:tr>
      <w:tr w:rsidR="00DE2C54" w:rsidRPr="006B7F7F" w14:paraId="0F4A4332" w14:textId="07ED284B"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0C13DF" w14:textId="7E791B7D"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Colac Area Health</w:t>
            </w:r>
          </w:p>
        </w:tc>
        <w:tc>
          <w:tcPr>
            <w:tcW w:w="1247" w:type="dxa"/>
            <w:noWrap/>
            <w:vAlign w:val="center"/>
          </w:tcPr>
          <w:p w14:paraId="76633A16" w14:textId="1E020D1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52,835</w:t>
            </w:r>
          </w:p>
        </w:tc>
        <w:tc>
          <w:tcPr>
            <w:tcW w:w="1247" w:type="dxa"/>
            <w:vAlign w:val="center"/>
          </w:tcPr>
          <w:p w14:paraId="79279485"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7B8435E" w14:textId="67777EB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2FD6435" w14:textId="3FB3956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DFA3725" w14:textId="05A2556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32263E0" w14:textId="3B6DFD7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95E759F" w14:textId="1CDD21E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7D32827" w14:textId="6A6B29D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539</w:t>
            </w:r>
          </w:p>
        </w:tc>
        <w:tc>
          <w:tcPr>
            <w:tcW w:w="1247" w:type="dxa"/>
            <w:noWrap/>
            <w:vAlign w:val="center"/>
          </w:tcPr>
          <w:p w14:paraId="7AB866BC" w14:textId="092934E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-1,742</w:t>
            </w:r>
          </w:p>
        </w:tc>
        <w:tc>
          <w:tcPr>
            <w:tcW w:w="1191" w:type="dxa"/>
            <w:vAlign w:val="center"/>
          </w:tcPr>
          <w:p w14:paraId="302F81CA" w14:textId="1CA7E0E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51,632</w:t>
            </w:r>
          </w:p>
        </w:tc>
      </w:tr>
      <w:tr w:rsidR="00FF10B3" w:rsidRPr="006B7F7F" w14:paraId="2903546B" w14:textId="18F807C0" w:rsidTr="00DE2C54">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00833F" w14:textId="1D0737CF"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Dhelkaya Health</w:t>
            </w:r>
          </w:p>
        </w:tc>
        <w:tc>
          <w:tcPr>
            <w:tcW w:w="1247" w:type="dxa"/>
            <w:noWrap/>
            <w:vAlign w:val="center"/>
          </w:tcPr>
          <w:p w14:paraId="41B7D690" w14:textId="4FBD047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45,432</w:t>
            </w:r>
          </w:p>
        </w:tc>
        <w:tc>
          <w:tcPr>
            <w:tcW w:w="1247" w:type="dxa"/>
            <w:vAlign w:val="center"/>
          </w:tcPr>
          <w:p w14:paraId="105E706A"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4AF2183" w14:textId="4268F52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DA57835" w14:textId="3C9BDC8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0014606" w14:textId="7C7F5990"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BE81391" w14:textId="60D5934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1439524" w14:textId="5ECA448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2,835</w:t>
            </w:r>
          </w:p>
        </w:tc>
        <w:tc>
          <w:tcPr>
            <w:tcW w:w="1247" w:type="dxa"/>
            <w:noWrap/>
            <w:vAlign w:val="center"/>
          </w:tcPr>
          <w:p w14:paraId="58BD5C78" w14:textId="48097FC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374</w:t>
            </w:r>
          </w:p>
        </w:tc>
        <w:tc>
          <w:tcPr>
            <w:tcW w:w="1247" w:type="dxa"/>
            <w:noWrap/>
            <w:vAlign w:val="center"/>
          </w:tcPr>
          <w:p w14:paraId="739151FD" w14:textId="2C1CAC4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10,287</w:t>
            </w:r>
          </w:p>
        </w:tc>
        <w:tc>
          <w:tcPr>
            <w:tcW w:w="1191" w:type="dxa"/>
            <w:vAlign w:val="center"/>
          </w:tcPr>
          <w:p w14:paraId="7E4E1861" w14:textId="6A4E081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58,928</w:t>
            </w:r>
          </w:p>
        </w:tc>
      </w:tr>
      <w:tr w:rsidR="00DE2C54" w:rsidRPr="006B7F7F" w14:paraId="05B2EE94" w14:textId="6C01C725"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FCA49EF" w14:textId="0587F934"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East Grampians Health Service</w:t>
            </w:r>
          </w:p>
        </w:tc>
        <w:tc>
          <w:tcPr>
            <w:tcW w:w="1247" w:type="dxa"/>
            <w:noWrap/>
            <w:vAlign w:val="center"/>
          </w:tcPr>
          <w:p w14:paraId="0E835774" w14:textId="2160622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40,197</w:t>
            </w:r>
          </w:p>
        </w:tc>
        <w:tc>
          <w:tcPr>
            <w:tcW w:w="1247" w:type="dxa"/>
            <w:vAlign w:val="center"/>
          </w:tcPr>
          <w:p w14:paraId="2946C411"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FBEB9E8" w14:textId="03A2D0D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2EEDF09" w14:textId="5DC2577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EF2960" w14:textId="635C0F4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212F7D4" w14:textId="125BB5D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CBA6371" w14:textId="4E98B13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585E7AD" w14:textId="52D395E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1,431</w:t>
            </w:r>
          </w:p>
        </w:tc>
        <w:tc>
          <w:tcPr>
            <w:tcW w:w="1247" w:type="dxa"/>
            <w:noWrap/>
            <w:vAlign w:val="center"/>
          </w:tcPr>
          <w:p w14:paraId="3D15BAFA" w14:textId="6814AE2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5,572</w:t>
            </w:r>
          </w:p>
        </w:tc>
        <w:tc>
          <w:tcPr>
            <w:tcW w:w="1191" w:type="dxa"/>
            <w:vAlign w:val="center"/>
          </w:tcPr>
          <w:p w14:paraId="1B41D034" w14:textId="754126D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47,201</w:t>
            </w:r>
          </w:p>
        </w:tc>
      </w:tr>
      <w:tr w:rsidR="00FF10B3" w:rsidRPr="006B7F7F" w14:paraId="4210853D" w14:textId="46C9CD47"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C774A81" w14:textId="5E07BF17"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Echuca Regional Health</w:t>
            </w:r>
          </w:p>
        </w:tc>
        <w:tc>
          <w:tcPr>
            <w:tcW w:w="1247" w:type="dxa"/>
            <w:noWrap/>
            <w:vAlign w:val="center"/>
          </w:tcPr>
          <w:p w14:paraId="47720D2E" w14:textId="09A1683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128,789</w:t>
            </w:r>
          </w:p>
        </w:tc>
        <w:tc>
          <w:tcPr>
            <w:tcW w:w="1247" w:type="dxa"/>
            <w:vAlign w:val="center"/>
          </w:tcPr>
          <w:p w14:paraId="68A4CF14"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D708123" w14:textId="0F836AE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0171D57" w14:textId="36F5D1E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1CD75BC" w14:textId="2146DF6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22A930C" w14:textId="250739F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65826F9" w14:textId="5F7BB34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EDC02C9" w14:textId="2799E5B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2,949</w:t>
            </w:r>
          </w:p>
        </w:tc>
        <w:tc>
          <w:tcPr>
            <w:tcW w:w="1247" w:type="dxa"/>
            <w:noWrap/>
            <w:vAlign w:val="center"/>
          </w:tcPr>
          <w:p w14:paraId="3963BB2D" w14:textId="279F5C5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-7,067</w:t>
            </w:r>
          </w:p>
        </w:tc>
        <w:tc>
          <w:tcPr>
            <w:tcW w:w="1191" w:type="dxa"/>
            <w:vAlign w:val="center"/>
          </w:tcPr>
          <w:p w14:paraId="46D4E4E0" w14:textId="5C89132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124,670</w:t>
            </w:r>
          </w:p>
        </w:tc>
      </w:tr>
      <w:tr w:rsidR="00DE2C54" w:rsidRPr="006B7F7F" w14:paraId="11A87FA5" w14:textId="6AE45CB5"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ED4517A" w14:textId="55B36D81"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Gippsland Southern Health Service</w:t>
            </w:r>
          </w:p>
        </w:tc>
        <w:tc>
          <w:tcPr>
            <w:tcW w:w="1247" w:type="dxa"/>
            <w:noWrap/>
            <w:vAlign w:val="center"/>
          </w:tcPr>
          <w:p w14:paraId="02466068" w14:textId="1028438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31,541</w:t>
            </w:r>
          </w:p>
        </w:tc>
        <w:tc>
          <w:tcPr>
            <w:tcW w:w="1247" w:type="dxa"/>
            <w:vAlign w:val="center"/>
          </w:tcPr>
          <w:p w14:paraId="2B276946"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0ED3A44" w14:textId="687DBA3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7E11D4C" w14:textId="414E00B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22DA7E0" w14:textId="323DC48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244</w:t>
            </w:r>
          </w:p>
        </w:tc>
        <w:tc>
          <w:tcPr>
            <w:tcW w:w="1191" w:type="dxa"/>
            <w:noWrap/>
            <w:vAlign w:val="center"/>
          </w:tcPr>
          <w:p w14:paraId="0C8E3038" w14:textId="451B458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5DC80C7" w14:textId="3BD1790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45211E" w14:textId="6E1D384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305</w:t>
            </w:r>
          </w:p>
        </w:tc>
        <w:tc>
          <w:tcPr>
            <w:tcW w:w="1247" w:type="dxa"/>
            <w:noWrap/>
            <w:vAlign w:val="center"/>
          </w:tcPr>
          <w:p w14:paraId="72145908" w14:textId="55A30F6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3,608</w:t>
            </w:r>
          </w:p>
        </w:tc>
        <w:tc>
          <w:tcPr>
            <w:tcW w:w="1191" w:type="dxa"/>
            <w:vAlign w:val="center"/>
          </w:tcPr>
          <w:p w14:paraId="55C57481" w14:textId="290E784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35,697</w:t>
            </w:r>
          </w:p>
        </w:tc>
      </w:tr>
      <w:tr w:rsidR="00FF10B3" w:rsidRPr="006B7F7F" w14:paraId="62A30193" w14:textId="038E23B4"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8359A9C" w14:textId="7BD152B5"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Kyabram District Health Service</w:t>
            </w:r>
          </w:p>
        </w:tc>
        <w:tc>
          <w:tcPr>
            <w:tcW w:w="1247" w:type="dxa"/>
            <w:noWrap/>
            <w:vAlign w:val="center"/>
          </w:tcPr>
          <w:p w14:paraId="0B7918F5" w14:textId="73B440D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24,185</w:t>
            </w:r>
          </w:p>
        </w:tc>
        <w:tc>
          <w:tcPr>
            <w:tcW w:w="1247" w:type="dxa"/>
            <w:vAlign w:val="center"/>
          </w:tcPr>
          <w:p w14:paraId="07A24317"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FBF3104" w14:textId="42FDB9B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4C84145" w14:textId="1AB5940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17CAD3D" w14:textId="627E19E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170EC758" w14:textId="4850E56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D0227B4" w14:textId="2DE4930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753</w:t>
            </w:r>
          </w:p>
        </w:tc>
        <w:tc>
          <w:tcPr>
            <w:tcW w:w="1247" w:type="dxa"/>
            <w:noWrap/>
            <w:vAlign w:val="center"/>
          </w:tcPr>
          <w:p w14:paraId="46B9E8BA" w14:textId="34E9340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209</w:t>
            </w:r>
          </w:p>
        </w:tc>
        <w:tc>
          <w:tcPr>
            <w:tcW w:w="1247" w:type="dxa"/>
            <w:noWrap/>
            <w:vAlign w:val="center"/>
          </w:tcPr>
          <w:p w14:paraId="6521F438" w14:textId="2C49D9C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309</w:t>
            </w:r>
          </w:p>
        </w:tc>
        <w:tc>
          <w:tcPr>
            <w:tcW w:w="1191" w:type="dxa"/>
            <w:vAlign w:val="center"/>
          </w:tcPr>
          <w:p w14:paraId="7EFC72A0" w14:textId="2B28341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25,456</w:t>
            </w:r>
          </w:p>
        </w:tc>
      </w:tr>
      <w:tr w:rsidR="00DE2C54" w:rsidRPr="006B7F7F" w14:paraId="7C175AAF" w14:textId="40D736C1"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2806090" w14:textId="033C8A3F"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Maryborough District Health Service</w:t>
            </w:r>
          </w:p>
        </w:tc>
        <w:tc>
          <w:tcPr>
            <w:tcW w:w="1247" w:type="dxa"/>
            <w:noWrap/>
            <w:vAlign w:val="center"/>
          </w:tcPr>
          <w:p w14:paraId="320526F7" w14:textId="6527DF3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36,576</w:t>
            </w:r>
          </w:p>
        </w:tc>
        <w:tc>
          <w:tcPr>
            <w:tcW w:w="1247" w:type="dxa"/>
            <w:vAlign w:val="center"/>
          </w:tcPr>
          <w:p w14:paraId="442C0756"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AB4A37B" w14:textId="0A50EBF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EF05FAD" w14:textId="72C4FDF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6936050" w14:textId="68F7500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EE2CF8E" w14:textId="0A5B3B1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E41430B" w14:textId="000AA44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8B5C947" w14:textId="334BD2E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367</w:t>
            </w:r>
          </w:p>
        </w:tc>
        <w:tc>
          <w:tcPr>
            <w:tcW w:w="1247" w:type="dxa"/>
            <w:noWrap/>
            <w:vAlign w:val="center"/>
          </w:tcPr>
          <w:p w14:paraId="10F758D3" w14:textId="5F2671D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5,114</w:t>
            </w:r>
          </w:p>
        </w:tc>
        <w:tc>
          <w:tcPr>
            <w:tcW w:w="1191" w:type="dxa"/>
            <w:vAlign w:val="center"/>
          </w:tcPr>
          <w:p w14:paraId="1B5C4E86" w14:textId="40637EC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42,057</w:t>
            </w:r>
          </w:p>
        </w:tc>
      </w:tr>
      <w:tr w:rsidR="00FF10B3" w:rsidRPr="006B7F7F" w14:paraId="303D046F" w14:textId="2FEC3560"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6FEE915" w14:textId="6A40FA94"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Mildura Base Public Hospital</w:t>
            </w:r>
            <w:r w:rsidR="0099118B">
              <w:rPr>
                <w:rStyle w:val="FootnoteReference"/>
                <w:rFonts w:cs="Arial"/>
                <w:b w:val="0"/>
                <w:bCs w:val="0"/>
                <w:color w:val="000000"/>
                <w:sz w:val="16"/>
                <w:szCs w:val="16"/>
              </w:rPr>
              <w:footnoteReference w:id="15"/>
            </w:r>
          </w:p>
        </w:tc>
        <w:tc>
          <w:tcPr>
            <w:tcW w:w="1247" w:type="dxa"/>
            <w:noWrap/>
            <w:vAlign w:val="center"/>
          </w:tcPr>
          <w:p w14:paraId="1C4087B3" w14:textId="45ABA89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192,231</w:t>
            </w:r>
          </w:p>
        </w:tc>
        <w:tc>
          <w:tcPr>
            <w:tcW w:w="1247" w:type="dxa"/>
            <w:vAlign w:val="center"/>
          </w:tcPr>
          <w:p w14:paraId="0F24244F" w14:textId="7401827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18,499</w:t>
            </w:r>
          </w:p>
        </w:tc>
        <w:tc>
          <w:tcPr>
            <w:tcW w:w="1247" w:type="dxa"/>
            <w:noWrap/>
            <w:vAlign w:val="center"/>
          </w:tcPr>
          <w:p w14:paraId="72A292ED" w14:textId="2B57B57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1EB7114" w14:textId="45FFE2C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05DE429" w14:textId="4B8F670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2,666</w:t>
            </w:r>
          </w:p>
        </w:tc>
        <w:tc>
          <w:tcPr>
            <w:tcW w:w="1191" w:type="dxa"/>
            <w:noWrap/>
            <w:vAlign w:val="center"/>
          </w:tcPr>
          <w:p w14:paraId="4D06AED8" w14:textId="0A9FAC44"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46E65EB" w14:textId="57703C40"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A48ACDA" w14:textId="07C452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6,762</w:t>
            </w:r>
          </w:p>
        </w:tc>
        <w:tc>
          <w:tcPr>
            <w:tcW w:w="1247" w:type="dxa"/>
            <w:noWrap/>
            <w:vAlign w:val="center"/>
          </w:tcPr>
          <w:p w14:paraId="011C2827" w14:textId="54A9095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2,025</w:t>
            </w:r>
          </w:p>
        </w:tc>
        <w:tc>
          <w:tcPr>
            <w:tcW w:w="1191" w:type="dxa"/>
            <w:vAlign w:val="center"/>
          </w:tcPr>
          <w:p w14:paraId="13C8795F" w14:textId="3E11911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222,183</w:t>
            </w:r>
          </w:p>
        </w:tc>
      </w:tr>
      <w:tr w:rsidR="00DE2C54" w:rsidRPr="006B7F7F" w14:paraId="7FD48E4E" w14:textId="4DD97C6A"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DFECDE" w14:textId="2EFA2433"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Northeast Health Wangaratta</w:t>
            </w:r>
          </w:p>
        </w:tc>
        <w:tc>
          <w:tcPr>
            <w:tcW w:w="1247" w:type="dxa"/>
            <w:noWrap/>
            <w:vAlign w:val="center"/>
          </w:tcPr>
          <w:p w14:paraId="3C8EDE1F" w14:textId="656F474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205,609</w:t>
            </w:r>
          </w:p>
        </w:tc>
        <w:tc>
          <w:tcPr>
            <w:tcW w:w="1247" w:type="dxa"/>
            <w:vAlign w:val="center"/>
          </w:tcPr>
          <w:p w14:paraId="3C2AE70D"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FEC28CF" w14:textId="1DBAF18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1E671C1" w14:textId="42F8EF4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0A6C9CF" w14:textId="4FB3073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407</w:t>
            </w:r>
          </w:p>
        </w:tc>
        <w:tc>
          <w:tcPr>
            <w:tcW w:w="1191" w:type="dxa"/>
            <w:noWrap/>
            <w:vAlign w:val="center"/>
          </w:tcPr>
          <w:p w14:paraId="4998FC17" w14:textId="42066EC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D0BDBCB" w14:textId="6ADF037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AFBC1A1" w14:textId="0894A64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3,605</w:t>
            </w:r>
          </w:p>
        </w:tc>
        <w:tc>
          <w:tcPr>
            <w:tcW w:w="1247" w:type="dxa"/>
            <w:noWrap/>
            <w:vAlign w:val="center"/>
          </w:tcPr>
          <w:p w14:paraId="474010E2" w14:textId="692071A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18,116</w:t>
            </w:r>
          </w:p>
        </w:tc>
        <w:tc>
          <w:tcPr>
            <w:tcW w:w="1191" w:type="dxa"/>
            <w:vAlign w:val="center"/>
          </w:tcPr>
          <w:p w14:paraId="2B86C6B3" w14:textId="72DABB2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227,737</w:t>
            </w:r>
          </w:p>
        </w:tc>
      </w:tr>
      <w:tr w:rsidR="00FF10B3" w:rsidRPr="006B7F7F" w14:paraId="25A69335" w14:textId="0120C8F5"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8644F3C" w14:textId="67878A83"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Portland District Health</w:t>
            </w:r>
          </w:p>
        </w:tc>
        <w:tc>
          <w:tcPr>
            <w:tcW w:w="1247" w:type="dxa"/>
            <w:noWrap/>
            <w:vAlign w:val="center"/>
          </w:tcPr>
          <w:p w14:paraId="5B405EE0" w14:textId="790E3EE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45,917</w:t>
            </w:r>
          </w:p>
        </w:tc>
        <w:tc>
          <w:tcPr>
            <w:tcW w:w="1247" w:type="dxa"/>
            <w:vAlign w:val="center"/>
          </w:tcPr>
          <w:p w14:paraId="26FDEB55"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F84AC6A" w14:textId="1CC4B3C4"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FD72DB5" w14:textId="5FD22AE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D01525E" w14:textId="12A1AF6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6C1C347" w14:textId="296E96F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26D609F" w14:textId="4C4C019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92087D5" w14:textId="1AE6FAD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424</w:t>
            </w:r>
          </w:p>
        </w:tc>
        <w:tc>
          <w:tcPr>
            <w:tcW w:w="1247" w:type="dxa"/>
            <w:noWrap/>
            <w:vAlign w:val="center"/>
          </w:tcPr>
          <w:p w14:paraId="6007C893" w14:textId="7D32B4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8,369</w:t>
            </w:r>
          </w:p>
        </w:tc>
        <w:tc>
          <w:tcPr>
            <w:tcW w:w="1191" w:type="dxa"/>
            <w:vAlign w:val="center"/>
          </w:tcPr>
          <w:p w14:paraId="61CA0C1C" w14:textId="2C87411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54,711</w:t>
            </w:r>
          </w:p>
        </w:tc>
      </w:tr>
      <w:tr w:rsidR="00DE2C54" w:rsidRPr="006B7F7F" w14:paraId="28971CA7" w14:textId="0651DAFC"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26A3000" w14:textId="53272EB6"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South West Healthcare</w:t>
            </w:r>
            <w:r w:rsidR="00DE30AE">
              <w:rPr>
                <w:rStyle w:val="FootnoteReference"/>
                <w:rFonts w:cs="Arial"/>
                <w:b w:val="0"/>
                <w:bCs w:val="0"/>
                <w:color w:val="000000"/>
                <w:sz w:val="16"/>
                <w:szCs w:val="16"/>
              </w:rPr>
              <w:footnoteReference w:id="16"/>
            </w:r>
          </w:p>
        </w:tc>
        <w:tc>
          <w:tcPr>
            <w:tcW w:w="1247" w:type="dxa"/>
            <w:noWrap/>
            <w:vAlign w:val="center"/>
          </w:tcPr>
          <w:p w14:paraId="3EC01803" w14:textId="328F915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219,033</w:t>
            </w:r>
          </w:p>
        </w:tc>
        <w:tc>
          <w:tcPr>
            <w:tcW w:w="1247" w:type="dxa"/>
            <w:vAlign w:val="center"/>
          </w:tcPr>
          <w:p w14:paraId="08546887" w14:textId="78F7F62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24,196</w:t>
            </w:r>
          </w:p>
        </w:tc>
        <w:tc>
          <w:tcPr>
            <w:tcW w:w="1247" w:type="dxa"/>
            <w:noWrap/>
            <w:vAlign w:val="center"/>
          </w:tcPr>
          <w:p w14:paraId="6A6604C7" w14:textId="593CB28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6D24764" w14:textId="5BD8BAF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C09C642" w14:textId="45E6589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3,438</w:t>
            </w:r>
          </w:p>
        </w:tc>
        <w:tc>
          <w:tcPr>
            <w:tcW w:w="1191" w:type="dxa"/>
            <w:noWrap/>
            <w:vAlign w:val="center"/>
          </w:tcPr>
          <w:p w14:paraId="0E07A048" w14:textId="7544BFF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59C9683" w14:textId="30E18C7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3470DCE" w14:textId="57D6BBD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8,471</w:t>
            </w:r>
          </w:p>
        </w:tc>
        <w:tc>
          <w:tcPr>
            <w:tcW w:w="1247" w:type="dxa"/>
            <w:noWrap/>
            <w:vAlign w:val="center"/>
          </w:tcPr>
          <w:p w14:paraId="07E99F76" w14:textId="3B714ED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4,462</w:t>
            </w:r>
          </w:p>
        </w:tc>
        <w:tc>
          <w:tcPr>
            <w:tcW w:w="1191" w:type="dxa"/>
            <w:vAlign w:val="center"/>
          </w:tcPr>
          <w:p w14:paraId="0D4AA907" w14:textId="1EB3C39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259,600</w:t>
            </w:r>
          </w:p>
        </w:tc>
      </w:tr>
      <w:tr w:rsidR="00FF10B3" w:rsidRPr="006B7F7F" w14:paraId="4C0FCF38" w14:textId="04A138B9"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83301A4" w14:textId="652B5E47"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Swan Hill District Health</w:t>
            </w:r>
          </w:p>
        </w:tc>
        <w:tc>
          <w:tcPr>
            <w:tcW w:w="1247" w:type="dxa"/>
            <w:noWrap/>
            <w:vAlign w:val="center"/>
          </w:tcPr>
          <w:p w14:paraId="67D2DBA6" w14:textId="48C7684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64,736</w:t>
            </w:r>
          </w:p>
        </w:tc>
        <w:tc>
          <w:tcPr>
            <w:tcW w:w="1247" w:type="dxa"/>
            <w:vAlign w:val="center"/>
          </w:tcPr>
          <w:p w14:paraId="324B03A5"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F415ECD" w14:textId="1A63896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9DE9CBD" w14:textId="3446C79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C2FD653" w14:textId="42683F0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23E1BEC" w14:textId="3CEF464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3C20A8C" w14:textId="716410C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61B6039" w14:textId="26E3E18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807</w:t>
            </w:r>
          </w:p>
        </w:tc>
        <w:tc>
          <w:tcPr>
            <w:tcW w:w="1247" w:type="dxa"/>
            <w:noWrap/>
            <w:vAlign w:val="center"/>
          </w:tcPr>
          <w:p w14:paraId="3347297F" w14:textId="2CCDC92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11,377</w:t>
            </w:r>
          </w:p>
        </w:tc>
        <w:tc>
          <w:tcPr>
            <w:tcW w:w="1191" w:type="dxa"/>
            <w:vAlign w:val="center"/>
          </w:tcPr>
          <w:p w14:paraId="3809B699" w14:textId="29E7C23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76,920</w:t>
            </w:r>
          </w:p>
        </w:tc>
      </w:tr>
      <w:tr w:rsidR="00DE2C54" w:rsidRPr="006B7F7F" w14:paraId="31A4F45C" w14:textId="7438E4E5" w:rsidTr="00DE2C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58D6845" w14:textId="19FF3628"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West Gippsland Healthcare Group</w:t>
            </w:r>
          </w:p>
        </w:tc>
        <w:tc>
          <w:tcPr>
            <w:tcW w:w="1247" w:type="dxa"/>
            <w:noWrap/>
            <w:vAlign w:val="center"/>
          </w:tcPr>
          <w:p w14:paraId="6CE5D922" w14:textId="24F87C6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144,245</w:t>
            </w:r>
          </w:p>
        </w:tc>
        <w:tc>
          <w:tcPr>
            <w:tcW w:w="1247" w:type="dxa"/>
            <w:vAlign w:val="center"/>
          </w:tcPr>
          <w:p w14:paraId="05E85854"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8C7E4C9" w14:textId="28E03EA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A0E18A" w14:textId="68FF655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1F941E7" w14:textId="2422E03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261FB6E" w14:textId="43B2242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3F793DC" w14:textId="3B12AC7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BF04427" w14:textId="567048E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2,357</w:t>
            </w:r>
          </w:p>
        </w:tc>
        <w:tc>
          <w:tcPr>
            <w:tcW w:w="1247" w:type="dxa"/>
            <w:noWrap/>
            <w:vAlign w:val="center"/>
          </w:tcPr>
          <w:p w14:paraId="1B734EDB" w14:textId="1DABACE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5,263</w:t>
            </w:r>
          </w:p>
        </w:tc>
        <w:tc>
          <w:tcPr>
            <w:tcW w:w="1191" w:type="dxa"/>
            <w:vAlign w:val="center"/>
          </w:tcPr>
          <w:p w14:paraId="45B22133" w14:textId="4D94371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151,864</w:t>
            </w:r>
          </w:p>
        </w:tc>
      </w:tr>
      <w:tr w:rsidR="00FF10B3" w:rsidRPr="006B7F7F" w14:paraId="4FDB0462" w14:textId="23B2BD1C"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3F4E3B" w14:textId="40CB7750"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Western District Health Service</w:t>
            </w:r>
          </w:p>
        </w:tc>
        <w:tc>
          <w:tcPr>
            <w:tcW w:w="1247" w:type="dxa"/>
            <w:noWrap/>
            <w:vAlign w:val="center"/>
          </w:tcPr>
          <w:p w14:paraId="37A8FAFC" w14:textId="6BC96AF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74,580</w:t>
            </w:r>
          </w:p>
        </w:tc>
        <w:tc>
          <w:tcPr>
            <w:tcW w:w="1247" w:type="dxa"/>
            <w:vAlign w:val="center"/>
          </w:tcPr>
          <w:p w14:paraId="60FDDE18"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8B16F4F" w14:textId="3A8A387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A081AC3" w14:textId="6A00C4C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3F7AEB7" w14:textId="2977905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128</w:t>
            </w:r>
          </w:p>
        </w:tc>
        <w:tc>
          <w:tcPr>
            <w:tcW w:w="1191" w:type="dxa"/>
            <w:noWrap/>
            <w:vAlign w:val="center"/>
          </w:tcPr>
          <w:p w14:paraId="6FF67054" w14:textId="21A8864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C403C27" w14:textId="4DF2917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3,144</w:t>
            </w:r>
          </w:p>
        </w:tc>
        <w:tc>
          <w:tcPr>
            <w:tcW w:w="1247" w:type="dxa"/>
            <w:noWrap/>
            <w:vAlign w:val="center"/>
          </w:tcPr>
          <w:p w14:paraId="275084E7" w14:textId="750171A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776</w:t>
            </w:r>
          </w:p>
        </w:tc>
        <w:tc>
          <w:tcPr>
            <w:tcW w:w="1247" w:type="dxa"/>
            <w:noWrap/>
            <w:vAlign w:val="center"/>
          </w:tcPr>
          <w:p w14:paraId="57075880" w14:textId="50EB916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2,300</w:t>
            </w:r>
          </w:p>
        </w:tc>
        <w:tc>
          <w:tcPr>
            <w:tcW w:w="1191" w:type="dxa"/>
            <w:vAlign w:val="center"/>
          </w:tcPr>
          <w:p w14:paraId="1B0DACB2" w14:textId="6D3794E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80,928</w:t>
            </w:r>
          </w:p>
        </w:tc>
      </w:tr>
      <w:tr w:rsidR="00DE2C54" w:rsidRPr="006B7F7F" w14:paraId="1E722A09" w14:textId="7A3E564C" w:rsidTr="00DE2C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44144C" w14:textId="54C931EA" w:rsidR="00DE2C54" w:rsidRPr="00D83553" w:rsidRDefault="00DE2C54" w:rsidP="00DE2C54">
            <w:pPr>
              <w:pStyle w:val="Tabletext8pt"/>
              <w:rPr>
                <w:b w:val="0"/>
                <w:bCs w:val="0"/>
                <w:sz w:val="16"/>
                <w:szCs w:val="16"/>
              </w:rPr>
            </w:pPr>
            <w:r w:rsidRPr="00D83553">
              <w:rPr>
                <w:b w:val="0"/>
                <w:bCs w:val="0"/>
                <w:sz w:val="16"/>
                <w:szCs w:val="16"/>
              </w:rPr>
              <w:t>Total</w:t>
            </w:r>
          </w:p>
        </w:tc>
        <w:tc>
          <w:tcPr>
            <w:tcW w:w="1247" w:type="dxa"/>
            <w:noWrap/>
            <w:vAlign w:val="center"/>
          </w:tcPr>
          <w:p w14:paraId="6ECB6247" w14:textId="291A312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1,698,517</w:t>
            </w:r>
          </w:p>
        </w:tc>
        <w:tc>
          <w:tcPr>
            <w:tcW w:w="1247" w:type="dxa"/>
            <w:vAlign w:val="center"/>
          </w:tcPr>
          <w:p w14:paraId="61A0B4EF" w14:textId="5BAA78F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42,695</w:t>
            </w:r>
          </w:p>
        </w:tc>
        <w:tc>
          <w:tcPr>
            <w:tcW w:w="1247" w:type="dxa"/>
            <w:noWrap/>
            <w:vAlign w:val="center"/>
          </w:tcPr>
          <w:p w14:paraId="0B862041" w14:textId="12C1A9C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39004CD" w14:textId="08582821"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15063D" w14:textId="0AEA32B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8,193</w:t>
            </w:r>
          </w:p>
        </w:tc>
        <w:tc>
          <w:tcPr>
            <w:tcW w:w="1191" w:type="dxa"/>
            <w:noWrap/>
            <w:vAlign w:val="center"/>
          </w:tcPr>
          <w:p w14:paraId="3C9D1CDD" w14:textId="4BA081A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26927CB" w14:textId="34580B9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6,732</w:t>
            </w:r>
          </w:p>
        </w:tc>
        <w:tc>
          <w:tcPr>
            <w:tcW w:w="1247" w:type="dxa"/>
            <w:noWrap/>
            <w:vAlign w:val="center"/>
          </w:tcPr>
          <w:p w14:paraId="47288AF6" w14:textId="21F218A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37,126</w:t>
            </w:r>
          </w:p>
        </w:tc>
        <w:tc>
          <w:tcPr>
            <w:tcW w:w="1247" w:type="dxa"/>
            <w:noWrap/>
            <w:vAlign w:val="center"/>
          </w:tcPr>
          <w:p w14:paraId="7967CEB7" w14:textId="4062875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57,867</w:t>
            </w:r>
          </w:p>
        </w:tc>
        <w:tc>
          <w:tcPr>
            <w:tcW w:w="1191" w:type="dxa"/>
            <w:vAlign w:val="center"/>
          </w:tcPr>
          <w:p w14:paraId="4481A901" w14:textId="380BA84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1,851,130</w:t>
            </w:r>
          </w:p>
        </w:tc>
      </w:tr>
    </w:tbl>
    <w:p w14:paraId="1AB64150" w14:textId="28356849" w:rsidR="00B53EF9" w:rsidRDefault="00B53EF9" w:rsidP="00473B41">
      <w:pPr>
        <w:pStyle w:val="Bodyafterfiguretable"/>
      </w:pPr>
      <w:r>
        <w:lastRenderedPageBreak/>
        <w:t>Other</w:t>
      </w:r>
    </w:p>
    <w:tbl>
      <w:tblPr>
        <w:tblStyle w:val="GridTable4-Accent1"/>
        <w:tblW w:w="14626" w:type="dxa"/>
        <w:tblInd w:w="-5" w:type="dxa"/>
        <w:tblLayout w:type="fixed"/>
        <w:tblLook w:val="04A0" w:firstRow="1" w:lastRow="0" w:firstColumn="1" w:lastColumn="0" w:noHBand="0" w:noVBand="1"/>
      </w:tblPr>
      <w:tblGrid>
        <w:gridCol w:w="2268"/>
        <w:gridCol w:w="1247"/>
        <w:gridCol w:w="1247"/>
        <w:gridCol w:w="1247"/>
        <w:gridCol w:w="1247"/>
        <w:gridCol w:w="1247"/>
        <w:gridCol w:w="1191"/>
        <w:gridCol w:w="1247"/>
        <w:gridCol w:w="1247"/>
        <w:gridCol w:w="1247"/>
        <w:gridCol w:w="1191"/>
      </w:tblGrid>
      <w:tr w:rsidR="00B53EF9" w:rsidRPr="00257223" w14:paraId="5D9764DA" w14:textId="77777777">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7D03C187" w14:textId="77777777" w:rsidR="00B53EF9" w:rsidRPr="00257223" w:rsidRDefault="00B53EF9" w:rsidP="003A4CF3">
            <w:pPr>
              <w:pStyle w:val="Tablecolhead8pt"/>
              <w:rPr>
                <w:b/>
                <w:bCs w:val="0"/>
                <w:color w:val="FFFFFF" w:themeColor="background1"/>
              </w:rPr>
            </w:pPr>
            <w:r w:rsidRPr="00257223">
              <w:rPr>
                <w:b/>
                <w:bCs w:val="0"/>
                <w:color w:val="FFFFFF" w:themeColor="background1"/>
              </w:rPr>
              <w:t>Health service</w:t>
            </w:r>
          </w:p>
        </w:tc>
        <w:tc>
          <w:tcPr>
            <w:tcW w:w="1247" w:type="dxa"/>
            <w:hideMark/>
          </w:tcPr>
          <w:p w14:paraId="1424424B"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E10009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56F3E71D"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65F63533"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hideMark/>
          </w:tcPr>
          <w:p w14:paraId="3163D46C"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DD9067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hideMark/>
          </w:tcPr>
          <w:p w14:paraId="69DA6EF4"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7BDF7169"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247" w:type="dxa"/>
            <w:hideMark/>
          </w:tcPr>
          <w:p w14:paraId="460EC321"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F6097BD"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77AA03D3"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061B182"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public hospitals</w:t>
            </w:r>
          </w:p>
        </w:tc>
        <w:tc>
          <w:tcPr>
            <w:tcW w:w="1247" w:type="dxa"/>
            <w:hideMark/>
          </w:tcPr>
          <w:p w14:paraId="4EE3ABCE"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0F42E70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14A61F03"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400684B"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hideMark/>
          </w:tcPr>
          <w:p w14:paraId="5EADD38B"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D997494"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131A3FFD"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711587CD"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207BAD5"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C16B70">
              <w:rPr>
                <w:b/>
                <w:bCs w:val="0"/>
                <w:color w:val="FFFFFF" w:themeColor="background1"/>
              </w:rPr>
              <w:t>Total</w:t>
            </w:r>
          </w:p>
        </w:tc>
      </w:tr>
      <w:tr w:rsidR="00FF10B3" w:rsidRPr="006B7F7F" w14:paraId="03BE1708" w14:textId="77777777" w:rsidTr="001A63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404F97B" w14:textId="4E2A1447" w:rsidR="001A6304" w:rsidRPr="003869B0" w:rsidRDefault="001A6304" w:rsidP="001A6304">
            <w:pPr>
              <w:pStyle w:val="Tabletext8pt"/>
              <w:rPr>
                <w:rFonts w:cs="Arial"/>
                <w:b w:val="0"/>
                <w:bCs w:val="0"/>
                <w:sz w:val="16"/>
                <w:szCs w:val="16"/>
              </w:rPr>
            </w:pPr>
            <w:r>
              <w:rPr>
                <w:rFonts w:cs="Arial"/>
                <w:b w:val="0"/>
                <w:bCs w:val="0"/>
                <w:sz w:val="16"/>
                <w:szCs w:val="16"/>
              </w:rPr>
              <w:t>Victorian Institute of Forensic Mental Health</w:t>
            </w:r>
            <w:r w:rsidR="00C33B7A">
              <w:rPr>
                <w:rStyle w:val="FootnoteReference"/>
                <w:rFonts w:cs="Arial"/>
                <w:b w:val="0"/>
                <w:bCs w:val="0"/>
                <w:sz w:val="16"/>
                <w:szCs w:val="16"/>
              </w:rPr>
              <w:footnoteReference w:id="17"/>
            </w:r>
          </w:p>
        </w:tc>
        <w:tc>
          <w:tcPr>
            <w:tcW w:w="1247" w:type="dxa"/>
            <w:noWrap/>
            <w:vAlign w:val="center"/>
          </w:tcPr>
          <w:p w14:paraId="1DE3A7F2" w14:textId="5B217AE0"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4,804</w:t>
            </w:r>
          </w:p>
        </w:tc>
        <w:tc>
          <w:tcPr>
            <w:tcW w:w="1247" w:type="dxa"/>
            <w:vAlign w:val="center"/>
          </w:tcPr>
          <w:p w14:paraId="41AEB499"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6532892"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F4864D3"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50A8D4" w14:textId="2E73B99E"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80,642</w:t>
            </w:r>
          </w:p>
        </w:tc>
        <w:tc>
          <w:tcPr>
            <w:tcW w:w="1191" w:type="dxa"/>
            <w:noWrap/>
            <w:vAlign w:val="center"/>
          </w:tcPr>
          <w:p w14:paraId="2C698D02"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8533DD9"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C78898B" w14:textId="28A4BEDD"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4,582</w:t>
            </w:r>
          </w:p>
        </w:tc>
        <w:tc>
          <w:tcPr>
            <w:tcW w:w="1247" w:type="dxa"/>
            <w:noWrap/>
            <w:vAlign w:val="center"/>
          </w:tcPr>
          <w:p w14:paraId="17417FED" w14:textId="533ADD4E"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41,775</w:t>
            </w:r>
          </w:p>
        </w:tc>
        <w:tc>
          <w:tcPr>
            <w:tcW w:w="1191" w:type="dxa"/>
            <w:vAlign w:val="center"/>
          </w:tcPr>
          <w:p w14:paraId="46D56630" w14:textId="1448DBF2"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131,803</w:t>
            </w:r>
          </w:p>
        </w:tc>
      </w:tr>
    </w:tbl>
    <w:p w14:paraId="099770BD" w14:textId="5CF44EBC" w:rsidR="005B699B" w:rsidRPr="009F14D0" w:rsidRDefault="005B699B" w:rsidP="00473B41">
      <w:pPr>
        <w:pStyle w:val="Bodyafterfiguretable"/>
      </w:pPr>
      <w:r w:rsidRPr="00A937BD">
        <w:t>Combined</w:t>
      </w:r>
      <w:r w:rsidRPr="009F14D0">
        <w:t xml:space="preserve"> total – $’000s </w:t>
      </w:r>
    </w:p>
    <w:tbl>
      <w:tblPr>
        <w:tblStyle w:val="GridTable4-Accent1"/>
        <w:tblW w:w="14681" w:type="dxa"/>
        <w:tblInd w:w="-5" w:type="dxa"/>
        <w:tblLayout w:type="fixed"/>
        <w:tblLook w:val="04A0" w:firstRow="1" w:lastRow="0" w:firstColumn="1" w:lastColumn="0" w:noHBand="0" w:noVBand="1"/>
      </w:tblPr>
      <w:tblGrid>
        <w:gridCol w:w="2211"/>
        <w:gridCol w:w="1247"/>
        <w:gridCol w:w="1247"/>
        <w:gridCol w:w="1247"/>
        <w:gridCol w:w="1247"/>
        <w:gridCol w:w="1247"/>
        <w:gridCol w:w="1247"/>
        <w:gridCol w:w="1247"/>
        <w:gridCol w:w="1247"/>
        <w:gridCol w:w="1247"/>
        <w:gridCol w:w="1247"/>
      </w:tblGrid>
      <w:tr w:rsidR="00612929" w:rsidRPr="007C336C" w14:paraId="44EA57A2" w14:textId="3ACF33AF" w:rsidTr="00D8355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11" w:type="dxa"/>
            <w:hideMark/>
          </w:tcPr>
          <w:p w14:paraId="20345EBD" w14:textId="4AC846DF" w:rsidR="009D4BF1" w:rsidRPr="00D83553" w:rsidRDefault="009D4BF1" w:rsidP="009D4BF1">
            <w:pPr>
              <w:pStyle w:val="Tablecolhead8pt"/>
              <w:rPr>
                <w:b/>
                <w:bCs w:val="0"/>
                <w:color w:val="FFFFFF" w:themeColor="background1"/>
                <w:sz w:val="16"/>
              </w:rPr>
            </w:pPr>
            <w:r w:rsidRPr="00D83553">
              <w:rPr>
                <w:b/>
                <w:bCs w:val="0"/>
                <w:color w:val="FFFFFF" w:themeColor="background1"/>
                <w:sz w:val="16"/>
              </w:rPr>
              <w:t>Health service</w:t>
            </w:r>
          </w:p>
        </w:tc>
        <w:tc>
          <w:tcPr>
            <w:tcW w:w="1247" w:type="dxa"/>
            <w:hideMark/>
          </w:tcPr>
          <w:p w14:paraId="1F3E9CCB"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14232CF7" w14:textId="4011D483"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Consolidated ABF</w:t>
            </w:r>
          </w:p>
        </w:tc>
        <w:tc>
          <w:tcPr>
            <w:tcW w:w="1247" w:type="dxa"/>
          </w:tcPr>
          <w:p w14:paraId="6D787C11"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17A8DDB7" w14:textId="423C94DB"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Community mental health ABF</w:t>
            </w:r>
          </w:p>
        </w:tc>
        <w:tc>
          <w:tcPr>
            <w:tcW w:w="1247" w:type="dxa"/>
            <w:hideMark/>
          </w:tcPr>
          <w:p w14:paraId="6A595D2C"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2480AAF7" w14:textId="015843F8"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 xml:space="preserve">Highly Specialised Therapies </w:t>
            </w:r>
          </w:p>
        </w:tc>
        <w:tc>
          <w:tcPr>
            <w:tcW w:w="1247" w:type="dxa"/>
            <w:hideMark/>
          </w:tcPr>
          <w:p w14:paraId="1783FA35"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 xml:space="preserve">2025–26 </w:t>
            </w:r>
          </w:p>
          <w:p w14:paraId="772B9826" w14:textId="3D227DF6"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Non admitted home ventilation</w:t>
            </w:r>
          </w:p>
        </w:tc>
        <w:tc>
          <w:tcPr>
            <w:tcW w:w="1247" w:type="dxa"/>
            <w:hideMark/>
          </w:tcPr>
          <w:p w14:paraId="159BBF30"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E78E283" w14:textId="130250E8"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Other mental health</w:t>
            </w:r>
          </w:p>
        </w:tc>
        <w:tc>
          <w:tcPr>
            <w:tcW w:w="1247" w:type="dxa"/>
            <w:hideMark/>
          </w:tcPr>
          <w:p w14:paraId="5C4E687B"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E96AD68" w14:textId="470B0B81"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Other public hospitals</w:t>
            </w:r>
          </w:p>
        </w:tc>
        <w:tc>
          <w:tcPr>
            <w:tcW w:w="1247" w:type="dxa"/>
            <w:hideMark/>
          </w:tcPr>
          <w:p w14:paraId="5E43BD69"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587453F" w14:textId="67C640A1"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Small rural hospitals</w:t>
            </w:r>
          </w:p>
        </w:tc>
        <w:tc>
          <w:tcPr>
            <w:tcW w:w="1247" w:type="dxa"/>
            <w:hideMark/>
          </w:tcPr>
          <w:p w14:paraId="110D2655"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41787341" w14:textId="40843AFC"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Teaching, training and research</w:t>
            </w:r>
          </w:p>
        </w:tc>
        <w:tc>
          <w:tcPr>
            <w:tcW w:w="1247" w:type="dxa"/>
          </w:tcPr>
          <w:p w14:paraId="0A37143F"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7E107240"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Out of scope agreement</w:t>
            </w:r>
          </w:p>
          <w:p w14:paraId="2D09CE83" w14:textId="2BD7A08D"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p>
        </w:tc>
        <w:tc>
          <w:tcPr>
            <w:tcW w:w="1247" w:type="dxa"/>
          </w:tcPr>
          <w:p w14:paraId="7874C09C"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39FE91B9" w14:textId="320E07ED"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Total</w:t>
            </w:r>
          </w:p>
        </w:tc>
      </w:tr>
      <w:tr w:rsidR="00612929" w:rsidRPr="00A2223A" w14:paraId="12CD16FB" w14:textId="1F92B83A" w:rsidTr="00D83553">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211" w:type="dxa"/>
            <w:noWrap/>
          </w:tcPr>
          <w:p w14:paraId="0318B5E8" w14:textId="40E46C0B" w:rsidR="005A2EFA" w:rsidRPr="00D83553" w:rsidRDefault="005A2EFA" w:rsidP="005A2EFA">
            <w:pPr>
              <w:pStyle w:val="Tabletext8pt"/>
              <w:rPr>
                <w:b w:val="0"/>
                <w:bCs w:val="0"/>
                <w:sz w:val="16"/>
                <w:szCs w:val="16"/>
              </w:rPr>
            </w:pPr>
            <w:r w:rsidRPr="00D83553">
              <w:rPr>
                <w:b w:val="0"/>
                <w:bCs w:val="0"/>
                <w:sz w:val="16"/>
                <w:szCs w:val="16"/>
              </w:rPr>
              <w:t>Total</w:t>
            </w:r>
          </w:p>
        </w:tc>
        <w:tc>
          <w:tcPr>
            <w:tcW w:w="1247" w:type="dxa"/>
            <w:noWrap/>
          </w:tcPr>
          <w:p w14:paraId="66073190" w14:textId="574212F2"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17,694,177</w:t>
            </w:r>
          </w:p>
        </w:tc>
        <w:tc>
          <w:tcPr>
            <w:tcW w:w="1247" w:type="dxa"/>
          </w:tcPr>
          <w:p w14:paraId="32C6EC5E" w14:textId="7522DC2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1,136,599</w:t>
            </w:r>
          </w:p>
        </w:tc>
        <w:tc>
          <w:tcPr>
            <w:tcW w:w="1247" w:type="dxa"/>
            <w:noWrap/>
          </w:tcPr>
          <w:p w14:paraId="3D054891" w14:textId="24F9F237"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95,692</w:t>
            </w:r>
          </w:p>
        </w:tc>
        <w:tc>
          <w:tcPr>
            <w:tcW w:w="1247" w:type="dxa"/>
            <w:noWrap/>
          </w:tcPr>
          <w:p w14:paraId="0EBDB8B2" w14:textId="23CDE08E"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12,413</w:t>
            </w:r>
          </w:p>
        </w:tc>
        <w:tc>
          <w:tcPr>
            <w:tcW w:w="1247" w:type="dxa"/>
            <w:noWrap/>
          </w:tcPr>
          <w:p w14:paraId="1F634C39" w14:textId="7D537E44"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286,129</w:t>
            </w:r>
          </w:p>
        </w:tc>
        <w:tc>
          <w:tcPr>
            <w:tcW w:w="1247" w:type="dxa"/>
            <w:noWrap/>
          </w:tcPr>
          <w:p w14:paraId="3F6FEC17" w14:textId="3D7A5D4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81,419</w:t>
            </w:r>
          </w:p>
        </w:tc>
        <w:tc>
          <w:tcPr>
            <w:tcW w:w="1247" w:type="dxa"/>
            <w:noWrap/>
          </w:tcPr>
          <w:p w14:paraId="43C10FD6" w14:textId="1A5A3AA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34,038</w:t>
            </w:r>
          </w:p>
        </w:tc>
        <w:tc>
          <w:tcPr>
            <w:tcW w:w="1247" w:type="dxa"/>
            <w:noWrap/>
          </w:tcPr>
          <w:p w14:paraId="60896AA5" w14:textId="77822433"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400,409</w:t>
            </w:r>
          </w:p>
        </w:tc>
        <w:tc>
          <w:tcPr>
            <w:tcW w:w="1247" w:type="dxa"/>
          </w:tcPr>
          <w:p w14:paraId="0A591220" w14:textId="44C8F207"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1,130,627</w:t>
            </w:r>
          </w:p>
        </w:tc>
        <w:tc>
          <w:tcPr>
            <w:tcW w:w="1247" w:type="dxa"/>
          </w:tcPr>
          <w:p w14:paraId="5AB24E4E" w14:textId="68B0BD4C"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20,871,504</w:t>
            </w:r>
          </w:p>
        </w:tc>
      </w:tr>
      <w:bookmarkEnd w:id="2407"/>
    </w:tbl>
    <w:p w14:paraId="26BA7845" w14:textId="705C6AE2" w:rsidR="00AC52D2" w:rsidRDefault="00AC52D2" w:rsidP="00705DCA">
      <w:pPr>
        <w:pStyle w:val="Body"/>
        <w:sectPr w:rsidR="00AC52D2" w:rsidSect="00612929">
          <w:pgSz w:w="16838" w:h="11906" w:orient="landscape" w:code="9"/>
          <w:pgMar w:top="1304" w:right="1418" w:bottom="1304" w:left="1134" w:header="680" w:footer="567" w:gutter="0"/>
          <w:cols w:space="340"/>
          <w:docGrid w:linePitch="360"/>
        </w:sectPr>
      </w:pPr>
    </w:p>
    <w:p w14:paraId="749002BE" w14:textId="5FE6FF0C" w:rsidR="005B699B" w:rsidRPr="005827F1" w:rsidRDefault="005B699B" w:rsidP="005D7D2C">
      <w:pPr>
        <w:pStyle w:val="Heading2"/>
        <w:numPr>
          <w:ilvl w:val="1"/>
          <w:numId w:val="12"/>
        </w:numPr>
        <w:ind w:left="709" w:hanging="709"/>
      </w:pPr>
      <w:bookmarkStart w:id="2408" w:name="_Toc144905670"/>
      <w:bookmarkStart w:id="2409" w:name="_Toc165961864"/>
      <w:bookmarkStart w:id="2410" w:name="_Toc201148292"/>
      <w:bookmarkStart w:id="2411" w:name="_Hlk170302411"/>
      <w:bookmarkEnd w:id="2408"/>
      <w:r>
        <w:t xml:space="preserve">Mental health expenditure </w:t>
      </w:r>
      <w:r w:rsidRPr="00295CB9">
        <w:t>budgets</w:t>
      </w:r>
      <w:r>
        <w:t xml:space="preserve"> </w:t>
      </w:r>
      <w:r w:rsidRPr="00FE0F24">
        <w:t>202</w:t>
      </w:r>
      <w:r w:rsidR="000C0EF6">
        <w:t>5</w:t>
      </w:r>
      <w:r w:rsidRPr="00FE0F24">
        <w:t>–2</w:t>
      </w:r>
      <w:r w:rsidR="000C0EF6">
        <w:t>6</w:t>
      </w:r>
      <w:r>
        <w:t xml:space="preserve"> by service type</w:t>
      </w:r>
      <w:bookmarkEnd w:id="2402"/>
      <w:bookmarkEnd w:id="2403"/>
      <w:bookmarkEnd w:id="2404"/>
      <w:bookmarkEnd w:id="2405"/>
      <w:bookmarkEnd w:id="2406"/>
      <w:bookmarkEnd w:id="2409"/>
      <w:bookmarkEnd w:id="2410"/>
      <w:r w:rsidR="00465852">
        <w:t xml:space="preserve"> </w:t>
      </w:r>
    </w:p>
    <w:p w14:paraId="2DD87E46" w14:textId="77777777" w:rsidR="00541C64" w:rsidRPr="00541C64" w:rsidRDefault="00541C64" w:rsidP="00473B41">
      <w:pPr>
        <w:pStyle w:val="Tablefigurenote9pt"/>
      </w:pPr>
      <w:bookmarkStart w:id="2412" w:name="_Ref452894778"/>
      <w:bookmarkStart w:id="2413" w:name="_Ref423037518"/>
      <w:bookmarkStart w:id="2414" w:name="_Toc12780563"/>
      <w:bookmarkStart w:id="2415" w:name="_Toc14194819"/>
      <w:bookmarkStart w:id="2416" w:name="_Toc33704000"/>
      <w:bookmarkStart w:id="2417" w:name="_Toc109894130"/>
      <w:bookmarkEnd w:id="2411"/>
      <w:r>
        <w:t>Notes</w:t>
      </w:r>
    </w:p>
    <w:p w14:paraId="672B5FA5" w14:textId="14EE0FE6" w:rsidR="00702340" w:rsidRPr="00924883" w:rsidRDefault="00DC0612" w:rsidP="00473B41">
      <w:pPr>
        <w:pStyle w:val="Tablebullet9pt"/>
        <w:rPr>
          <w:bCs w:val="0"/>
        </w:rPr>
      </w:pPr>
      <w:r>
        <w:rPr>
          <w:bCs w:val="0"/>
        </w:rPr>
        <w:t>Acute admitted mental health f</w:t>
      </w:r>
      <w:r w:rsidR="00CC02E9" w:rsidRPr="00924883">
        <w:rPr>
          <w:bCs w:val="0"/>
        </w:rPr>
        <w:t xml:space="preserve">unding amounts shown in </w:t>
      </w:r>
      <w:r w:rsidR="00924883">
        <w:rPr>
          <w:bCs w:val="0"/>
        </w:rPr>
        <w:fldChar w:fldCharType="begin"/>
      </w:r>
      <w:r w:rsidR="00924883">
        <w:rPr>
          <w:bCs w:val="0"/>
        </w:rPr>
        <w:instrText xml:space="preserve"> REF _Ref201047519 \h </w:instrText>
      </w:r>
      <w:r w:rsidR="00924883">
        <w:rPr>
          <w:bCs w:val="0"/>
        </w:rPr>
      </w:r>
      <w:r w:rsidR="00924883">
        <w:rPr>
          <w:bCs w:val="0"/>
        </w:rPr>
        <w:fldChar w:fldCharType="separate"/>
      </w:r>
      <w:r w:rsidR="00532FFD" w:rsidRPr="00216EF2">
        <w:t>Table</w:t>
      </w:r>
      <w:r w:rsidR="00532FFD">
        <w:t xml:space="preserve"> 2.</w:t>
      </w:r>
      <w:r w:rsidR="00532FFD">
        <w:rPr>
          <w:noProof/>
        </w:rPr>
        <w:t>3</w:t>
      </w:r>
      <w:r w:rsidR="00532FFD" w:rsidRPr="00216EF2">
        <w:t xml:space="preserve">: </w:t>
      </w:r>
      <w:r w:rsidR="00532FFD">
        <w:t>Funding summary: h</w:t>
      </w:r>
      <w:r w:rsidR="00532FFD" w:rsidRPr="00216EF2">
        <w:t>ealth service expenditure budgets 202</w:t>
      </w:r>
      <w:r w:rsidR="00532FFD">
        <w:t>5</w:t>
      </w:r>
      <w:r w:rsidR="00532FFD" w:rsidRPr="00216EF2">
        <w:t>–2</w:t>
      </w:r>
      <w:r w:rsidR="00532FFD">
        <w:t>6</w:t>
      </w:r>
      <w:r w:rsidR="00532FFD" w:rsidRPr="00216EF2">
        <w:t xml:space="preserve"> by service category</w:t>
      </w:r>
      <w:r w:rsidR="00924883">
        <w:rPr>
          <w:bCs w:val="0"/>
        </w:rPr>
        <w:fldChar w:fldCharType="end"/>
      </w:r>
    </w:p>
    <w:p w14:paraId="657112DA" w14:textId="77777777" w:rsidR="00541C64" w:rsidRPr="00A67ABC" w:rsidRDefault="00541C64" w:rsidP="00473B41">
      <w:pPr>
        <w:pStyle w:val="Tablebullet9pt"/>
        <w:rPr>
          <w:b/>
        </w:rPr>
      </w:pPr>
      <w:r w:rsidRPr="00A67ABC">
        <w:t>Subtotals and totals may not add up due to rounding.</w:t>
      </w:r>
    </w:p>
    <w:p w14:paraId="131633C9" w14:textId="48539EE4" w:rsidR="00501F32" w:rsidRDefault="00541C64" w:rsidP="00473B41">
      <w:pPr>
        <w:pStyle w:val="Tablebullet9pt"/>
      </w:pPr>
      <w:r w:rsidRPr="00A67ABC">
        <w:t>When published, Statement of Priorities Part C supersede these tables.</w:t>
      </w:r>
    </w:p>
    <w:p w14:paraId="72698895" w14:textId="4FBAE8D4" w:rsidR="004F7559" w:rsidRDefault="004F7559" w:rsidP="00473B41">
      <w:pPr>
        <w:pStyle w:val="Tablebullet9pt"/>
      </w:pPr>
      <w:r>
        <w:t>Excludes N</w:t>
      </w:r>
      <w:r w:rsidR="007D775F">
        <w:t xml:space="preserve">ew </w:t>
      </w:r>
      <w:r>
        <w:t>S</w:t>
      </w:r>
      <w:r w:rsidR="007D775F">
        <w:t xml:space="preserve">outh </w:t>
      </w:r>
      <w:r>
        <w:t>W</w:t>
      </w:r>
      <w:r w:rsidR="007D775F">
        <w:t>ales</w:t>
      </w:r>
      <w:r>
        <w:t xml:space="preserve"> contribution.</w:t>
      </w:r>
    </w:p>
    <w:p w14:paraId="7CEE2840" w14:textId="77777777" w:rsidR="00A06CA4" w:rsidRDefault="00A06CA4" w:rsidP="00A06CA4">
      <w:pPr>
        <w:pStyle w:val="Tablebullet9pt"/>
      </w:pPr>
      <w:bookmarkStart w:id="2418" w:name="_Toc201148590"/>
      <w:bookmarkStart w:id="2419" w:name="_Hlk170295279"/>
      <w:bookmarkEnd w:id="2412"/>
      <w:r w:rsidRPr="00A06CA4">
        <w:t>Draft information pending finalisation of SOPs</w:t>
      </w:r>
      <w:r>
        <w:t>.</w:t>
      </w:r>
    </w:p>
    <w:p w14:paraId="17A4F058" w14:textId="3D12B912" w:rsidR="00D8107F" w:rsidRPr="00D8107F" w:rsidRDefault="00462DC7" w:rsidP="00D8107F">
      <w:pPr>
        <w:pStyle w:val="Tablecaption"/>
      </w:pPr>
      <w:r>
        <w:t>Table</w:t>
      </w:r>
      <w:r w:rsidR="00D72666">
        <w:t xml:space="preserve"> 2</w:t>
      </w:r>
      <w:r w:rsidR="000E0ED2">
        <w:t>.</w:t>
      </w:r>
      <w:r>
        <w:fldChar w:fldCharType="begin"/>
      </w:r>
      <w:r>
        <w:instrText>SEQ Table \* ARABIC \s 1</w:instrText>
      </w:r>
      <w:r>
        <w:fldChar w:fldCharType="separate"/>
      </w:r>
      <w:r w:rsidR="007D262B">
        <w:rPr>
          <w:noProof/>
        </w:rPr>
        <w:t>4</w:t>
      </w:r>
      <w:r>
        <w:fldChar w:fldCharType="end"/>
      </w:r>
      <w:r>
        <w:t xml:space="preserve">: </w:t>
      </w:r>
      <w:r w:rsidR="005B699B">
        <w:t xml:space="preserve">Mental health </w:t>
      </w:r>
      <w:r w:rsidR="005B699B" w:rsidRPr="00B06738">
        <w:t>expenditure budgets 202</w:t>
      </w:r>
      <w:r w:rsidR="000C0EF6">
        <w:t>5</w:t>
      </w:r>
      <w:r w:rsidR="005B699B">
        <w:t>–</w:t>
      </w:r>
      <w:r w:rsidR="005B699B" w:rsidRPr="00B06738">
        <w:t>2</w:t>
      </w:r>
      <w:r w:rsidR="000C0EF6">
        <w:t>6</w:t>
      </w:r>
      <w:r w:rsidR="005B699B" w:rsidRPr="00B06738">
        <w:t xml:space="preserve"> by service type</w:t>
      </w:r>
      <w:bookmarkEnd w:id="2413"/>
      <w:bookmarkEnd w:id="2414"/>
      <w:bookmarkEnd w:id="2415"/>
      <w:bookmarkEnd w:id="2416"/>
      <w:bookmarkEnd w:id="2417"/>
      <w:bookmarkEnd w:id="2418"/>
    </w:p>
    <w:p w14:paraId="2DA515FE" w14:textId="77777777" w:rsidR="005B699B" w:rsidRPr="00E00C4E" w:rsidRDefault="005B699B" w:rsidP="00705DCA">
      <w:pPr>
        <w:pStyle w:val="Body"/>
      </w:pPr>
      <w:bookmarkStart w:id="2420" w:name="_Hlk170295312"/>
      <w:bookmarkStart w:id="2421" w:name="_Toc12780660"/>
      <w:bookmarkStart w:id="2422" w:name="_Toc14172301"/>
      <w:bookmarkStart w:id="2423" w:name="_Toc33703975"/>
      <w:bookmarkStart w:id="2424" w:name="_Toc55381163"/>
      <w:bookmarkStart w:id="2425" w:name="_Toc100263369"/>
      <w:bookmarkEnd w:id="2419"/>
      <w:r w:rsidRPr="00E00C4E">
        <w:t>Metropolitan and regional – $’000s</w:t>
      </w:r>
    </w:p>
    <w:tbl>
      <w:tblPr>
        <w:tblStyle w:val="GridTable4-Accent1"/>
        <w:tblW w:w="13417" w:type="dxa"/>
        <w:tblInd w:w="-289" w:type="dxa"/>
        <w:tblLayout w:type="fixed"/>
        <w:tblLook w:val="04A0" w:firstRow="1" w:lastRow="0" w:firstColumn="1" w:lastColumn="0" w:noHBand="0" w:noVBand="1"/>
      </w:tblPr>
      <w:tblGrid>
        <w:gridCol w:w="1947"/>
        <w:gridCol w:w="1148"/>
        <w:gridCol w:w="1147"/>
        <w:gridCol w:w="1147"/>
        <w:gridCol w:w="1146"/>
        <w:gridCol w:w="1147"/>
        <w:gridCol w:w="1147"/>
        <w:gridCol w:w="1147"/>
        <w:gridCol w:w="1147"/>
        <w:gridCol w:w="1147"/>
        <w:gridCol w:w="1147"/>
      </w:tblGrid>
      <w:tr w:rsidR="00610159" w:rsidRPr="000C4609" w14:paraId="5BF9ABBD" w14:textId="79A4B489" w:rsidTr="00610159">
        <w:trPr>
          <w:cnfStyle w:val="100000000000" w:firstRow="1" w:lastRow="0" w:firstColumn="0" w:lastColumn="0" w:oddVBand="0" w:evenVBand="0" w:oddHBand="0" w:evenHBand="0" w:firstRowFirstColumn="0" w:firstRowLastColumn="0" w:lastRowFirstColumn="0" w:lastRowLastColumn="0"/>
          <w:trHeight w:val="799"/>
          <w:tblHeader/>
        </w:trPr>
        <w:tc>
          <w:tcPr>
            <w:cnfStyle w:val="001000000000" w:firstRow="0" w:lastRow="0" w:firstColumn="1" w:lastColumn="0" w:oddVBand="0" w:evenVBand="0" w:oddHBand="0" w:evenHBand="0" w:firstRowFirstColumn="0" w:firstRowLastColumn="0" w:lastRowFirstColumn="0" w:lastRowLastColumn="0"/>
            <w:tcW w:w="1947" w:type="dxa"/>
            <w:hideMark/>
          </w:tcPr>
          <w:p w14:paraId="3B04A4D3" w14:textId="77777777" w:rsidR="00610159" w:rsidRPr="00832D86" w:rsidRDefault="00610159" w:rsidP="00E54C8D">
            <w:pPr>
              <w:pStyle w:val="Tablecolhead8pt"/>
              <w:rPr>
                <w:b/>
                <w:bCs w:val="0"/>
                <w:color w:val="FFFFFF" w:themeColor="background1"/>
                <w:sz w:val="16"/>
              </w:rPr>
            </w:pPr>
            <w:r w:rsidRPr="00832D86">
              <w:rPr>
                <w:b/>
                <w:bCs w:val="0"/>
                <w:color w:val="FFFFFF" w:themeColor="background1"/>
                <w:sz w:val="16"/>
              </w:rPr>
              <w:t xml:space="preserve">Health service </w:t>
            </w:r>
          </w:p>
        </w:tc>
        <w:tc>
          <w:tcPr>
            <w:tcW w:w="1148" w:type="dxa"/>
            <w:hideMark/>
          </w:tcPr>
          <w:p w14:paraId="3390D24B" w14:textId="2774A24E"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7" w:type="dxa"/>
            <w:hideMark/>
          </w:tcPr>
          <w:p w14:paraId="55E04835" w14:textId="07AD51CE"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71B18518" w14:textId="3DD81EB1"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6" w:type="dxa"/>
            <w:hideMark/>
          </w:tcPr>
          <w:p w14:paraId="183F059A" w14:textId="6AC544F9"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7" w:type="dxa"/>
            <w:hideMark/>
          </w:tcPr>
          <w:p w14:paraId="44C6B172" w14:textId="27A60F47"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28BC1D27" w14:textId="5A122FA3"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53B7396F" w14:textId="3585439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7" w:type="dxa"/>
            <w:hideMark/>
          </w:tcPr>
          <w:p w14:paraId="3723301D" w14:textId="40E95321"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7" w:type="dxa"/>
          </w:tcPr>
          <w:p w14:paraId="3EAEE3BB" w14:textId="385BC1E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7" w:type="dxa"/>
          </w:tcPr>
          <w:p w14:paraId="56634F6E" w14:textId="332B6B6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E2367C" w:rsidRPr="000C4609" w14:paraId="2D198447" w14:textId="2BE3E999" w:rsidTr="00E2367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43E5E62" w14:textId="5B9BD7B2" w:rsidR="00E2367C" w:rsidRPr="009B0BAE" w:rsidRDefault="00E2367C" w:rsidP="00E2367C">
            <w:pPr>
              <w:pStyle w:val="Tabletext8pt"/>
              <w:rPr>
                <w:b w:val="0"/>
                <w:bCs w:val="0"/>
                <w:sz w:val="16"/>
                <w:szCs w:val="16"/>
              </w:rPr>
            </w:pPr>
            <w:r w:rsidRPr="009B0BAE">
              <w:rPr>
                <w:b w:val="0"/>
                <w:bCs w:val="0"/>
              </w:rPr>
              <w:t>Albury Wodonga Health</w:t>
            </w:r>
          </w:p>
        </w:tc>
        <w:tc>
          <w:tcPr>
            <w:tcW w:w="1148" w:type="dxa"/>
            <w:noWrap/>
            <w:vAlign w:val="center"/>
          </w:tcPr>
          <w:p w14:paraId="1A4B90D3" w14:textId="6813CA8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FFFA832" w14:textId="3B2E9B4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272DB0F1" w14:textId="582A381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2,457</w:t>
            </w:r>
          </w:p>
        </w:tc>
        <w:tc>
          <w:tcPr>
            <w:tcW w:w="1146" w:type="dxa"/>
            <w:noWrap/>
            <w:vAlign w:val="center"/>
          </w:tcPr>
          <w:p w14:paraId="6DE4732F" w14:textId="11E0EF7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26,128</w:t>
            </w:r>
          </w:p>
        </w:tc>
        <w:tc>
          <w:tcPr>
            <w:tcW w:w="1147" w:type="dxa"/>
            <w:noWrap/>
            <w:vAlign w:val="center"/>
          </w:tcPr>
          <w:p w14:paraId="7023B6ED" w14:textId="4D85771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337</w:t>
            </w:r>
          </w:p>
        </w:tc>
        <w:tc>
          <w:tcPr>
            <w:tcW w:w="1147" w:type="dxa"/>
            <w:noWrap/>
            <w:vAlign w:val="center"/>
          </w:tcPr>
          <w:p w14:paraId="252D8ED2" w14:textId="6885E71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w:t>
            </w:r>
          </w:p>
        </w:tc>
        <w:tc>
          <w:tcPr>
            <w:tcW w:w="1147" w:type="dxa"/>
            <w:noWrap/>
            <w:vAlign w:val="center"/>
          </w:tcPr>
          <w:p w14:paraId="5FCCD758" w14:textId="21B3024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1,635</w:t>
            </w:r>
          </w:p>
        </w:tc>
        <w:tc>
          <w:tcPr>
            <w:tcW w:w="1147" w:type="dxa"/>
            <w:noWrap/>
            <w:vAlign w:val="center"/>
          </w:tcPr>
          <w:p w14:paraId="506E28A1" w14:textId="2D2B0C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6,053</w:t>
            </w:r>
          </w:p>
        </w:tc>
        <w:tc>
          <w:tcPr>
            <w:tcW w:w="1147" w:type="dxa"/>
            <w:vAlign w:val="center"/>
          </w:tcPr>
          <w:p w14:paraId="61855E2F" w14:textId="679D030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6,713</w:t>
            </w:r>
          </w:p>
        </w:tc>
        <w:tc>
          <w:tcPr>
            <w:tcW w:w="1147" w:type="dxa"/>
            <w:vAlign w:val="center"/>
          </w:tcPr>
          <w:p w14:paraId="547B157A" w14:textId="5D2182D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43,430</w:t>
            </w:r>
          </w:p>
        </w:tc>
      </w:tr>
      <w:tr w:rsidR="00E2367C" w:rsidRPr="000C4609" w14:paraId="5873593B" w14:textId="65016EC2"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46F45ED3" w14:textId="1B8B57D7" w:rsidR="00E2367C" w:rsidRPr="009B0BAE" w:rsidRDefault="00E2367C" w:rsidP="00E2367C">
            <w:pPr>
              <w:pStyle w:val="Tabletext8pt"/>
              <w:rPr>
                <w:b w:val="0"/>
                <w:bCs w:val="0"/>
                <w:sz w:val="16"/>
                <w:szCs w:val="16"/>
              </w:rPr>
            </w:pPr>
            <w:r w:rsidRPr="009B0BAE">
              <w:rPr>
                <w:b w:val="0"/>
                <w:bCs w:val="0"/>
              </w:rPr>
              <w:t>Alfred Health</w:t>
            </w:r>
          </w:p>
        </w:tc>
        <w:tc>
          <w:tcPr>
            <w:tcW w:w="1148" w:type="dxa"/>
            <w:noWrap/>
            <w:vAlign w:val="center"/>
          </w:tcPr>
          <w:p w14:paraId="567A8C83" w14:textId="166A6EB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366D60DF" w14:textId="109F354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1B5B3E4" w14:textId="1506345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5,394</w:t>
            </w:r>
          </w:p>
        </w:tc>
        <w:tc>
          <w:tcPr>
            <w:tcW w:w="1146" w:type="dxa"/>
            <w:noWrap/>
            <w:vAlign w:val="center"/>
          </w:tcPr>
          <w:p w14:paraId="1D2A1857" w14:textId="4FCAA6D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77,448</w:t>
            </w:r>
          </w:p>
        </w:tc>
        <w:tc>
          <w:tcPr>
            <w:tcW w:w="1147" w:type="dxa"/>
            <w:noWrap/>
            <w:vAlign w:val="center"/>
          </w:tcPr>
          <w:p w14:paraId="72F48676" w14:textId="2C70614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1,508</w:t>
            </w:r>
          </w:p>
        </w:tc>
        <w:tc>
          <w:tcPr>
            <w:tcW w:w="1147" w:type="dxa"/>
            <w:noWrap/>
            <w:vAlign w:val="center"/>
          </w:tcPr>
          <w:p w14:paraId="29D75A4D" w14:textId="7F32F86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326</w:t>
            </w:r>
          </w:p>
        </w:tc>
        <w:tc>
          <w:tcPr>
            <w:tcW w:w="1147" w:type="dxa"/>
            <w:noWrap/>
            <w:vAlign w:val="center"/>
          </w:tcPr>
          <w:p w14:paraId="45AFF225" w14:textId="617103B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9E95BCC" w14:textId="0D70468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6,457</w:t>
            </w:r>
          </w:p>
        </w:tc>
        <w:tc>
          <w:tcPr>
            <w:tcW w:w="1147" w:type="dxa"/>
            <w:vAlign w:val="center"/>
          </w:tcPr>
          <w:p w14:paraId="0302FCD8" w14:textId="274E53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7,017</w:t>
            </w:r>
          </w:p>
        </w:tc>
        <w:tc>
          <w:tcPr>
            <w:tcW w:w="1147" w:type="dxa"/>
            <w:vAlign w:val="center"/>
          </w:tcPr>
          <w:p w14:paraId="24AAA151" w14:textId="63E955F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98,151</w:t>
            </w:r>
          </w:p>
        </w:tc>
      </w:tr>
      <w:tr w:rsidR="00E2367C" w:rsidRPr="000C4609" w14:paraId="0EBAECBE" w14:textId="7739F2BF"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C330825" w14:textId="3E3DB977" w:rsidR="00E2367C" w:rsidRPr="009B0BAE" w:rsidRDefault="00E2367C" w:rsidP="00E2367C">
            <w:pPr>
              <w:pStyle w:val="Tabletext8pt"/>
              <w:rPr>
                <w:b w:val="0"/>
                <w:bCs w:val="0"/>
                <w:sz w:val="16"/>
                <w:szCs w:val="16"/>
              </w:rPr>
            </w:pPr>
            <w:r w:rsidRPr="009B0BAE">
              <w:rPr>
                <w:b w:val="0"/>
                <w:bCs w:val="0"/>
              </w:rPr>
              <w:t>Austin Health</w:t>
            </w:r>
          </w:p>
        </w:tc>
        <w:tc>
          <w:tcPr>
            <w:tcW w:w="1148" w:type="dxa"/>
            <w:noWrap/>
            <w:vAlign w:val="center"/>
          </w:tcPr>
          <w:p w14:paraId="36A07F1A" w14:textId="0076951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1,433</w:t>
            </w:r>
          </w:p>
        </w:tc>
        <w:tc>
          <w:tcPr>
            <w:tcW w:w="1147" w:type="dxa"/>
            <w:noWrap/>
            <w:vAlign w:val="center"/>
          </w:tcPr>
          <w:p w14:paraId="4638E009" w14:textId="793717A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2,601</w:t>
            </w:r>
          </w:p>
        </w:tc>
        <w:tc>
          <w:tcPr>
            <w:tcW w:w="1147" w:type="dxa"/>
            <w:vAlign w:val="center"/>
          </w:tcPr>
          <w:p w14:paraId="488C52C0" w14:textId="3C8C5B4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2,748</w:t>
            </w:r>
          </w:p>
        </w:tc>
        <w:tc>
          <w:tcPr>
            <w:tcW w:w="1146" w:type="dxa"/>
            <w:noWrap/>
            <w:vAlign w:val="center"/>
          </w:tcPr>
          <w:p w14:paraId="0EF7A013" w14:textId="0970CC5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49,937</w:t>
            </w:r>
          </w:p>
        </w:tc>
        <w:tc>
          <w:tcPr>
            <w:tcW w:w="1147" w:type="dxa"/>
            <w:noWrap/>
            <w:vAlign w:val="center"/>
          </w:tcPr>
          <w:p w14:paraId="4CC4B478" w14:textId="475C210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1,147</w:t>
            </w:r>
          </w:p>
        </w:tc>
        <w:tc>
          <w:tcPr>
            <w:tcW w:w="1147" w:type="dxa"/>
            <w:noWrap/>
            <w:vAlign w:val="center"/>
          </w:tcPr>
          <w:p w14:paraId="314C48F2" w14:textId="13EE966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202</w:t>
            </w:r>
          </w:p>
        </w:tc>
        <w:tc>
          <w:tcPr>
            <w:tcW w:w="1147" w:type="dxa"/>
            <w:noWrap/>
            <w:vAlign w:val="center"/>
          </w:tcPr>
          <w:p w14:paraId="56972E39" w14:textId="430CA3A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0D53766" w14:textId="41903FA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7,087</w:t>
            </w:r>
          </w:p>
        </w:tc>
        <w:tc>
          <w:tcPr>
            <w:tcW w:w="1147" w:type="dxa"/>
            <w:vAlign w:val="center"/>
          </w:tcPr>
          <w:p w14:paraId="0522774F" w14:textId="55E5DF9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11,347</w:t>
            </w:r>
          </w:p>
        </w:tc>
        <w:tc>
          <w:tcPr>
            <w:tcW w:w="1147" w:type="dxa"/>
            <w:vAlign w:val="center"/>
          </w:tcPr>
          <w:p w14:paraId="1647D729" w14:textId="15DD2B1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76,502</w:t>
            </w:r>
          </w:p>
        </w:tc>
      </w:tr>
      <w:tr w:rsidR="00E2367C" w:rsidRPr="000C4609" w14:paraId="6250429F" w14:textId="0F416E25"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41900B4" w14:textId="57C19466" w:rsidR="00E2367C" w:rsidRPr="009B0BAE" w:rsidRDefault="00E2367C" w:rsidP="00E2367C">
            <w:pPr>
              <w:pStyle w:val="Tabletext8pt"/>
              <w:rPr>
                <w:b w:val="0"/>
                <w:bCs w:val="0"/>
                <w:sz w:val="16"/>
                <w:szCs w:val="16"/>
              </w:rPr>
            </w:pPr>
            <w:r w:rsidRPr="009B0BAE">
              <w:rPr>
                <w:b w:val="0"/>
                <w:bCs w:val="0"/>
              </w:rPr>
              <w:t>Barwon Health</w:t>
            </w:r>
          </w:p>
        </w:tc>
        <w:tc>
          <w:tcPr>
            <w:tcW w:w="1148" w:type="dxa"/>
            <w:noWrap/>
            <w:vAlign w:val="center"/>
          </w:tcPr>
          <w:p w14:paraId="3D1A7035" w14:textId="2F78BA4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3A4F75C6" w14:textId="458F5C5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2C4B5704" w14:textId="7F37FD1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14,328</w:t>
            </w:r>
          </w:p>
        </w:tc>
        <w:tc>
          <w:tcPr>
            <w:tcW w:w="1146" w:type="dxa"/>
            <w:noWrap/>
            <w:vAlign w:val="center"/>
          </w:tcPr>
          <w:p w14:paraId="15660293" w14:textId="7207B9C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63,027</w:t>
            </w:r>
          </w:p>
        </w:tc>
        <w:tc>
          <w:tcPr>
            <w:tcW w:w="1147" w:type="dxa"/>
            <w:noWrap/>
            <w:vAlign w:val="center"/>
          </w:tcPr>
          <w:p w14:paraId="057D8C7C" w14:textId="3DA9CD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1,711</w:t>
            </w:r>
          </w:p>
        </w:tc>
        <w:tc>
          <w:tcPr>
            <w:tcW w:w="1147" w:type="dxa"/>
            <w:noWrap/>
            <w:vAlign w:val="center"/>
          </w:tcPr>
          <w:p w14:paraId="3C8324AC" w14:textId="3FAA4E1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106</w:t>
            </w:r>
          </w:p>
        </w:tc>
        <w:tc>
          <w:tcPr>
            <w:tcW w:w="1147" w:type="dxa"/>
            <w:noWrap/>
            <w:vAlign w:val="center"/>
          </w:tcPr>
          <w:p w14:paraId="0E22BA19" w14:textId="20FD2F5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2,197</w:t>
            </w:r>
          </w:p>
        </w:tc>
        <w:tc>
          <w:tcPr>
            <w:tcW w:w="1147" w:type="dxa"/>
            <w:noWrap/>
            <w:vAlign w:val="center"/>
          </w:tcPr>
          <w:p w14:paraId="6549FBDD" w14:textId="012671C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6,734</w:t>
            </w:r>
          </w:p>
        </w:tc>
        <w:tc>
          <w:tcPr>
            <w:tcW w:w="1147" w:type="dxa"/>
            <w:vAlign w:val="center"/>
          </w:tcPr>
          <w:p w14:paraId="5C2B4BFE" w14:textId="3AE717F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4,607</w:t>
            </w:r>
          </w:p>
        </w:tc>
        <w:tc>
          <w:tcPr>
            <w:tcW w:w="1147" w:type="dxa"/>
            <w:vAlign w:val="center"/>
          </w:tcPr>
          <w:p w14:paraId="040F4537" w14:textId="594226D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92,870</w:t>
            </w:r>
          </w:p>
        </w:tc>
      </w:tr>
      <w:tr w:rsidR="00E2367C" w:rsidRPr="000C4609" w14:paraId="12490FF6" w14:textId="56482D34"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C18B8D6" w14:textId="7FDE5153" w:rsidR="00E2367C" w:rsidRPr="009B0BAE" w:rsidRDefault="00E2367C" w:rsidP="00E2367C">
            <w:pPr>
              <w:pStyle w:val="Tabletext8pt"/>
              <w:rPr>
                <w:b w:val="0"/>
                <w:bCs w:val="0"/>
                <w:sz w:val="16"/>
                <w:szCs w:val="16"/>
              </w:rPr>
            </w:pPr>
            <w:r w:rsidRPr="009B0BAE">
              <w:rPr>
                <w:b w:val="0"/>
                <w:bCs w:val="0"/>
              </w:rPr>
              <w:t>Bendigo Health</w:t>
            </w:r>
          </w:p>
        </w:tc>
        <w:tc>
          <w:tcPr>
            <w:tcW w:w="1148" w:type="dxa"/>
            <w:noWrap/>
            <w:vAlign w:val="center"/>
          </w:tcPr>
          <w:p w14:paraId="5A15F9A4" w14:textId="4452C7A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1816E03F" w14:textId="36C24C2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46A486A" w14:textId="7E52084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2,644</w:t>
            </w:r>
          </w:p>
        </w:tc>
        <w:tc>
          <w:tcPr>
            <w:tcW w:w="1146" w:type="dxa"/>
            <w:noWrap/>
            <w:vAlign w:val="center"/>
          </w:tcPr>
          <w:p w14:paraId="40A5984B" w14:textId="1F89EEB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55,441</w:t>
            </w:r>
          </w:p>
        </w:tc>
        <w:tc>
          <w:tcPr>
            <w:tcW w:w="1147" w:type="dxa"/>
            <w:noWrap/>
            <w:vAlign w:val="center"/>
          </w:tcPr>
          <w:p w14:paraId="2BD0530F" w14:textId="1A042B4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215</w:t>
            </w:r>
          </w:p>
        </w:tc>
        <w:tc>
          <w:tcPr>
            <w:tcW w:w="1147" w:type="dxa"/>
            <w:noWrap/>
            <w:vAlign w:val="center"/>
          </w:tcPr>
          <w:p w14:paraId="720F29CF" w14:textId="0F47310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240</w:t>
            </w:r>
          </w:p>
        </w:tc>
        <w:tc>
          <w:tcPr>
            <w:tcW w:w="1147" w:type="dxa"/>
            <w:noWrap/>
            <w:vAlign w:val="center"/>
          </w:tcPr>
          <w:p w14:paraId="4AC3CF5A" w14:textId="28371FD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1,759</w:t>
            </w:r>
          </w:p>
        </w:tc>
        <w:tc>
          <w:tcPr>
            <w:tcW w:w="1147" w:type="dxa"/>
            <w:noWrap/>
            <w:vAlign w:val="center"/>
          </w:tcPr>
          <w:p w14:paraId="54F691ED" w14:textId="0989D27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5,714</w:t>
            </w:r>
          </w:p>
        </w:tc>
        <w:tc>
          <w:tcPr>
            <w:tcW w:w="1147" w:type="dxa"/>
            <w:vAlign w:val="center"/>
          </w:tcPr>
          <w:p w14:paraId="29FB05D3" w14:textId="075ABE0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6,776</w:t>
            </w:r>
          </w:p>
        </w:tc>
        <w:tc>
          <w:tcPr>
            <w:tcW w:w="1147" w:type="dxa"/>
            <w:vAlign w:val="center"/>
          </w:tcPr>
          <w:p w14:paraId="1E1B32A4" w14:textId="7F76276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72,949</w:t>
            </w:r>
          </w:p>
        </w:tc>
      </w:tr>
      <w:tr w:rsidR="00E2367C" w:rsidRPr="000C4609" w14:paraId="71342C72" w14:textId="4B0E8D38"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7F60233" w14:textId="4AE3C452" w:rsidR="00E2367C" w:rsidRPr="009B0BAE" w:rsidRDefault="00E2367C" w:rsidP="00E2367C">
            <w:pPr>
              <w:pStyle w:val="Tabletext8pt"/>
              <w:rPr>
                <w:b w:val="0"/>
                <w:bCs w:val="0"/>
                <w:sz w:val="16"/>
                <w:szCs w:val="16"/>
              </w:rPr>
            </w:pPr>
            <w:r w:rsidRPr="009B0BAE">
              <w:rPr>
                <w:b w:val="0"/>
                <w:bCs w:val="0"/>
              </w:rPr>
              <w:t>Eastern Health</w:t>
            </w:r>
          </w:p>
        </w:tc>
        <w:tc>
          <w:tcPr>
            <w:tcW w:w="1148" w:type="dxa"/>
            <w:noWrap/>
            <w:vAlign w:val="center"/>
          </w:tcPr>
          <w:p w14:paraId="62EEEFDF" w14:textId="28AEB18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03752A5D" w14:textId="50DCC43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34659A3" w14:textId="63D1F75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10,556</w:t>
            </w:r>
          </w:p>
        </w:tc>
        <w:tc>
          <w:tcPr>
            <w:tcW w:w="1146" w:type="dxa"/>
            <w:noWrap/>
            <w:vAlign w:val="center"/>
          </w:tcPr>
          <w:p w14:paraId="40E6D7ED" w14:textId="1AC915D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118,582</w:t>
            </w:r>
          </w:p>
        </w:tc>
        <w:tc>
          <w:tcPr>
            <w:tcW w:w="1147" w:type="dxa"/>
            <w:noWrap/>
            <w:vAlign w:val="center"/>
          </w:tcPr>
          <w:p w14:paraId="72F66407" w14:textId="50D7F25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716864F0" w14:textId="3DED5CE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202</w:t>
            </w:r>
          </w:p>
        </w:tc>
        <w:tc>
          <w:tcPr>
            <w:tcW w:w="1147" w:type="dxa"/>
            <w:noWrap/>
            <w:vAlign w:val="center"/>
          </w:tcPr>
          <w:p w14:paraId="4CF549E4" w14:textId="2986719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2,910</w:t>
            </w:r>
          </w:p>
        </w:tc>
        <w:tc>
          <w:tcPr>
            <w:tcW w:w="1147" w:type="dxa"/>
            <w:noWrap/>
            <w:vAlign w:val="center"/>
          </w:tcPr>
          <w:p w14:paraId="79208FA9" w14:textId="0379976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8,900</w:t>
            </w:r>
          </w:p>
        </w:tc>
        <w:tc>
          <w:tcPr>
            <w:tcW w:w="1147" w:type="dxa"/>
            <w:vAlign w:val="center"/>
          </w:tcPr>
          <w:p w14:paraId="084C6906" w14:textId="6AB255E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12,514</w:t>
            </w:r>
          </w:p>
        </w:tc>
        <w:tc>
          <w:tcPr>
            <w:tcW w:w="1147" w:type="dxa"/>
            <w:vAlign w:val="center"/>
          </w:tcPr>
          <w:p w14:paraId="7665D030" w14:textId="1939E13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154,039</w:t>
            </w:r>
          </w:p>
        </w:tc>
      </w:tr>
      <w:tr w:rsidR="00E2367C" w:rsidRPr="000C4609" w14:paraId="74B4267C" w14:textId="2B568455"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7999FA89" w14:textId="1D053753" w:rsidR="00E2367C" w:rsidRPr="009B0BAE" w:rsidRDefault="00E2367C" w:rsidP="00E2367C">
            <w:pPr>
              <w:pStyle w:val="Tabletext8pt"/>
              <w:rPr>
                <w:b w:val="0"/>
                <w:bCs w:val="0"/>
                <w:sz w:val="16"/>
                <w:szCs w:val="16"/>
              </w:rPr>
            </w:pPr>
            <w:r w:rsidRPr="009B0BAE">
              <w:rPr>
                <w:b w:val="0"/>
                <w:bCs w:val="0"/>
              </w:rPr>
              <w:t>Goulburn Valley Health</w:t>
            </w:r>
          </w:p>
        </w:tc>
        <w:tc>
          <w:tcPr>
            <w:tcW w:w="1148" w:type="dxa"/>
            <w:noWrap/>
            <w:vAlign w:val="center"/>
          </w:tcPr>
          <w:p w14:paraId="1CFB818D" w14:textId="05B5D92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77A5CEFE" w14:textId="2C593CB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059B8C15" w14:textId="767ACFC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2,791</w:t>
            </w:r>
          </w:p>
        </w:tc>
        <w:tc>
          <w:tcPr>
            <w:tcW w:w="1146" w:type="dxa"/>
            <w:noWrap/>
            <w:vAlign w:val="center"/>
          </w:tcPr>
          <w:p w14:paraId="2F02DF22" w14:textId="79EB2A7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29,950</w:t>
            </w:r>
          </w:p>
        </w:tc>
        <w:tc>
          <w:tcPr>
            <w:tcW w:w="1147" w:type="dxa"/>
            <w:noWrap/>
            <w:vAlign w:val="center"/>
          </w:tcPr>
          <w:p w14:paraId="1C36F4BE" w14:textId="4DCA32E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357EB41" w14:textId="18626E2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97</w:t>
            </w:r>
          </w:p>
        </w:tc>
        <w:tc>
          <w:tcPr>
            <w:tcW w:w="1147" w:type="dxa"/>
            <w:noWrap/>
            <w:vAlign w:val="center"/>
          </w:tcPr>
          <w:p w14:paraId="5EE8C200" w14:textId="10B54EA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850</w:t>
            </w:r>
          </w:p>
        </w:tc>
        <w:tc>
          <w:tcPr>
            <w:tcW w:w="1147" w:type="dxa"/>
            <w:noWrap/>
            <w:vAlign w:val="center"/>
          </w:tcPr>
          <w:p w14:paraId="22676C58" w14:textId="289B903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5,460</w:t>
            </w:r>
          </w:p>
        </w:tc>
        <w:tc>
          <w:tcPr>
            <w:tcW w:w="1147" w:type="dxa"/>
            <w:vAlign w:val="center"/>
          </w:tcPr>
          <w:p w14:paraId="311F6A33" w14:textId="72F832E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3,839</w:t>
            </w:r>
          </w:p>
        </w:tc>
        <w:tc>
          <w:tcPr>
            <w:tcW w:w="1147" w:type="dxa"/>
            <w:vAlign w:val="center"/>
          </w:tcPr>
          <w:p w14:paraId="1D39FEA5" w14:textId="59A057A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43,146</w:t>
            </w:r>
          </w:p>
        </w:tc>
      </w:tr>
      <w:tr w:rsidR="00E2367C" w:rsidRPr="000C4609" w14:paraId="42E8152C" w14:textId="223778C6"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E355DEE" w14:textId="77C4238C" w:rsidR="00E2367C" w:rsidRPr="009B0BAE" w:rsidRDefault="00E2367C" w:rsidP="00E2367C">
            <w:pPr>
              <w:pStyle w:val="Tabletext8pt"/>
              <w:rPr>
                <w:b w:val="0"/>
                <w:bCs w:val="0"/>
                <w:sz w:val="16"/>
                <w:szCs w:val="16"/>
              </w:rPr>
            </w:pPr>
            <w:r w:rsidRPr="009B0BAE">
              <w:rPr>
                <w:b w:val="0"/>
                <w:bCs w:val="0"/>
              </w:rPr>
              <w:t>Grampians Health</w:t>
            </w:r>
          </w:p>
        </w:tc>
        <w:tc>
          <w:tcPr>
            <w:tcW w:w="1148" w:type="dxa"/>
            <w:noWrap/>
            <w:vAlign w:val="center"/>
          </w:tcPr>
          <w:p w14:paraId="4F3E5BE3" w14:textId="6FDF925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2657ED75" w14:textId="6EFEA65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29C191C" w14:textId="7466DF7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3,062</w:t>
            </w:r>
          </w:p>
        </w:tc>
        <w:tc>
          <w:tcPr>
            <w:tcW w:w="1146" w:type="dxa"/>
            <w:noWrap/>
            <w:vAlign w:val="center"/>
          </w:tcPr>
          <w:p w14:paraId="163D5AC1" w14:textId="579B0BB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41,632</w:t>
            </w:r>
          </w:p>
        </w:tc>
        <w:tc>
          <w:tcPr>
            <w:tcW w:w="1147" w:type="dxa"/>
            <w:noWrap/>
            <w:vAlign w:val="center"/>
          </w:tcPr>
          <w:p w14:paraId="4ACF48E6" w14:textId="476643A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330</w:t>
            </w:r>
          </w:p>
        </w:tc>
        <w:tc>
          <w:tcPr>
            <w:tcW w:w="1147" w:type="dxa"/>
            <w:noWrap/>
            <w:vAlign w:val="center"/>
          </w:tcPr>
          <w:p w14:paraId="0D2C6E88" w14:textId="09B7A9D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175</w:t>
            </w:r>
          </w:p>
        </w:tc>
        <w:tc>
          <w:tcPr>
            <w:tcW w:w="1147" w:type="dxa"/>
            <w:noWrap/>
            <w:vAlign w:val="center"/>
          </w:tcPr>
          <w:p w14:paraId="7C991C1D" w14:textId="05917A8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1,126</w:t>
            </w:r>
          </w:p>
        </w:tc>
        <w:tc>
          <w:tcPr>
            <w:tcW w:w="1147" w:type="dxa"/>
            <w:noWrap/>
            <w:vAlign w:val="center"/>
          </w:tcPr>
          <w:p w14:paraId="18D87408" w14:textId="397EDC1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6,279</w:t>
            </w:r>
          </w:p>
        </w:tc>
        <w:tc>
          <w:tcPr>
            <w:tcW w:w="1147" w:type="dxa"/>
            <w:vAlign w:val="center"/>
          </w:tcPr>
          <w:p w14:paraId="452113F4" w14:textId="52CF39A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4,062</w:t>
            </w:r>
          </w:p>
        </w:tc>
        <w:tc>
          <w:tcPr>
            <w:tcW w:w="1147" w:type="dxa"/>
            <w:vAlign w:val="center"/>
          </w:tcPr>
          <w:p w14:paraId="2107512F" w14:textId="1CA6CA7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56,826</w:t>
            </w:r>
          </w:p>
        </w:tc>
      </w:tr>
      <w:tr w:rsidR="00E2367C" w:rsidRPr="000C4609" w14:paraId="0B6C30AA" w14:textId="1229AA32"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C8110A6" w14:textId="7D95DD5B" w:rsidR="00E2367C" w:rsidRPr="009B0BAE" w:rsidRDefault="00E2367C" w:rsidP="00E2367C">
            <w:pPr>
              <w:pStyle w:val="Tabletext8pt"/>
              <w:rPr>
                <w:b w:val="0"/>
                <w:bCs w:val="0"/>
                <w:sz w:val="16"/>
                <w:szCs w:val="16"/>
              </w:rPr>
            </w:pPr>
            <w:r w:rsidRPr="009B0BAE">
              <w:rPr>
                <w:b w:val="0"/>
                <w:bCs w:val="0"/>
              </w:rPr>
              <w:t>Latrobe Regional Health</w:t>
            </w:r>
          </w:p>
        </w:tc>
        <w:tc>
          <w:tcPr>
            <w:tcW w:w="1148" w:type="dxa"/>
            <w:noWrap/>
            <w:vAlign w:val="center"/>
          </w:tcPr>
          <w:p w14:paraId="6E851CB6" w14:textId="06571FB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3AB5BD8" w14:textId="603AE28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2,140</w:t>
            </w:r>
          </w:p>
        </w:tc>
        <w:tc>
          <w:tcPr>
            <w:tcW w:w="1147" w:type="dxa"/>
            <w:vAlign w:val="center"/>
          </w:tcPr>
          <w:p w14:paraId="1D69F8AE" w14:textId="0850F6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2,670</w:t>
            </w:r>
          </w:p>
        </w:tc>
        <w:tc>
          <w:tcPr>
            <w:tcW w:w="1146" w:type="dxa"/>
            <w:noWrap/>
            <w:vAlign w:val="center"/>
          </w:tcPr>
          <w:p w14:paraId="5FEF2C55" w14:textId="2F531F6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50,492</w:t>
            </w:r>
          </w:p>
        </w:tc>
        <w:tc>
          <w:tcPr>
            <w:tcW w:w="1147" w:type="dxa"/>
            <w:noWrap/>
            <w:vAlign w:val="center"/>
          </w:tcPr>
          <w:p w14:paraId="7584A1ED" w14:textId="61E8F05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215</w:t>
            </w:r>
          </w:p>
        </w:tc>
        <w:tc>
          <w:tcPr>
            <w:tcW w:w="1147" w:type="dxa"/>
            <w:noWrap/>
            <w:vAlign w:val="center"/>
          </w:tcPr>
          <w:p w14:paraId="7C44F442" w14:textId="55FB4A1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97</w:t>
            </w:r>
          </w:p>
        </w:tc>
        <w:tc>
          <w:tcPr>
            <w:tcW w:w="1147" w:type="dxa"/>
            <w:noWrap/>
            <w:vAlign w:val="center"/>
          </w:tcPr>
          <w:p w14:paraId="7C5B8F38" w14:textId="345D8D2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425</w:t>
            </w:r>
          </w:p>
        </w:tc>
        <w:tc>
          <w:tcPr>
            <w:tcW w:w="1147" w:type="dxa"/>
            <w:noWrap/>
            <w:vAlign w:val="center"/>
          </w:tcPr>
          <w:p w14:paraId="5F92524D" w14:textId="71F6BCD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4,331</w:t>
            </w:r>
          </w:p>
        </w:tc>
        <w:tc>
          <w:tcPr>
            <w:tcW w:w="1147" w:type="dxa"/>
            <w:vAlign w:val="center"/>
          </w:tcPr>
          <w:p w14:paraId="6372F3A3" w14:textId="21B85DC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4,503</w:t>
            </w:r>
          </w:p>
        </w:tc>
        <w:tc>
          <w:tcPr>
            <w:tcW w:w="1147" w:type="dxa"/>
            <w:vAlign w:val="center"/>
          </w:tcPr>
          <w:p w14:paraId="4BF9AC40" w14:textId="72A0A43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64,872</w:t>
            </w:r>
          </w:p>
        </w:tc>
      </w:tr>
      <w:tr w:rsidR="00E2367C" w:rsidRPr="000C4609" w14:paraId="7256F787" w14:textId="37B43397"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0939152" w14:textId="70991F76" w:rsidR="00E2367C" w:rsidRPr="009B0BAE" w:rsidRDefault="00E2367C" w:rsidP="00E2367C">
            <w:pPr>
              <w:pStyle w:val="Tabletext8pt"/>
              <w:rPr>
                <w:b w:val="0"/>
                <w:bCs w:val="0"/>
                <w:sz w:val="16"/>
                <w:szCs w:val="16"/>
              </w:rPr>
            </w:pPr>
            <w:r w:rsidRPr="009B0BAE">
              <w:rPr>
                <w:b w:val="0"/>
                <w:bCs w:val="0"/>
              </w:rPr>
              <w:t>Melbourne Health</w:t>
            </w:r>
          </w:p>
        </w:tc>
        <w:tc>
          <w:tcPr>
            <w:tcW w:w="1148" w:type="dxa"/>
            <w:noWrap/>
            <w:vAlign w:val="center"/>
          </w:tcPr>
          <w:p w14:paraId="12D8885F" w14:textId="48F066D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301</w:t>
            </w:r>
          </w:p>
        </w:tc>
        <w:tc>
          <w:tcPr>
            <w:tcW w:w="1147" w:type="dxa"/>
            <w:noWrap/>
            <w:vAlign w:val="center"/>
          </w:tcPr>
          <w:p w14:paraId="17F45D89" w14:textId="49A63BA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5A52C93" w14:textId="402C576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3,838</w:t>
            </w:r>
          </w:p>
        </w:tc>
        <w:tc>
          <w:tcPr>
            <w:tcW w:w="1146" w:type="dxa"/>
            <w:noWrap/>
            <w:vAlign w:val="center"/>
          </w:tcPr>
          <w:p w14:paraId="14B50D04" w14:textId="538607C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52,642</w:t>
            </w:r>
          </w:p>
        </w:tc>
        <w:tc>
          <w:tcPr>
            <w:tcW w:w="1147" w:type="dxa"/>
            <w:noWrap/>
            <w:vAlign w:val="center"/>
          </w:tcPr>
          <w:p w14:paraId="00C1076E" w14:textId="57E5F36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0846CA8D" w14:textId="623C4EF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w:t>
            </w:r>
          </w:p>
        </w:tc>
        <w:tc>
          <w:tcPr>
            <w:tcW w:w="1147" w:type="dxa"/>
            <w:noWrap/>
            <w:vAlign w:val="center"/>
          </w:tcPr>
          <w:p w14:paraId="1ED5308F" w14:textId="3EAE97D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3B498CD" w14:textId="58A1463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11,614</w:t>
            </w:r>
          </w:p>
        </w:tc>
        <w:tc>
          <w:tcPr>
            <w:tcW w:w="1147" w:type="dxa"/>
            <w:vAlign w:val="center"/>
          </w:tcPr>
          <w:p w14:paraId="172BF3D6" w14:textId="3E0F7CC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5,520</w:t>
            </w:r>
          </w:p>
        </w:tc>
        <w:tc>
          <w:tcPr>
            <w:tcW w:w="1147" w:type="dxa"/>
            <w:vAlign w:val="center"/>
          </w:tcPr>
          <w:p w14:paraId="0C361344" w14:textId="05DF46C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74,184</w:t>
            </w:r>
          </w:p>
        </w:tc>
      </w:tr>
      <w:tr w:rsidR="00E2367C" w:rsidRPr="000C4609" w14:paraId="538E6AA3" w14:textId="34F4ABC1"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D62F2CD" w14:textId="420B002B" w:rsidR="00E2367C" w:rsidRPr="009B0BAE" w:rsidRDefault="00E2367C" w:rsidP="00E2367C">
            <w:pPr>
              <w:pStyle w:val="Tabletext8pt"/>
              <w:rPr>
                <w:b w:val="0"/>
                <w:bCs w:val="0"/>
                <w:sz w:val="16"/>
                <w:szCs w:val="16"/>
              </w:rPr>
            </w:pPr>
            <w:r w:rsidRPr="009B0BAE">
              <w:rPr>
                <w:b w:val="0"/>
                <w:bCs w:val="0"/>
              </w:rPr>
              <w:t>Mercy Hospitals Victoria Limited</w:t>
            </w:r>
          </w:p>
        </w:tc>
        <w:tc>
          <w:tcPr>
            <w:tcW w:w="1148" w:type="dxa"/>
            <w:noWrap/>
            <w:vAlign w:val="center"/>
          </w:tcPr>
          <w:p w14:paraId="0BB1403E" w14:textId="7DAA6FE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9FA4365" w14:textId="466770B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14479D9" w14:textId="095CE71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2,325</w:t>
            </w:r>
          </w:p>
        </w:tc>
        <w:tc>
          <w:tcPr>
            <w:tcW w:w="1146" w:type="dxa"/>
            <w:noWrap/>
            <w:vAlign w:val="center"/>
          </w:tcPr>
          <w:p w14:paraId="00F84E5D" w14:textId="7ED07FF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44,133</w:t>
            </w:r>
          </w:p>
        </w:tc>
        <w:tc>
          <w:tcPr>
            <w:tcW w:w="1147" w:type="dxa"/>
            <w:noWrap/>
            <w:vAlign w:val="center"/>
          </w:tcPr>
          <w:p w14:paraId="50E30300" w14:textId="36FEE1F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FF70034" w14:textId="1872724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123</w:t>
            </w:r>
          </w:p>
        </w:tc>
        <w:tc>
          <w:tcPr>
            <w:tcW w:w="1147" w:type="dxa"/>
            <w:noWrap/>
            <w:vAlign w:val="center"/>
          </w:tcPr>
          <w:p w14:paraId="31CF8ABB" w14:textId="7997D12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09F87C" w14:textId="6188525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5,062</w:t>
            </w:r>
          </w:p>
        </w:tc>
        <w:tc>
          <w:tcPr>
            <w:tcW w:w="1147" w:type="dxa"/>
            <w:vAlign w:val="center"/>
          </w:tcPr>
          <w:p w14:paraId="296DE51B" w14:textId="45CBB9A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7,017</w:t>
            </w:r>
          </w:p>
        </w:tc>
        <w:tc>
          <w:tcPr>
            <w:tcW w:w="1147" w:type="dxa"/>
            <w:vAlign w:val="center"/>
          </w:tcPr>
          <w:p w14:paraId="77FAF60D" w14:textId="012101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58,660</w:t>
            </w:r>
          </w:p>
        </w:tc>
      </w:tr>
      <w:tr w:rsidR="00E2367C" w:rsidRPr="000C4609" w14:paraId="44B3978F" w14:textId="2FEEF496"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99DD4E6" w14:textId="3935BFE1" w:rsidR="00E2367C" w:rsidRPr="009B0BAE" w:rsidRDefault="00E2367C" w:rsidP="00E2367C">
            <w:pPr>
              <w:pStyle w:val="Tabletext8pt"/>
              <w:rPr>
                <w:b w:val="0"/>
                <w:bCs w:val="0"/>
                <w:sz w:val="16"/>
                <w:szCs w:val="16"/>
              </w:rPr>
            </w:pPr>
            <w:r w:rsidRPr="009B0BAE">
              <w:rPr>
                <w:b w:val="0"/>
                <w:bCs w:val="0"/>
              </w:rPr>
              <w:t>Monash Health</w:t>
            </w:r>
          </w:p>
        </w:tc>
        <w:tc>
          <w:tcPr>
            <w:tcW w:w="1148" w:type="dxa"/>
            <w:noWrap/>
            <w:vAlign w:val="center"/>
          </w:tcPr>
          <w:p w14:paraId="4A8091E3" w14:textId="4C13F18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41699558" w14:textId="3426B03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E45C3A7" w14:textId="71E6E6D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12,985</w:t>
            </w:r>
          </w:p>
        </w:tc>
        <w:tc>
          <w:tcPr>
            <w:tcW w:w="1146" w:type="dxa"/>
            <w:noWrap/>
            <w:vAlign w:val="center"/>
          </w:tcPr>
          <w:p w14:paraId="0A932FAF" w14:textId="1F4AC18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148,596</w:t>
            </w:r>
          </w:p>
        </w:tc>
        <w:tc>
          <w:tcPr>
            <w:tcW w:w="1147" w:type="dxa"/>
            <w:noWrap/>
            <w:vAlign w:val="center"/>
          </w:tcPr>
          <w:p w14:paraId="4B98F077" w14:textId="35E5A49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634</w:t>
            </w:r>
          </w:p>
        </w:tc>
        <w:tc>
          <w:tcPr>
            <w:tcW w:w="1147" w:type="dxa"/>
            <w:noWrap/>
            <w:vAlign w:val="center"/>
          </w:tcPr>
          <w:p w14:paraId="454DDF4B" w14:textId="7D24FA1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183</w:t>
            </w:r>
          </w:p>
        </w:tc>
        <w:tc>
          <w:tcPr>
            <w:tcW w:w="1147" w:type="dxa"/>
            <w:noWrap/>
            <w:vAlign w:val="center"/>
          </w:tcPr>
          <w:p w14:paraId="577C26D2" w14:textId="209AA4D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4,324</w:t>
            </w:r>
          </w:p>
        </w:tc>
        <w:tc>
          <w:tcPr>
            <w:tcW w:w="1147" w:type="dxa"/>
            <w:noWrap/>
            <w:vAlign w:val="center"/>
          </w:tcPr>
          <w:p w14:paraId="50EA39AE" w14:textId="4D02162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9,993</w:t>
            </w:r>
          </w:p>
        </w:tc>
        <w:tc>
          <w:tcPr>
            <w:tcW w:w="1147" w:type="dxa"/>
            <w:vAlign w:val="center"/>
          </w:tcPr>
          <w:p w14:paraId="7D29EA77" w14:textId="641909F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23,234</w:t>
            </w:r>
          </w:p>
        </w:tc>
        <w:tc>
          <w:tcPr>
            <w:tcW w:w="1147" w:type="dxa"/>
            <w:vAlign w:val="center"/>
          </w:tcPr>
          <w:p w14:paraId="4C14DE7A" w14:textId="55CDF94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200,109</w:t>
            </w:r>
          </w:p>
        </w:tc>
      </w:tr>
      <w:tr w:rsidR="00E2367C" w:rsidRPr="000C4609" w14:paraId="1FC94C2F" w14:textId="03AD05B9"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8CA3080" w14:textId="36D47F2A" w:rsidR="00E2367C" w:rsidRPr="009B0BAE" w:rsidRDefault="00E2367C" w:rsidP="00E2367C">
            <w:pPr>
              <w:pStyle w:val="Tabletext8pt"/>
              <w:rPr>
                <w:b w:val="0"/>
                <w:bCs w:val="0"/>
                <w:sz w:val="16"/>
                <w:szCs w:val="16"/>
              </w:rPr>
            </w:pPr>
            <w:r w:rsidRPr="009B0BAE">
              <w:rPr>
                <w:b w:val="0"/>
                <w:bCs w:val="0"/>
              </w:rPr>
              <w:t>Northern Health</w:t>
            </w:r>
          </w:p>
        </w:tc>
        <w:tc>
          <w:tcPr>
            <w:tcW w:w="1148" w:type="dxa"/>
            <w:noWrap/>
            <w:vAlign w:val="center"/>
          </w:tcPr>
          <w:p w14:paraId="6344B177" w14:textId="76A151F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452</w:t>
            </w:r>
          </w:p>
        </w:tc>
        <w:tc>
          <w:tcPr>
            <w:tcW w:w="1147" w:type="dxa"/>
            <w:noWrap/>
            <w:vAlign w:val="center"/>
          </w:tcPr>
          <w:p w14:paraId="5D590EA6" w14:textId="25D17C5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59956549" w14:textId="709CF8B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4,418</w:t>
            </w:r>
          </w:p>
        </w:tc>
        <w:tc>
          <w:tcPr>
            <w:tcW w:w="1146" w:type="dxa"/>
            <w:noWrap/>
            <w:vAlign w:val="center"/>
          </w:tcPr>
          <w:p w14:paraId="3C93F023" w14:textId="25C8FC7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92,747</w:t>
            </w:r>
          </w:p>
        </w:tc>
        <w:tc>
          <w:tcPr>
            <w:tcW w:w="1147" w:type="dxa"/>
            <w:noWrap/>
            <w:vAlign w:val="center"/>
          </w:tcPr>
          <w:p w14:paraId="127055E5" w14:textId="2A8AC65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A9BEA3C" w14:textId="7FBA2AB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w:t>
            </w:r>
          </w:p>
        </w:tc>
        <w:tc>
          <w:tcPr>
            <w:tcW w:w="1147" w:type="dxa"/>
            <w:noWrap/>
            <w:vAlign w:val="center"/>
          </w:tcPr>
          <w:p w14:paraId="4A75FAE7" w14:textId="362EB96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2,483</w:t>
            </w:r>
          </w:p>
        </w:tc>
        <w:tc>
          <w:tcPr>
            <w:tcW w:w="1147" w:type="dxa"/>
            <w:noWrap/>
            <w:vAlign w:val="center"/>
          </w:tcPr>
          <w:p w14:paraId="2B275A8B" w14:textId="61A1360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9,151</w:t>
            </w:r>
          </w:p>
        </w:tc>
        <w:tc>
          <w:tcPr>
            <w:tcW w:w="1147" w:type="dxa"/>
            <w:vAlign w:val="center"/>
          </w:tcPr>
          <w:p w14:paraId="1FC13E36" w14:textId="00A29C2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12,459</w:t>
            </w:r>
          </w:p>
        </w:tc>
        <w:tc>
          <w:tcPr>
            <w:tcW w:w="1147" w:type="dxa"/>
            <w:vAlign w:val="center"/>
          </w:tcPr>
          <w:p w14:paraId="537C5357" w14:textId="522343A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121,818</w:t>
            </w:r>
          </w:p>
        </w:tc>
      </w:tr>
      <w:tr w:rsidR="00E2367C" w:rsidRPr="000C4609" w14:paraId="08C8E976" w14:textId="70AEF726"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87C57B5" w14:textId="05834AB1" w:rsidR="00E2367C" w:rsidRPr="009B0BAE" w:rsidRDefault="00E2367C" w:rsidP="00E2367C">
            <w:pPr>
              <w:pStyle w:val="Tabletext8pt"/>
              <w:rPr>
                <w:b w:val="0"/>
                <w:bCs w:val="0"/>
                <w:sz w:val="16"/>
                <w:szCs w:val="16"/>
              </w:rPr>
            </w:pPr>
            <w:r w:rsidRPr="009B0BAE">
              <w:rPr>
                <w:b w:val="0"/>
                <w:bCs w:val="0"/>
              </w:rPr>
              <w:t xml:space="preserve">Parkville Youth Mental Health </w:t>
            </w:r>
            <w:r w:rsidR="00532FFD">
              <w:rPr>
                <w:b w:val="0"/>
                <w:bCs w:val="0"/>
              </w:rPr>
              <w:t>a</w:t>
            </w:r>
            <w:r w:rsidRPr="009B0BAE">
              <w:rPr>
                <w:b w:val="0"/>
                <w:bCs w:val="0"/>
              </w:rPr>
              <w:t>nd Wellbeing Service</w:t>
            </w:r>
          </w:p>
        </w:tc>
        <w:tc>
          <w:tcPr>
            <w:tcW w:w="1148" w:type="dxa"/>
            <w:noWrap/>
            <w:vAlign w:val="center"/>
          </w:tcPr>
          <w:p w14:paraId="401106BC" w14:textId="0AC5C60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1,095</w:t>
            </w:r>
          </w:p>
        </w:tc>
        <w:tc>
          <w:tcPr>
            <w:tcW w:w="1147" w:type="dxa"/>
            <w:noWrap/>
            <w:vAlign w:val="center"/>
          </w:tcPr>
          <w:p w14:paraId="683C40A6" w14:textId="6049F6E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A70FC6F" w14:textId="3970F30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3,347</w:t>
            </w:r>
          </w:p>
        </w:tc>
        <w:tc>
          <w:tcPr>
            <w:tcW w:w="1146" w:type="dxa"/>
            <w:noWrap/>
            <w:vAlign w:val="center"/>
          </w:tcPr>
          <w:p w14:paraId="6A88FEC9" w14:textId="3D27DA2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42,143</w:t>
            </w:r>
          </w:p>
        </w:tc>
        <w:tc>
          <w:tcPr>
            <w:tcW w:w="1147" w:type="dxa"/>
            <w:noWrap/>
            <w:vAlign w:val="center"/>
          </w:tcPr>
          <w:p w14:paraId="24A36719" w14:textId="3CE849F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3,145</w:t>
            </w:r>
          </w:p>
        </w:tc>
        <w:tc>
          <w:tcPr>
            <w:tcW w:w="1147" w:type="dxa"/>
            <w:noWrap/>
            <w:vAlign w:val="center"/>
          </w:tcPr>
          <w:p w14:paraId="2BB6EA26" w14:textId="3669FC4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34172E5" w14:textId="46B8155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0E192C9" w14:textId="019D1EC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2,931</w:t>
            </w:r>
          </w:p>
        </w:tc>
        <w:tc>
          <w:tcPr>
            <w:tcW w:w="1147" w:type="dxa"/>
            <w:vAlign w:val="center"/>
          </w:tcPr>
          <w:p w14:paraId="034C685E"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254C7F7E" w14:textId="4C2409B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52,660</w:t>
            </w:r>
          </w:p>
        </w:tc>
      </w:tr>
      <w:tr w:rsidR="00E2367C" w:rsidRPr="000C4609" w14:paraId="526D6E10" w14:textId="4E9FBAF4"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EB10F70" w14:textId="6635BA5F" w:rsidR="00E2367C" w:rsidRPr="009B0BAE" w:rsidRDefault="00E2367C" w:rsidP="00E2367C">
            <w:pPr>
              <w:pStyle w:val="Tabletext8pt"/>
              <w:rPr>
                <w:b w:val="0"/>
                <w:bCs w:val="0"/>
                <w:sz w:val="16"/>
                <w:szCs w:val="16"/>
              </w:rPr>
            </w:pPr>
            <w:r w:rsidRPr="009B0BAE">
              <w:rPr>
                <w:b w:val="0"/>
                <w:bCs w:val="0"/>
              </w:rPr>
              <w:t>Peninsula Health</w:t>
            </w:r>
          </w:p>
        </w:tc>
        <w:tc>
          <w:tcPr>
            <w:tcW w:w="1148" w:type="dxa"/>
            <w:noWrap/>
            <w:vAlign w:val="center"/>
          </w:tcPr>
          <w:p w14:paraId="599BF528" w14:textId="6A0DFB6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4F18F638" w14:textId="3572CFC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909F619" w14:textId="1099B69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3,276</w:t>
            </w:r>
          </w:p>
        </w:tc>
        <w:tc>
          <w:tcPr>
            <w:tcW w:w="1146" w:type="dxa"/>
            <w:noWrap/>
            <w:vAlign w:val="center"/>
          </w:tcPr>
          <w:p w14:paraId="0BAA9166" w14:textId="11F111B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53,901</w:t>
            </w:r>
          </w:p>
        </w:tc>
        <w:tc>
          <w:tcPr>
            <w:tcW w:w="1147" w:type="dxa"/>
            <w:noWrap/>
            <w:vAlign w:val="center"/>
          </w:tcPr>
          <w:p w14:paraId="29989B5F" w14:textId="6841A99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E8D5085" w14:textId="06AD1B1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92</w:t>
            </w:r>
          </w:p>
        </w:tc>
        <w:tc>
          <w:tcPr>
            <w:tcW w:w="1147" w:type="dxa"/>
            <w:noWrap/>
            <w:vAlign w:val="center"/>
          </w:tcPr>
          <w:p w14:paraId="6E56E351" w14:textId="154A89C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1,458</w:t>
            </w:r>
          </w:p>
        </w:tc>
        <w:tc>
          <w:tcPr>
            <w:tcW w:w="1147" w:type="dxa"/>
            <w:noWrap/>
            <w:vAlign w:val="center"/>
          </w:tcPr>
          <w:p w14:paraId="165B94F0" w14:textId="60335B1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5,513</w:t>
            </w:r>
          </w:p>
        </w:tc>
        <w:tc>
          <w:tcPr>
            <w:tcW w:w="1147" w:type="dxa"/>
            <w:vAlign w:val="center"/>
          </w:tcPr>
          <w:p w14:paraId="60D40E76" w14:textId="2D39FD7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9,622</w:t>
            </w:r>
          </w:p>
        </w:tc>
        <w:tc>
          <w:tcPr>
            <w:tcW w:w="1147" w:type="dxa"/>
            <w:vAlign w:val="center"/>
          </w:tcPr>
          <w:p w14:paraId="423BAD51" w14:textId="6AC3E56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74,021</w:t>
            </w:r>
          </w:p>
        </w:tc>
      </w:tr>
      <w:tr w:rsidR="00E2367C" w:rsidRPr="000C4609" w14:paraId="0CE64484" w14:textId="03A4D4AE"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4B244277" w14:textId="4AEFC6FA" w:rsidR="00E2367C" w:rsidRPr="009B0BAE" w:rsidRDefault="00E2367C" w:rsidP="00E2367C">
            <w:pPr>
              <w:pStyle w:val="Tabletext8pt"/>
              <w:rPr>
                <w:b w:val="0"/>
                <w:bCs w:val="0"/>
                <w:sz w:val="16"/>
                <w:szCs w:val="16"/>
              </w:rPr>
            </w:pPr>
            <w:r w:rsidRPr="009B0BAE">
              <w:rPr>
                <w:b w:val="0"/>
                <w:bCs w:val="0"/>
              </w:rPr>
              <w:t>Peter Mac</w:t>
            </w:r>
            <w:r w:rsidR="00C42D86">
              <w:rPr>
                <w:b w:val="0"/>
                <w:bCs w:val="0"/>
              </w:rPr>
              <w:t>C</w:t>
            </w:r>
            <w:r w:rsidRPr="009B0BAE">
              <w:rPr>
                <w:b w:val="0"/>
                <w:bCs w:val="0"/>
              </w:rPr>
              <w:t>allum Cancer Institute</w:t>
            </w:r>
          </w:p>
        </w:tc>
        <w:tc>
          <w:tcPr>
            <w:tcW w:w="1148" w:type="dxa"/>
            <w:noWrap/>
            <w:vAlign w:val="center"/>
          </w:tcPr>
          <w:p w14:paraId="0480B34D" w14:textId="3431D08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86B5289" w14:textId="17E12AC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35B4D03" w14:textId="105494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6" w:type="dxa"/>
            <w:noWrap/>
            <w:vAlign w:val="center"/>
          </w:tcPr>
          <w:p w14:paraId="284A2923" w14:textId="0DDDC82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018F59D" w14:textId="13A0760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8934FF8" w14:textId="52ED6D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66F9EF4" w14:textId="3FCA9E4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331E9E1" w14:textId="43318E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631</w:t>
            </w:r>
          </w:p>
        </w:tc>
        <w:tc>
          <w:tcPr>
            <w:tcW w:w="1147" w:type="dxa"/>
            <w:vAlign w:val="center"/>
          </w:tcPr>
          <w:p w14:paraId="657FC06B"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105C553" w14:textId="132238F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631</w:t>
            </w:r>
          </w:p>
        </w:tc>
      </w:tr>
      <w:tr w:rsidR="00E2367C" w:rsidRPr="000C4609" w14:paraId="271C989C" w14:textId="0A2256D6" w:rsidTr="00E2367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78DF4561" w14:textId="7DDD2921" w:rsidR="00E2367C" w:rsidRPr="009B0BAE" w:rsidRDefault="00E2367C" w:rsidP="00E2367C">
            <w:pPr>
              <w:pStyle w:val="Tabletext8pt"/>
              <w:rPr>
                <w:b w:val="0"/>
                <w:bCs w:val="0"/>
                <w:sz w:val="16"/>
                <w:szCs w:val="16"/>
              </w:rPr>
            </w:pPr>
            <w:r w:rsidRPr="009B0BAE">
              <w:rPr>
                <w:b w:val="0"/>
                <w:bCs w:val="0"/>
              </w:rPr>
              <w:t>St Vincents Hospital Melbourne Limited</w:t>
            </w:r>
          </w:p>
        </w:tc>
        <w:tc>
          <w:tcPr>
            <w:tcW w:w="1148" w:type="dxa"/>
            <w:noWrap/>
            <w:vAlign w:val="center"/>
          </w:tcPr>
          <w:p w14:paraId="42BE3248" w14:textId="68D02EB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59BC408" w14:textId="4B44266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B15E25B" w14:textId="10827AF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4,673</w:t>
            </w:r>
          </w:p>
        </w:tc>
        <w:tc>
          <w:tcPr>
            <w:tcW w:w="1146" w:type="dxa"/>
            <w:noWrap/>
            <w:vAlign w:val="center"/>
          </w:tcPr>
          <w:p w14:paraId="13BC3283" w14:textId="537B162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44,475</w:t>
            </w:r>
          </w:p>
        </w:tc>
        <w:tc>
          <w:tcPr>
            <w:tcW w:w="1147" w:type="dxa"/>
            <w:noWrap/>
            <w:vAlign w:val="center"/>
          </w:tcPr>
          <w:p w14:paraId="35EA89A2" w14:textId="340E3DC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1AECE9E" w14:textId="2B69D19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142</w:t>
            </w:r>
          </w:p>
        </w:tc>
        <w:tc>
          <w:tcPr>
            <w:tcW w:w="1147" w:type="dxa"/>
            <w:noWrap/>
            <w:vAlign w:val="center"/>
          </w:tcPr>
          <w:p w14:paraId="2A3930CF" w14:textId="4F49847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3,083</w:t>
            </w:r>
          </w:p>
        </w:tc>
        <w:tc>
          <w:tcPr>
            <w:tcW w:w="1147" w:type="dxa"/>
            <w:noWrap/>
            <w:vAlign w:val="center"/>
          </w:tcPr>
          <w:p w14:paraId="6F122B86" w14:textId="0E90FCA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8,361</w:t>
            </w:r>
          </w:p>
        </w:tc>
        <w:tc>
          <w:tcPr>
            <w:tcW w:w="1147" w:type="dxa"/>
            <w:vAlign w:val="center"/>
          </w:tcPr>
          <w:p w14:paraId="626A0BC2" w14:textId="6B3A3E1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7,017</w:t>
            </w:r>
          </w:p>
        </w:tc>
        <w:tc>
          <w:tcPr>
            <w:tcW w:w="1147" w:type="dxa"/>
            <w:vAlign w:val="center"/>
          </w:tcPr>
          <w:p w14:paraId="1951FE46" w14:textId="62EDBB6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67,751</w:t>
            </w:r>
          </w:p>
        </w:tc>
      </w:tr>
      <w:tr w:rsidR="00E2367C" w:rsidRPr="000C4609" w14:paraId="6931D6C5" w14:textId="56CC5FA2"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F1765ED" w14:textId="7FB4DAE1" w:rsidR="00E2367C" w:rsidRPr="009B0BAE" w:rsidRDefault="00E2367C" w:rsidP="00E2367C">
            <w:pPr>
              <w:pStyle w:val="Tabletext8pt"/>
              <w:rPr>
                <w:b w:val="0"/>
                <w:bCs w:val="0"/>
                <w:sz w:val="16"/>
                <w:szCs w:val="16"/>
              </w:rPr>
            </w:pPr>
            <w:r w:rsidRPr="009B0BAE">
              <w:rPr>
                <w:b w:val="0"/>
                <w:bCs w:val="0"/>
              </w:rPr>
              <w:t>The Royal Childre</w:t>
            </w:r>
            <w:r w:rsidRPr="00395634">
              <w:rPr>
                <w:b w:val="0"/>
                <w:bCs w:val="0"/>
              </w:rPr>
              <w:t xml:space="preserve">n’s </w:t>
            </w:r>
            <w:r w:rsidRPr="009B0BAE">
              <w:rPr>
                <w:b w:val="0"/>
                <w:bCs w:val="0"/>
              </w:rPr>
              <w:t>Hospital</w:t>
            </w:r>
          </w:p>
        </w:tc>
        <w:tc>
          <w:tcPr>
            <w:tcW w:w="1148" w:type="dxa"/>
            <w:noWrap/>
            <w:vAlign w:val="center"/>
          </w:tcPr>
          <w:p w14:paraId="1F4FAF1A" w14:textId="6A15C7A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EFD2E18" w14:textId="182632E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413648A" w14:textId="53CCC6E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688</w:t>
            </w:r>
          </w:p>
        </w:tc>
        <w:tc>
          <w:tcPr>
            <w:tcW w:w="1146" w:type="dxa"/>
            <w:noWrap/>
            <w:vAlign w:val="center"/>
          </w:tcPr>
          <w:p w14:paraId="61DE2AA7" w14:textId="32343AC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23,896</w:t>
            </w:r>
          </w:p>
        </w:tc>
        <w:tc>
          <w:tcPr>
            <w:tcW w:w="1147" w:type="dxa"/>
            <w:noWrap/>
            <w:vAlign w:val="center"/>
          </w:tcPr>
          <w:p w14:paraId="23174401" w14:textId="18C08E2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471</w:t>
            </w:r>
          </w:p>
        </w:tc>
        <w:tc>
          <w:tcPr>
            <w:tcW w:w="1147" w:type="dxa"/>
            <w:noWrap/>
            <w:vAlign w:val="center"/>
          </w:tcPr>
          <w:p w14:paraId="4E988D17" w14:textId="24AA300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229</w:t>
            </w:r>
          </w:p>
        </w:tc>
        <w:tc>
          <w:tcPr>
            <w:tcW w:w="1147" w:type="dxa"/>
            <w:noWrap/>
            <w:vAlign w:val="center"/>
          </w:tcPr>
          <w:p w14:paraId="4D698412" w14:textId="0AA345A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3FC82C6" w14:textId="5FBD9EC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2,773</w:t>
            </w:r>
          </w:p>
        </w:tc>
        <w:tc>
          <w:tcPr>
            <w:tcW w:w="1147" w:type="dxa"/>
            <w:vAlign w:val="center"/>
          </w:tcPr>
          <w:p w14:paraId="797D9AEC"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2AD3E1A" w14:textId="49CA9E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28,057</w:t>
            </w:r>
          </w:p>
        </w:tc>
      </w:tr>
      <w:tr w:rsidR="00E2367C" w:rsidRPr="000C4609" w14:paraId="63CD4501" w14:textId="2A2724EC" w:rsidTr="00E23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8093289" w14:textId="35C48A56" w:rsidR="00E2367C" w:rsidRPr="009B0BAE" w:rsidRDefault="00E2367C" w:rsidP="00E2367C">
            <w:pPr>
              <w:pStyle w:val="Tabletext8pt"/>
              <w:rPr>
                <w:b w:val="0"/>
                <w:bCs w:val="0"/>
                <w:sz w:val="16"/>
                <w:szCs w:val="16"/>
              </w:rPr>
            </w:pPr>
            <w:r w:rsidRPr="009B0BAE">
              <w:rPr>
                <w:b w:val="0"/>
                <w:bCs w:val="0"/>
              </w:rPr>
              <w:t xml:space="preserve">The Royal </w:t>
            </w:r>
            <w:r w:rsidRPr="00395634">
              <w:rPr>
                <w:b w:val="0"/>
                <w:bCs w:val="0"/>
              </w:rPr>
              <w:t>Women’s Hospital</w:t>
            </w:r>
          </w:p>
        </w:tc>
        <w:tc>
          <w:tcPr>
            <w:tcW w:w="1148" w:type="dxa"/>
            <w:noWrap/>
            <w:vAlign w:val="center"/>
          </w:tcPr>
          <w:p w14:paraId="01DB10B4" w14:textId="0CAE9A5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C1C67D0" w14:textId="4B09A30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6A9D5DB" w14:textId="4BBFCCD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431</w:t>
            </w:r>
          </w:p>
        </w:tc>
        <w:tc>
          <w:tcPr>
            <w:tcW w:w="1146" w:type="dxa"/>
            <w:noWrap/>
            <w:vAlign w:val="center"/>
          </w:tcPr>
          <w:p w14:paraId="78C766A9" w14:textId="692C799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4BA58E8" w14:textId="329715C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BF18B55" w14:textId="1821F54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C7B078F" w14:textId="59E6A05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6DDBDF5" w14:textId="5E33948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333</w:t>
            </w:r>
          </w:p>
        </w:tc>
        <w:tc>
          <w:tcPr>
            <w:tcW w:w="1147" w:type="dxa"/>
            <w:vAlign w:val="center"/>
          </w:tcPr>
          <w:p w14:paraId="3AC03805" w14:textId="7777777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7B31D9D3" w14:textId="6F8D3D9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764</w:t>
            </w:r>
          </w:p>
        </w:tc>
      </w:tr>
      <w:tr w:rsidR="00E2367C" w:rsidRPr="000C4609" w14:paraId="0E088580" w14:textId="379E9367" w:rsidTr="00E2367C">
        <w:trPr>
          <w:trHeight w:val="416"/>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4DD31DF" w14:textId="2D3CA0DA" w:rsidR="00E2367C" w:rsidRPr="009B0BAE" w:rsidRDefault="00E2367C" w:rsidP="00E2367C">
            <w:pPr>
              <w:pStyle w:val="Tabletext8pt"/>
              <w:rPr>
                <w:b w:val="0"/>
                <w:bCs w:val="0"/>
                <w:sz w:val="16"/>
                <w:szCs w:val="16"/>
              </w:rPr>
            </w:pPr>
            <w:r w:rsidRPr="009B0BAE">
              <w:rPr>
                <w:b w:val="0"/>
                <w:bCs w:val="0"/>
              </w:rPr>
              <w:t>Western Health</w:t>
            </w:r>
          </w:p>
        </w:tc>
        <w:tc>
          <w:tcPr>
            <w:tcW w:w="1148" w:type="dxa"/>
            <w:noWrap/>
            <w:vAlign w:val="center"/>
          </w:tcPr>
          <w:p w14:paraId="56D2CB08" w14:textId="4A658AA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151</w:t>
            </w:r>
          </w:p>
        </w:tc>
        <w:tc>
          <w:tcPr>
            <w:tcW w:w="1147" w:type="dxa"/>
            <w:noWrap/>
            <w:vAlign w:val="center"/>
          </w:tcPr>
          <w:p w14:paraId="6FC3CA05" w14:textId="348573C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D658EC5" w14:textId="7DFCE9A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5,909</w:t>
            </w:r>
          </w:p>
        </w:tc>
        <w:tc>
          <w:tcPr>
            <w:tcW w:w="1146" w:type="dxa"/>
            <w:noWrap/>
            <w:vAlign w:val="center"/>
          </w:tcPr>
          <w:p w14:paraId="452A1308" w14:textId="6C288EB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50,787</w:t>
            </w:r>
          </w:p>
        </w:tc>
        <w:tc>
          <w:tcPr>
            <w:tcW w:w="1147" w:type="dxa"/>
            <w:noWrap/>
            <w:vAlign w:val="center"/>
          </w:tcPr>
          <w:p w14:paraId="7A29056D" w14:textId="28858A9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12C2198A" w14:textId="00B840A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w:t>
            </w:r>
          </w:p>
        </w:tc>
        <w:tc>
          <w:tcPr>
            <w:tcW w:w="1147" w:type="dxa"/>
            <w:noWrap/>
            <w:vAlign w:val="center"/>
          </w:tcPr>
          <w:p w14:paraId="3B5A8F30" w14:textId="647926B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284</w:t>
            </w:r>
          </w:p>
        </w:tc>
        <w:tc>
          <w:tcPr>
            <w:tcW w:w="1147" w:type="dxa"/>
            <w:noWrap/>
            <w:vAlign w:val="center"/>
          </w:tcPr>
          <w:p w14:paraId="1C33E5ED" w14:textId="2F8B1B5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6,564</w:t>
            </w:r>
          </w:p>
        </w:tc>
        <w:tc>
          <w:tcPr>
            <w:tcW w:w="1147" w:type="dxa"/>
            <w:vAlign w:val="center"/>
          </w:tcPr>
          <w:p w14:paraId="5989A983" w14:textId="06A4F28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12,187</w:t>
            </w:r>
          </w:p>
        </w:tc>
        <w:tc>
          <w:tcPr>
            <w:tcW w:w="1147" w:type="dxa"/>
            <w:vAlign w:val="center"/>
          </w:tcPr>
          <w:p w14:paraId="1138F14A" w14:textId="4CA76EE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76,150</w:t>
            </w:r>
          </w:p>
        </w:tc>
      </w:tr>
      <w:tr w:rsidR="00E2367C" w:rsidRPr="000C4609" w14:paraId="75EBD7A2" w14:textId="245C0B5F" w:rsidTr="00E23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47" w:type="dxa"/>
            <w:vAlign w:val="center"/>
          </w:tcPr>
          <w:p w14:paraId="355BDCC1" w14:textId="2C72C530" w:rsidR="00E2367C" w:rsidRPr="009B0BAE" w:rsidRDefault="00E2367C" w:rsidP="00E2367C">
            <w:pPr>
              <w:pStyle w:val="Tabletext8pt"/>
              <w:rPr>
                <w:b w:val="0"/>
                <w:bCs w:val="0"/>
                <w:sz w:val="16"/>
                <w:szCs w:val="16"/>
              </w:rPr>
            </w:pPr>
            <w:r w:rsidRPr="009B0BAE">
              <w:rPr>
                <w:b w:val="0"/>
                <w:bCs w:val="0"/>
                <w:sz w:val="16"/>
                <w:szCs w:val="16"/>
              </w:rPr>
              <w:t>Total</w:t>
            </w:r>
          </w:p>
        </w:tc>
        <w:tc>
          <w:tcPr>
            <w:tcW w:w="1148" w:type="dxa"/>
            <w:noWrap/>
            <w:vAlign w:val="center"/>
          </w:tcPr>
          <w:p w14:paraId="070DD07B" w14:textId="387DEBA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4,547</w:t>
            </w:r>
          </w:p>
        </w:tc>
        <w:tc>
          <w:tcPr>
            <w:tcW w:w="1147" w:type="dxa"/>
            <w:noWrap/>
            <w:vAlign w:val="center"/>
          </w:tcPr>
          <w:p w14:paraId="3803B070" w14:textId="51C6CCD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4,741</w:t>
            </w:r>
          </w:p>
        </w:tc>
        <w:tc>
          <w:tcPr>
            <w:tcW w:w="1147" w:type="dxa"/>
            <w:vAlign w:val="center"/>
          </w:tcPr>
          <w:p w14:paraId="0094838C" w14:textId="52AC7BF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88,541</w:t>
            </w:r>
          </w:p>
        </w:tc>
        <w:tc>
          <w:tcPr>
            <w:tcW w:w="1146" w:type="dxa"/>
            <w:noWrap/>
            <w:vAlign w:val="center"/>
          </w:tcPr>
          <w:p w14:paraId="5C873094" w14:textId="3E1D81B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1,065,958</w:t>
            </w:r>
          </w:p>
        </w:tc>
        <w:tc>
          <w:tcPr>
            <w:tcW w:w="1147" w:type="dxa"/>
            <w:noWrap/>
            <w:vAlign w:val="center"/>
          </w:tcPr>
          <w:p w14:paraId="495F89BD" w14:textId="0D06E78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10,358</w:t>
            </w:r>
          </w:p>
        </w:tc>
        <w:tc>
          <w:tcPr>
            <w:tcW w:w="1147" w:type="dxa"/>
            <w:noWrap/>
            <w:vAlign w:val="center"/>
          </w:tcPr>
          <w:p w14:paraId="7133F325" w14:textId="5CEE1FC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2,530</w:t>
            </w:r>
          </w:p>
        </w:tc>
        <w:tc>
          <w:tcPr>
            <w:tcW w:w="1147" w:type="dxa"/>
            <w:noWrap/>
            <w:vAlign w:val="center"/>
          </w:tcPr>
          <w:p w14:paraId="7103CA53" w14:textId="364521E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22,534</w:t>
            </w:r>
          </w:p>
        </w:tc>
        <w:tc>
          <w:tcPr>
            <w:tcW w:w="1147" w:type="dxa"/>
            <w:noWrap/>
            <w:vAlign w:val="center"/>
          </w:tcPr>
          <w:p w14:paraId="3975C3F8" w14:textId="15327F4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119,943</w:t>
            </w:r>
          </w:p>
        </w:tc>
        <w:tc>
          <w:tcPr>
            <w:tcW w:w="1147" w:type="dxa"/>
            <w:vAlign w:val="center"/>
          </w:tcPr>
          <w:p w14:paraId="7A2D1486" w14:textId="4D48760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138,436</w:t>
            </w:r>
          </w:p>
        </w:tc>
        <w:tc>
          <w:tcPr>
            <w:tcW w:w="1147" w:type="dxa"/>
            <w:vAlign w:val="center"/>
          </w:tcPr>
          <w:p w14:paraId="2E7950CB" w14:textId="0932F93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1,457,590</w:t>
            </w:r>
          </w:p>
        </w:tc>
      </w:tr>
    </w:tbl>
    <w:p w14:paraId="6D340BA9" w14:textId="77777777" w:rsidR="005B699B" w:rsidRPr="00E00C4E" w:rsidRDefault="005B699B" w:rsidP="0026374E">
      <w:pPr>
        <w:pStyle w:val="Bodyaftertablefigure"/>
        <w:ind w:hanging="284"/>
      </w:pPr>
      <w:r w:rsidRPr="000B4219">
        <w:t>Subregional</w:t>
      </w:r>
      <w:r w:rsidRPr="00E00C4E">
        <w:t xml:space="preserve"> and local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AF3EDE" w14:paraId="603D38D1" w14:textId="6B303B9B" w:rsidTr="0061015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45" w:type="dxa"/>
            <w:hideMark/>
          </w:tcPr>
          <w:p w14:paraId="04CB937F" w14:textId="72D98D8A"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69600BF7" w14:textId="2946A9C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24B803E4" w14:textId="13C5C6B9"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0DAA67C4" w14:textId="0A7A3D9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427A02DE" w14:textId="6A3487A8"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5DCCCB99" w14:textId="02AB7B4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1672AAD4" w14:textId="48CA2CC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48103B2A" w14:textId="20B3CB4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31BAA448" w14:textId="598DC28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rFonts w:cs="Arial"/>
                <w:b/>
                <w:bCs w:val="0"/>
                <w:color w:val="FFFFFF" w:themeColor="background1"/>
                <w:sz w:val="16"/>
              </w:rPr>
            </w:pPr>
            <w:r w:rsidRPr="00832D86">
              <w:rPr>
                <w:b/>
                <w:bCs w:val="0"/>
                <w:color w:val="FFFFFF" w:themeColor="background1"/>
                <w:sz w:val="16"/>
              </w:rPr>
              <w:t>2025–26 Service system capacity</w:t>
            </w:r>
          </w:p>
        </w:tc>
        <w:tc>
          <w:tcPr>
            <w:tcW w:w="1148" w:type="dxa"/>
          </w:tcPr>
          <w:p w14:paraId="346B9C79" w14:textId="2E6D763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1F5EAED7" w14:textId="385BD68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EA09CC" w:rsidRPr="00AF3EDE" w14:paraId="2983227F" w14:textId="794755A4" w:rsidTr="00EA09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27B9A1E3" w14:textId="44096B35" w:rsidR="00EA09CC" w:rsidRPr="00FD2CB5" w:rsidRDefault="00EA09CC" w:rsidP="00EA09CC">
            <w:pPr>
              <w:pStyle w:val="Tabletext8pt"/>
              <w:rPr>
                <w:b w:val="0"/>
                <w:bCs w:val="0"/>
                <w:sz w:val="16"/>
                <w:szCs w:val="16"/>
              </w:rPr>
            </w:pPr>
            <w:r w:rsidRPr="00FD2CB5">
              <w:rPr>
                <w:b w:val="0"/>
                <w:bCs w:val="0"/>
              </w:rPr>
              <w:t>Mildura Base Public Hospital</w:t>
            </w:r>
          </w:p>
        </w:tc>
        <w:tc>
          <w:tcPr>
            <w:tcW w:w="1146" w:type="dxa"/>
            <w:noWrap/>
            <w:vAlign w:val="center"/>
          </w:tcPr>
          <w:p w14:paraId="4A92FDD0" w14:textId="13FF2703"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041FDFF2" w14:textId="3B01D974"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7B27B10C" w14:textId="09A9A998"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2,442</w:t>
            </w:r>
          </w:p>
        </w:tc>
        <w:tc>
          <w:tcPr>
            <w:tcW w:w="1147" w:type="dxa"/>
            <w:noWrap/>
            <w:vAlign w:val="center"/>
          </w:tcPr>
          <w:p w14:paraId="55DEF00C" w14:textId="2994A7A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17,792</w:t>
            </w:r>
          </w:p>
        </w:tc>
        <w:tc>
          <w:tcPr>
            <w:tcW w:w="1148" w:type="dxa"/>
            <w:noWrap/>
            <w:vAlign w:val="center"/>
          </w:tcPr>
          <w:p w14:paraId="64ABF1D8" w14:textId="46F154F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215</w:t>
            </w:r>
          </w:p>
        </w:tc>
        <w:tc>
          <w:tcPr>
            <w:tcW w:w="1147" w:type="dxa"/>
            <w:noWrap/>
            <w:vAlign w:val="center"/>
          </w:tcPr>
          <w:p w14:paraId="3369E47B" w14:textId="114D53F1"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97</w:t>
            </w:r>
          </w:p>
        </w:tc>
        <w:tc>
          <w:tcPr>
            <w:tcW w:w="1147" w:type="dxa"/>
            <w:noWrap/>
            <w:vAlign w:val="center"/>
          </w:tcPr>
          <w:p w14:paraId="006F0393" w14:textId="5E99F660"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DE8DD6B" w14:textId="7F015BC6"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3,919</w:t>
            </w:r>
          </w:p>
        </w:tc>
        <w:tc>
          <w:tcPr>
            <w:tcW w:w="1148" w:type="dxa"/>
            <w:vAlign w:val="center"/>
          </w:tcPr>
          <w:p w14:paraId="40AD74EE" w14:textId="722AA746"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2,182</w:t>
            </w:r>
          </w:p>
        </w:tc>
        <w:tc>
          <w:tcPr>
            <w:tcW w:w="1148" w:type="dxa"/>
            <w:vAlign w:val="center"/>
          </w:tcPr>
          <w:p w14:paraId="596BAE25" w14:textId="388456AB"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150E0">
              <w:t>26,647</w:t>
            </w:r>
          </w:p>
        </w:tc>
      </w:tr>
      <w:tr w:rsidR="00EA09CC" w:rsidRPr="00AF3EDE" w14:paraId="7F9A7A99" w14:textId="057B1CEC" w:rsidTr="00EA09CC">
        <w:trPr>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26CF3229" w14:textId="3ACC212F" w:rsidR="00EA09CC" w:rsidRPr="00FD2CB5" w:rsidRDefault="00EA09CC" w:rsidP="00EA09CC">
            <w:pPr>
              <w:pStyle w:val="Tabletext8pt"/>
              <w:rPr>
                <w:b w:val="0"/>
                <w:bCs w:val="0"/>
                <w:sz w:val="16"/>
                <w:szCs w:val="16"/>
              </w:rPr>
            </w:pPr>
            <w:r w:rsidRPr="00FD2CB5">
              <w:rPr>
                <w:b w:val="0"/>
                <w:bCs w:val="0"/>
              </w:rPr>
              <w:t>South West Healthcare</w:t>
            </w:r>
          </w:p>
        </w:tc>
        <w:tc>
          <w:tcPr>
            <w:tcW w:w="1146" w:type="dxa"/>
            <w:noWrap/>
            <w:vAlign w:val="center"/>
          </w:tcPr>
          <w:p w14:paraId="0150067D" w14:textId="28A0B40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615AD11" w14:textId="6226E83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AC21CEE" w14:textId="09A762D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2,278</w:t>
            </w:r>
          </w:p>
        </w:tc>
        <w:tc>
          <w:tcPr>
            <w:tcW w:w="1147" w:type="dxa"/>
            <w:noWrap/>
            <w:vAlign w:val="center"/>
          </w:tcPr>
          <w:p w14:paraId="389D6634" w14:textId="4EAB5E6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23,388</w:t>
            </w:r>
          </w:p>
        </w:tc>
        <w:tc>
          <w:tcPr>
            <w:tcW w:w="1148" w:type="dxa"/>
            <w:noWrap/>
            <w:vAlign w:val="center"/>
          </w:tcPr>
          <w:p w14:paraId="0966B608" w14:textId="2485A1F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461FBEA" w14:textId="75EB8DC5"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106</w:t>
            </w:r>
          </w:p>
        </w:tc>
        <w:tc>
          <w:tcPr>
            <w:tcW w:w="1147" w:type="dxa"/>
            <w:noWrap/>
            <w:vAlign w:val="center"/>
          </w:tcPr>
          <w:p w14:paraId="7E0A23E2" w14:textId="68AAC091"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60F9A2C" w14:textId="175393CD"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4,469</w:t>
            </w:r>
          </w:p>
        </w:tc>
        <w:tc>
          <w:tcPr>
            <w:tcW w:w="1148" w:type="dxa"/>
            <w:vAlign w:val="center"/>
          </w:tcPr>
          <w:p w14:paraId="5F114F57" w14:textId="7C59CC5A"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3,273</w:t>
            </w:r>
          </w:p>
        </w:tc>
        <w:tc>
          <w:tcPr>
            <w:tcW w:w="1148" w:type="dxa"/>
            <w:vAlign w:val="center"/>
          </w:tcPr>
          <w:p w14:paraId="361DB2FE" w14:textId="687F0CF4"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8150E0">
              <w:t>33,515</w:t>
            </w:r>
          </w:p>
        </w:tc>
      </w:tr>
      <w:tr w:rsidR="00EA09CC" w:rsidRPr="00AF3EDE" w14:paraId="17B302D8" w14:textId="42D39915" w:rsidTr="00EA09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645E4002" w14:textId="10CF603F" w:rsidR="00EA09CC" w:rsidRPr="00FD2CB5" w:rsidRDefault="00EA09CC" w:rsidP="00EA09CC">
            <w:pPr>
              <w:pStyle w:val="Tabletext8pt"/>
              <w:rPr>
                <w:b w:val="0"/>
                <w:bCs w:val="0"/>
                <w:sz w:val="16"/>
                <w:szCs w:val="16"/>
              </w:rPr>
            </w:pPr>
            <w:r w:rsidRPr="00FD2CB5">
              <w:rPr>
                <w:b w:val="0"/>
                <w:bCs w:val="0"/>
              </w:rPr>
              <w:t>Western District Health Service</w:t>
            </w:r>
          </w:p>
        </w:tc>
        <w:tc>
          <w:tcPr>
            <w:tcW w:w="1146" w:type="dxa"/>
            <w:noWrap/>
            <w:vAlign w:val="center"/>
          </w:tcPr>
          <w:p w14:paraId="07BC041B" w14:textId="6AAAC2EA"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2F646EA" w14:textId="10B4298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1B25EB9" w14:textId="2405E1C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D0B674F" w14:textId="6E894AC2"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987158B" w14:textId="7EAC1765"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E525926" w14:textId="4CD06A7E"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832F6FA" w14:textId="2B0A6B9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128</w:t>
            </w:r>
          </w:p>
        </w:tc>
        <w:tc>
          <w:tcPr>
            <w:tcW w:w="1148" w:type="dxa"/>
            <w:noWrap/>
            <w:vAlign w:val="center"/>
          </w:tcPr>
          <w:p w14:paraId="76398512" w14:textId="49CF2B7E"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AA4875B" w14:textId="77777777"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24E987E6" w14:textId="231F6CA9"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150E0">
              <w:t>128</w:t>
            </w:r>
          </w:p>
        </w:tc>
      </w:tr>
      <w:tr w:rsidR="00EA09CC" w:rsidRPr="00AF3EDE" w14:paraId="1D5BD13B" w14:textId="4B7A9318" w:rsidTr="00EA09CC">
        <w:trPr>
          <w:trHeight w:val="30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4980E352" w14:textId="55AB43D2" w:rsidR="00EA09CC" w:rsidRPr="00FD2CB5" w:rsidRDefault="00EA09CC" w:rsidP="00EA09CC">
            <w:pPr>
              <w:pStyle w:val="Tabletext8pt"/>
              <w:rPr>
                <w:b w:val="0"/>
                <w:bCs w:val="0"/>
                <w:sz w:val="16"/>
                <w:szCs w:val="16"/>
              </w:rPr>
            </w:pPr>
            <w:r w:rsidRPr="00FD2CB5">
              <w:rPr>
                <w:b w:val="0"/>
                <w:bCs w:val="0"/>
              </w:rPr>
              <w:t>Total</w:t>
            </w:r>
          </w:p>
        </w:tc>
        <w:tc>
          <w:tcPr>
            <w:tcW w:w="1146" w:type="dxa"/>
            <w:noWrap/>
            <w:vAlign w:val="center"/>
          </w:tcPr>
          <w:p w14:paraId="6BE565C4" w14:textId="41CF49A8"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5A7E06AA" w14:textId="42BB80D4"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F7545E2" w14:textId="6BFECFB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4,721</w:t>
            </w:r>
          </w:p>
        </w:tc>
        <w:tc>
          <w:tcPr>
            <w:tcW w:w="1147" w:type="dxa"/>
            <w:noWrap/>
            <w:vAlign w:val="center"/>
          </w:tcPr>
          <w:p w14:paraId="2FD28857" w14:textId="335443D1"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41,180</w:t>
            </w:r>
          </w:p>
        </w:tc>
        <w:tc>
          <w:tcPr>
            <w:tcW w:w="1148" w:type="dxa"/>
            <w:noWrap/>
            <w:vAlign w:val="center"/>
          </w:tcPr>
          <w:p w14:paraId="3AC5509D" w14:textId="04CAB253"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215</w:t>
            </w:r>
          </w:p>
        </w:tc>
        <w:tc>
          <w:tcPr>
            <w:tcW w:w="1147" w:type="dxa"/>
            <w:noWrap/>
            <w:vAlign w:val="center"/>
          </w:tcPr>
          <w:p w14:paraId="3EB27D2A" w14:textId="639B5B95"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202</w:t>
            </w:r>
          </w:p>
        </w:tc>
        <w:tc>
          <w:tcPr>
            <w:tcW w:w="1147" w:type="dxa"/>
            <w:noWrap/>
            <w:vAlign w:val="center"/>
          </w:tcPr>
          <w:p w14:paraId="60787DD6" w14:textId="7F741DDC"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128</w:t>
            </w:r>
          </w:p>
        </w:tc>
        <w:tc>
          <w:tcPr>
            <w:tcW w:w="1148" w:type="dxa"/>
            <w:noWrap/>
            <w:vAlign w:val="center"/>
          </w:tcPr>
          <w:p w14:paraId="098062D2" w14:textId="3D36AE3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8,388</w:t>
            </w:r>
          </w:p>
        </w:tc>
        <w:tc>
          <w:tcPr>
            <w:tcW w:w="1148" w:type="dxa"/>
            <w:vAlign w:val="center"/>
          </w:tcPr>
          <w:p w14:paraId="3869CB79" w14:textId="75C6509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5,455</w:t>
            </w:r>
          </w:p>
        </w:tc>
        <w:tc>
          <w:tcPr>
            <w:tcW w:w="1148" w:type="dxa"/>
            <w:vAlign w:val="center"/>
          </w:tcPr>
          <w:p w14:paraId="4DAFACEF" w14:textId="79B71ABF"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8150E0">
              <w:t>60,289</w:t>
            </w:r>
          </w:p>
        </w:tc>
      </w:tr>
    </w:tbl>
    <w:p w14:paraId="0788A751" w14:textId="77777777" w:rsidR="005B699B" w:rsidRPr="00E00C4E" w:rsidRDefault="005B699B" w:rsidP="0026374E">
      <w:pPr>
        <w:pStyle w:val="Bodyafterfiguretable"/>
        <w:keepNext/>
        <w:keepLines/>
        <w:ind w:hanging="284"/>
      </w:pPr>
      <w:r w:rsidRPr="00E00C4E">
        <w:t xml:space="preserve">Small rural </w:t>
      </w:r>
      <w:r w:rsidRPr="00A937BD">
        <w:t>health</w:t>
      </w:r>
      <w:r w:rsidRPr="00E00C4E">
        <w:t xml:space="preserve">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1E1D24" w14:paraId="4CC9E346" w14:textId="18F54E20" w:rsidTr="0061015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45" w:type="dxa"/>
            <w:hideMark/>
          </w:tcPr>
          <w:p w14:paraId="26668CEA" w14:textId="65F34544" w:rsidR="00610159" w:rsidRPr="00832D86" w:rsidRDefault="00610159" w:rsidP="009B0BAE">
            <w:pPr>
              <w:pStyle w:val="Tablecolhead8pt"/>
              <w:keepNext/>
              <w:keepLines/>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6479CF4F" w14:textId="2016ED4F"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tcPr>
          <w:p w14:paraId="09C394B9" w14:textId="0C4166B1"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hideMark/>
          </w:tcPr>
          <w:p w14:paraId="3012F872" w14:textId="629948C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62D1F2B9" w14:textId="2DCC83E3"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2B597DB9" w14:textId="29C951E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58D7504F" w14:textId="3AD7688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5730DEA9" w14:textId="0B67D92D"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08DACBD2" w14:textId="5A7BE16D"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15C2E656" w14:textId="5D84022A"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710B3A5F" w14:textId="2C53F0DB"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AF3EDE" w14:paraId="00AD898A" w14:textId="5CE61DAA"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7820BFCE" w14:textId="018C2B7B" w:rsidR="00610159" w:rsidRPr="00265E69" w:rsidRDefault="00610159" w:rsidP="00265E69">
            <w:pPr>
              <w:pStyle w:val="Tabletext8pt"/>
              <w:rPr>
                <w:b w:val="0"/>
                <w:bCs w:val="0"/>
                <w:sz w:val="16"/>
                <w:szCs w:val="16"/>
                <w:lang w:eastAsia="en-US"/>
              </w:rPr>
            </w:pPr>
            <w:r w:rsidRPr="00265E69">
              <w:rPr>
                <w:b w:val="0"/>
                <w:bCs w:val="0"/>
              </w:rPr>
              <w:t>West Wimmera Health Service</w:t>
            </w:r>
          </w:p>
        </w:tc>
        <w:tc>
          <w:tcPr>
            <w:tcW w:w="1146" w:type="dxa"/>
            <w:noWrap/>
            <w:vAlign w:val="center"/>
          </w:tcPr>
          <w:p w14:paraId="7B449D39" w14:textId="432839CC"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B079C9F" w14:textId="55C0090E"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25093B0" w14:textId="1989C7BB"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83E83B5" w14:textId="6E499FF1"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14F7624" w14:textId="796CC61A"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074368A" w14:textId="5D22B1D5"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55D48D1" w14:textId="5CF8CB08"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24124">
              <w:t>298</w:t>
            </w:r>
          </w:p>
        </w:tc>
        <w:tc>
          <w:tcPr>
            <w:tcW w:w="1148" w:type="dxa"/>
            <w:noWrap/>
            <w:vAlign w:val="center"/>
          </w:tcPr>
          <w:p w14:paraId="56BF36FE" w14:textId="4F91D363"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030CDC73" w14:textId="77777777"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1F71EB84" w14:textId="286762DE"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24124">
              <w:t>298</w:t>
            </w:r>
          </w:p>
        </w:tc>
      </w:tr>
      <w:tr w:rsidR="00610159" w:rsidRPr="00AF3EDE" w14:paraId="5081905D" w14:textId="7866C03D"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C822FC1" w14:textId="7E086302" w:rsidR="00610159" w:rsidRPr="00265E69" w:rsidRDefault="00610159" w:rsidP="00265E69">
            <w:pPr>
              <w:pStyle w:val="Tabletext8pt"/>
              <w:rPr>
                <w:b w:val="0"/>
                <w:bCs w:val="0"/>
                <w:sz w:val="16"/>
                <w:szCs w:val="16"/>
                <w:lang w:eastAsia="en-US"/>
              </w:rPr>
            </w:pPr>
            <w:r w:rsidRPr="00265E69">
              <w:rPr>
                <w:b w:val="0"/>
                <w:bCs w:val="0"/>
              </w:rPr>
              <w:t>Total</w:t>
            </w:r>
          </w:p>
        </w:tc>
        <w:tc>
          <w:tcPr>
            <w:tcW w:w="1146" w:type="dxa"/>
            <w:noWrap/>
            <w:vAlign w:val="center"/>
          </w:tcPr>
          <w:p w14:paraId="36788B86" w14:textId="25B4146A"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77F937B2" w14:textId="71D223CB"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98D5192" w14:textId="1E104920"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D7F293A" w14:textId="12CB5889"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25D7216" w14:textId="22CB4E45"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5EE6B90" w14:textId="314923DC"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6A16EA5" w14:textId="6C86815C"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24124">
              <w:t>298</w:t>
            </w:r>
          </w:p>
        </w:tc>
        <w:tc>
          <w:tcPr>
            <w:tcW w:w="1148" w:type="dxa"/>
            <w:noWrap/>
            <w:vAlign w:val="center"/>
          </w:tcPr>
          <w:p w14:paraId="0A1E892F" w14:textId="7F1D8D85"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18E9E125" w14:textId="77777777"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F6EFB04" w14:textId="2BCB251F"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24124">
              <w:t>298</w:t>
            </w:r>
          </w:p>
        </w:tc>
      </w:tr>
    </w:tbl>
    <w:p w14:paraId="04056F49" w14:textId="77777777" w:rsidR="00D8107F" w:rsidRPr="00D8107F" w:rsidRDefault="00D8107F" w:rsidP="0026374E">
      <w:pPr>
        <w:pStyle w:val="Bodyaftertablefigure"/>
        <w:ind w:hanging="284"/>
      </w:pPr>
      <w:r w:rsidRPr="000B4219">
        <w:t>Community</w:t>
      </w:r>
      <w:r>
        <w:t xml:space="preserve"> Health Centres </w:t>
      </w:r>
      <w:r w:rsidRPr="00E00C4E">
        <w:t>– $’000s</w:t>
      </w:r>
    </w:p>
    <w:tbl>
      <w:tblPr>
        <w:tblStyle w:val="GridTable4-Accent1"/>
        <w:tblW w:w="13356" w:type="dxa"/>
        <w:tblInd w:w="-289" w:type="dxa"/>
        <w:tblLayout w:type="fixed"/>
        <w:tblLook w:val="04A0" w:firstRow="1" w:lastRow="0" w:firstColumn="1" w:lastColumn="0" w:noHBand="0" w:noVBand="1"/>
      </w:tblPr>
      <w:tblGrid>
        <w:gridCol w:w="2016"/>
        <w:gridCol w:w="1208"/>
        <w:gridCol w:w="1208"/>
        <w:gridCol w:w="1209"/>
        <w:gridCol w:w="1208"/>
        <w:gridCol w:w="1208"/>
        <w:gridCol w:w="1208"/>
        <w:gridCol w:w="1208"/>
        <w:gridCol w:w="961"/>
        <w:gridCol w:w="961"/>
        <w:gridCol w:w="961"/>
      </w:tblGrid>
      <w:tr w:rsidR="00610159" w:rsidRPr="000C4609" w14:paraId="45C004B9" w14:textId="7CBDB5A4" w:rsidTr="00610159">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016" w:type="dxa"/>
            <w:hideMark/>
          </w:tcPr>
          <w:p w14:paraId="5F8B0142" w14:textId="0A0E5F26"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208" w:type="dxa"/>
            <w:hideMark/>
          </w:tcPr>
          <w:p w14:paraId="5DA18F2C" w14:textId="11DDAF09"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208" w:type="dxa"/>
            <w:hideMark/>
          </w:tcPr>
          <w:p w14:paraId="19FE850C" w14:textId="45AC66D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209" w:type="dxa"/>
          </w:tcPr>
          <w:p w14:paraId="26C9D0D6" w14:textId="74970F6E"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208" w:type="dxa"/>
            <w:hideMark/>
          </w:tcPr>
          <w:p w14:paraId="5442CCB7" w14:textId="108A36E7"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208" w:type="dxa"/>
            <w:hideMark/>
          </w:tcPr>
          <w:p w14:paraId="21B45A87" w14:textId="2E49FB1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208" w:type="dxa"/>
            <w:hideMark/>
          </w:tcPr>
          <w:p w14:paraId="219F44A1" w14:textId="39D509E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208" w:type="dxa"/>
            <w:hideMark/>
          </w:tcPr>
          <w:p w14:paraId="7618A21C" w14:textId="02F79E7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961" w:type="dxa"/>
            <w:hideMark/>
          </w:tcPr>
          <w:p w14:paraId="2A101345" w14:textId="6241065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961" w:type="dxa"/>
          </w:tcPr>
          <w:p w14:paraId="14EE48B9" w14:textId="739DEAB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961" w:type="dxa"/>
          </w:tcPr>
          <w:p w14:paraId="14688EB1" w14:textId="0C431D0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977693" w14:paraId="495089B1" w14:textId="28C4CACC" w:rsidTr="0061015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7282120F" w14:textId="77777777" w:rsidR="00610159" w:rsidRPr="009A17AB" w:rsidRDefault="00610159" w:rsidP="009A17AB">
            <w:pPr>
              <w:pStyle w:val="Tabletext8pt"/>
              <w:rPr>
                <w:b w:val="0"/>
                <w:bCs w:val="0"/>
                <w:sz w:val="16"/>
                <w:szCs w:val="16"/>
              </w:rPr>
            </w:pPr>
            <w:r w:rsidRPr="009A17AB">
              <w:rPr>
                <w:b w:val="0"/>
                <w:bCs w:val="0"/>
              </w:rPr>
              <w:t>Ballarat Community Health</w:t>
            </w:r>
          </w:p>
        </w:tc>
        <w:tc>
          <w:tcPr>
            <w:tcW w:w="1208" w:type="dxa"/>
            <w:noWrap/>
            <w:vAlign w:val="center"/>
          </w:tcPr>
          <w:p w14:paraId="6BF1AC83"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31740FA2"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9" w:type="dxa"/>
            <w:vAlign w:val="center"/>
          </w:tcPr>
          <w:p w14:paraId="24047D21"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C887F03" w14:textId="4E18AF28"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2B7D62AB"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043F0607" w14:textId="02AC17E4"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00D6EE19"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noWrap/>
            <w:vAlign w:val="center"/>
          </w:tcPr>
          <w:p w14:paraId="5078E75C" w14:textId="68E27766"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c>
          <w:tcPr>
            <w:tcW w:w="961" w:type="dxa"/>
            <w:vAlign w:val="center"/>
          </w:tcPr>
          <w:p w14:paraId="20A4CD0D"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vAlign w:val="center"/>
          </w:tcPr>
          <w:p w14:paraId="6D5B3680" w14:textId="70F44042"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r>
      <w:tr w:rsidR="00610159" w:rsidRPr="00977693" w14:paraId="04114370" w14:textId="4615FE87" w:rsidTr="00610159">
        <w:trPr>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31BF255E" w14:textId="77777777" w:rsidR="00610159" w:rsidRPr="009A17AB" w:rsidRDefault="00610159" w:rsidP="009A17AB">
            <w:pPr>
              <w:pStyle w:val="Tabletext8pt"/>
              <w:rPr>
                <w:b w:val="0"/>
                <w:bCs w:val="0"/>
                <w:sz w:val="16"/>
                <w:szCs w:val="16"/>
              </w:rPr>
            </w:pPr>
            <w:r w:rsidRPr="009A17AB">
              <w:rPr>
                <w:b w:val="0"/>
                <w:bCs w:val="0"/>
              </w:rPr>
              <w:t>Cohealth Limited</w:t>
            </w:r>
          </w:p>
        </w:tc>
        <w:tc>
          <w:tcPr>
            <w:tcW w:w="1208" w:type="dxa"/>
            <w:noWrap/>
            <w:vAlign w:val="center"/>
          </w:tcPr>
          <w:p w14:paraId="7A7E05E9"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4FB5A332"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9" w:type="dxa"/>
            <w:vAlign w:val="center"/>
          </w:tcPr>
          <w:p w14:paraId="756A92C8"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06429035" w14:textId="7F18CC82"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42A2E8F7"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7ED02FE8" w14:textId="25D1E9E0"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3CAD1DE"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noWrap/>
            <w:vAlign w:val="center"/>
          </w:tcPr>
          <w:p w14:paraId="66E1EB6B" w14:textId="7A149E35"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256</w:t>
            </w:r>
          </w:p>
        </w:tc>
        <w:tc>
          <w:tcPr>
            <w:tcW w:w="961" w:type="dxa"/>
            <w:vAlign w:val="center"/>
          </w:tcPr>
          <w:p w14:paraId="54D259FB"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vAlign w:val="center"/>
          </w:tcPr>
          <w:p w14:paraId="24D2E354" w14:textId="3DF15076"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256</w:t>
            </w:r>
          </w:p>
        </w:tc>
      </w:tr>
      <w:tr w:rsidR="00610159" w:rsidRPr="00977693" w14:paraId="563282F4" w14:textId="305756C7"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2554D1D1" w14:textId="78DD1F14" w:rsidR="00610159" w:rsidRPr="009A17AB" w:rsidRDefault="00610159" w:rsidP="009A17AB">
            <w:pPr>
              <w:pStyle w:val="Tabletext8pt"/>
              <w:rPr>
                <w:b w:val="0"/>
                <w:bCs w:val="0"/>
                <w:sz w:val="16"/>
                <w:szCs w:val="16"/>
              </w:rPr>
            </w:pPr>
            <w:r w:rsidRPr="009A17AB">
              <w:rPr>
                <w:b w:val="0"/>
                <w:bCs w:val="0"/>
              </w:rPr>
              <w:t>Eastern Access Community Health Inc</w:t>
            </w:r>
          </w:p>
        </w:tc>
        <w:tc>
          <w:tcPr>
            <w:tcW w:w="1208" w:type="dxa"/>
            <w:noWrap/>
            <w:vAlign w:val="center"/>
          </w:tcPr>
          <w:p w14:paraId="1E0E87C6"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2E7B7559"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9" w:type="dxa"/>
            <w:vAlign w:val="center"/>
          </w:tcPr>
          <w:p w14:paraId="2AA5C2B8"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51519692" w14:textId="0107FDF1"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20A4491"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1EF54D3D" w14:textId="55FE2B64"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3A0D97A"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noWrap/>
            <w:vAlign w:val="center"/>
          </w:tcPr>
          <w:p w14:paraId="0CC3FFA1" w14:textId="02BA90CE"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c>
          <w:tcPr>
            <w:tcW w:w="961" w:type="dxa"/>
            <w:vAlign w:val="center"/>
          </w:tcPr>
          <w:p w14:paraId="21A8ED5B"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vAlign w:val="center"/>
          </w:tcPr>
          <w:p w14:paraId="68A68676" w14:textId="07703363"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r>
      <w:tr w:rsidR="00610159" w:rsidRPr="00977693" w14:paraId="42E77F9B" w14:textId="33B34F53" w:rsidTr="00610159">
        <w:trPr>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tcPr>
          <w:p w14:paraId="234ED42B" w14:textId="624672BA" w:rsidR="00610159" w:rsidRPr="009A17AB" w:rsidRDefault="00610159" w:rsidP="009A17AB">
            <w:pPr>
              <w:pStyle w:val="Tabletext8pt"/>
              <w:rPr>
                <w:b w:val="0"/>
                <w:bCs w:val="0"/>
                <w:sz w:val="16"/>
                <w:szCs w:val="16"/>
              </w:rPr>
            </w:pPr>
            <w:r w:rsidRPr="009A17AB">
              <w:rPr>
                <w:b w:val="0"/>
                <w:bCs w:val="0"/>
              </w:rPr>
              <w:t>Total</w:t>
            </w:r>
          </w:p>
        </w:tc>
        <w:tc>
          <w:tcPr>
            <w:tcW w:w="1208" w:type="dxa"/>
            <w:noWrap/>
            <w:vAlign w:val="center"/>
          </w:tcPr>
          <w:p w14:paraId="14260427"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179F801"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9" w:type="dxa"/>
            <w:vAlign w:val="center"/>
          </w:tcPr>
          <w:p w14:paraId="2BF4146F"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0F2BFBCF" w14:textId="4CD1E968"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2567E594"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DDF2D25" w14:textId="03701960"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5D397C5"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noWrap/>
            <w:vAlign w:val="center"/>
          </w:tcPr>
          <w:p w14:paraId="7172244D" w14:textId="400B23C4"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768</w:t>
            </w:r>
          </w:p>
        </w:tc>
        <w:tc>
          <w:tcPr>
            <w:tcW w:w="961" w:type="dxa"/>
            <w:vAlign w:val="center"/>
          </w:tcPr>
          <w:p w14:paraId="00F6EB76"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vAlign w:val="center"/>
          </w:tcPr>
          <w:p w14:paraId="1BB3CC36" w14:textId="071B3CEC"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768</w:t>
            </w:r>
          </w:p>
        </w:tc>
      </w:tr>
    </w:tbl>
    <w:p w14:paraId="0BBA1F23" w14:textId="76B4D544" w:rsidR="005B699B" w:rsidRPr="00E00C4E" w:rsidRDefault="005B699B" w:rsidP="0026374E">
      <w:pPr>
        <w:pStyle w:val="Bodyafterfiguretable"/>
        <w:ind w:hanging="284"/>
      </w:pPr>
      <w:r w:rsidRPr="00E00C4E">
        <w:t>Non-</w:t>
      </w:r>
      <w:r w:rsidRPr="000B4219">
        <w:t>government</w:t>
      </w:r>
      <w:r w:rsidRPr="00E00C4E">
        <w:t xml:space="preserve">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AF3EDE" w14:paraId="3E6022F7" w14:textId="5A2DDBB5" w:rsidTr="00610159">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945" w:type="dxa"/>
            <w:hideMark/>
          </w:tcPr>
          <w:p w14:paraId="0631142E" w14:textId="0CA56F74"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5E202E55" w14:textId="5E25BCA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139E59E9" w14:textId="0E5931B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5886CE26" w14:textId="6D45777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 xml:space="preserve">Ambulatory </w:t>
            </w:r>
          </w:p>
        </w:tc>
        <w:tc>
          <w:tcPr>
            <w:tcW w:w="1147" w:type="dxa"/>
            <w:hideMark/>
          </w:tcPr>
          <w:p w14:paraId="3CEBE9C1" w14:textId="0C29D56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41736E19" w14:textId="67BD7E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170309DD" w14:textId="5A195FC8"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6A9E1AE1" w14:textId="30CBA51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4E7A2166" w14:textId="1327C126"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2C529D33" w14:textId="77298A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78657D53" w14:textId="0FAE47D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AF3EDE" w14:paraId="1A880017" w14:textId="42725544"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092A4091" w14:textId="10FACFD4" w:rsidR="00610159" w:rsidRPr="003921EA" w:rsidRDefault="00610159" w:rsidP="003921EA">
            <w:pPr>
              <w:pStyle w:val="Tabletext8pt"/>
              <w:rPr>
                <w:b w:val="0"/>
                <w:bCs w:val="0"/>
                <w:sz w:val="16"/>
                <w:szCs w:val="16"/>
              </w:rPr>
            </w:pPr>
            <w:r w:rsidRPr="003921EA">
              <w:rPr>
                <w:b w:val="0"/>
                <w:bCs w:val="0"/>
              </w:rPr>
              <w:t xml:space="preserve">Eating Disorders Foundation </w:t>
            </w:r>
            <w:r w:rsidR="00532FFD">
              <w:rPr>
                <w:b w:val="0"/>
                <w:bCs w:val="0"/>
              </w:rPr>
              <w:t>o</w:t>
            </w:r>
            <w:r w:rsidRPr="003921EA">
              <w:rPr>
                <w:b w:val="0"/>
                <w:bCs w:val="0"/>
              </w:rPr>
              <w:t>f Victoria Inc</w:t>
            </w:r>
          </w:p>
        </w:tc>
        <w:tc>
          <w:tcPr>
            <w:tcW w:w="1146" w:type="dxa"/>
            <w:noWrap/>
            <w:vAlign w:val="center"/>
          </w:tcPr>
          <w:p w14:paraId="33F09B63" w14:textId="7E710F8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085F9C9" w14:textId="5C316576"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7B1F930" w14:textId="562B74E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ECC5F2D" w14:textId="70C87B34"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16BFBF2" w14:textId="530B3A4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6AD280A" w14:textId="4E24C40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BE5D927" w14:textId="5D6211B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BC89EFC" w14:textId="3A037D1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256</w:t>
            </w:r>
          </w:p>
        </w:tc>
        <w:tc>
          <w:tcPr>
            <w:tcW w:w="1148" w:type="dxa"/>
            <w:vAlign w:val="center"/>
          </w:tcPr>
          <w:p w14:paraId="373DE925"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5D26094E" w14:textId="32E32E48"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256</w:t>
            </w:r>
          </w:p>
        </w:tc>
      </w:tr>
      <w:tr w:rsidR="00610159" w:rsidRPr="00AF3EDE" w14:paraId="2FA80819" w14:textId="0E6B9C60"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6E784453" w14:textId="70652A71" w:rsidR="00610159" w:rsidRPr="003921EA" w:rsidRDefault="00610159" w:rsidP="003921EA">
            <w:pPr>
              <w:pStyle w:val="Tabletext8pt"/>
              <w:rPr>
                <w:b w:val="0"/>
                <w:bCs w:val="0"/>
                <w:sz w:val="16"/>
                <w:szCs w:val="16"/>
              </w:rPr>
            </w:pPr>
            <w:r w:rsidRPr="003921EA">
              <w:rPr>
                <w:b w:val="0"/>
                <w:bCs w:val="0"/>
              </w:rPr>
              <w:t>Ermha Limited</w:t>
            </w:r>
          </w:p>
        </w:tc>
        <w:tc>
          <w:tcPr>
            <w:tcW w:w="1146" w:type="dxa"/>
            <w:noWrap/>
            <w:vAlign w:val="center"/>
          </w:tcPr>
          <w:p w14:paraId="7AF5DBAF" w14:textId="5969997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4F9C328" w14:textId="34750EA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725A325" w14:textId="786ACE3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3CC0B5AA" w14:textId="4A3899A3"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8061652" w14:textId="072F6AD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C932048" w14:textId="741A1D3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34A317D" w14:textId="372C93DC"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0595F40" w14:textId="55D0C52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256</w:t>
            </w:r>
          </w:p>
        </w:tc>
        <w:tc>
          <w:tcPr>
            <w:tcW w:w="1148" w:type="dxa"/>
            <w:vAlign w:val="center"/>
          </w:tcPr>
          <w:p w14:paraId="515ABBA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0DEF3E1" w14:textId="4529339A"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256</w:t>
            </w:r>
          </w:p>
        </w:tc>
      </w:tr>
      <w:tr w:rsidR="00610159" w:rsidRPr="00AF3EDE" w14:paraId="5E25AADC" w14:textId="29F45056"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5C4B65A5" w14:textId="1199D25E" w:rsidR="00610159" w:rsidRPr="003921EA" w:rsidRDefault="00610159" w:rsidP="003921EA">
            <w:pPr>
              <w:pStyle w:val="Tabletext8pt"/>
              <w:rPr>
                <w:b w:val="0"/>
                <w:bCs w:val="0"/>
                <w:sz w:val="16"/>
                <w:szCs w:val="16"/>
              </w:rPr>
            </w:pPr>
            <w:r w:rsidRPr="003921EA">
              <w:rPr>
                <w:b w:val="0"/>
                <w:bCs w:val="0"/>
              </w:rPr>
              <w:t>Harm Reduction Victoria Inc</w:t>
            </w:r>
          </w:p>
        </w:tc>
        <w:tc>
          <w:tcPr>
            <w:tcW w:w="1146" w:type="dxa"/>
            <w:noWrap/>
            <w:vAlign w:val="center"/>
          </w:tcPr>
          <w:p w14:paraId="0B4071F9" w14:textId="13F63AB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2611667" w14:textId="42487C9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07F190FB" w14:textId="03B4986F"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1A5490F" w14:textId="50F5E08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CF07D8B" w14:textId="22CDEC7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10D2713" w14:textId="552815B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0A0B4C2" w14:textId="5195623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433A6F" w14:textId="1CDCAA7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660</w:t>
            </w:r>
          </w:p>
        </w:tc>
        <w:tc>
          <w:tcPr>
            <w:tcW w:w="1148" w:type="dxa"/>
            <w:vAlign w:val="center"/>
          </w:tcPr>
          <w:p w14:paraId="1CBAB7A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224554A" w14:textId="5883637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660</w:t>
            </w:r>
          </w:p>
        </w:tc>
      </w:tr>
      <w:tr w:rsidR="00610159" w:rsidRPr="00AF3EDE" w14:paraId="664AB0A2" w14:textId="7AC8944E"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4AA020A" w14:textId="72155B66" w:rsidR="00610159" w:rsidRPr="003921EA" w:rsidRDefault="00610159" w:rsidP="003921EA">
            <w:pPr>
              <w:pStyle w:val="Tabletext8pt"/>
              <w:rPr>
                <w:b w:val="0"/>
                <w:bCs w:val="0"/>
                <w:sz w:val="16"/>
                <w:szCs w:val="16"/>
              </w:rPr>
            </w:pPr>
            <w:r w:rsidRPr="003921EA">
              <w:rPr>
                <w:b w:val="0"/>
                <w:bCs w:val="0"/>
              </w:rPr>
              <w:t>La Trobe University</w:t>
            </w:r>
          </w:p>
        </w:tc>
        <w:tc>
          <w:tcPr>
            <w:tcW w:w="1146" w:type="dxa"/>
            <w:noWrap/>
            <w:vAlign w:val="center"/>
          </w:tcPr>
          <w:p w14:paraId="34458AFD" w14:textId="60BA22C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AF1D2B7" w14:textId="38604766"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93ABB2D" w14:textId="609FEAE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1,550</w:t>
            </w:r>
          </w:p>
        </w:tc>
        <w:tc>
          <w:tcPr>
            <w:tcW w:w="1147" w:type="dxa"/>
            <w:noWrap/>
            <w:vAlign w:val="center"/>
          </w:tcPr>
          <w:p w14:paraId="5A2DA945" w14:textId="53661533"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4C3A066" w14:textId="523EEF1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FED24D8" w14:textId="7203410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7AB70B9" w14:textId="2B2C18F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7104599" w14:textId="76FA410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680</w:t>
            </w:r>
          </w:p>
        </w:tc>
        <w:tc>
          <w:tcPr>
            <w:tcW w:w="1148" w:type="dxa"/>
            <w:vAlign w:val="center"/>
          </w:tcPr>
          <w:p w14:paraId="7BEE7E33"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76C7320" w14:textId="799DE2C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2,230</w:t>
            </w:r>
          </w:p>
        </w:tc>
      </w:tr>
      <w:tr w:rsidR="00610159" w:rsidRPr="00AF3EDE" w14:paraId="0C58F37E" w14:textId="4A77E9DA"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A671D94" w14:textId="6C37F5E0" w:rsidR="00610159" w:rsidRPr="003921EA" w:rsidRDefault="00610159" w:rsidP="003921EA">
            <w:pPr>
              <w:pStyle w:val="Tabletext8pt"/>
              <w:rPr>
                <w:b w:val="0"/>
                <w:bCs w:val="0"/>
                <w:sz w:val="16"/>
                <w:szCs w:val="16"/>
              </w:rPr>
            </w:pPr>
            <w:r w:rsidRPr="003921EA">
              <w:rPr>
                <w:b w:val="0"/>
                <w:bCs w:val="0"/>
              </w:rPr>
              <w:t>Mental Health Victoria Ltd</w:t>
            </w:r>
          </w:p>
        </w:tc>
        <w:tc>
          <w:tcPr>
            <w:tcW w:w="1146" w:type="dxa"/>
            <w:noWrap/>
            <w:vAlign w:val="center"/>
          </w:tcPr>
          <w:p w14:paraId="6463B9EE" w14:textId="7756137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0E0D9AB" w14:textId="560BE69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3477267" w14:textId="5C2D6F1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D0B58C7" w14:textId="424495A3"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7599419" w14:textId="3A03E3B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29359B3" w14:textId="39E074D5"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9E500F7" w14:textId="79E754B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162F4DF" w14:textId="509E703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142</w:t>
            </w:r>
          </w:p>
        </w:tc>
        <w:tc>
          <w:tcPr>
            <w:tcW w:w="1148" w:type="dxa"/>
            <w:vAlign w:val="center"/>
          </w:tcPr>
          <w:p w14:paraId="755337E5"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14943505" w14:textId="69442BE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142</w:t>
            </w:r>
          </w:p>
        </w:tc>
      </w:tr>
      <w:tr w:rsidR="00610159" w:rsidRPr="00AF3EDE" w14:paraId="34B3E6CC" w14:textId="35454C34"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0BF95EEE" w14:textId="35B918AF" w:rsidR="00610159" w:rsidRPr="003921EA" w:rsidRDefault="00610159" w:rsidP="003921EA">
            <w:pPr>
              <w:pStyle w:val="Tabletext8pt"/>
              <w:rPr>
                <w:b w:val="0"/>
                <w:bCs w:val="0"/>
                <w:sz w:val="16"/>
                <w:szCs w:val="16"/>
              </w:rPr>
            </w:pPr>
            <w:r w:rsidRPr="003921EA">
              <w:rPr>
                <w:b w:val="0"/>
                <w:bCs w:val="0"/>
              </w:rPr>
              <w:t>Mind Australia</w:t>
            </w:r>
          </w:p>
        </w:tc>
        <w:tc>
          <w:tcPr>
            <w:tcW w:w="1146" w:type="dxa"/>
            <w:noWrap/>
            <w:vAlign w:val="center"/>
          </w:tcPr>
          <w:p w14:paraId="53139C77" w14:textId="58AABD5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2666795" w14:textId="292DBA46"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9A0FEC8" w14:textId="4187875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DA09D9E" w14:textId="79B2202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5CB6BC0" w14:textId="68E0232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7F164D0" w14:textId="18F4C1A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2B56503" w14:textId="3DEAA6E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3F1220B" w14:textId="7E89BF5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820</w:t>
            </w:r>
          </w:p>
        </w:tc>
        <w:tc>
          <w:tcPr>
            <w:tcW w:w="1148" w:type="dxa"/>
            <w:vAlign w:val="center"/>
          </w:tcPr>
          <w:p w14:paraId="3E89253B"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E662712" w14:textId="057D4A5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820</w:t>
            </w:r>
          </w:p>
        </w:tc>
      </w:tr>
      <w:tr w:rsidR="00610159" w:rsidRPr="00AF3EDE" w14:paraId="4A67F74E" w14:textId="63B8A3F1"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E9878A6" w14:textId="2736D063" w:rsidR="00610159" w:rsidRPr="003921EA" w:rsidRDefault="00610159" w:rsidP="003921EA">
            <w:pPr>
              <w:pStyle w:val="Tabletext8pt"/>
              <w:rPr>
                <w:b w:val="0"/>
                <w:bCs w:val="0"/>
                <w:sz w:val="16"/>
                <w:szCs w:val="16"/>
              </w:rPr>
            </w:pPr>
            <w:r w:rsidRPr="003921EA">
              <w:rPr>
                <w:b w:val="0"/>
                <w:bCs w:val="0"/>
              </w:rPr>
              <w:t>Neami Limited</w:t>
            </w:r>
          </w:p>
        </w:tc>
        <w:tc>
          <w:tcPr>
            <w:tcW w:w="1146" w:type="dxa"/>
            <w:noWrap/>
            <w:vAlign w:val="center"/>
          </w:tcPr>
          <w:p w14:paraId="15728BD1" w14:textId="512A019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66A830D" w14:textId="538CD58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A73F85F" w14:textId="7403281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F32776C" w14:textId="3925A3A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E1C1AB6" w14:textId="5CE9632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739A5F6" w14:textId="7CE524A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9A0B34D" w14:textId="512A4B2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50B37C8" w14:textId="570EFF3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612</w:t>
            </w:r>
          </w:p>
        </w:tc>
        <w:tc>
          <w:tcPr>
            <w:tcW w:w="1148" w:type="dxa"/>
            <w:vAlign w:val="center"/>
          </w:tcPr>
          <w:p w14:paraId="3D764B76"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7E39D1D1" w14:textId="7561014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612</w:t>
            </w:r>
          </w:p>
        </w:tc>
      </w:tr>
      <w:tr w:rsidR="00610159" w:rsidRPr="00AF3EDE" w14:paraId="01D30251" w14:textId="44C3B561"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019F29B8" w14:textId="12231CA1" w:rsidR="00610159" w:rsidRPr="003921EA" w:rsidRDefault="00610159" w:rsidP="003921EA">
            <w:pPr>
              <w:pStyle w:val="Tabletext8pt"/>
              <w:rPr>
                <w:b w:val="0"/>
                <w:bCs w:val="0"/>
                <w:sz w:val="16"/>
                <w:szCs w:val="16"/>
              </w:rPr>
            </w:pPr>
            <w:r w:rsidRPr="003921EA">
              <w:rPr>
                <w:b w:val="0"/>
                <w:bCs w:val="0"/>
              </w:rPr>
              <w:t>Self Help Addiction Resource Centre Inc</w:t>
            </w:r>
          </w:p>
        </w:tc>
        <w:tc>
          <w:tcPr>
            <w:tcW w:w="1146" w:type="dxa"/>
            <w:noWrap/>
            <w:vAlign w:val="center"/>
          </w:tcPr>
          <w:p w14:paraId="5254CF3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A9E223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F93320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CF42505"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D3CF3C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661E825" w14:textId="680DFB6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513CA21"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33E230B" w14:textId="644DA57A"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2,933</w:t>
            </w:r>
          </w:p>
        </w:tc>
        <w:tc>
          <w:tcPr>
            <w:tcW w:w="1148" w:type="dxa"/>
            <w:vAlign w:val="center"/>
          </w:tcPr>
          <w:p w14:paraId="2312292D"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AC25C26" w14:textId="11D2170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2,933</w:t>
            </w:r>
          </w:p>
        </w:tc>
      </w:tr>
      <w:tr w:rsidR="00610159" w:rsidRPr="00AF3EDE" w14:paraId="42ACFE05" w14:textId="3DE1041E"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170C7C14" w14:textId="68177727" w:rsidR="00610159" w:rsidRPr="003921EA" w:rsidRDefault="00610159" w:rsidP="003921EA">
            <w:pPr>
              <w:pStyle w:val="Tabletext8pt"/>
              <w:rPr>
                <w:b w:val="0"/>
                <w:bCs w:val="0"/>
                <w:sz w:val="16"/>
                <w:szCs w:val="16"/>
              </w:rPr>
            </w:pPr>
            <w:r w:rsidRPr="003921EA">
              <w:rPr>
                <w:b w:val="0"/>
                <w:bCs w:val="0"/>
              </w:rPr>
              <w:t xml:space="preserve">The University </w:t>
            </w:r>
            <w:r w:rsidR="00532FFD">
              <w:rPr>
                <w:b w:val="0"/>
                <w:bCs w:val="0"/>
              </w:rPr>
              <w:t>o</w:t>
            </w:r>
            <w:r w:rsidRPr="003921EA">
              <w:rPr>
                <w:b w:val="0"/>
                <w:bCs w:val="0"/>
              </w:rPr>
              <w:t>f Melbourne</w:t>
            </w:r>
          </w:p>
        </w:tc>
        <w:tc>
          <w:tcPr>
            <w:tcW w:w="1146" w:type="dxa"/>
            <w:noWrap/>
            <w:vAlign w:val="center"/>
          </w:tcPr>
          <w:p w14:paraId="180129F4"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FB3338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8CCC399"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787A4F"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2F8E53D"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17F4C61" w14:textId="308AEDF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BA1C8FC"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8A81150" w14:textId="468D651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401</w:t>
            </w:r>
          </w:p>
        </w:tc>
        <w:tc>
          <w:tcPr>
            <w:tcW w:w="1148" w:type="dxa"/>
            <w:vAlign w:val="center"/>
          </w:tcPr>
          <w:p w14:paraId="7C67D128"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35CFD8B4" w14:textId="396C3F48"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401</w:t>
            </w:r>
          </w:p>
        </w:tc>
      </w:tr>
      <w:tr w:rsidR="00610159" w:rsidRPr="00AF3EDE" w14:paraId="1A691C64" w14:textId="17EA8CAA"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40BCB6C" w14:textId="3915ED7A" w:rsidR="00610159" w:rsidRPr="003921EA" w:rsidRDefault="00610159" w:rsidP="003921EA">
            <w:pPr>
              <w:pStyle w:val="Tabletext8pt"/>
              <w:rPr>
                <w:b w:val="0"/>
                <w:bCs w:val="0"/>
                <w:sz w:val="16"/>
                <w:szCs w:val="16"/>
              </w:rPr>
            </w:pPr>
            <w:r w:rsidRPr="003921EA">
              <w:rPr>
                <w:b w:val="0"/>
                <w:bCs w:val="0"/>
              </w:rPr>
              <w:t xml:space="preserve">Uniting (Victoria </w:t>
            </w:r>
            <w:r w:rsidR="00532FFD">
              <w:rPr>
                <w:b w:val="0"/>
                <w:bCs w:val="0"/>
              </w:rPr>
              <w:t>a</w:t>
            </w:r>
            <w:r w:rsidRPr="003921EA">
              <w:rPr>
                <w:b w:val="0"/>
                <w:bCs w:val="0"/>
              </w:rPr>
              <w:t>nd Tasmania) Limited</w:t>
            </w:r>
          </w:p>
        </w:tc>
        <w:tc>
          <w:tcPr>
            <w:tcW w:w="1146" w:type="dxa"/>
            <w:noWrap/>
            <w:vAlign w:val="center"/>
          </w:tcPr>
          <w:p w14:paraId="6A559B1C"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12C5E01"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E1F4E97"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216C50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5E90A28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DB74BB0" w14:textId="383A906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BDF7F7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8291075" w14:textId="0E9A578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609</w:t>
            </w:r>
          </w:p>
        </w:tc>
        <w:tc>
          <w:tcPr>
            <w:tcW w:w="1148" w:type="dxa"/>
            <w:vAlign w:val="center"/>
          </w:tcPr>
          <w:p w14:paraId="1C231EAA"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A5C2F7C" w14:textId="521C3E2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609</w:t>
            </w:r>
          </w:p>
        </w:tc>
      </w:tr>
      <w:tr w:rsidR="00610159" w:rsidRPr="00AF3EDE" w14:paraId="53DED01C" w14:textId="7ED69836"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4D72F188" w14:textId="3A4A994B" w:rsidR="00610159" w:rsidRPr="003921EA" w:rsidRDefault="00610159" w:rsidP="003921EA">
            <w:pPr>
              <w:pStyle w:val="Tabletext8pt"/>
              <w:rPr>
                <w:b w:val="0"/>
                <w:bCs w:val="0"/>
                <w:sz w:val="16"/>
                <w:szCs w:val="16"/>
              </w:rPr>
            </w:pPr>
            <w:r w:rsidRPr="003921EA">
              <w:rPr>
                <w:b w:val="0"/>
                <w:bCs w:val="0"/>
              </w:rPr>
              <w:t>Wellways Australia Limited</w:t>
            </w:r>
          </w:p>
        </w:tc>
        <w:tc>
          <w:tcPr>
            <w:tcW w:w="1146" w:type="dxa"/>
            <w:noWrap/>
            <w:vAlign w:val="center"/>
          </w:tcPr>
          <w:p w14:paraId="61C02BE8"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461516E"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47D9CE3"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1F88596"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6298C2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2F2AB02" w14:textId="5AE7A73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97225A"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B0D9A21" w14:textId="1250054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407</w:t>
            </w:r>
          </w:p>
        </w:tc>
        <w:tc>
          <w:tcPr>
            <w:tcW w:w="1148" w:type="dxa"/>
            <w:vAlign w:val="center"/>
          </w:tcPr>
          <w:p w14:paraId="099A50CC"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001A5B49" w14:textId="22E66AD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407</w:t>
            </w:r>
          </w:p>
        </w:tc>
      </w:tr>
      <w:tr w:rsidR="00610159" w:rsidRPr="00AF3EDE" w14:paraId="1738AD77" w14:textId="76D7F54E"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25E2B723" w14:textId="53337074" w:rsidR="00610159" w:rsidRPr="003921EA" w:rsidRDefault="00610159" w:rsidP="003921EA">
            <w:pPr>
              <w:pStyle w:val="Tabletext8pt"/>
              <w:rPr>
                <w:b w:val="0"/>
                <w:bCs w:val="0"/>
                <w:sz w:val="16"/>
                <w:szCs w:val="16"/>
              </w:rPr>
            </w:pPr>
            <w:r w:rsidRPr="003921EA">
              <w:rPr>
                <w:b w:val="0"/>
                <w:bCs w:val="0"/>
              </w:rPr>
              <w:t>Total</w:t>
            </w:r>
          </w:p>
        </w:tc>
        <w:tc>
          <w:tcPr>
            <w:tcW w:w="1146" w:type="dxa"/>
            <w:noWrap/>
            <w:vAlign w:val="center"/>
          </w:tcPr>
          <w:p w14:paraId="46BDFEA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1DF0910" w14:textId="776DEC6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46B6DB9" w14:textId="4F140D1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1,550</w:t>
            </w:r>
          </w:p>
        </w:tc>
        <w:tc>
          <w:tcPr>
            <w:tcW w:w="1147" w:type="dxa"/>
            <w:noWrap/>
            <w:vAlign w:val="center"/>
          </w:tcPr>
          <w:p w14:paraId="085D33EB"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A9D8374"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7C8E51E" w14:textId="4F469F4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10A59A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51D7C5C" w14:textId="07A8FFD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7,775</w:t>
            </w:r>
          </w:p>
        </w:tc>
        <w:tc>
          <w:tcPr>
            <w:tcW w:w="1148" w:type="dxa"/>
            <w:vAlign w:val="center"/>
          </w:tcPr>
          <w:p w14:paraId="55EAA76C"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625BE44" w14:textId="796B51D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9,326</w:t>
            </w:r>
          </w:p>
        </w:tc>
      </w:tr>
    </w:tbl>
    <w:p w14:paraId="57753276" w14:textId="77777777" w:rsidR="005B699B" w:rsidRPr="001E1D24" w:rsidRDefault="005B699B" w:rsidP="0026374E">
      <w:pPr>
        <w:pStyle w:val="Bodyafterfiguretable"/>
        <w:ind w:left="-567" w:firstLine="283"/>
        <w:rPr>
          <w:color w:val="FFFFFF" w:themeColor="background1"/>
        </w:rPr>
      </w:pPr>
      <w:r w:rsidRPr="00E00C4E">
        <w:t>Other – $</w:t>
      </w:r>
      <w:r w:rsidRPr="000B4219">
        <w:t>’000s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1E1D24" w14:paraId="05EAB351" w14:textId="14A620E2" w:rsidTr="00610159">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945" w:type="dxa"/>
            <w:hideMark/>
          </w:tcPr>
          <w:p w14:paraId="785062F4" w14:textId="67C34691"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4516B171" w14:textId="4F12182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12A203AF" w14:textId="0469481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56D604F5" w14:textId="0D5BACC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6C741CEC" w14:textId="42776E3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3D868D75" w14:textId="6DCCE93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51503AEA" w14:textId="0511691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0DF0FAC1" w14:textId="1179899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70D0661F" w14:textId="7D4CA63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44482A9C" w14:textId="00926C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1F977878" w14:textId="0C5435E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AF3EDE" w14:paraId="0763B5DA" w14:textId="5F491735"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7EDEE3D" w14:textId="4971FDC5" w:rsidR="00610159" w:rsidRPr="00E47E1B" w:rsidRDefault="00610159" w:rsidP="00E47E1B">
            <w:pPr>
              <w:pStyle w:val="Tabletext8pt"/>
              <w:rPr>
                <w:b w:val="0"/>
                <w:bCs w:val="0"/>
                <w:sz w:val="16"/>
                <w:szCs w:val="16"/>
              </w:rPr>
            </w:pPr>
            <w:r w:rsidRPr="00E47E1B">
              <w:rPr>
                <w:b w:val="0"/>
                <w:bCs w:val="0"/>
              </w:rPr>
              <w:t>Orygen Limited</w:t>
            </w:r>
          </w:p>
        </w:tc>
        <w:tc>
          <w:tcPr>
            <w:tcW w:w="1146" w:type="dxa"/>
            <w:noWrap/>
            <w:vAlign w:val="center"/>
          </w:tcPr>
          <w:p w14:paraId="36BA7E69" w14:textId="263CC94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B905551" w14:textId="4B7A19C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ECDE10E" w14:textId="540E8110"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B25CFBA" w14:textId="30AC10D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49F0177" w14:textId="58E051B9"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3080579" w14:textId="35213E5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5C6EB98" w14:textId="576260C8"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0B48EAC8" w14:textId="342AEA7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205</w:t>
            </w:r>
          </w:p>
        </w:tc>
        <w:tc>
          <w:tcPr>
            <w:tcW w:w="1148" w:type="dxa"/>
            <w:vAlign w:val="center"/>
          </w:tcPr>
          <w:p w14:paraId="120C3CB9" w14:textId="6D71884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5,202</w:t>
            </w:r>
          </w:p>
        </w:tc>
        <w:tc>
          <w:tcPr>
            <w:tcW w:w="1148" w:type="dxa"/>
            <w:vAlign w:val="center"/>
          </w:tcPr>
          <w:p w14:paraId="7A825155" w14:textId="37871791"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5,407</w:t>
            </w:r>
          </w:p>
        </w:tc>
      </w:tr>
      <w:tr w:rsidR="00610159" w:rsidRPr="00AF3EDE" w14:paraId="014C83A9" w14:textId="205401AD"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74432B5" w14:textId="136D1264" w:rsidR="00610159" w:rsidRPr="00E47E1B" w:rsidRDefault="00610159" w:rsidP="00E47E1B">
            <w:pPr>
              <w:pStyle w:val="Tabletext8pt"/>
              <w:rPr>
                <w:b w:val="0"/>
                <w:bCs w:val="0"/>
                <w:sz w:val="16"/>
                <w:szCs w:val="16"/>
              </w:rPr>
            </w:pPr>
            <w:r w:rsidRPr="00E47E1B">
              <w:rPr>
                <w:b w:val="0"/>
                <w:bCs w:val="0"/>
              </w:rPr>
              <w:t>Respect Group Limited</w:t>
            </w:r>
          </w:p>
        </w:tc>
        <w:tc>
          <w:tcPr>
            <w:tcW w:w="1146" w:type="dxa"/>
            <w:noWrap/>
            <w:vAlign w:val="center"/>
          </w:tcPr>
          <w:p w14:paraId="4CE47726" w14:textId="0A4FBA95"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3BBCD76" w14:textId="2A012E0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25A97EF" w14:textId="1E93DFE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6C60DD9" w14:textId="7F48954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70DF98C" w14:textId="5A674771"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E2B6725" w14:textId="73B5FEA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220D6E1" w14:textId="472C8DF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425</w:t>
            </w:r>
          </w:p>
        </w:tc>
        <w:tc>
          <w:tcPr>
            <w:tcW w:w="1148" w:type="dxa"/>
            <w:noWrap/>
            <w:vAlign w:val="center"/>
          </w:tcPr>
          <w:p w14:paraId="10E02087" w14:textId="134F4DB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1D110BB"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C7BA954" w14:textId="6465518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425</w:t>
            </w:r>
          </w:p>
        </w:tc>
      </w:tr>
      <w:tr w:rsidR="00610159" w:rsidRPr="00AF3EDE" w14:paraId="78938808" w14:textId="52796907"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0A9814D" w14:textId="6E1751AF" w:rsidR="00610159" w:rsidRPr="00E47E1B" w:rsidRDefault="00610159" w:rsidP="00E47E1B">
            <w:pPr>
              <w:pStyle w:val="Tabletext8pt"/>
              <w:rPr>
                <w:b w:val="0"/>
                <w:bCs w:val="0"/>
                <w:sz w:val="16"/>
                <w:szCs w:val="16"/>
              </w:rPr>
            </w:pPr>
            <w:r w:rsidRPr="00E47E1B">
              <w:rPr>
                <w:b w:val="0"/>
                <w:bCs w:val="0"/>
              </w:rPr>
              <w:t>The Queen Elizabeth Centre</w:t>
            </w:r>
          </w:p>
        </w:tc>
        <w:tc>
          <w:tcPr>
            <w:tcW w:w="1146" w:type="dxa"/>
            <w:noWrap/>
            <w:vAlign w:val="center"/>
          </w:tcPr>
          <w:p w14:paraId="62B117C4" w14:textId="4D6169E0"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EE9A0EE" w14:textId="45DD145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27E9C87" w14:textId="1AA4F87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3CFA56D" w14:textId="506A575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0A0DB4" w14:textId="753D6C2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CBC9AB1" w14:textId="0FA5A97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A874C24" w14:textId="6FB17269"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3810B19" w14:textId="3E682E0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152</w:t>
            </w:r>
          </w:p>
        </w:tc>
        <w:tc>
          <w:tcPr>
            <w:tcW w:w="1148" w:type="dxa"/>
            <w:vAlign w:val="center"/>
          </w:tcPr>
          <w:p w14:paraId="16BF1F9E" w14:textId="7777777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3D2C9D5B" w14:textId="3DBBA6A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152</w:t>
            </w:r>
          </w:p>
        </w:tc>
      </w:tr>
      <w:tr w:rsidR="00610159" w:rsidRPr="00AF3EDE" w14:paraId="288F035B" w14:textId="5AC42D7C"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7F31E61E" w14:textId="1775BF3D" w:rsidR="00610159" w:rsidRPr="00E47E1B" w:rsidRDefault="00610159" w:rsidP="00E47E1B">
            <w:pPr>
              <w:pStyle w:val="Tabletext8pt"/>
              <w:rPr>
                <w:b w:val="0"/>
                <w:bCs w:val="0"/>
                <w:sz w:val="16"/>
                <w:szCs w:val="16"/>
              </w:rPr>
            </w:pPr>
            <w:r w:rsidRPr="00E47E1B">
              <w:rPr>
                <w:b w:val="0"/>
                <w:bCs w:val="0"/>
              </w:rPr>
              <w:t>Tweddle Child &amp; Family Health Service</w:t>
            </w:r>
          </w:p>
        </w:tc>
        <w:tc>
          <w:tcPr>
            <w:tcW w:w="1146" w:type="dxa"/>
            <w:noWrap/>
            <w:vAlign w:val="center"/>
          </w:tcPr>
          <w:p w14:paraId="5755BACC" w14:textId="221DE0D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EEBFD21" w14:textId="05A83C4C"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2DF0CE3" w14:textId="2898B6C4"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E5A8660" w14:textId="273EA04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1E1CADF" w14:textId="6D9C7B99"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E30971F" w14:textId="1B364A2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9222606" w14:textId="2104ED3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E19A300" w14:textId="563F8D3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156</w:t>
            </w:r>
          </w:p>
        </w:tc>
        <w:tc>
          <w:tcPr>
            <w:tcW w:w="1148" w:type="dxa"/>
            <w:vAlign w:val="center"/>
          </w:tcPr>
          <w:p w14:paraId="3311C74A"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4C17222C" w14:textId="5F1992C1"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156</w:t>
            </w:r>
          </w:p>
        </w:tc>
      </w:tr>
      <w:tr w:rsidR="00610159" w:rsidRPr="00AF3EDE" w14:paraId="6CDAB2EA" w14:textId="7A1E1911"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180710F" w14:textId="03FC2091" w:rsidR="00610159" w:rsidRPr="00E47E1B" w:rsidRDefault="00610159" w:rsidP="00E47E1B">
            <w:pPr>
              <w:pStyle w:val="Tabletext8pt"/>
              <w:rPr>
                <w:b w:val="0"/>
                <w:bCs w:val="0"/>
                <w:sz w:val="16"/>
                <w:szCs w:val="16"/>
              </w:rPr>
            </w:pPr>
            <w:r w:rsidRPr="00E47E1B">
              <w:rPr>
                <w:b w:val="0"/>
                <w:bCs w:val="0"/>
              </w:rPr>
              <w:t xml:space="preserve">Victorian Council </w:t>
            </w:r>
            <w:r w:rsidR="00532FFD">
              <w:rPr>
                <w:b w:val="0"/>
                <w:bCs w:val="0"/>
              </w:rPr>
              <w:t>o</w:t>
            </w:r>
            <w:r w:rsidRPr="00E47E1B">
              <w:rPr>
                <w:b w:val="0"/>
                <w:bCs w:val="0"/>
              </w:rPr>
              <w:t>f Social Services</w:t>
            </w:r>
          </w:p>
        </w:tc>
        <w:tc>
          <w:tcPr>
            <w:tcW w:w="1146" w:type="dxa"/>
            <w:noWrap/>
            <w:vAlign w:val="center"/>
          </w:tcPr>
          <w:p w14:paraId="09AD234E" w14:textId="7B8E8F98"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23020CE" w14:textId="5550104F"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51C7CD4" w14:textId="249A7A3C"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B6764E4" w14:textId="2B422BE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8964170" w14:textId="628BE0F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75951E2" w14:textId="4439923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8A73007" w14:textId="3802307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EA7014" w14:textId="0DAE66FB"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203</w:t>
            </w:r>
          </w:p>
        </w:tc>
        <w:tc>
          <w:tcPr>
            <w:tcW w:w="1148" w:type="dxa"/>
            <w:vAlign w:val="center"/>
          </w:tcPr>
          <w:p w14:paraId="6FB49EE7" w14:textId="7777777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7F40FC53" w14:textId="76B164F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203</w:t>
            </w:r>
          </w:p>
        </w:tc>
      </w:tr>
      <w:tr w:rsidR="00610159" w:rsidRPr="00AF3EDE" w14:paraId="031B0774" w14:textId="0E803CF5"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87B8FB5" w14:textId="683A2C5B" w:rsidR="00610159" w:rsidRPr="00E47E1B" w:rsidRDefault="00610159" w:rsidP="00E47E1B">
            <w:pPr>
              <w:pStyle w:val="Tabletext8pt"/>
              <w:rPr>
                <w:b w:val="0"/>
                <w:bCs w:val="0"/>
                <w:sz w:val="16"/>
                <w:szCs w:val="16"/>
              </w:rPr>
            </w:pPr>
            <w:r w:rsidRPr="00E47E1B">
              <w:rPr>
                <w:b w:val="0"/>
                <w:bCs w:val="0"/>
              </w:rPr>
              <w:t xml:space="preserve">Victorian Institute </w:t>
            </w:r>
            <w:r w:rsidR="00532FFD">
              <w:rPr>
                <w:b w:val="0"/>
                <w:bCs w:val="0"/>
              </w:rPr>
              <w:t>o</w:t>
            </w:r>
            <w:r w:rsidRPr="00E47E1B">
              <w:rPr>
                <w:b w:val="0"/>
                <w:bCs w:val="0"/>
              </w:rPr>
              <w:t>f Forensic Mental Health</w:t>
            </w:r>
          </w:p>
        </w:tc>
        <w:tc>
          <w:tcPr>
            <w:tcW w:w="1146" w:type="dxa"/>
            <w:noWrap/>
            <w:vAlign w:val="center"/>
          </w:tcPr>
          <w:p w14:paraId="1AAEF0A4" w14:textId="09194803"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61,893</w:t>
            </w:r>
          </w:p>
        </w:tc>
        <w:tc>
          <w:tcPr>
            <w:tcW w:w="1148" w:type="dxa"/>
            <w:noWrap/>
            <w:vAlign w:val="center"/>
          </w:tcPr>
          <w:p w14:paraId="4452860A" w14:textId="6A245B9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2,933</w:t>
            </w:r>
          </w:p>
        </w:tc>
        <w:tc>
          <w:tcPr>
            <w:tcW w:w="1147" w:type="dxa"/>
            <w:vAlign w:val="center"/>
          </w:tcPr>
          <w:p w14:paraId="4BFEEAB0" w14:textId="0FDBCC0A"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36,572</w:t>
            </w:r>
          </w:p>
        </w:tc>
        <w:tc>
          <w:tcPr>
            <w:tcW w:w="1147" w:type="dxa"/>
            <w:noWrap/>
            <w:vAlign w:val="center"/>
          </w:tcPr>
          <w:p w14:paraId="2CED0BE5" w14:textId="0D00572E"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CEE1700" w14:textId="6ECB6C22"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4F5276D" w14:textId="7E2F56F9"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BF664EC" w14:textId="3E32486C"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68ABA54" w14:textId="2326C474"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5,543</w:t>
            </w:r>
          </w:p>
        </w:tc>
        <w:tc>
          <w:tcPr>
            <w:tcW w:w="1148" w:type="dxa"/>
            <w:vAlign w:val="center"/>
          </w:tcPr>
          <w:p w14:paraId="68AF4098"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64DECE6" w14:textId="214B6C63"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106,940</w:t>
            </w:r>
          </w:p>
        </w:tc>
      </w:tr>
      <w:tr w:rsidR="00610159" w:rsidRPr="00AF3EDE" w14:paraId="03EC8A44" w14:textId="29FCD8EF"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232BEEB" w14:textId="71CCED32" w:rsidR="00610159" w:rsidRPr="00E47E1B" w:rsidRDefault="00610159" w:rsidP="00E47E1B">
            <w:pPr>
              <w:pStyle w:val="Tabletext8pt"/>
              <w:rPr>
                <w:b w:val="0"/>
                <w:bCs w:val="0"/>
                <w:sz w:val="16"/>
                <w:szCs w:val="16"/>
              </w:rPr>
            </w:pPr>
            <w:r w:rsidRPr="00E47E1B">
              <w:rPr>
                <w:b w:val="0"/>
                <w:bCs w:val="0"/>
              </w:rPr>
              <w:t>Total</w:t>
            </w:r>
          </w:p>
        </w:tc>
        <w:tc>
          <w:tcPr>
            <w:tcW w:w="1146" w:type="dxa"/>
            <w:noWrap/>
            <w:vAlign w:val="center"/>
          </w:tcPr>
          <w:p w14:paraId="0578E8FE" w14:textId="5ADC68D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61,893</w:t>
            </w:r>
          </w:p>
        </w:tc>
        <w:tc>
          <w:tcPr>
            <w:tcW w:w="1148" w:type="dxa"/>
            <w:noWrap/>
            <w:vAlign w:val="center"/>
          </w:tcPr>
          <w:p w14:paraId="0A8F1977" w14:textId="7A44256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2,933</w:t>
            </w:r>
          </w:p>
        </w:tc>
        <w:tc>
          <w:tcPr>
            <w:tcW w:w="1147" w:type="dxa"/>
            <w:vAlign w:val="center"/>
          </w:tcPr>
          <w:p w14:paraId="11E77A11" w14:textId="235CB6C4"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36,572</w:t>
            </w:r>
          </w:p>
        </w:tc>
        <w:tc>
          <w:tcPr>
            <w:tcW w:w="1147" w:type="dxa"/>
            <w:noWrap/>
            <w:vAlign w:val="center"/>
          </w:tcPr>
          <w:p w14:paraId="2ED09EC2" w14:textId="4EF7CD8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1467389E" w14:textId="36DC53E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6F3CB75" w14:textId="3D8B581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1D11AF9" w14:textId="44075E4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425</w:t>
            </w:r>
          </w:p>
        </w:tc>
        <w:tc>
          <w:tcPr>
            <w:tcW w:w="1148" w:type="dxa"/>
            <w:noWrap/>
            <w:vAlign w:val="center"/>
          </w:tcPr>
          <w:p w14:paraId="2E04A9A2" w14:textId="0AF7A41F"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6,259</w:t>
            </w:r>
          </w:p>
        </w:tc>
        <w:tc>
          <w:tcPr>
            <w:tcW w:w="1148" w:type="dxa"/>
            <w:vAlign w:val="center"/>
          </w:tcPr>
          <w:p w14:paraId="641B013E" w14:textId="595FF1D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5,202</w:t>
            </w:r>
          </w:p>
        </w:tc>
        <w:tc>
          <w:tcPr>
            <w:tcW w:w="1148" w:type="dxa"/>
            <w:vAlign w:val="center"/>
          </w:tcPr>
          <w:p w14:paraId="7B0B9F1B" w14:textId="50CD578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113,284</w:t>
            </w:r>
          </w:p>
        </w:tc>
      </w:tr>
    </w:tbl>
    <w:p w14:paraId="7EBF0001" w14:textId="77777777" w:rsidR="005B699B" w:rsidRDefault="005B699B" w:rsidP="0026374E">
      <w:pPr>
        <w:pStyle w:val="Bodyafterfiguretable"/>
        <w:keepNext/>
        <w:keepLines/>
        <w:spacing w:line="240" w:lineRule="auto"/>
        <w:ind w:hanging="284"/>
      </w:pPr>
      <w:r w:rsidRPr="00E00C4E">
        <w:t>Combined total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1E1D24" w14:paraId="09DD1E3A" w14:textId="04E7B5CF" w:rsidTr="0061015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45" w:type="dxa"/>
          </w:tcPr>
          <w:p w14:paraId="3E607D20" w14:textId="25E020D6"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noWrap/>
          </w:tcPr>
          <w:p w14:paraId="093BAF75" w14:textId="29E40CB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noWrap/>
          </w:tcPr>
          <w:p w14:paraId="51C6C7F0" w14:textId="42D840A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501B828A" w14:textId="5DA2DCE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noWrap/>
          </w:tcPr>
          <w:p w14:paraId="51F11103" w14:textId="58840AB4"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noWrap/>
          </w:tcPr>
          <w:p w14:paraId="28267D3A" w14:textId="69B5D88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noWrap/>
          </w:tcPr>
          <w:p w14:paraId="56BB31EE" w14:textId="23CBA5F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noWrap/>
          </w:tcPr>
          <w:p w14:paraId="6677562B" w14:textId="1E34D73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noWrap/>
          </w:tcPr>
          <w:p w14:paraId="0B31A03E" w14:textId="45EAC20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48367CBF" w14:textId="5A21A77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6D5C8E37" w14:textId="5822207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B24F8E" w14:paraId="3077434D" w14:textId="53AA7DCE" w:rsidTr="0061015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02DD574A" w14:textId="77777777" w:rsidR="00610159" w:rsidRPr="00832D86" w:rsidRDefault="00610159" w:rsidP="00D01BF6">
            <w:pPr>
              <w:pStyle w:val="Tabletext8pt"/>
              <w:rPr>
                <w:b w:val="0"/>
                <w:bCs w:val="0"/>
                <w:sz w:val="16"/>
                <w:szCs w:val="16"/>
                <w:highlight w:val="yellow"/>
              </w:rPr>
            </w:pPr>
            <w:r w:rsidRPr="00832D86">
              <w:rPr>
                <w:b w:val="0"/>
                <w:bCs w:val="0"/>
                <w:sz w:val="16"/>
                <w:szCs w:val="16"/>
              </w:rPr>
              <w:t>Total</w:t>
            </w:r>
          </w:p>
        </w:tc>
        <w:tc>
          <w:tcPr>
            <w:tcW w:w="1146" w:type="dxa"/>
            <w:noWrap/>
            <w:vAlign w:val="center"/>
          </w:tcPr>
          <w:p w14:paraId="0AD3C237" w14:textId="476718F6"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66,440</w:t>
            </w:r>
          </w:p>
        </w:tc>
        <w:tc>
          <w:tcPr>
            <w:tcW w:w="1148" w:type="dxa"/>
            <w:noWrap/>
            <w:vAlign w:val="center"/>
          </w:tcPr>
          <w:p w14:paraId="78CE69CC" w14:textId="6F5D33ED"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7,674</w:t>
            </w:r>
          </w:p>
        </w:tc>
        <w:tc>
          <w:tcPr>
            <w:tcW w:w="1147" w:type="dxa"/>
            <w:vAlign w:val="center"/>
          </w:tcPr>
          <w:p w14:paraId="4D0590C8" w14:textId="7AA020AA"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131,384</w:t>
            </w:r>
          </w:p>
        </w:tc>
        <w:tc>
          <w:tcPr>
            <w:tcW w:w="1147" w:type="dxa"/>
            <w:noWrap/>
            <w:vAlign w:val="center"/>
          </w:tcPr>
          <w:p w14:paraId="21BDC289" w14:textId="0E1E9CAC"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1,107,138</w:t>
            </w:r>
          </w:p>
        </w:tc>
        <w:tc>
          <w:tcPr>
            <w:tcW w:w="1148" w:type="dxa"/>
            <w:noWrap/>
            <w:vAlign w:val="center"/>
          </w:tcPr>
          <w:p w14:paraId="07DCBE64" w14:textId="4092A8D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10,573</w:t>
            </w:r>
          </w:p>
        </w:tc>
        <w:tc>
          <w:tcPr>
            <w:tcW w:w="1147" w:type="dxa"/>
            <w:noWrap/>
            <w:vAlign w:val="center"/>
          </w:tcPr>
          <w:p w14:paraId="3A80B3C8" w14:textId="7273DB9D"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2,733</w:t>
            </w:r>
          </w:p>
        </w:tc>
        <w:tc>
          <w:tcPr>
            <w:tcW w:w="1147" w:type="dxa"/>
            <w:noWrap/>
            <w:vAlign w:val="center"/>
          </w:tcPr>
          <w:p w14:paraId="767DD4FF" w14:textId="2D52FC2F"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23,384</w:t>
            </w:r>
          </w:p>
        </w:tc>
        <w:tc>
          <w:tcPr>
            <w:tcW w:w="1148" w:type="dxa"/>
            <w:noWrap/>
            <w:vAlign w:val="center"/>
          </w:tcPr>
          <w:p w14:paraId="54613691" w14:textId="43B7AFB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143,134</w:t>
            </w:r>
          </w:p>
        </w:tc>
        <w:tc>
          <w:tcPr>
            <w:tcW w:w="1148" w:type="dxa"/>
            <w:vAlign w:val="center"/>
          </w:tcPr>
          <w:p w14:paraId="4EA9311C" w14:textId="78DC7A1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149,094</w:t>
            </w:r>
          </w:p>
        </w:tc>
        <w:tc>
          <w:tcPr>
            <w:tcW w:w="1148" w:type="dxa"/>
            <w:vAlign w:val="center"/>
          </w:tcPr>
          <w:p w14:paraId="4BCDE0E1" w14:textId="5BBF40E2" w:rsidR="00610159" w:rsidRPr="00832D86" w:rsidRDefault="006B69E8"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B69E8">
              <w:t>1,641,554</w:t>
            </w:r>
          </w:p>
        </w:tc>
      </w:tr>
    </w:tbl>
    <w:p w14:paraId="3C90E12C" w14:textId="2BFDF2DF" w:rsidR="00597BE3" w:rsidRDefault="00597BE3" w:rsidP="000723BA">
      <w:pPr>
        <w:pStyle w:val="Body"/>
        <w:sectPr w:rsidR="00597BE3" w:rsidSect="00AC52D2">
          <w:headerReference w:type="default" r:id="rId79"/>
          <w:footerReference w:type="even" r:id="rId80"/>
          <w:footerReference w:type="default" r:id="rId81"/>
          <w:footerReference w:type="first" r:id="rId82"/>
          <w:pgSz w:w="16838" w:h="11906" w:orient="landscape" w:code="9"/>
          <w:pgMar w:top="1304" w:right="1418" w:bottom="1304" w:left="1134" w:header="680" w:footer="567" w:gutter="0"/>
          <w:cols w:space="340"/>
          <w:docGrid w:linePitch="360"/>
        </w:sectPr>
      </w:pPr>
    </w:p>
    <w:p w14:paraId="6AC08C32" w14:textId="5F292F62" w:rsidR="005B699B" w:rsidRPr="00494D61" w:rsidRDefault="005B699B" w:rsidP="005D7D2C">
      <w:pPr>
        <w:pStyle w:val="Heading2"/>
        <w:numPr>
          <w:ilvl w:val="1"/>
          <w:numId w:val="12"/>
        </w:numPr>
        <w:ind w:left="851" w:hanging="851"/>
      </w:pPr>
      <w:bookmarkStart w:id="2426" w:name="_Toc165961865"/>
      <w:bookmarkStart w:id="2427" w:name="_Toc201148293"/>
      <w:bookmarkStart w:id="2428" w:name="_Hlk170302379"/>
      <w:bookmarkEnd w:id="2420"/>
      <w:r w:rsidRPr="00494D61">
        <w:t xml:space="preserve">Registered Community Health Centres </w:t>
      </w:r>
      <w:r w:rsidR="00C40CE8">
        <w:br/>
      </w:r>
      <w:r w:rsidRPr="00494D61">
        <w:t xml:space="preserve">Budgets </w:t>
      </w:r>
      <w:bookmarkEnd w:id="2421"/>
      <w:bookmarkEnd w:id="2422"/>
      <w:bookmarkEnd w:id="2423"/>
      <w:bookmarkEnd w:id="2424"/>
      <w:bookmarkEnd w:id="2425"/>
      <w:r w:rsidRPr="00494D61">
        <w:t>202</w:t>
      </w:r>
      <w:r w:rsidR="000C0EF6">
        <w:t>5</w:t>
      </w:r>
      <w:r w:rsidRPr="00494D61">
        <w:t>–2</w:t>
      </w:r>
      <w:bookmarkEnd w:id="2426"/>
      <w:r w:rsidR="000C0EF6">
        <w:t>6</w:t>
      </w:r>
      <w:bookmarkEnd w:id="2427"/>
    </w:p>
    <w:bookmarkEnd w:id="2428"/>
    <w:p w14:paraId="0EBDC29B" w14:textId="77777777" w:rsidR="00541C64" w:rsidRPr="00541C64" w:rsidRDefault="00541C64" w:rsidP="00473B41">
      <w:pPr>
        <w:pStyle w:val="Tablefigurenote9pt"/>
      </w:pPr>
      <w:r>
        <w:t>Notes</w:t>
      </w:r>
    </w:p>
    <w:p w14:paraId="1A475F19" w14:textId="2606868A" w:rsidR="00541C64" w:rsidRPr="00494D61" w:rsidRDefault="7AADADFD" w:rsidP="00473B41">
      <w:pPr>
        <w:pStyle w:val="Tablebullet9pt"/>
      </w:pPr>
      <w:r>
        <w:t xml:space="preserve">This table shows the health funding to </w:t>
      </w:r>
      <w:r w:rsidR="70C6D5DC">
        <w:t>registered community health centres</w:t>
      </w:r>
      <w:r>
        <w:t xml:space="preserve"> that receive &gt; $1 million from specific health outputs.</w:t>
      </w:r>
    </w:p>
    <w:p w14:paraId="20DF7DE4" w14:textId="0FE82D88" w:rsidR="00541C64" w:rsidRPr="00A67ABC" w:rsidRDefault="00541C64" w:rsidP="00473B41">
      <w:pPr>
        <w:pStyle w:val="Tablebullet9pt"/>
        <w:rPr>
          <w:b/>
        </w:rPr>
      </w:pPr>
      <w:r w:rsidRPr="00A67ABC">
        <w:t>Subtotals and totals may not add up due to rounding.</w:t>
      </w:r>
    </w:p>
    <w:p w14:paraId="77CF4190" w14:textId="35E89101" w:rsidR="005B699B" w:rsidRDefault="00462DC7" w:rsidP="00297FC9">
      <w:pPr>
        <w:pStyle w:val="Tablecaption"/>
      </w:pPr>
      <w:bookmarkStart w:id="2429" w:name="_Toc12780564"/>
      <w:bookmarkStart w:id="2430" w:name="_Toc14194820"/>
      <w:bookmarkStart w:id="2431" w:name="_Toc33704001"/>
      <w:bookmarkStart w:id="2432" w:name="_Toc109894131"/>
      <w:bookmarkStart w:id="2433" w:name="_Toc201148591"/>
      <w:r w:rsidRPr="00494D61">
        <w:t xml:space="preserve">Table </w:t>
      </w:r>
      <w:r w:rsidR="00D72666">
        <w:t>2</w:t>
      </w:r>
      <w:r w:rsidR="000E0ED2">
        <w:t>.</w:t>
      </w:r>
      <w:r>
        <w:fldChar w:fldCharType="begin"/>
      </w:r>
      <w:r>
        <w:instrText>SEQ Table \* ARABIC \s 1</w:instrText>
      </w:r>
      <w:r>
        <w:fldChar w:fldCharType="separate"/>
      </w:r>
      <w:r w:rsidR="007D262B">
        <w:rPr>
          <w:noProof/>
        </w:rPr>
        <w:t>5</w:t>
      </w:r>
      <w:r>
        <w:fldChar w:fldCharType="end"/>
      </w:r>
      <w:r w:rsidRPr="00494D61">
        <w:t xml:space="preserve">: </w:t>
      </w:r>
      <w:r w:rsidR="005B699B" w:rsidRPr="00494D61">
        <w:t xml:space="preserve">Registered community expenditure budgets </w:t>
      </w:r>
      <w:bookmarkEnd w:id="2429"/>
      <w:bookmarkEnd w:id="2430"/>
      <w:bookmarkEnd w:id="2431"/>
      <w:bookmarkEnd w:id="2432"/>
      <w:r w:rsidR="005B699B" w:rsidRPr="00494D61">
        <w:t>202</w:t>
      </w:r>
      <w:r w:rsidR="000C0EF6">
        <w:t>5</w:t>
      </w:r>
      <w:r w:rsidR="005B699B" w:rsidRPr="00494D61">
        <w:t>–2</w:t>
      </w:r>
      <w:r w:rsidR="000C0EF6">
        <w:t>6</w:t>
      </w:r>
      <w:r w:rsidR="005B699B">
        <w:t xml:space="preserve"> – $’000s</w:t>
      </w:r>
      <w:bookmarkEnd w:id="2433"/>
      <w:r w:rsidR="00246EA5">
        <w:t xml:space="preserve"> </w:t>
      </w:r>
    </w:p>
    <w:tbl>
      <w:tblPr>
        <w:tblStyle w:val="GridTable4-Accent1"/>
        <w:tblW w:w="9724" w:type="dxa"/>
        <w:tblInd w:w="-289" w:type="dxa"/>
        <w:tblLayout w:type="fixed"/>
        <w:tblLook w:val="04A0" w:firstRow="1" w:lastRow="0" w:firstColumn="1" w:lastColumn="0" w:noHBand="0" w:noVBand="1"/>
      </w:tblPr>
      <w:tblGrid>
        <w:gridCol w:w="2268"/>
        <w:gridCol w:w="1065"/>
        <w:gridCol w:w="1065"/>
        <w:gridCol w:w="1065"/>
        <w:gridCol w:w="1065"/>
        <w:gridCol w:w="1065"/>
        <w:gridCol w:w="1065"/>
        <w:gridCol w:w="1066"/>
      </w:tblGrid>
      <w:tr w:rsidR="009D4BF1" w:rsidRPr="00AB625A" w14:paraId="5C9F72B4" w14:textId="77777777" w:rsidTr="00AB0E9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0F6975CD" w14:textId="358EDABB" w:rsidR="00597BE3" w:rsidRPr="00257223" w:rsidRDefault="00597BE3" w:rsidP="00473B41">
            <w:pPr>
              <w:pStyle w:val="Tablecolhead8pt"/>
              <w:rPr>
                <w:b/>
                <w:bCs w:val="0"/>
                <w:color w:val="FFFFFF" w:themeColor="background1"/>
              </w:rPr>
            </w:pPr>
            <w:r w:rsidRPr="00257223">
              <w:rPr>
                <w:b/>
                <w:bCs w:val="0"/>
                <w:color w:val="FFFFFF" w:themeColor="background1"/>
              </w:rPr>
              <w:t xml:space="preserve">Health </w:t>
            </w:r>
            <w:r w:rsidR="00A937BD" w:rsidRPr="00257223">
              <w:rPr>
                <w:b/>
                <w:bCs w:val="0"/>
                <w:color w:val="FFFFFF" w:themeColor="background1"/>
              </w:rPr>
              <w:t>service</w:t>
            </w:r>
          </w:p>
        </w:tc>
        <w:tc>
          <w:tcPr>
            <w:tcW w:w="1065" w:type="dxa"/>
            <w:hideMark/>
          </w:tcPr>
          <w:p w14:paraId="5BD8FBEF" w14:textId="351EA042"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26</w:t>
            </w:r>
            <w:r w:rsidR="00597BE3" w:rsidRPr="00257223">
              <w:rPr>
                <w:b/>
                <w:bCs w:val="0"/>
                <w:color w:val="FFFFFF" w:themeColor="background1"/>
              </w:rPr>
              <w:br/>
              <w:t>Acute health services</w:t>
            </w:r>
          </w:p>
        </w:tc>
        <w:tc>
          <w:tcPr>
            <w:tcW w:w="1065" w:type="dxa"/>
            <w:hideMark/>
          </w:tcPr>
          <w:p w14:paraId="2E45DE16" w14:textId="002D54B1"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26</w:t>
            </w:r>
            <w:r w:rsidR="00597BE3" w:rsidRPr="00257223">
              <w:rPr>
                <w:b/>
                <w:bCs w:val="0"/>
                <w:color w:val="FFFFFF" w:themeColor="background1"/>
              </w:rPr>
              <w:br/>
              <w:t>Ageing, aged and home care</w:t>
            </w:r>
          </w:p>
        </w:tc>
        <w:tc>
          <w:tcPr>
            <w:tcW w:w="1065" w:type="dxa"/>
            <w:hideMark/>
          </w:tcPr>
          <w:p w14:paraId="4965B8CD" w14:textId="6616C8DD"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Drugs services</w:t>
            </w:r>
          </w:p>
        </w:tc>
        <w:tc>
          <w:tcPr>
            <w:tcW w:w="1065" w:type="dxa"/>
            <w:hideMark/>
          </w:tcPr>
          <w:p w14:paraId="5E6F5CE6" w14:textId="1324B9D4"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Mental health</w:t>
            </w:r>
          </w:p>
        </w:tc>
        <w:tc>
          <w:tcPr>
            <w:tcW w:w="1065" w:type="dxa"/>
            <w:hideMark/>
          </w:tcPr>
          <w:p w14:paraId="714BC7E2" w14:textId="02F9BF54"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Primary and dental health</w:t>
            </w:r>
          </w:p>
        </w:tc>
        <w:tc>
          <w:tcPr>
            <w:tcW w:w="1065" w:type="dxa"/>
            <w:hideMark/>
          </w:tcPr>
          <w:p w14:paraId="03400B43" w14:textId="422DADAA"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Public health</w:t>
            </w:r>
          </w:p>
        </w:tc>
        <w:tc>
          <w:tcPr>
            <w:tcW w:w="1066" w:type="dxa"/>
            <w:hideMark/>
          </w:tcPr>
          <w:p w14:paraId="4AFCBB04" w14:textId="6D6C3CC8"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Total</w:t>
            </w:r>
          </w:p>
        </w:tc>
      </w:tr>
      <w:tr w:rsidR="009D4BF1" w:rsidRPr="00AB625A" w14:paraId="11976BB5"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C004399" w14:textId="77A75344"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Access Health And Community Limited</w:t>
            </w:r>
          </w:p>
        </w:tc>
        <w:tc>
          <w:tcPr>
            <w:tcW w:w="1065" w:type="dxa"/>
            <w:noWrap/>
            <w:vAlign w:val="center"/>
          </w:tcPr>
          <w:p w14:paraId="612E271C" w14:textId="741751F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429F57FB" w14:textId="6932413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1,424</w:t>
            </w:r>
          </w:p>
        </w:tc>
        <w:tc>
          <w:tcPr>
            <w:tcW w:w="1065" w:type="dxa"/>
            <w:noWrap/>
            <w:vAlign w:val="center"/>
          </w:tcPr>
          <w:p w14:paraId="75FF06DB" w14:textId="3790167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53B6F51F" w14:textId="27C47A2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CE67FF4" w14:textId="47FC382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6,711</w:t>
            </w:r>
          </w:p>
        </w:tc>
        <w:tc>
          <w:tcPr>
            <w:tcW w:w="1065" w:type="dxa"/>
            <w:noWrap/>
            <w:vAlign w:val="center"/>
          </w:tcPr>
          <w:p w14:paraId="21C77761" w14:textId="70165FF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7C3B7F81" w14:textId="3202852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8,135</w:t>
            </w:r>
          </w:p>
        </w:tc>
      </w:tr>
      <w:tr w:rsidR="001E337B" w:rsidRPr="00AB625A" w14:paraId="3195BCC4"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90BAB55" w14:textId="1C6D824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Ballarat Community Health</w:t>
            </w:r>
          </w:p>
        </w:tc>
        <w:tc>
          <w:tcPr>
            <w:tcW w:w="1065" w:type="dxa"/>
            <w:noWrap/>
            <w:vAlign w:val="center"/>
          </w:tcPr>
          <w:p w14:paraId="4FB8DF01" w14:textId="302C8623"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80</w:t>
            </w:r>
          </w:p>
        </w:tc>
        <w:tc>
          <w:tcPr>
            <w:tcW w:w="1065" w:type="dxa"/>
            <w:noWrap/>
            <w:vAlign w:val="center"/>
          </w:tcPr>
          <w:p w14:paraId="024FFE69" w14:textId="3722AF1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497</w:t>
            </w:r>
          </w:p>
        </w:tc>
        <w:tc>
          <w:tcPr>
            <w:tcW w:w="1065" w:type="dxa"/>
            <w:noWrap/>
            <w:vAlign w:val="center"/>
          </w:tcPr>
          <w:p w14:paraId="51DFBBD7" w14:textId="48A44FB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3,779</w:t>
            </w:r>
          </w:p>
        </w:tc>
        <w:tc>
          <w:tcPr>
            <w:tcW w:w="1065" w:type="dxa"/>
            <w:noWrap/>
            <w:vAlign w:val="center"/>
          </w:tcPr>
          <w:p w14:paraId="0F35FBB5" w14:textId="6293D09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1,094</w:t>
            </w:r>
          </w:p>
        </w:tc>
        <w:tc>
          <w:tcPr>
            <w:tcW w:w="1065" w:type="dxa"/>
            <w:noWrap/>
            <w:vAlign w:val="center"/>
          </w:tcPr>
          <w:p w14:paraId="2505F5A5" w14:textId="5BB5FCE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4,262</w:t>
            </w:r>
          </w:p>
        </w:tc>
        <w:tc>
          <w:tcPr>
            <w:tcW w:w="1065" w:type="dxa"/>
            <w:noWrap/>
            <w:vAlign w:val="center"/>
          </w:tcPr>
          <w:p w14:paraId="70AD78D4" w14:textId="6FB4382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165</w:t>
            </w:r>
          </w:p>
        </w:tc>
        <w:tc>
          <w:tcPr>
            <w:tcW w:w="1066" w:type="dxa"/>
            <w:noWrap/>
            <w:vAlign w:val="center"/>
          </w:tcPr>
          <w:p w14:paraId="4A015E91" w14:textId="6FDA40B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9,876</w:t>
            </w:r>
          </w:p>
        </w:tc>
      </w:tr>
      <w:tr w:rsidR="009D4BF1" w:rsidRPr="00AB625A" w14:paraId="4879AD18"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87767BE" w14:textId="59E8BC1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Bellarine Community Health Ltd</w:t>
            </w:r>
          </w:p>
        </w:tc>
        <w:tc>
          <w:tcPr>
            <w:tcW w:w="1065" w:type="dxa"/>
            <w:noWrap/>
            <w:vAlign w:val="center"/>
          </w:tcPr>
          <w:p w14:paraId="77D3DB3B" w14:textId="5083C6C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655</w:t>
            </w:r>
          </w:p>
        </w:tc>
        <w:tc>
          <w:tcPr>
            <w:tcW w:w="1065" w:type="dxa"/>
            <w:noWrap/>
            <w:vAlign w:val="center"/>
          </w:tcPr>
          <w:p w14:paraId="158E6644" w14:textId="6A6D514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603</w:t>
            </w:r>
          </w:p>
        </w:tc>
        <w:tc>
          <w:tcPr>
            <w:tcW w:w="1065" w:type="dxa"/>
            <w:noWrap/>
            <w:vAlign w:val="center"/>
          </w:tcPr>
          <w:p w14:paraId="12F5EDB0" w14:textId="1F84C3E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7FAC2824" w14:textId="1C5261F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0A8CD78E" w14:textId="7ED4D9B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3,073</w:t>
            </w:r>
          </w:p>
        </w:tc>
        <w:tc>
          <w:tcPr>
            <w:tcW w:w="1065" w:type="dxa"/>
            <w:noWrap/>
            <w:vAlign w:val="center"/>
          </w:tcPr>
          <w:p w14:paraId="58361A68" w14:textId="61993B1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2E9FEDFC" w14:textId="46B19DD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4,332</w:t>
            </w:r>
          </w:p>
        </w:tc>
      </w:tr>
      <w:tr w:rsidR="001E337B" w:rsidRPr="00AB625A" w14:paraId="1DF5E039"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EF255AB" w14:textId="7763F7A9"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Bendigo Community Health Services Limited</w:t>
            </w:r>
          </w:p>
        </w:tc>
        <w:tc>
          <w:tcPr>
            <w:tcW w:w="1065" w:type="dxa"/>
            <w:noWrap/>
            <w:vAlign w:val="center"/>
          </w:tcPr>
          <w:p w14:paraId="31CD8D2A" w14:textId="1D45DC1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5AD4A77" w14:textId="5120FF5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218</w:t>
            </w:r>
          </w:p>
        </w:tc>
        <w:tc>
          <w:tcPr>
            <w:tcW w:w="1065" w:type="dxa"/>
            <w:noWrap/>
            <w:vAlign w:val="center"/>
          </w:tcPr>
          <w:p w14:paraId="540E98A3" w14:textId="79EF6FB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5,618</w:t>
            </w:r>
          </w:p>
        </w:tc>
        <w:tc>
          <w:tcPr>
            <w:tcW w:w="1065" w:type="dxa"/>
            <w:noWrap/>
            <w:vAlign w:val="center"/>
          </w:tcPr>
          <w:p w14:paraId="4F028426" w14:textId="719D762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155</w:t>
            </w:r>
          </w:p>
        </w:tc>
        <w:tc>
          <w:tcPr>
            <w:tcW w:w="1065" w:type="dxa"/>
            <w:noWrap/>
            <w:vAlign w:val="center"/>
          </w:tcPr>
          <w:p w14:paraId="2E9484F7" w14:textId="40CB8D4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7,415</w:t>
            </w:r>
          </w:p>
        </w:tc>
        <w:tc>
          <w:tcPr>
            <w:tcW w:w="1065" w:type="dxa"/>
            <w:noWrap/>
            <w:vAlign w:val="center"/>
          </w:tcPr>
          <w:p w14:paraId="12BDC56F" w14:textId="5BF7395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238</w:t>
            </w:r>
          </w:p>
        </w:tc>
        <w:tc>
          <w:tcPr>
            <w:tcW w:w="1066" w:type="dxa"/>
            <w:noWrap/>
            <w:vAlign w:val="center"/>
          </w:tcPr>
          <w:p w14:paraId="154BF4AA" w14:textId="36600EC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13,645</w:t>
            </w:r>
          </w:p>
        </w:tc>
      </w:tr>
      <w:tr w:rsidR="009D4BF1" w:rsidRPr="00AB625A" w14:paraId="08C1B537"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A7A29A" w14:textId="3DCC89B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Bhn Better Health Network Ltd</w:t>
            </w:r>
          </w:p>
        </w:tc>
        <w:tc>
          <w:tcPr>
            <w:tcW w:w="1065" w:type="dxa"/>
            <w:noWrap/>
            <w:vAlign w:val="center"/>
          </w:tcPr>
          <w:p w14:paraId="4615DB1E" w14:textId="6ACCF5F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2,182</w:t>
            </w:r>
          </w:p>
        </w:tc>
        <w:tc>
          <w:tcPr>
            <w:tcW w:w="1065" w:type="dxa"/>
            <w:noWrap/>
            <w:vAlign w:val="center"/>
          </w:tcPr>
          <w:p w14:paraId="4F83DA66" w14:textId="5406056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3,609</w:t>
            </w:r>
          </w:p>
        </w:tc>
        <w:tc>
          <w:tcPr>
            <w:tcW w:w="1065" w:type="dxa"/>
            <w:noWrap/>
            <w:vAlign w:val="center"/>
          </w:tcPr>
          <w:p w14:paraId="105E665B" w14:textId="060A7BF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3,782</w:t>
            </w:r>
          </w:p>
        </w:tc>
        <w:tc>
          <w:tcPr>
            <w:tcW w:w="1065" w:type="dxa"/>
            <w:noWrap/>
            <w:vAlign w:val="center"/>
          </w:tcPr>
          <w:p w14:paraId="108968BC" w14:textId="5B427F0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3,234</w:t>
            </w:r>
          </w:p>
        </w:tc>
        <w:tc>
          <w:tcPr>
            <w:tcW w:w="1065" w:type="dxa"/>
            <w:noWrap/>
            <w:vAlign w:val="center"/>
          </w:tcPr>
          <w:p w14:paraId="0283A634" w14:textId="210F461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11,504</w:t>
            </w:r>
          </w:p>
        </w:tc>
        <w:tc>
          <w:tcPr>
            <w:tcW w:w="1065" w:type="dxa"/>
            <w:noWrap/>
            <w:vAlign w:val="center"/>
          </w:tcPr>
          <w:p w14:paraId="0F8BCB52" w14:textId="6201D74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904</w:t>
            </w:r>
          </w:p>
        </w:tc>
        <w:tc>
          <w:tcPr>
            <w:tcW w:w="1066" w:type="dxa"/>
            <w:noWrap/>
            <w:vAlign w:val="center"/>
          </w:tcPr>
          <w:p w14:paraId="0103C5A3" w14:textId="7BAD55B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25,215</w:t>
            </w:r>
          </w:p>
        </w:tc>
      </w:tr>
      <w:tr w:rsidR="001E337B" w:rsidRPr="00AB625A" w14:paraId="78B19856" w14:textId="77777777" w:rsidTr="00AB0E92">
        <w:trPr>
          <w:trHeight w:val="351"/>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A51BEE6" w14:textId="2622024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Cohealth Limited</w:t>
            </w:r>
          </w:p>
        </w:tc>
        <w:tc>
          <w:tcPr>
            <w:tcW w:w="1065" w:type="dxa"/>
            <w:noWrap/>
            <w:vAlign w:val="center"/>
          </w:tcPr>
          <w:p w14:paraId="7D153A35" w14:textId="46ECCA8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266F1BD" w14:textId="01BD464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6,492</w:t>
            </w:r>
          </w:p>
        </w:tc>
        <w:tc>
          <w:tcPr>
            <w:tcW w:w="1065" w:type="dxa"/>
            <w:noWrap/>
            <w:vAlign w:val="center"/>
          </w:tcPr>
          <w:p w14:paraId="32549FE0" w14:textId="553E541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20,112</w:t>
            </w:r>
          </w:p>
        </w:tc>
        <w:tc>
          <w:tcPr>
            <w:tcW w:w="1065" w:type="dxa"/>
            <w:noWrap/>
            <w:vAlign w:val="center"/>
          </w:tcPr>
          <w:p w14:paraId="73862166" w14:textId="532C833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16,434</w:t>
            </w:r>
          </w:p>
        </w:tc>
        <w:tc>
          <w:tcPr>
            <w:tcW w:w="1065" w:type="dxa"/>
            <w:noWrap/>
            <w:vAlign w:val="center"/>
          </w:tcPr>
          <w:p w14:paraId="7BBC3BC4" w14:textId="6DB3DBA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14,384</w:t>
            </w:r>
          </w:p>
        </w:tc>
        <w:tc>
          <w:tcPr>
            <w:tcW w:w="1065" w:type="dxa"/>
            <w:noWrap/>
            <w:vAlign w:val="center"/>
          </w:tcPr>
          <w:p w14:paraId="7F4DB5D3" w14:textId="27FE98B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219</w:t>
            </w:r>
          </w:p>
        </w:tc>
        <w:tc>
          <w:tcPr>
            <w:tcW w:w="1066" w:type="dxa"/>
            <w:noWrap/>
            <w:vAlign w:val="center"/>
          </w:tcPr>
          <w:p w14:paraId="634567F2" w14:textId="6D3598D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57,641</w:t>
            </w:r>
          </w:p>
        </w:tc>
      </w:tr>
      <w:tr w:rsidR="009D4BF1" w:rsidRPr="00AB625A" w14:paraId="28C12FA6" w14:textId="77777777" w:rsidTr="00AB0E9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02E0AE2" w14:textId="69A3B28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Dpv Health</w:t>
            </w:r>
          </w:p>
        </w:tc>
        <w:tc>
          <w:tcPr>
            <w:tcW w:w="1065" w:type="dxa"/>
            <w:noWrap/>
            <w:vAlign w:val="center"/>
          </w:tcPr>
          <w:p w14:paraId="116472D2" w14:textId="4805AAF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33</w:t>
            </w:r>
          </w:p>
        </w:tc>
        <w:tc>
          <w:tcPr>
            <w:tcW w:w="1065" w:type="dxa"/>
            <w:noWrap/>
            <w:vAlign w:val="center"/>
          </w:tcPr>
          <w:p w14:paraId="55959949" w14:textId="1C7D3E4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1,710</w:t>
            </w:r>
          </w:p>
        </w:tc>
        <w:tc>
          <w:tcPr>
            <w:tcW w:w="1065" w:type="dxa"/>
            <w:noWrap/>
            <w:vAlign w:val="center"/>
          </w:tcPr>
          <w:p w14:paraId="67266BCB" w14:textId="0BCAA3C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176</w:t>
            </w:r>
          </w:p>
        </w:tc>
        <w:tc>
          <w:tcPr>
            <w:tcW w:w="1065" w:type="dxa"/>
            <w:noWrap/>
            <w:vAlign w:val="center"/>
          </w:tcPr>
          <w:p w14:paraId="480248A0" w14:textId="77FAB4E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w:t>
            </w:r>
          </w:p>
        </w:tc>
        <w:tc>
          <w:tcPr>
            <w:tcW w:w="1065" w:type="dxa"/>
            <w:noWrap/>
            <w:vAlign w:val="center"/>
          </w:tcPr>
          <w:p w14:paraId="1AA901F6" w14:textId="67FBF6E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12,435</w:t>
            </w:r>
          </w:p>
        </w:tc>
        <w:tc>
          <w:tcPr>
            <w:tcW w:w="1065" w:type="dxa"/>
            <w:noWrap/>
            <w:vAlign w:val="center"/>
          </w:tcPr>
          <w:p w14:paraId="60BCFA0E" w14:textId="16098FD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4CD1D40F" w14:textId="483C2A9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14,356</w:t>
            </w:r>
          </w:p>
        </w:tc>
      </w:tr>
      <w:tr w:rsidR="001E337B" w:rsidRPr="00AB625A" w14:paraId="42D64249"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64DB1DF" w14:textId="1EB9D86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Eastern Access Community Health Inc</w:t>
            </w:r>
          </w:p>
        </w:tc>
        <w:tc>
          <w:tcPr>
            <w:tcW w:w="1065" w:type="dxa"/>
            <w:noWrap/>
            <w:vAlign w:val="center"/>
          </w:tcPr>
          <w:p w14:paraId="3DAD8530" w14:textId="7291A54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44DB5FB9" w14:textId="5AB09DE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1,134</w:t>
            </w:r>
          </w:p>
        </w:tc>
        <w:tc>
          <w:tcPr>
            <w:tcW w:w="1065" w:type="dxa"/>
            <w:noWrap/>
            <w:vAlign w:val="center"/>
          </w:tcPr>
          <w:p w14:paraId="2EF41B84" w14:textId="44A735C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10,159</w:t>
            </w:r>
          </w:p>
        </w:tc>
        <w:tc>
          <w:tcPr>
            <w:tcW w:w="1065" w:type="dxa"/>
            <w:noWrap/>
            <w:vAlign w:val="center"/>
          </w:tcPr>
          <w:p w14:paraId="65D07297" w14:textId="5DC72BB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6,775</w:t>
            </w:r>
          </w:p>
        </w:tc>
        <w:tc>
          <w:tcPr>
            <w:tcW w:w="1065" w:type="dxa"/>
            <w:noWrap/>
            <w:vAlign w:val="center"/>
          </w:tcPr>
          <w:p w14:paraId="08C8EA51" w14:textId="3CE4370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7,970</w:t>
            </w:r>
          </w:p>
        </w:tc>
        <w:tc>
          <w:tcPr>
            <w:tcW w:w="1065" w:type="dxa"/>
            <w:noWrap/>
            <w:vAlign w:val="center"/>
          </w:tcPr>
          <w:p w14:paraId="1ED1E8A4" w14:textId="69C9DBC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75D68C6E" w14:textId="1A20394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26,039</w:t>
            </w:r>
          </w:p>
        </w:tc>
      </w:tr>
      <w:tr w:rsidR="009D4BF1" w:rsidRPr="00AB625A" w14:paraId="0D624C5E"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0B9BAC5" w14:textId="3D030E9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Gateway Health Limited</w:t>
            </w:r>
          </w:p>
        </w:tc>
        <w:tc>
          <w:tcPr>
            <w:tcW w:w="1065" w:type="dxa"/>
            <w:noWrap/>
            <w:vAlign w:val="center"/>
          </w:tcPr>
          <w:p w14:paraId="603EDFA5" w14:textId="3881512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6716B31A" w14:textId="3952B05C"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551</w:t>
            </w:r>
          </w:p>
        </w:tc>
        <w:tc>
          <w:tcPr>
            <w:tcW w:w="1065" w:type="dxa"/>
            <w:noWrap/>
            <w:vAlign w:val="center"/>
          </w:tcPr>
          <w:p w14:paraId="6CE1D771" w14:textId="3444918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5,609</w:t>
            </w:r>
          </w:p>
        </w:tc>
        <w:tc>
          <w:tcPr>
            <w:tcW w:w="1065" w:type="dxa"/>
            <w:noWrap/>
            <w:vAlign w:val="center"/>
          </w:tcPr>
          <w:p w14:paraId="2F12F294" w14:textId="459025FC"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690</w:t>
            </w:r>
          </w:p>
        </w:tc>
        <w:tc>
          <w:tcPr>
            <w:tcW w:w="1065" w:type="dxa"/>
            <w:noWrap/>
            <w:vAlign w:val="center"/>
          </w:tcPr>
          <w:p w14:paraId="04F0DA3B" w14:textId="460E1FF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3,493</w:t>
            </w:r>
          </w:p>
        </w:tc>
        <w:tc>
          <w:tcPr>
            <w:tcW w:w="1065" w:type="dxa"/>
            <w:noWrap/>
            <w:vAlign w:val="center"/>
          </w:tcPr>
          <w:p w14:paraId="26F0C155" w14:textId="26EE3F3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107</w:t>
            </w:r>
          </w:p>
        </w:tc>
        <w:tc>
          <w:tcPr>
            <w:tcW w:w="1066" w:type="dxa"/>
            <w:noWrap/>
            <w:vAlign w:val="center"/>
          </w:tcPr>
          <w:p w14:paraId="7D35A0AF" w14:textId="1CFD23E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10,451</w:t>
            </w:r>
          </w:p>
        </w:tc>
      </w:tr>
      <w:tr w:rsidR="001E337B" w:rsidRPr="00AB625A" w14:paraId="098F59C0"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F18701E" w14:textId="551D963C"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Gippsland Lakes Complete Health Limited</w:t>
            </w:r>
          </w:p>
        </w:tc>
        <w:tc>
          <w:tcPr>
            <w:tcW w:w="1065" w:type="dxa"/>
            <w:noWrap/>
            <w:vAlign w:val="center"/>
          </w:tcPr>
          <w:p w14:paraId="3791EAB1" w14:textId="6B1965A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577</w:t>
            </w:r>
          </w:p>
        </w:tc>
        <w:tc>
          <w:tcPr>
            <w:tcW w:w="1065" w:type="dxa"/>
            <w:noWrap/>
            <w:vAlign w:val="center"/>
          </w:tcPr>
          <w:p w14:paraId="73E56030" w14:textId="485E443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570</w:t>
            </w:r>
          </w:p>
        </w:tc>
        <w:tc>
          <w:tcPr>
            <w:tcW w:w="1065" w:type="dxa"/>
            <w:noWrap/>
            <w:vAlign w:val="center"/>
          </w:tcPr>
          <w:p w14:paraId="41A8141D" w14:textId="636BA57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443</w:t>
            </w:r>
          </w:p>
        </w:tc>
        <w:tc>
          <w:tcPr>
            <w:tcW w:w="1065" w:type="dxa"/>
            <w:noWrap/>
            <w:vAlign w:val="center"/>
          </w:tcPr>
          <w:p w14:paraId="68186DFB" w14:textId="33B74B2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923</w:t>
            </w:r>
          </w:p>
        </w:tc>
        <w:tc>
          <w:tcPr>
            <w:tcW w:w="1065" w:type="dxa"/>
            <w:noWrap/>
            <w:vAlign w:val="center"/>
          </w:tcPr>
          <w:p w14:paraId="0C402109" w14:textId="19CBD6B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5,834</w:t>
            </w:r>
          </w:p>
        </w:tc>
        <w:tc>
          <w:tcPr>
            <w:tcW w:w="1065" w:type="dxa"/>
            <w:noWrap/>
            <w:vAlign w:val="center"/>
          </w:tcPr>
          <w:p w14:paraId="13400A7F" w14:textId="3BF9DEE3"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136</w:t>
            </w:r>
          </w:p>
        </w:tc>
        <w:tc>
          <w:tcPr>
            <w:tcW w:w="1066" w:type="dxa"/>
            <w:noWrap/>
            <w:vAlign w:val="center"/>
          </w:tcPr>
          <w:p w14:paraId="1ADF74C5" w14:textId="7BE8763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8,482</w:t>
            </w:r>
          </w:p>
        </w:tc>
      </w:tr>
      <w:tr w:rsidR="009D4BF1" w:rsidRPr="00AB625A" w14:paraId="094F2622"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B72C65B" w14:textId="098E40D3"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Grampians Community Health</w:t>
            </w:r>
          </w:p>
        </w:tc>
        <w:tc>
          <w:tcPr>
            <w:tcW w:w="1065" w:type="dxa"/>
            <w:noWrap/>
            <w:vAlign w:val="center"/>
          </w:tcPr>
          <w:p w14:paraId="5D308652" w14:textId="7FDA511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99DDBE5" w14:textId="31599AB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590</w:t>
            </w:r>
          </w:p>
        </w:tc>
        <w:tc>
          <w:tcPr>
            <w:tcW w:w="1065" w:type="dxa"/>
            <w:noWrap/>
            <w:vAlign w:val="center"/>
          </w:tcPr>
          <w:p w14:paraId="2809AD72" w14:textId="55925EC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407</w:t>
            </w:r>
          </w:p>
        </w:tc>
        <w:tc>
          <w:tcPr>
            <w:tcW w:w="1065" w:type="dxa"/>
            <w:noWrap/>
            <w:vAlign w:val="center"/>
          </w:tcPr>
          <w:p w14:paraId="164FAC4F" w14:textId="6B4B373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102</w:t>
            </w:r>
          </w:p>
        </w:tc>
        <w:tc>
          <w:tcPr>
            <w:tcW w:w="1065" w:type="dxa"/>
            <w:noWrap/>
            <w:vAlign w:val="center"/>
          </w:tcPr>
          <w:p w14:paraId="09920787" w14:textId="3F91E59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1,171</w:t>
            </w:r>
          </w:p>
        </w:tc>
        <w:tc>
          <w:tcPr>
            <w:tcW w:w="1065" w:type="dxa"/>
            <w:noWrap/>
            <w:vAlign w:val="center"/>
          </w:tcPr>
          <w:p w14:paraId="42377BB1" w14:textId="59F759C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6591113C" w14:textId="5B20A2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2,270</w:t>
            </w:r>
          </w:p>
        </w:tc>
      </w:tr>
      <w:tr w:rsidR="001E337B" w:rsidRPr="00AB625A" w14:paraId="2350CB2B"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C769914" w14:textId="340AD91F"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Ipc Health</w:t>
            </w:r>
          </w:p>
        </w:tc>
        <w:tc>
          <w:tcPr>
            <w:tcW w:w="1065" w:type="dxa"/>
            <w:noWrap/>
            <w:vAlign w:val="center"/>
          </w:tcPr>
          <w:p w14:paraId="2CDB6CFB" w14:textId="0563A31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78F0B56B" w14:textId="1F38577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3,481</w:t>
            </w:r>
          </w:p>
        </w:tc>
        <w:tc>
          <w:tcPr>
            <w:tcW w:w="1065" w:type="dxa"/>
            <w:noWrap/>
            <w:vAlign w:val="center"/>
          </w:tcPr>
          <w:p w14:paraId="456CBAB7" w14:textId="2F76CBA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7743C73C" w14:textId="4F80954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1,585</w:t>
            </w:r>
          </w:p>
        </w:tc>
        <w:tc>
          <w:tcPr>
            <w:tcW w:w="1065" w:type="dxa"/>
            <w:noWrap/>
            <w:vAlign w:val="center"/>
          </w:tcPr>
          <w:p w14:paraId="7E3F30F2" w14:textId="12EC645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14,007</w:t>
            </w:r>
          </w:p>
        </w:tc>
        <w:tc>
          <w:tcPr>
            <w:tcW w:w="1065" w:type="dxa"/>
            <w:noWrap/>
            <w:vAlign w:val="center"/>
          </w:tcPr>
          <w:p w14:paraId="5945A056" w14:textId="3F762C3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5F24D6C9" w14:textId="11D3493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19,074</w:t>
            </w:r>
          </w:p>
        </w:tc>
      </w:tr>
      <w:tr w:rsidR="009D4BF1" w:rsidRPr="00AB625A" w14:paraId="4B3BB2EF"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D8EE48B" w14:textId="1FEAABDE"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Latrobe Community Health Service Limited</w:t>
            </w:r>
          </w:p>
        </w:tc>
        <w:tc>
          <w:tcPr>
            <w:tcW w:w="1065" w:type="dxa"/>
            <w:noWrap/>
            <w:vAlign w:val="center"/>
          </w:tcPr>
          <w:p w14:paraId="1DE2A3FB" w14:textId="08D025D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1,304</w:t>
            </w:r>
          </w:p>
        </w:tc>
        <w:tc>
          <w:tcPr>
            <w:tcW w:w="1065" w:type="dxa"/>
            <w:noWrap/>
            <w:vAlign w:val="center"/>
          </w:tcPr>
          <w:p w14:paraId="1AB994D9" w14:textId="34475EF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3,467</w:t>
            </w:r>
          </w:p>
        </w:tc>
        <w:tc>
          <w:tcPr>
            <w:tcW w:w="1065" w:type="dxa"/>
            <w:noWrap/>
            <w:vAlign w:val="center"/>
          </w:tcPr>
          <w:p w14:paraId="5C90194E" w14:textId="3112679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7,049</w:t>
            </w:r>
          </w:p>
        </w:tc>
        <w:tc>
          <w:tcPr>
            <w:tcW w:w="1065" w:type="dxa"/>
            <w:noWrap/>
            <w:vAlign w:val="center"/>
          </w:tcPr>
          <w:p w14:paraId="1F27A253" w14:textId="2A1C16F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2,536</w:t>
            </w:r>
          </w:p>
        </w:tc>
        <w:tc>
          <w:tcPr>
            <w:tcW w:w="1065" w:type="dxa"/>
            <w:noWrap/>
            <w:vAlign w:val="center"/>
          </w:tcPr>
          <w:p w14:paraId="4E8B0D96" w14:textId="12A9F4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11,939</w:t>
            </w:r>
          </w:p>
        </w:tc>
        <w:tc>
          <w:tcPr>
            <w:tcW w:w="1065" w:type="dxa"/>
            <w:noWrap/>
            <w:vAlign w:val="center"/>
          </w:tcPr>
          <w:p w14:paraId="47951F9D" w14:textId="4AA4CD1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3EEAA7FF" w14:textId="1D08174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26,295</w:t>
            </w:r>
          </w:p>
        </w:tc>
      </w:tr>
      <w:tr w:rsidR="001E337B" w:rsidRPr="00AB625A" w14:paraId="3D76410D"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C4C57BC" w14:textId="722557F5"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Merri Outreach Support Service Ltd</w:t>
            </w:r>
          </w:p>
        </w:tc>
        <w:tc>
          <w:tcPr>
            <w:tcW w:w="1065" w:type="dxa"/>
            <w:noWrap/>
            <w:vAlign w:val="center"/>
          </w:tcPr>
          <w:p w14:paraId="27CEAA21" w14:textId="51FA834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E617DDE" w14:textId="1DAC3FE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2,163</w:t>
            </w:r>
          </w:p>
        </w:tc>
        <w:tc>
          <w:tcPr>
            <w:tcW w:w="1065" w:type="dxa"/>
            <w:noWrap/>
            <w:vAlign w:val="center"/>
          </w:tcPr>
          <w:p w14:paraId="3D268B3C" w14:textId="4B68093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0AB8519F" w14:textId="741D2C8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2,562</w:t>
            </w:r>
          </w:p>
        </w:tc>
        <w:tc>
          <w:tcPr>
            <w:tcW w:w="1065" w:type="dxa"/>
            <w:noWrap/>
            <w:vAlign w:val="center"/>
          </w:tcPr>
          <w:p w14:paraId="5C1FE58D" w14:textId="1E432C0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8,281</w:t>
            </w:r>
          </w:p>
        </w:tc>
        <w:tc>
          <w:tcPr>
            <w:tcW w:w="1065" w:type="dxa"/>
            <w:noWrap/>
            <w:vAlign w:val="center"/>
          </w:tcPr>
          <w:p w14:paraId="4EB6332E" w14:textId="57F43AC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3ED64733" w14:textId="11FD373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13,006</w:t>
            </w:r>
          </w:p>
        </w:tc>
      </w:tr>
      <w:tr w:rsidR="009D4BF1" w:rsidRPr="00AB625A" w14:paraId="71D8AEFB"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AA5B2C" w14:textId="18FEE20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Nillumbik Community Health Service Ltd</w:t>
            </w:r>
          </w:p>
        </w:tc>
        <w:tc>
          <w:tcPr>
            <w:tcW w:w="1065" w:type="dxa"/>
            <w:noWrap/>
            <w:vAlign w:val="center"/>
          </w:tcPr>
          <w:p w14:paraId="2E78A3D1" w14:textId="76F7B5B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65315414" w14:textId="0532DD0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983</w:t>
            </w:r>
          </w:p>
        </w:tc>
        <w:tc>
          <w:tcPr>
            <w:tcW w:w="1065" w:type="dxa"/>
            <w:noWrap/>
            <w:vAlign w:val="center"/>
          </w:tcPr>
          <w:p w14:paraId="30736439" w14:textId="0B56E46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666</w:t>
            </w:r>
          </w:p>
        </w:tc>
        <w:tc>
          <w:tcPr>
            <w:tcW w:w="1065" w:type="dxa"/>
            <w:noWrap/>
            <w:vAlign w:val="center"/>
          </w:tcPr>
          <w:p w14:paraId="55D8BA32" w14:textId="64C52F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766BE1AF" w14:textId="1F855BD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4,765</w:t>
            </w:r>
          </w:p>
        </w:tc>
        <w:tc>
          <w:tcPr>
            <w:tcW w:w="1065" w:type="dxa"/>
            <w:noWrap/>
            <w:vAlign w:val="center"/>
          </w:tcPr>
          <w:p w14:paraId="23BDE864" w14:textId="6AB7AAE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47891ADF" w14:textId="5A2072A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6,414</w:t>
            </w:r>
          </w:p>
        </w:tc>
      </w:tr>
      <w:tr w:rsidR="001E337B" w:rsidRPr="00AB625A" w14:paraId="16E8B37F"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BDC873" w14:textId="69F1F732"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North Richmond Community Health Limited</w:t>
            </w:r>
          </w:p>
        </w:tc>
        <w:tc>
          <w:tcPr>
            <w:tcW w:w="1065" w:type="dxa"/>
            <w:noWrap/>
            <w:vAlign w:val="center"/>
          </w:tcPr>
          <w:p w14:paraId="2BBFA198" w14:textId="02A538B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1,892</w:t>
            </w:r>
          </w:p>
        </w:tc>
        <w:tc>
          <w:tcPr>
            <w:tcW w:w="1065" w:type="dxa"/>
            <w:noWrap/>
            <w:vAlign w:val="center"/>
          </w:tcPr>
          <w:p w14:paraId="71A7186F" w14:textId="177CBDF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100</w:t>
            </w:r>
          </w:p>
        </w:tc>
        <w:tc>
          <w:tcPr>
            <w:tcW w:w="1065" w:type="dxa"/>
            <w:noWrap/>
            <w:vAlign w:val="center"/>
          </w:tcPr>
          <w:p w14:paraId="326160D2" w14:textId="279144A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12,944</w:t>
            </w:r>
          </w:p>
        </w:tc>
        <w:tc>
          <w:tcPr>
            <w:tcW w:w="1065" w:type="dxa"/>
            <w:noWrap/>
            <w:vAlign w:val="center"/>
          </w:tcPr>
          <w:p w14:paraId="5CCC33ED" w14:textId="252A0A5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20F0EA8F" w14:textId="0B040F9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3,667</w:t>
            </w:r>
          </w:p>
        </w:tc>
        <w:tc>
          <w:tcPr>
            <w:tcW w:w="1065" w:type="dxa"/>
            <w:noWrap/>
            <w:vAlign w:val="center"/>
          </w:tcPr>
          <w:p w14:paraId="55633329" w14:textId="35D7DC6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436</w:t>
            </w:r>
          </w:p>
        </w:tc>
        <w:tc>
          <w:tcPr>
            <w:tcW w:w="1066" w:type="dxa"/>
            <w:noWrap/>
            <w:vAlign w:val="center"/>
          </w:tcPr>
          <w:p w14:paraId="59AE831C" w14:textId="352FBB4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19,040</w:t>
            </w:r>
          </w:p>
        </w:tc>
      </w:tr>
      <w:tr w:rsidR="009D4BF1" w:rsidRPr="00AB625A" w14:paraId="38D92DE3"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83ADF4F" w14:textId="1A871618"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Primary Care Connect</w:t>
            </w:r>
          </w:p>
        </w:tc>
        <w:tc>
          <w:tcPr>
            <w:tcW w:w="1065" w:type="dxa"/>
            <w:noWrap/>
            <w:vAlign w:val="center"/>
          </w:tcPr>
          <w:p w14:paraId="0595C12E" w14:textId="1380BE4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5D20AF57" w14:textId="7F419F1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49F38E32" w14:textId="4B6750A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1,875</w:t>
            </w:r>
          </w:p>
        </w:tc>
        <w:tc>
          <w:tcPr>
            <w:tcW w:w="1065" w:type="dxa"/>
            <w:noWrap/>
            <w:vAlign w:val="center"/>
          </w:tcPr>
          <w:p w14:paraId="1FA2FC18" w14:textId="558D7DB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557</w:t>
            </w:r>
          </w:p>
        </w:tc>
        <w:tc>
          <w:tcPr>
            <w:tcW w:w="1065" w:type="dxa"/>
            <w:noWrap/>
            <w:vAlign w:val="center"/>
          </w:tcPr>
          <w:p w14:paraId="4AADD5B9" w14:textId="301CC30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1,929</w:t>
            </w:r>
          </w:p>
        </w:tc>
        <w:tc>
          <w:tcPr>
            <w:tcW w:w="1065" w:type="dxa"/>
            <w:noWrap/>
            <w:vAlign w:val="center"/>
          </w:tcPr>
          <w:p w14:paraId="09ECEC1B" w14:textId="41C2BAB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612A8FBD" w14:textId="5A72AC7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4,361</w:t>
            </w:r>
          </w:p>
        </w:tc>
      </w:tr>
      <w:tr w:rsidR="001E337B" w:rsidRPr="00AB625A" w14:paraId="722F42C3"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EC22A56" w14:textId="6BB11D87"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Sunbury Community Health Centre Limited</w:t>
            </w:r>
          </w:p>
        </w:tc>
        <w:tc>
          <w:tcPr>
            <w:tcW w:w="1065" w:type="dxa"/>
            <w:noWrap/>
            <w:vAlign w:val="center"/>
          </w:tcPr>
          <w:p w14:paraId="79DF3361" w14:textId="332A15B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02C3001C" w14:textId="04C6B0C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1,708</w:t>
            </w:r>
          </w:p>
        </w:tc>
        <w:tc>
          <w:tcPr>
            <w:tcW w:w="1065" w:type="dxa"/>
            <w:noWrap/>
            <w:vAlign w:val="center"/>
          </w:tcPr>
          <w:p w14:paraId="0DE7ECFE" w14:textId="5578184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1,323</w:t>
            </w:r>
          </w:p>
        </w:tc>
        <w:tc>
          <w:tcPr>
            <w:tcW w:w="1065" w:type="dxa"/>
            <w:noWrap/>
            <w:vAlign w:val="center"/>
          </w:tcPr>
          <w:p w14:paraId="157B964F" w14:textId="7B4779A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251</w:t>
            </w:r>
          </w:p>
        </w:tc>
        <w:tc>
          <w:tcPr>
            <w:tcW w:w="1065" w:type="dxa"/>
            <w:noWrap/>
            <w:vAlign w:val="center"/>
          </w:tcPr>
          <w:p w14:paraId="41420A7F" w14:textId="00123E0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4,612</w:t>
            </w:r>
          </w:p>
        </w:tc>
        <w:tc>
          <w:tcPr>
            <w:tcW w:w="1065" w:type="dxa"/>
            <w:noWrap/>
            <w:vAlign w:val="center"/>
          </w:tcPr>
          <w:p w14:paraId="1D999403" w14:textId="05A38B1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27D003D1" w14:textId="56E1737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7,895</w:t>
            </w:r>
          </w:p>
        </w:tc>
      </w:tr>
      <w:tr w:rsidR="009D4BF1" w:rsidRPr="00AB625A" w14:paraId="18A8121E"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A212AE1" w14:textId="0103F4A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Sunraysia Community Health Services Limited</w:t>
            </w:r>
          </w:p>
        </w:tc>
        <w:tc>
          <w:tcPr>
            <w:tcW w:w="1065" w:type="dxa"/>
            <w:noWrap/>
            <w:vAlign w:val="center"/>
          </w:tcPr>
          <w:p w14:paraId="0576ACEB" w14:textId="0FCE506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1,532</w:t>
            </w:r>
          </w:p>
        </w:tc>
        <w:tc>
          <w:tcPr>
            <w:tcW w:w="1065" w:type="dxa"/>
            <w:noWrap/>
            <w:vAlign w:val="center"/>
          </w:tcPr>
          <w:p w14:paraId="34D4692C" w14:textId="78EEC10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1,299</w:t>
            </w:r>
          </w:p>
        </w:tc>
        <w:tc>
          <w:tcPr>
            <w:tcW w:w="1065" w:type="dxa"/>
            <w:noWrap/>
            <w:vAlign w:val="center"/>
          </w:tcPr>
          <w:p w14:paraId="53D3807E" w14:textId="7A6F1CF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908</w:t>
            </w:r>
          </w:p>
        </w:tc>
        <w:tc>
          <w:tcPr>
            <w:tcW w:w="1065" w:type="dxa"/>
            <w:noWrap/>
            <w:vAlign w:val="center"/>
          </w:tcPr>
          <w:p w14:paraId="73F554DC" w14:textId="318CC5C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5C57C20" w14:textId="13B6160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5,696</w:t>
            </w:r>
          </w:p>
        </w:tc>
        <w:tc>
          <w:tcPr>
            <w:tcW w:w="1065" w:type="dxa"/>
            <w:noWrap/>
            <w:vAlign w:val="center"/>
          </w:tcPr>
          <w:p w14:paraId="2437A960" w14:textId="4B78DC1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147</w:t>
            </w:r>
          </w:p>
        </w:tc>
        <w:tc>
          <w:tcPr>
            <w:tcW w:w="1066" w:type="dxa"/>
            <w:noWrap/>
            <w:vAlign w:val="center"/>
          </w:tcPr>
          <w:p w14:paraId="066981E0" w14:textId="76A069B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9,583</w:t>
            </w:r>
          </w:p>
        </w:tc>
      </w:tr>
      <w:tr w:rsidR="001E337B" w:rsidRPr="00AB625A" w14:paraId="5682CC90"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2CBD508" w14:textId="663AFFEF"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Your Community Health</w:t>
            </w:r>
          </w:p>
        </w:tc>
        <w:tc>
          <w:tcPr>
            <w:tcW w:w="1065" w:type="dxa"/>
            <w:noWrap/>
            <w:vAlign w:val="center"/>
          </w:tcPr>
          <w:p w14:paraId="60B835FF" w14:textId="00795A7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627</w:t>
            </w:r>
          </w:p>
        </w:tc>
        <w:tc>
          <w:tcPr>
            <w:tcW w:w="1065" w:type="dxa"/>
            <w:noWrap/>
            <w:vAlign w:val="center"/>
          </w:tcPr>
          <w:p w14:paraId="15FC6A48" w14:textId="4A90E55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1,401</w:t>
            </w:r>
          </w:p>
        </w:tc>
        <w:tc>
          <w:tcPr>
            <w:tcW w:w="1065" w:type="dxa"/>
            <w:noWrap/>
            <w:vAlign w:val="center"/>
          </w:tcPr>
          <w:p w14:paraId="0F861331" w14:textId="33BA3CF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766</w:t>
            </w:r>
          </w:p>
        </w:tc>
        <w:tc>
          <w:tcPr>
            <w:tcW w:w="1065" w:type="dxa"/>
            <w:noWrap/>
            <w:vAlign w:val="center"/>
          </w:tcPr>
          <w:p w14:paraId="259AF9C5" w14:textId="51F22F9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456CD288" w14:textId="0AC12A7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6,113</w:t>
            </w:r>
          </w:p>
        </w:tc>
        <w:tc>
          <w:tcPr>
            <w:tcW w:w="1065" w:type="dxa"/>
            <w:noWrap/>
            <w:vAlign w:val="center"/>
          </w:tcPr>
          <w:p w14:paraId="7AD58EAF" w14:textId="1735B34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6DCFC343" w14:textId="2F87F30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8,908</w:t>
            </w:r>
          </w:p>
        </w:tc>
      </w:tr>
      <w:tr w:rsidR="00AB0E92" w:rsidRPr="00AB625A" w14:paraId="65061F85"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8A4D0BC" w14:textId="43F30C70" w:rsidR="00AB0E92" w:rsidRPr="001E337B" w:rsidRDefault="00AB0E92" w:rsidP="00AB0E92">
            <w:pPr>
              <w:pStyle w:val="Tabletext8pt"/>
              <w:rPr>
                <w:rFonts w:cs="Arial"/>
                <w:b w:val="0"/>
                <w:bCs w:val="0"/>
                <w:sz w:val="16"/>
                <w:szCs w:val="16"/>
              </w:rPr>
            </w:pPr>
            <w:r>
              <w:rPr>
                <w:rFonts w:cs="Arial"/>
                <w:b w:val="0"/>
                <w:bCs w:val="0"/>
                <w:sz w:val="16"/>
                <w:szCs w:val="16"/>
              </w:rPr>
              <w:t>Total</w:t>
            </w:r>
          </w:p>
        </w:tc>
        <w:tc>
          <w:tcPr>
            <w:tcW w:w="1065" w:type="dxa"/>
            <w:noWrap/>
            <w:vAlign w:val="bottom"/>
          </w:tcPr>
          <w:p w14:paraId="55E87D7C" w14:textId="42F915E9"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8,883</w:t>
            </w:r>
          </w:p>
        </w:tc>
        <w:tc>
          <w:tcPr>
            <w:tcW w:w="1065" w:type="dxa"/>
            <w:noWrap/>
            <w:vAlign w:val="bottom"/>
          </w:tcPr>
          <w:p w14:paraId="5322D8EF" w14:textId="68CA5526"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32,001</w:t>
            </w:r>
          </w:p>
        </w:tc>
        <w:tc>
          <w:tcPr>
            <w:tcW w:w="1065" w:type="dxa"/>
            <w:noWrap/>
            <w:vAlign w:val="bottom"/>
          </w:tcPr>
          <w:p w14:paraId="7AE92F53" w14:textId="353173EA"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75,616</w:t>
            </w:r>
          </w:p>
        </w:tc>
        <w:tc>
          <w:tcPr>
            <w:tcW w:w="1065" w:type="dxa"/>
            <w:noWrap/>
            <w:vAlign w:val="bottom"/>
          </w:tcPr>
          <w:p w14:paraId="5EC96F92" w14:textId="45389B1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36,900</w:t>
            </w:r>
          </w:p>
        </w:tc>
        <w:tc>
          <w:tcPr>
            <w:tcW w:w="1065" w:type="dxa"/>
            <w:noWrap/>
            <w:vAlign w:val="bottom"/>
          </w:tcPr>
          <w:p w14:paraId="70CA2DF2" w14:textId="27A1CAD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139,263</w:t>
            </w:r>
          </w:p>
        </w:tc>
        <w:tc>
          <w:tcPr>
            <w:tcW w:w="1065" w:type="dxa"/>
            <w:noWrap/>
            <w:vAlign w:val="bottom"/>
          </w:tcPr>
          <w:p w14:paraId="17518B10" w14:textId="04EEA67F"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2,353</w:t>
            </w:r>
          </w:p>
        </w:tc>
        <w:tc>
          <w:tcPr>
            <w:tcW w:w="1066" w:type="dxa"/>
            <w:noWrap/>
            <w:vAlign w:val="bottom"/>
          </w:tcPr>
          <w:p w14:paraId="2E5098E4" w14:textId="5275FF3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295,016</w:t>
            </w:r>
          </w:p>
        </w:tc>
      </w:tr>
    </w:tbl>
    <w:p w14:paraId="0F5E5F54" w14:textId="783D516D" w:rsidR="005B699B" w:rsidRPr="00494D61" w:rsidRDefault="005B699B" w:rsidP="005D7D2C">
      <w:pPr>
        <w:pStyle w:val="Heading2"/>
        <w:numPr>
          <w:ilvl w:val="1"/>
          <w:numId w:val="12"/>
        </w:numPr>
        <w:ind w:left="851" w:hanging="851"/>
      </w:pPr>
      <w:bookmarkStart w:id="2434" w:name="_Toc199184932"/>
      <w:bookmarkStart w:id="2435" w:name="_Toc199184933"/>
      <w:bookmarkStart w:id="2436" w:name="_Toc144905673"/>
      <w:bookmarkStart w:id="2437" w:name="_Toc12780661"/>
      <w:bookmarkStart w:id="2438" w:name="_Toc14172302"/>
      <w:bookmarkStart w:id="2439" w:name="_Toc33703976"/>
      <w:bookmarkStart w:id="2440" w:name="_Toc55381164"/>
      <w:bookmarkStart w:id="2441" w:name="_Toc100263370"/>
      <w:bookmarkStart w:id="2442" w:name="_Toc165961866"/>
      <w:bookmarkStart w:id="2443" w:name="_Toc201148294"/>
      <w:bookmarkStart w:id="2444" w:name="_Hlk170302342"/>
      <w:bookmarkEnd w:id="2434"/>
      <w:bookmarkEnd w:id="2435"/>
      <w:bookmarkEnd w:id="2436"/>
      <w:r w:rsidRPr="00494D61">
        <w:t xml:space="preserve">Local </w:t>
      </w:r>
      <w:r>
        <w:t>g</w:t>
      </w:r>
      <w:r w:rsidRPr="00494D61">
        <w:t xml:space="preserve">overnment </w:t>
      </w:r>
      <w:bookmarkEnd w:id="2437"/>
      <w:bookmarkEnd w:id="2438"/>
      <w:bookmarkEnd w:id="2439"/>
      <w:bookmarkEnd w:id="2440"/>
      <w:r>
        <w:t>a</w:t>
      </w:r>
      <w:r w:rsidRPr="00494D61">
        <w:t xml:space="preserve">uthorities </w:t>
      </w:r>
      <w:bookmarkEnd w:id="2441"/>
      <w:r w:rsidRPr="00494D61">
        <w:t>202</w:t>
      </w:r>
      <w:r w:rsidR="000C0EF6">
        <w:t>5</w:t>
      </w:r>
      <w:r w:rsidRPr="00494D61">
        <w:t>–2</w:t>
      </w:r>
      <w:bookmarkEnd w:id="2442"/>
      <w:r w:rsidR="000C0EF6">
        <w:t>6</w:t>
      </w:r>
      <w:bookmarkEnd w:id="2443"/>
    </w:p>
    <w:bookmarkEnd w:id="2444"/>
    <w:p w14:paraId="1DE54AF2" w14:textId="77777777" w:rsidR="00541C64" w:rsidRPr="00541C64" w:rsidRDefault="00541C64" w:rsidP="00473B41">
      <w:pPr>
        <w:pStyle w:val="Tablefigurenote9pt"/>
      </w:pPr>
      <w:r>
        <w:t>Notes</w:t>
      </w:r>
    </w:p>
    <w:p w14:paraId="3F95982D" w14:textId="77777777" w:rsidR="00541C64" w:rsidRPr="00494D61" w:rsidRDefault="00541C64" w:rsidP="00473B41">
      <w:pPr>
        <w:pStyle w:val="Tablebullet9pt"/>
      </w:pPr>
      <w:r w:rsidRPr="00494D61">
        <w:t>This table shows the health funding to local government authorities that receive &gt; $1 million from specific health outputs.</w:t>
      </w:r>
    </w:p>
    <w:p w14:paraId="0078DD37" w14:textId="77777777" w:rsidR="00541C64" w:rsidRPr="00A67ABC" w:rsidRDefault="00541C64" w:rsidP="00473B41">
      <w:pPr>
        <w:pStyle w:val="Tablebullet9pt"/>
        <w:rPr>
          <w:b/>
        </w:rPr>
      </w:pPr>
      <w:r w:rsidRPr="00A67ABC">
        <w:t>Subtotals and totals may not add up due to rounding.</w:t>
      </w:r>
    </w:p>
    <w:p w14:paraId="64A123B1" w14:textId="29B2F3D4" w:rsidR="005B699B" w:rsidRDefault="00462DC7" w:rsidP="00297FC9">
      <w:pPr>
        <w:pStyle w:val="Tablecaption"/>
      </w:pPr>
      <w:bookmarkStart w:id="2445" w:name="_Toc12780565"/>
      <w:bookmarkStart w:id="2446" w:name="_Toc14194821"/>
      <w:bookmarkStart w:id="2447" w:name="_Toc33704002"/>
      <w:bookmarkStart w:id="2448" w:name="_Toc109894132"/>
      <w:bookmarkStart w:id="2449" w:name="_Toc201148592"/>
      <w:r w:rsidRPr="00494D61">
        <w:t xml:space="preserve">Table </w:t>
      </w:r>
      <w:r w:rsidR="00D72666">
        <w:t>2</w:t>
      </w:r>
      <w:r w:rsidR="000E0ED2">
        <w:t>.</w:t>
      </w:r>
      <w:r>
        <w:fldChar w:fldCharType="begin"/>
      </w:r>
      <w:r>
        <w:instrText>SEQ Table \* ARABIC \s 1</w:instrText>
      </w:r>
      <w:r>
        <w:fldChar w:fldCharType="separate"/>
      </w:r>
      <w:r w:rsidR="007D262B">
        <w:rPr>
          <w:noProof/>
        </w:rPr>
        <w:t>6</w:t>
      </w:r>
      <w:r>
        <w:fldChar w:fldCharType="end"/>
      </w:r>
      <w:r w:rsidRPr="00494D61">
        <w:t xml:space="preserve">: </w:t>
      </w:r>
      <w:r w:rsidR="005B699B" w:rsidRPr="00494D61">
        <w:t xml:space="preserve">Local government authorities </w:t>
      </w:r>
      <w:bookmarkEnd w:id="2445"/>
      <w:bookmarkEnd w:id="2446"/>
      <w:bookmarkEnd w:id="2447"/>
      <w:bookmarkEnd w:id="2448"/>
      <w:r w:rsidR="005B699B" w:rsidRPr="00494D61">
        <w:t>202</w:t>
      </w:r>
      <w:r w:rsidR="000C0EF6">
        <w:t>5</w:t>
      </w:r>
      <w:r w:rsidR="005B699B" w:rsidRPr="00494D61">
        <w:t>–2</w:t>
      </w:r>
      <w:r w:rsidR="000C0EF6">
        <w:t>6</w:t>
      </w:r>
      <w:r w:rsidR="005B699B">
        <w:t xml:space="preserve"> – $’000s</w:t>
      </w:r>
      <w:bookmarkEnd w:id="2449"/>
    </w:p>
    <w:tbl>
      <w:tblPr>
        <w:tblStyle w:val="GridTable4-Accent1"/>
        <w:tblW w:w="8750" w:type="dxa"/>
        <w:tblLayout w:type="fixed"/>
        <w:tblLook w:val="04A0" w:firstRow="1" w:lastRow="0" w:firstColumn="1" w:lastColumn="0" w:noHBand="0" w:noVBand="1"/>
      </w:tblPr>
      <w:tblGrid>
        <w:gridCol w:w="2608"/>
        <w:gridCol w:w="1228"/>
        <w:gridCol w:w="1228"/>
        <w:gridCol w:w="1229"/>
        <w:gridCol w:w="1228"/>
        <w:gridCol w:w="1229"/>
      </w:tblGrid>
      <w:tr w:rsidR="002555E3" w:rsidRPr="00AB625A" w14:paraId="6B2499FB" w14:textId="77777777" w:rsidTr="00B25DA3">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2608" w:type="dxa"/>
            <w:hideMark/>
          </w:tcPr>
          <w:p w14:paraId="0FED4B69" w14:textId="703A992C" w:rsidR="002555E3" w:rsidRPr="00257223" w:rsidRDefault="002555E3" w:rsidP="00473B41">
            <w:pPr>
              <w:pStyle w:val="Tablecolhead8pt"/>
              <w:rPr>
                <w:b/>
                <w:bCs w:val="0"/>
                <w:color w:val="FFFFFF" w:themeColor="background1"/>
              </w:rPr>
            </w:pPr>
            <w:r w:rsidRPr="00257223">
              <w:rPr>
                <w:b/>
                <w:bCs w:val="0"/>
                <w:color w:val="FFFFFF" w:themeColor="background1"/>
              </w:rPr>
              <w:t>Health service</w:t>
            </w:r>
          </w:p>
        </w:tc>
        <w:tc>
          <w:tcPr>
            <w:tcW w:w="1228" w:type="dxa"/>
            <w:hideMark/>
          </w:tcPr>
          <w:p w14:paraId="55DB01D3" w14:textId="13131F1A"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Ageing, aged and home care</w:t>
            </w:r>
          </w:p>
        </w:tc>
        <w:tc>
          <w:tcPr>
            <w:tcW w:w="1228" w:type="dxa"/>
            <w:hideMark/>
          </w:tcPr>
          <w:p w14:paraId="6FE9E4DA" w14:textId="235C93FD"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Mental health</w:t>
            </w:r>
          </w:p>
        </w:tc>
        <w:tc>
          <w:tcPr>
            <w:tcW w:w="1229" w:type="dxa"/>
            <w:hideMark/>
          </w:tcPr>
          <w:p w14:paraId="7AFD6A90" w14:textId="31A6214F"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Primary and dental health</w:t>
            </w:r>
          </w:p>
        </w:tc>
        <w:tc>
          <w:tcPr>
            <w:tcW w:w="1228" w:type="dxa"/>
            <w:hideMark/>
          </w:tcPr>
          <w:p w14:paraId="66EE21C1" w14:textId="4D58A9B7"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Public health</w:t>
            </w:r>
          </w:p>
        </w:tc>
        <w:tc>
          <w:tcPr>
            <w:tcW w:w="1229" w:type="dxa"/>
            <w:hideMark/>
          </w:tcPr>
          <w:p w14:paraId="5891C44D" w14:textId="5D73BF66"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Total</w:t>
            </w:r>
          </w:p>
        </w:tc>
      </w:tr>
      <w:tr w:rsidR="00C2579D" w:rsidRPr="00AB625A" w14:paraId="411D6C0C"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634347B" w14:textId="3318571C"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Banyule City Council</w:t>
            </w:r>
          </w:p>
        </w:tc>
        <w:tc>
          <w:tcPr>
            <w:tcW w:w="1228" w:type="dxa"/>
            <w:noWrap/>
            <w:vAlign w:val="center"/>
          </w:tcPr>
          <w:p w14:paraId="4496A87D" w14:textId="2ED7406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301</w:t>
            </w:r>
          </w:p>
        </w:tc>
        <w:tc>
          <w:tcPr>
            <w:tcW w:w="1228" w:type="dxa"/>
            <w:noWrap/>
            <w:vAlign w:val="center"/>
          </w:tcPr>
          <w:p w14:paraId="12418EF3" w14:textId="25D9BBC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815C79B" w14:textId="12CE0FF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1,529</w:t>
            </w:r>
          </w:p>
        </w:tc>
        <w:tc>
          <w:tcPr>
            <w:tcW w:w="1228" w:type="dxa"/>
            <w:noWrap/>
            <w:vAlign w:val="center"/>
          </w:tcPr>
          <w:p w14:paraId="76978283" w14:textId="7ED5710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D76C983" w14:textId="0646AC0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1,830</w:t>
            </w:r>
          </w:p>
        </w:tc>
      </w:tr>
      <w:tr w:rsidR="00C2579D" w:rsidRPr="00AB625A" w14:paraId="39781913"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0C6F0D0" w14:textId="4AD3297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Baw Baw Shire Council</w:t>
            </w:r>
          </w:p>
        </w:tc>
        <w:tc>
          <w:tcPr>
            <w:tcW w:w="1228" w:type="dxa"/>
            <w:noWrap/>
            <w:vAlign w:val="center"/>
          </w:tcPr>
          <w:p w14:paraId="29AB7699" w14:textId="1C4F50C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1C198C4B" w14:textId="1F33C29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1B27C8FA" w14:textId="2239E12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1,225</w:t>
            </w:r>
          </w:p>
        </w:tc>
        <w:tc>
          <w:tcPr>
            <w:tcW w:w="1228" w:type="dxa"/>
            <w:noWrap/>
            <w:vAlign w:val="center"/>
          </w:tcPr>
          <w:p w14:paraId="6055ED58" w14:textId="358322A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B7F3098" w14:textId="21805D9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1,225</w:t>
            </w:r>
          </w:p>
        </w:tc>
      </w:tr>
      <w:tr w:rsidR="00C2579D" w:rsidRPr="00AB625A" w14:paraId="62A30804"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4F66D048" w14:textId="364EC1B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Bayside City Council</w:t>
            </w:r>
          </w:p>
        </w:tc>
        <w:tc>
          <w:tcPr>
            <w:tcW w:w="1228" w:type="dxa"/>
            <w:noWrap/>
            <w:vAlign w:val="center"/>
          </w:tcPr>
          <w:p w14:paraId="671BCE96" w14:textId="282F7C4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421</w:t>
            </w:r>
          </w:p>
        </w:tc>
        <w:tc>
          <w:tcPr>
            <w:tcW w:w="1228" w:type="dxa"/>
            <w:noWrap/>
            <w:vAlign w:val="center"/>
          </w:tcPr>
          <w:p w14:paraId="67FABAE1" w14:textId="4F5C11F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8E0333D" w14:textId="40BE643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768</w:t>
            </w:r>
          </w:p>
        </w:tc>
        <w:tc>
          <w:tcPr>
            <w:tcW w:w="1228" w:type="dxa"/>
            <w:noWrap/>
            <w:vAlign w:val="center"/>
          </w:tcPr>
          <w:p w14:paraId="6C1A7B68" w14:textId="628E1DB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EFD333A" w14:textId="631757F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1,189</w:t>
            </w:r>
          </w:p>
        </w:tc>
      </w:tr>
      <w:tr w:rsidR="00C2579D" w:rsidRPr="00AB625A" w14:paraId="30146695"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3777A64" w14:textId="250669D7"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Brimbank City Council</w:t>
            </w:r>
          </w:p>
        </w:tc>
        <w:tc>
          <w:tcPr>
            <w:tcW w:w="1228" w:type="dxa"/>
            <w:noWrap/>
            <w:vAlign w:val="center"/>
          </w:tcPr>
          <w:p w14:paraId="250C4263" w14:textId="15851F2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701E260F" w14:textId="5DF560F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4FA7039C" w14:textId="2995E25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3,328</w:t>
            </w:r>
          </w:p>
        </w:tc>
        <w:tc>
          <w:tcPr>
            <w:tcW w:w="1228" w:type="dxa"/>
            <w:noWrap/>
            <w:vAlign w:val="center"/>
          </w:tcPr>
          <w:p w14:paraId="554262BE" w14:textId="4CE5ACC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ED30284" w14:textId="7619BC3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3,672</w:t>
            </w:r>
          </w:p>
        </w:tc>
      </w:tr>
      <w:tr w:rsidR="00C2579D" w:rsidRPr="00AB625A" w14:paraId="02FB115B"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19B039DF" w14:textId="1160F85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Cardinia Shire Council</w:t>
            </w:r>
          </w:p>
        </w:tc>
        <w:tc>
          <w:tcPr>
            <w:tcW w:w="1228" w:type="dxa"/>
            <w:noWrap/>
            <w:vAlign w:val="center"/>
          </w:tcPr>
          <w:p w14:paraId="23CE25A8" w14:textId="3496E31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w:t>
            </w:r>
          </w:p>
        </w:tc>
        <w:tc>
          <w:tcPr>
            <w:tcW w:w="1228" w:type="dxa"/>
            <w:noWrap/>
            <w:vAlign w:val="center"/>
          </w:tcPr>
          <w:p w14:paraId="02BE7DD7" w14:textId="12BC775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60EE4837" w14:textId="1B92003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2,725</w:t>
            </w:r>
          </w:p>
        </w:tc>
        <w:tc>
          <w:tcPr>
            <w:tcW w:w="1228" w:type="dxa"/>
            <w:noWrap/>
            <w:vAlign w:val="center"/>
          </w:tcPr>
          <w:p w14:paraId="30555F25" w14:textId="269B041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62FCDE8" w14:textId="4B1FB75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2,743</w:t>
            </w:r>
          </w:p>
        </w:tc>
      </w:tr>
      <w:tr w:rsidR="00C2579D" w:rsidRPr="00AB625A" w14:paraId="45E84222"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4D57BE4" w14:textId="0965506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Casey City Council</w:t>
            </w:r>
          </w:p>
        </w:tc>
        <w:tc>
          <w:tcPr>
            <w:tcW w:w="1228" w:type="dxa"/>
            <w:noWrap/>
            <w:vAlign w:val="center"/>
          </w:tcPr>
          <w:p w14:paraId="13BDDEAC" w14:textId="0021C26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51</w:t>
            </w:r>
          </w:p>
        </w:tc>
        <w:tc>
          <w:tcPr>
            <w:tcW w:w="1228" w:type="dxa"/>
            <w:noWrap/>
            <w:vAlign w:val="center"/>
          </w:tcPr>
          <w:p w14:paraId="00D2673D" w14:textId="0884112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2CF2CE9" w14:textId="2A2B57B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8,519</w:t>
            </w:r>
          </w:p>
        </w:tc>
        <w:tc>
          <w:tcPr>
            <w:tcW w:w="1228" w:type="dxa"/>
            <w:noWrap/>
            <w:vAlign w:val="center"/>
          </w:tcPr>
          <w:p w14:paraId="00FA9E66" w14:textId="46E0140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99B4D11" w14:textId="5BD1A63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8,570</w:t>
            </w:r>
          </w:p>
        </w:tc>
      </w:tr>
      <w:tr w:rsidR="00C2579D" w:rsidRPr="00AB625A" w14:paraId="5C7A1A6C"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A3DDB7A" w14:textId="5431342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Ballarat</w:t>
            </w:r>
          </w:p>
        </w:tc>
        <w:tc>
          <w:tcPr>
            <w:tcW w:w="1228" w:type="dxa"/>
            <w:noWrap/>
            <w:vAlign w:val="center"/>
          </w:tcPr>
          <w:p w14:paraId="260BEECE" w14:textId="2C21841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35B4A84F" w14:textId="7016721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6EA9A26F" w14:textId="28234D4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2,140</w:t>
            </w:r>
          </w:p>
        </w:tc>
        <w:tc>
          <w:tcPr>
            <w:tcW w:w="1228" w:type="dxa"/>
            <w:noWrap/>
            <w:vAlign w:val="center"/>
          </w:tcPr>
          <w:p w14:paraId="7CC95DF4" w14:textId="76D4FA9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4264D8E" w14:textId="6D5922F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2,484</w:t>
            </w:r>
          </w:p>
        </w:tc>
      </w:tr>
      <w:tr w:rsidR="00C2579D" w:rsidRPr="00AB625A" w14:paraId="18CFDB37"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53549945" w14:textId="5EAE92B1"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Boroondara</w:t>
            </w:r>
          </w:p>
        </w:tc>
        <w:tc>
          <w:tcPr>
            <w:tcW w:w="1228" w:type="dxa"/>
            <w:noWrap/>
            <w:vAlign w:val="center"/>
          </w:tcPr>
          <w:p w14:paraId="6D0BE7BA" w14:textId="5D83EE9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48E477FD" w14:textId="37E6B79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FDC0CD5" w14:textId="16C26ED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1,222</w:t>
            </w:r>
          </w:p>
        </w:tc>
        <w:tc>
          <w:tcPr>
            <w:tcW w:w="1228" w:type="dxa"/>
            <w:noWrap/>
            <w:vAlign w:val="center"/>
          </w:tcPr>
          <w:p w14:paraId="37E5451C" w14:textId="656A336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1991537" w14:textId="3C241F9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1,222</w:t>
            </w:r>
          </w:p>
        </w:tc>
      </w:tr>
      <w:tr w:rsidR="00C2579D" w:rsidRPr="00AB625A" w14:paraId="63C938D5"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91986BF" w14:textId="7769798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Darebin</w:t>
            </w:r>
          </w:p>
        </w:tc>
        <w:tc>
          <w:tcPr>
            <w:tcW w:w="1228" w:type="dxa"/>
            <w:noWrap/>
            <w:vAlign w:val="center"/>
          </w:tcPr>
          <w:p w14:paraId="0E1688B5" w14:textId="5A08A8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651</w:t>
            </w:r>
          </w:p>
        </w:tc>
        <w:tc>
          <w:tcPr>
            <w:tcW w:w="1228" w:type="dxa"/>
            <w:noWrap/>
            <w:vAlign w:val="center"/>
          </w:tcPr>
          <w:p w14:paraId="0B48BFFF" w14:textId="710CE48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0FA61DF" w14:textId="1923D65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1,861</w:t>
            </w:r>
          </w:p>
        </w:tc>
        <w:tc>
          <w:tcPr>
            <w:tcW w:w="1228" w:type="dxa"/>
            <w:noWrap/>
            <w:vAlign w:val="center"/>
          </w:tcPr>
          <w:p w14:paraId="20895F63" w14:textId="4ED2583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11D155C" w14:textId="0EE366E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2,511</w:t>
            </w:r>
          </w:p>
        </w:tc>
      </w:tr>
      <w:tr w:rsidR="00C2579D" w:rsidRPr="00AB625A" w14:paraId="06067960"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24F90E2" w14:textId="44338D2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Greater Geelong</w:t>
            </w:r>
          </w:p>
        </w:tc>
        <w:tc>
          <w:tcPr>
            <w:tcW w:w="1228" w:type="dxa"/>
            <w:noWrap/>
            <w:vAlign w:val="center"/>
          </w:tcPr>
          <w:p w14:paraId="01760EFD" w14:textId="0A2EF91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691</w:t>
            </w:r>
          </w:p>
        </w:tc>
        <w:tc>
          <w:tcPr>
            <w:tcW w:w="1228" w:type="dxa"/>
            <w:noWrap/>
            <w:vAlign w:val="center"/>
          </w:tcPr>
          <w:p w14:paraId="3F0797D2" w14:textId="4717C41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215829DF" w14:textId="75C9CE0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4,402</w:t>
            </w:r>
          </w:p>
        </w:tc>
        <w:tc>
          <w:tcPr>
            <w:tcW w:w="1228" w:type="dxa"/>
            <w:noWrap/>
            <w:vAlign w:val="center"/>
          </w:tcPr>
          <w:p w14:paraId="4E4B1253" w14:textId="2D55DD4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10ACA7A" w14:textId="59F143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5,437</w:t>
            </w:r>
          </w:p>
        </w:tc>
      </w:tr>
      <w:tr w:rsidR="00C2579D" w:rsidRPr="00AB625A" w14:paraId="6A6D6D28"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399633C6" w14:textId="136F80CA"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Kingston</w:t>
            </w:r>
          </w:p>
        </w:tc>
        <w:tc>
          <w:tcPr>
            <w:tcW w:w="1228" w:type="dxa"/>
            <w:noWrap/>
            <w:vAlign w:val="center"/>
          </w:tcPr>
          <w:p w14:paraId="6DD656EE" w14:textId="016A82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1,627</w:t>
            </w:r>
          </w:p>
        </w:tc>
        <w:tc>
          <w:tcPr>
            <w:tcW w:w="1228" w:type="dxa"/>
            <w:noWrap/>
            <w:vAlign w:val="center"/>
          </w:tcPr>
          <w:p w14:paraId="57C0EB8F" w14:textId="69DDAC3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F19AC8F" w14:textId="6E0BDBC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1,715</w:t>
            </w:r>
          </w:p>
        </w:tc>
        <w:tc>
          <w:tcPr>
            <w:tcW w:w="1228" w:type="dxa"/>
            <w:noWrap/>
            <w:vAlign w:val="center"/>
          </w:tcPr>
          <w:p w14:paraId="36FDBB19" w14:textId="2841A0B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3EFF7D0F" w14:textId="57FB3DD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3,342</w:t>
            </w:r>
          </w:p>
        </w:tc>
      </w:tr>
      <w:tr w:rsidR="00C2579D" w:rsidRPr="00AB625A" w14:paraId="7ED08DD0"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3018707" w14:textId="6E12C83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Manningham</w:t>
            </w:r>
          </w:p>
        </w:tc>
        <w:tc>
          <w:tcPr>
            <w:tcW w:w="1228" w:type="dxa"/>
            <w:noWrap/>
            <w:vAlign w:val="center"/>
          </w:tcPr>
          <w:p w14:paraId="31083DDE" w14:textId="7C20318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6B879010" w14:textId="536188D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AAE9C3D" w14:textId="64AB579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1,168</w:t>
            </w:r>
          </w:p>
        </w:tc>
        <w:tc>
          <w:tcPr>
            <w:tcW w:w="1228" w:type="dxa"/>
            <w:noWrap/>
            <w:vAlign w:val="center"/>
          </w:tcPr>
          <w:p w14:paraId="27ACB5B1" w14:textId="7EC2666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7C2FF80" w14:textId="1C4D1C2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1,168</w:t>
            </w:r>
          </w:p>
        </w:tc>
      </w:tr>
      <w:tr w:rsidR="00C2579D" w:rsidRPr="00AB625A" w14:paraId="0C71F2D9"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DD6D3C" w14:textId="027EE86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of</w:t>
            </w:r>
            <w:r w:rsidRPr="00C2579D">
              <w:rPr>
                <w:rFonts w:cs="Arial"/>
                <w:b w:val="0"/>
                <w:bCs w:val="0"/>
                <w:color w:val="000000"/>
                <w:sz w:val="16"/>
                <w:szCs w:val="16"/>
              </w:rPr>
              <w:t xml:space="preserve"> Port Phillip</w:t>
            </w:r>
          </w:p>
        </w:tc>
        <w:tc>
          <w:tcPr>
            <w:tcW w:w="1228" w:type="dxa"/>
            <w:noWrap/>
            <w:vAlign w:val="center"/>
          </w:tcPr>
          <w:p w14:paraId="0F5E1C6A" w14:textId="31DDB50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211D7F6A" w14:textId="177B954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3ADB6E4" w14:textId="2F902E5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1,060</w:t>
            </w:r>
          </w:p>
        </w:tc>
        <w:tc>
          <w:tcPr>
            <w:tcW w:w="1228" w:type="dxa"/>
            <w:noWrap/>
            <w:vAlign w:val="center"/>
          </w:tcPr>
          <w:p w14:paraId="3A4DF0D7" w14:textId="1E3B58F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1D41CB" w14:textId="494FA89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1,060</w:t>
            </w:r>
          </w:p>
        </w:tc>
      </w:tr>
      <w:tr w:rsidR="00C2579D" w:rsidRPr="00AB625A" w14:paraId="35150ECF"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A7E2A1B" w14:textId="0F4D23B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Frankston City Council</w:t>
            </w:r>
          </w:p>
        </w:tc>
        <w:tc>
          <w:tcPr>
            <w:tcW w:w="1228" w:type="dxa"/>
            <w:noWrap/>
            <w:vAlign w:val="center"/>
          </w:tcPr>
          <w:p w14:paraId="22BDD488" w14:textId="1D5F18A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924</w:t>
            </w:r>
          </w:p>
        </w:tc>
        <w:tc>
          <w:tcPr>
            <w:tcW w:w="1228" w:type="dxa"/>
            <w:noWrap/>
            <w:vAlign w:val="center"/>
          </w:tcPr>
          <w:p w14:paraId="7BD39891" w14:textId="64410F2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340</w:t>
            </w:r>
          </w:p>
        </w:tc>
        <w:tc>
          <w:tcPr>
            <w:tcW w:w="1229" w:type="dxa"/>
            <w:noWrap/>
            <w:vAlign w:val="center"/>
          </w:tcPr>
          <w:p w14:paraId="7F90EA68" w14:textId="2EEF91F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2,233</w:t>
            </w:r>
          </w:p>
        </w:tc>
        <w:tc>
          <w:tcPr>
            <w:tcW w:w="1228" w:type="dxa"/>
            <w:noWrap/>
            <w:vAlign w:val="center"/>
          </w:tcPr>
          <w:p w14:paraId="757DA22C" w14:textId="52F9C24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FC35EB4" w14:textId="37BF135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3,497</w:t>
            </w:r>
          </w:p>
        </w:tc>
      </w:tr>
      <w:tr w:rsidR="00C2579D" w:rsidRPr="00AB625A" w14:paraId="41C2FD33"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3E5F8F0" w14:textId="69D80B7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Glen Eira City Council</w:t>
            </w:r>
          </w:p>
        </w:tc>
        <w:tc>
          <w:tcPr>
            <w:tcW w:w="1228" w:type="dxa"/>
            <w:noWrap/>
            <w:vAlign w:val="center"/>
          </w:tcPr>
          <w:p w14:paraId="160DD60B" w14:textId="203C8DD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462</w:t>
            </w:r>
          </w:p>
        </w:tc>
        <w:tc>
          <w:tcPr>
            <w:tcW w:w="1228" w:type="dxa"/>
            <w:noWrap/>
            <w:vAlign w:val="center"/>
          </w:tcPr>
          <w:p w14:paraId="4394210D" w14:textId="0FC8588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4C4BE66" w14:textId="4E1AB1D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1,497</w:t>
            </w:r>
          </w:p>
        </w:tc>
        <w:tc>
          <w:tcPr>
            <w:tcW w:w="1228" w:type="dxa"/>
            <w:noWrap/>
            <w:vAlign w:val="center"/>
          </w:tcPr>
          <w:p w14:paraId="2AC91E41" w14:textId="7A51576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09A7D3B" w14:textId="7124A60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1,959</w:t>
            </w:r>
          </w:p>
        </w:tc>
      </w:tr>
      <w:tr w:rsidR="00C2579D" w:rsidRPr="00AB625A" w14:paraId="1428388D"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0787347" w14:textId="34FDE8E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Greater Bendigo City Council</w:t>
            </w:r>
          </w:p>
        </w:tc>
        <w:tc>
          <w:tcPr>
            <w:tcW w:w="1228" w:type="dxa"/>
            <w:noWrap/>
            <w:vAlign w:val="center"/>
          </w:tcPr>
          <w:p w14:paraId="7D43ACA7" w14:textId="512F533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42060B11" w14:textId="4F498FF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CE354C1" w14:textId="0BDBB1A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2,183</w:t>
            </w:r>
          </w:p>
        </w:tc>
        <w:tc>
          <w:tcPr>
            <w:tcW w:w="1228" w:type="dxa"/>
            <w:noWrap/>
            <w:vAlign w:val="center"/>
          </w:tcPr>
          <w:p w14:paraId="38375831" w14:textId="063AB9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c>
          <w:tcPr>
            <w:tcW w:w="1229" w:type="dxa"/>
            <w:noWrap/>
            <w:vAlign w:val="center"/>
          </w:tcPr>
          <w:p w14:paraId="3E3F0ED1" w14:textId="15E62E5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3,977</w:t>
            </w:r>
          </w:p>
        </w:tc>
      </w:tr>
      <w:tr w:rsidR="00C2579D" w:rsidRPr="00AB625A" w14:paraId="7CA392E6"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660E3DC8" w14:textId="52FB14DA"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Greater Shepparton City Council</w:t>
            </w:r>
          </w:p>
        </w:tc>
        <w:tc>
          <w:tcPr>
            <w:tcW w:w="1228" w:type="dxa"/>
            <w:noWrap/>
            <w:vAlign w:val="center"/>
          </w:tcPr>
          <w:p w14:paraId="7D391B7C" w14:textId="4716A0B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4502A1F7" w14:textId="373C538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10C6164" w14:textId="055BC5E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1,632</w:t>
            </w:r>
          </w:p>
        </w:tc>
        <w:tc>
          <w:tcPr>
            <w:tcW w:w="1228" w:type="dxa"/>
            <w:noWrap/>
            <w:vAlign w:val="center"/>
          </w:tcPr>
          <w:p w14:paraId="2300F8F2" w14:textId="0B1F498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75B178E" w14:textId="2CC3756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1,632</w:t>
            </w:r>
          </w:p>
        </w:tc>
      </w:tr>
      <w:tr w:rsidR="00C2579D" w:rsidRPr="00AB625A" w14:paraId="7AE2D69C"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A478C8C" w14:textId="39ED0843"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Hobsons Bay City Council</w:t>
            </w:r>
          </w:p>
        </w:tc>
        <w:tc>
          <w:tcPr>
            <w:tcW w:w="1228" w:type="dxa"/>
            <w:noWrap/>
            <w:vAlign w:val="center"/>
          </w:tcPr>
          <w:p w14:paraId="74221851" w14:textId="5562B88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159</w:t>
            </w:r>
          </w:p>
        </w:tc>
        <w:tc>
          <w:tcPr>
            <w:tcW w:w="1228" w:type="dxa"/>
            <w:noWrap/>
            <w:vAlign w:val="center"/>
          </w:tcPr>
          <w:p w14:paraId="70EFC17E" w14:textId="77211B9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8DEE760" w14:textId="474EB44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1,272</w:t>
            </w:r>
          </w:p>
        </w:tc>
        <w:tc>
          <w:tcPr>
            <w:tcW w:w="1228" w:type="dxa"/>
            <w:noWrap/>
            <w:vAlign w:val="center"/>
          </w:tcPr>
          <w:p w14:paraId="5A5F173B" w14:textId="60E3E32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0D0B059C" w14:textId="316673A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1,431</w:t>
            </w:r>
          </w:p>
        </w:tc>
      </w:tr>
      <w:tr w:rsidR="00C2579D" w:rsidRPr="00AB625A" w14:paraId="2F9B7778"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6B500D90" w14:textId="3A47179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Hume City Council</w:t>
            </w:r>
          </w:p>
        </w:tc>
        <w:tc>
          <w:tcPr>
            <w:tcW w:w="1228" w:type="dxa"/>
            <w:noWrap/>
            <w:vAlign w:val="center"/>
          </w:tcPr>
          <w:p w14:paraId="261E9E15" w14:textId="54604A1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921</w:t>
            </w:r>
          </w:p>
        </w:tc>
        <w:tc>
          <w:tcPr>
            <w:tcW w:w="1228" w:type="dxa"/>
            <w:noWrap/>
            <w:vAlign w:val="center"/>
          </w:tcPr>
          <w:p w14:paraId="38509719" w14:textId="5B1D7581"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6C1653D" w14:textId="0D07B04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6,660</w:t>
            </w:r>
          </w:p>
        </w:tc>
        <w:tc>
          <w:tcPr>
            <w:tcW w:w="1228" w:type="dxa"/>
            <w:noWrap/>
            <w:vAlign w:val="center"/>
          </w:tcPr>
          <w:p w14:paraId="44558FC1" w14:textId="0328021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178BA9A" w14:textId="7B02255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7,581</w:t>
            </w:r>
          </w:p>
        </w:tc>
      </w:tr>
      <w:tr w:rsidR="00C2579D" w:rsidRPr="00AB625A" w14:paraId="76D69627"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A43020B" w14:textId="7C1E12A7"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Knox City Council</w:t>
            </w:r>
          </w:p>
        </w:tc>
        <w:tc>
          <w:tcPr>
            <w:tcW w:w="1228" w:type="dxa"/>
            <w:noWrap/>
            <w:vAlign w:val="center"/>
          </w:tcPr>
          <w:p w14:paraId="109FFC2C" w14:textId="6539A9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7DFF8F1F" w14:textId="4F10BCE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0228C06" w14:textId="28BE7BF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c>
          <w:tcPr>
            <w:tcW w:w="1228" w:type="dxa"/>
            <w:noWrap/>
            <w:vAlign w:val="center"/>
          </w:tcPr>
          <w:p w14:paraId="5862B472" w14:textId="6D55C3A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DB15354" w14:textId="2EA690C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r>
      <w:tr w:rsidR="00C2579D" w:rsidRPr="00AB625A" w14:paraId="2D964064"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4B51CD" w14:textId="46B5DF6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Latrobe City Council</w:t>
            </w:r>
          </w:p>
        </w:tc>
        <w:tc>
          <w:tcPr>
            <w:tcW w:w="1228" w:type="dxa"/>
            <w:noWrap/>
            <w:vAlign w:val="center"/>
          </w:tcPr>
          <w:p w14:paraId="1DDF04E1" w14:textId="73EB578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743B5A26" w14:textId="4A4795C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269</w:t>
            </w:r>
          </w:p>
        </w:tc>
        <w:tc>
          <w:tcPr>
            <w:tcW w:w="1229" w:type="dxa"/>
            <w:noWrap/>
            <w:vAlign w:val="center"/>
          </w:tcPr>
          <w:p w14:paraId="23FE6C67" w14:textId="374AEC8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1,668</w:t>
            </w:r>
          </w:p>
        </w:tc>
        <w:tc>
          <w:tcPr>
            <w:tcW w:w="1228" w:type="dxa"/>
            <w:noWrap/>
            <w:vAlign w:val="center"/>
          </w:tcPr>
          <w:p w14:paraId="729163FC" w14:textId="1F3F7AD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EB5C012" w14:textId="5061F2E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1,937</w:t>
            </w:r>
          </w:p>
        </w:tc>
      </w:tr>
      <w:tr w:rsidR="00C2579D" w:rsidRPr="00AB625A" w14:paraId="08B51A49"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8310B99" w14:textId="2968971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Maribyrnong City Council</w:t>
            </w:r>
          </w:p>
        </w:tc>
        <w:tc>
          <w:tcPr>
            <w:tcW w:w="1228" w:type="dxa"/>
            <w:noWrap/>
            <w:vAlign w:val="center"/>
          </w:tcPr>
          <w:p w14:paraId="16096121" w14:textId="2C78A0E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95</w:t>
            </w:r>
          </w:p>
        </w:tc>
        <w:tc>
          <w:tcPr>
            <w:tcW w:w="1228" w:type="dxa"/>
            <w:noWrap/>
            <w:vAlign w:val="center"/>
          </w:tcPr>
          <w:p w14:paraId="2AE27FAB" w14:textId="7AA1595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E488535" w14:textId="2AC2629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1,206</w:t>
            </w:r>
          </w:p>
        </w:tc>
        <w:tc>
          <w:tcPr>
            <w:tcW w:w="1228" w:type="dxa"/>
            <w:noWrap/>
            <w:vAlign w:val="center"/>
          </w:tcPr>
          <w:p w14:paraId="4F2B2F89" w14:textId="28A9AF3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6CB84DE" w14:textId="7E4D010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1,301</w:t>
            </w:r>
          </w:p>
        </w:tc>
      </w:tr>
      <w:tr w:rsidR="00C2579D" w:rsidRPr="00AB625A" w14:paraId="00ECA528"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6BE09A2" w14:textId="775ED74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Maroondah City Council</w:t>
            </w:r>
          </w:p>
        </w:tc>
        <w:tc>
          <w:tcPr>
            <w:tcW w:w="1228" w:type="dxa"/>
            <w:noWrap/>
            <w:vAlign w:val="center"/>
          </w:tcPr>
          <w:p w14:paraId="682FD521" w14:textId="3BBE617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1E130D00" w14:textId="044372F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E67684" w14:textId="0C759E0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1,511</w:t>
            </w:r>
          </w:p>
        </w:tc>
        <w:tc>
          <w:tcPr>
            <w:tcW w:w="1228" w:type="dxa"/>
            <w:noWrap/>
            <w:vAlign w:val="center"/>
          </w:tcPr>
          <w:p w14:paraId="335D84AA" w14:textId="71EFBCF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5B73804" w14:textId="173C474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1,511</w:t>
            </w:r>
          </w:p>
        </w:tc>
      </w:tr>
      <w:tr w:rsidR="00C2579D" w:rsidRPr="00AB625A" w14:paraId="4A7C63C6"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1188AFBF" w14:textId="34FABF41"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Melbourne City Council</w:t>
            </w:r>
          </w:p>
        </w:tc>
        <w:tc>
          <w:tcPr>
            <w:tcW w:w="1228" w:type="dxa"/>
            <w:noWrap/>
            <w:vAlign w:val="center"/>
          </w:tcPr>
          <w:p w14:paraId="5DB5605B" w14:textId="075A411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01C02437" w14:textId="39D32EC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33A1005" w14:textId="1287FBC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1,029</w:t>
            </w:r>
          </w:p>
        </w:tc>
        <w:tc>
          <w:tcPr>
            <w:tcW w:w="1228" w:type="dxa"/>
            <w:noWrap/>
            <w:vAlign w:val="center"/>
          </w:tcPr>
          <w:p w14:paraId="258578F2" w14:textId="697CD9F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0C7DA054" w14:textId="05D3C37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1,029</w:t>
            </w:r>
          </w:p>
        </w:tc>
      </w:tr>
      <w:tr w:rsidR="00C2579D" w:rsidRPr="00AB625A" w14:paraId="2E59DD26"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0C71AE" w14:textId="65CF278F"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Melton City Council</w:t>
            </w:r>
          </w:p>
        </w:tc>
        <w:tc>
          <w:tcPr>
            <w:tcW w:w="1228" w:type="dxa"/>
            <w:noWrap/>
            <w:vAlign w:val="center"/>
          </w:tcPr>
          <w:p w14:paraId="3005BCBC" w14:textId="56EB980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659</w:t>
            </w:r>
          </w:p>
        </w:tc>
        <w:tc>
          <w:tcPr>
            <w:tcW w:w="1228" w:type="dxa"/>
            <w:noWrap/>
            <w:vAlign w:val="center"/>
          </w:tcPr>
          <w:p w14:paraId="3FDFCBCA" w14:textId="4C19012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799DF20" w14:textId="2734B6B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5,380</w:t>
            </w:r>
          </w:p>
        </w:tc>
        <w:tc>
          <w:tcPr>
            <w:tcW w:w="1228" w:type="dxa"/>
            <w:noWrap/>
            <w:vAlign w:val="center"/>
          </w:tcPr>
          <w:p w14:paraId="351180D4" w14:textId="6438EC3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B881350" w14:textId="2C52405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6,038</w:t>
            </w:r>
          </w:p>
        </w:tc>
      </w:tr>
      <w:tr w:rsidR="00C2579D" w:rsidRPr="00AB625A" w14:paraId="06E648B8"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4885C2A9" w14:textId="39FF031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Mildura Rural City Council</w:t>
            </w:r>
          </w:p>
        </w:tc>
        <w:tc>
          <w:tcPr>
            <w:tcW w:w="1228" w:type="dxa"/>
            <w:noWrap/>
            <w:vAlign w:val="center"/>
          </w:tcPr>
          <w:p w14:paraId="12FE0DAB" w14:textId="62EB029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567B63D8" w14:textId="6AA8DFD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273</w:t>
            </w:r>
          </w:p>
        </w:tc>
        <w:tc>
          <w:tcPr>
            <w:tcW w:w="1229" w:type="dxa"/>
            <w:noWrap/>
            <w:vAlign w:val="center"/>
          </w:tcPr>
          <w:p w14:paraId="56B24436" w14:textId="6BA1628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1,582</w:t>
            </w:r>
          </w:p>
        </w:tc>
        <w:tc>
          <w:tcPr>
            <w:tcW w:w="1228" w:type="dxa"/>
            <w:noWrap/>
            <w:vAlign w:val="center"/>
          </w:tcPr>
          <w:p w14:paraId="0FEFB74B" w14:textId="42513EC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A576C65" w14:textId="294D99D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1,855</w:t>
            </w:r>
          </w:p>
        </w:tc>
      </w:tr>
      <w:tr w:rsidR="00C2579D" w:rsidRPr="00AB625A" w14:paraId="33C21B92"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B806F38" w14:textId="2A02860C"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Mitchell Shire Council</w:t>
            </w:r>
          </w:p>
        </w:tc>
        <w:tc>
          <w:tcPr>
            <w:tcW w:w="1228" w:type="dxa"/>
            <w:noWrap/>
            <w:vAlign w:val="center"/>
          </w:tcPr>
          <w:p w14:paraId="0398ABF3" w14:textId="4F6100D1"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w:t>
            </w:r>
          </w:p>
        </w:tc>
        <w:tc>
          <w:tcPr>
            <w:tcW w:w="1228" w:type="dxa"/>
            <w:noWrap/>
            <w:vAlign w:val="center"/>
          </w:tcPr>
          <w:p w14:paraId="635B7612" w14:textId="4D29421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6CD71CC" w14:textId="57693CF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1,363</w:t>
            </w:r>
          </w:p>
        </w:tc>
        <w:tc>
          <w:tcPr>
            <w:tcW w:w="1228" w:type="dxa"/>
            <w:noWrap/>
            <w:vAlign w:val="center"/>
          </w:tcPr>
          <w:p w14:paraId="5293701B" w14:textId="0BF657C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D40A335" w14:textId="7B55F22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1,367</w:t>
            </w:r>
          </w:p>
        </w:tc>
      </w:tr>
      <w:tr w:rsidR="00C2579D" w:rsidRPr="00AB625A" w14:paraId="4B1DBA9C"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72F0197E" w14:textId="02733FD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Monash City Council</w:t>
            </w:r>
          </w:p>
        </w:tc>
        <w:tc>
          <w:tcPr>
            <w:tcW w:w="1228" w:type="dxa"/>
            <w:noWrap/>
            <w:vAlign w:val="center"/>
          </w:tcPr>
          <w:p w14:paraId="58A72C42" w14:textId="0BDE663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2CA20D17" w14:textId="74490D6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FDCFB3A" w14:textId="7CD1447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1,789</w:t>
            </w:r>
          </w:p>
        </w:tc>
        <w:tc>
          <w:tcPr>
            <w:tcW w:w="1228" w:type="dxa"/>
            <w:noWrap/>
            <w:vAlign w:val="center"/>
          </w:tcPr>
          <w:p w14:paraId="3B9ED209" w14:textId="4A53AF5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6EC87AC" w14:textId="033BEFF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1,789</w:t>
            </w:r>
          </w:p>
        </w:tc>
      </w:tr>
      <w:tr w:rsidR="00C2579D" w:rsidRPr="00AB625A" w14:paraId="624C3543"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E8CC671" w14:textId="43EB178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Moonee Valley City Council</w:t>
            </w:r>
          </w:p>
        </w:tc>
        <w:tc>
          <w:tcPr>
            <w:tcW w:w="1228" w:type="dxa"/>
            <w:noWrap/>
            <w:vAlign w:val="center"/>
          </w:tcPr>
          <w:p w14:paraId="35D35596" w14:textId="37FC846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591</w:t>
            </w:r>
          </w:p>
        </w:tc>
        <w:tc>
          <w:tcPr>
            <w:tcW w:w="1228" w:type="dxa"/>
            <w:noWrap/>
            <w:vAlign w:val="center"/>
          </w:tcPr>
          <w:p w14:paraId="688BD5C2" w14:textId="38A2D50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79452DC" w14:textId="6D70001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1,346</w:t>
            </w:r>
          </w:p>
        </w:tc>
        <w:tc>
          <w:tcPr>
            <w:tcW w:w="1228" w:type="dxa"/>
            <w:noWrap/>
            <w:vAlign w:val="center"/>
          </w:tcPr>
          <w:p w14:paraId="703BA486" w14:textId="057247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3B23AA62" w14:textId="7CC1482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1,938</w:t>
            </w:r>
          </w:p>
        </w:tc>
      </w:tr>
      <w:tr w:rsidR="00C2579D" w:rsidRPr="00AB625A" w14:paraId="7FA0D634"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20A42601" w14:textId="31297B4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Moreland City Council</w:t>
            </w:r>
          </w:p>
        </w:tc>
        <w:tc>
          <w:tcPr>
            <w:tcW w:w="1228" w:type="dxa"/>
            <w:noWrap/>
            <w:vAlign w:val="center"/>
          </w:tcPr>
          <w:p w14:paraId="068140CB" w14:textId="56BD162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624</w:t>
            </w:r>
          </w:p>
        </w:tc>
        <w:tc>
          <w:tcPr>
            <w:tcW w:w="1228" w:type="dxa"/>
            <w:noWrap/>
            <w:vAlign w:val="center"/>
          </w:tcPr>
          <w:p w14:paraId="26F56C50" w14:textId="6D40FC3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0490890" w14:textId="2F06E9C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2,383</w:t>
            </w:r>
          </w:p>
        </w:tc>
        <w:tc>
          <w:tcPr>
            <w:tcW w:w="1228" w:type="dxa"/>
            <w:noWrap/>
            <w:vAlign w:val="center"/>
          </w:tcPr>
          <w:p w14:paraId="7CDA4B6F" w14:textId="535C242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D8CDA55" w14:textId="3742249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3,006</w:t>
            </w:r>
          </w:p>
        </w:tc>
      </w:tr>
      <w:tr w:rsidR="00C2579D" w:rsidRPr="00AB625A" w14:paraId="6560B5F0"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846753C" w14:textId="2716E283"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Mornington Peninsula Shire Council</w:t>
            </w:r>
          </w:p>
        </w:tc>
        <w:tc>
          <w:tcPr>
            <w:tcW w:w="1228" w:type="dxa"/>
            <w:noWrap/>
            <w:vAlign w:val="center"/>
          </w:tcPr>
          <w:p w14:paraId="52770B6F" w14:textId="746DE86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2C2C92EA" w14:textId="01821FE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50CECC1" w14:textId="4C39C41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1,973</w:t>
            </w:r>
          </w:p>
        </w:tc>
        <w:tc>
          <w:tcPr>
            <w:tcW w:w="1228" w:type="dxa"/>
            <w:noWrap/>
            <w:vAlign w:val="center"/>
          </w:tcPr>
          <w:p w14:paraId="1BE38879" w14:textId="7B39BCB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2F75411" w14:textId="5F25942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1,973</w:t>
            </w:r>
          </w:p>
        </w:tc>
      </w:tr>
      <w:tr w:rsidR="00C2579D" w:rsidRPr="00AB625A" w14:paraId="58A3399C"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A30A702" w14:textId="16B971FE"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Municipal Association </w:t>
            </w:r>
            <w:r w:rsidR="005365DA">
              <w:rPr>
                <w:rFonts w:cs="Arial"/>
                <w:b w:val="0"/>
                <w:bCs w:val="0"/>
                <w:color w:val="000000"/>
                <w:sz w:val="16"/>
                <w:szCs w:val="16"/>
              </w:rPr>
              <w:t>o</w:t>
            </w:r>
            <w:r w:rsidRPr="00C2579D">
              <w:rPr>
                <w:rFonts w:cs="Arial"/>
                <w:b w:val="0"/>
                <w:bCs w:val="0"/>
                <w:color w:val="000000"/>
                <w:sz w:val="16"/>
                <w:szCs w:val="16"/>
              </w:rPr>
              <w:t>f Victoria</w:t>
            </w:r>
          </w:p>
        </w:tc>
        <w:tc>
          <w:tcPr>
            <w:tcW w:w="1228" w:type="dxa"/>
            <w:noWrap/>
            <w:vAlign w:val="center"/>
          </w:tcPr>
          <w:p w14:paraId="2875A90E" w14:textId="2108C80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5D8C14FB" w14:textId="65FE6D2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20DBD92" w14:textId="2A26A75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40</w:t>
            </w:r>
          </w:p>
        </w:tc>
        <w:tc>
          <w:tcPr>
            <w:tcW w:w="1228" w:type="dxa"/>
            <w:noWrap/>
            <w:vAlign w:val="center"/>
          </w:tcPr>
          <w:p w14:paraId="442E6274" w14:textId="27EF898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1,793</w:t>
            </w:r>
          </w:p>
        </w:tc>
        <w:tc>
          <w:tcPr>
            <w:tcW w:w="1229" w:type="dxa"/>
            <w:noWrap/>
            <w:vAlign w:val="center"/>
          </w:tcPr>
          <w:p w14:paraId="4283E2DE" w14:textId="2B7BEBB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1,833</w:t>
            </w:r>
          </w:p>
        </w:tc>
      </w:tr>
      <w:tr w:rsidR="00C2579D" w:rsidRPr="00AB625A" w14:paraId="323F5FCE"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283145A" w14:textId="135415C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Rural City </w:t>
            </w:r>
            <w:r w:rsidR="005365DA">
              <w:rPr>
                <w:rFonts w:cs="Arial"/>
                <w:b w:val="0"/>
                <w:bCs w:val="0"/>
                <w:color w:val="000000"/>
                <w:sz w:val="16"/>
                <w:szCs w:val="16"/>
              </w:rPr>
              <w:t>o</w:t>
            </w:r>
            <w:r w:rsidRPr="00C2579D">
              <w:rPr>
                <w:rFonts w:cs="Arial"/>
                <w:b w:val="0"/>
                <w:bCs w:val="0"/>
                <w:color w:val="000000"/>
                <w:sz w:val="16"/>
                <w:szCs w:val="16"/>
              </w:rPr>
              <w:t>f Wangaratta</w:t>
            </w:r>
          </w:p>
        </w:tc>
        <w:tc>
          <w:tcPr>
            <w:tcW w:w="1228" w:type="dxa"/>
            <w:noWrap/>
            <w:vAlign w:val="center"/>
          </w:tcPr>
          <w:p w14:paraId="58BA9935" w14:textId="30099D4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202</w:t>
            </w:r>
          </w:p>
        </w:tc>
        <w:tc>
          <w:tcPr>
            <w:tcW w:w="1228" w:type="dxa"/>
            <w:noWrap/>
            <w:vAlign w:val="center"/>
          </w:tcPr>
          <w:p w14:paraId="1B4E74DE" w14:textId="7BE3580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237</w:t>
            </w:r>
          </w:p>
        </w:tc>
        <w:tc>
          <w:tcPr>
            <w:tcW w:w="1229" w:type="dxa"/>
            <w:noWrap/>
            <w:vAlign w:val="center"/>
          </w:tcPr>
          <w:p w14:paraId="2BE63693" w14:textId="5BB4D6F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575</w:t>
            </w:r>
          </w:p>
        </w:tc>
        <w:tc>
          <w:tcPr>
            <w:tcW w:w="1228" w:type="dxa"/>
            <w:noWrap/>
            <w:vAlign w:val="center"/>
          </w:tcPr>
          <w:p w14:paraId="39C87BA5" w14:textId="09CB37F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3C4567" w14:textId="43A7941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1,013</w:t>
            </w:r>
          </w:p>
        </w:tc>
      </w:tr>
      <w:tr w:rsidR="00C2579D" w:rsidRPr="00AB625A" w14:paraId="64CA1C1F"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44B1E14" w14:textId="3A1E88D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The City </w:t>
            </w:r>
            <w:r w:rsidR="005365DA">
              <w:rPr>
                <w:rFonts w:cs="Arial"/>
                <w:b w:val="0"/>
                <w:bCs w:val="0"/>
                <w:color w:val="000000"/>
                <w:sz w:val="16"/>
                <w:szCs w:val="16"/>
              </w:rPr>
              <w:t>o</w:t>
            </w:r>
            <w:r w:rsidRPr="00C2579D">
              <w:rPr>
                <w:rFonts w:cs="Arial"/>
                <w:b w:val="0"/>
                <w:bCs w:val="0"/>
                <w:color w:val="000000"/>
                <w:sz w:val="16"/>
                <w:szCs w:val="16"/>
              </w:rPr>
              <w:t>f Greater Dandenong</w:t>
            </w:r>
          </w:p>
        </w:tc>
        <w:tc>
          <w:tcPr>
            <w:tcW w:w="1228" w:type="dxa"/>
            <w:noWrap/>
            <w:vAlign w:val="center"/>
          </w:tcPr>
          <w:p w14:paraId="4062BDE5" w14:textId="6184012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1,346</w:t>
            </w:r>
          </w:p>
        </w:tc>
        <w:tc>
          <w:tcPr>
            <w:tcW w:w="1228" w:type="dxa"/>
            <w:noWrap/>
            <w:vAlign w:val="center"/>
          </w:tcPr>
          <w:p w14:paraId="70B6532E" w14:textId="2938E59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1DA20420" w14:textId="202DEDF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2,878</w:t>
            </w:r>
          </w:p>
        </w:tc>
        <w:tc>
          <w:tcPr>
            <w:tcW w:w="1228" w:type="dxa"/>
            <w:noWrap/>
            <w:vAlign w:val="center"/>
          </w:tcPr>
          <w:p w14:paraId="6B84EF34" w14:textId="109FF20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5D984D7" w14:textId="1D10108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4,224</w:t>
            </w:r>
          </w:p>
        </w:tc>
      </w:tr>
      <w:tr w:rsidR="00C2579D" w:rsidRPr="00AB625A" w14:paraId="675558A2"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8A5C04E" w14:textId="7892721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Whitehorse City Council</w:t>
            </w:r>
          </w:p>
        </w:tc>
        <w:tc>
          <w:tcPr>
            <w:tcW w:w="1228" w:type="dxa"/>
            <w:noWrap/>
            <w:vAlign w:val="center"/>
          </w:tcPr>
          <w:p w14:paraId="31772559" w14:textId="3291E24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3B7A8A5A" w14:textId="0C50635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671A6A98" w14:textId="252F077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1,520</w:t>
            </w:r>
          </w:p>
        </w:tc>
        <w:tc>
          <w:tcPr>
            <w:tcW w:w="1228" w:type="dxa"/>
            <w:noWrap/>
            <w:vAlign w:val="center"/>
          </w:tcPr>
          <w:p w14:paraId="7B78497E" w14:textId="00D270D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0A865C7" w14:textId="183E1B8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1,520</w:t>
            </w:r>
          </w:p>
        </w:tc>
      </w:tr>
      <w:tr w:rsidR="00C2579D" w:rsidRPr="00AB625A" w14:paraId="568B11C0"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0363AC8" w14:textId="3CC4AB9E"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Whittlesea City Council</w:t>
            </w:r>
          </w:p>
        </w:tc>
        <w:tc>
          <w:tcPr>
            <w:tcW w:w="1228" w:type="dxa"/>
            <w:noWrap/>
            <w:vAlign w:val="center"/>
          </w:tcPr>
          <w:p w14:paraId="20BDD11A" w14:textId="5FF89B3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926</w:t>
            </w:r>
          </w:p>
        </w:tc>
        <w:tc>
          <w:tcPr>
            <w:tcW w:w="1228" w:type="dxa"/>
            <w:noWrap/>
            <w:vAlign w:val="center"/>
          </w:tcPr>
          <w:p w14:paraId="2EEC7719" w14:textId="5F67B6D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40A1B74C" w14:textId="28DE4DD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4,697</w:t>
            </w:r>
          </w:p>
        </w:tc>
        <w:tc>
          <w:tcPr>
            <w:tcW w:w="1228" w:type="dxa"/>
            <w:noWrap/>
            <w:vAlign w:val="center"/>
          </w:tcPr>
          <w:p w14:paraId="1701C7D0" w14:textId="79812DD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A5B2AF0" w14:textId="735D14F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5,967</w:t>
            </w:r>
          </w:p>
        </w:tc>
      </w:tr>
      <w:tr w:rsidR="00C2579D" w:rsidRPr="00AB625A" w14:paraId="164E4D4A"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034E76A" w14:textId="38603C3B"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Wyndham City Council</w:t>
            </w:r>
          </w:p>
        </w:tc>
        <w:tc>
          <w:tcPr>
            <w:tcW w:w="1228" w:type="dxa"/>
            <w:noWrap/>
            <w:vAlign w:val="center"/>
          </w:tcPr>
          <w:p w14:paraId="7875BF49" w14:textId="33DFF6F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05102506" w14:textId="44C3A5D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7691B10" w14:textId="5EF37D7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8,047</w:t>
            </w:r>
          </w:p>
        </w:tc>
        <w:tc>
          <w:tcPr>
            <w:tcW w:w="1228" w:type="dxa"/>
            <w:noWrap/>
            <w:vAlign w:val="center"/>
          </w:tcPr>
          <w:p w14:paraId="76402461" w14:textId="3A38A80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5C088D7" w14:textId="3E2257B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8,047</w:t>
            </w:r>
          </w:p>
        </w:tc>
      </w:tr>
      <w:tr w:rsidR="00C2579D" w:rsidRPr="00AB625A" w14:paraId="324BEE63"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4F7D7AA" w14:textId="7D644E9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Yarra Ranges Shire Council</w:t>
            </w:r>
          </w:p>
        </w:tc>
        <w:tc>
          <w:tcPr>
            <w:tcW w:w="1228" w:type="dxa"/>
            <w:noWrap/>
            <w:vAlign w:val="center"/>
          </w:tcPr>
          <w:p w14:paraId="41C5F47A" w14:textId="0C2744F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31</w:t>
            </w:r>
          </w:p>
        </w:tc>
        <w:tc>
          <w:tcPr>
            <w:tcW w:w="1228" w:type="dxa"/>
            <w:noWrap/>
            <w:vAlign w:val="center"/>
          </w:tcPr>
          <w:p w14:paraId="6BF8CDCD" w14:textId="0B25818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2FC34D2" w14:textId="598D1FA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2,418</w:t>
            </w:r>
          </w:p>
        </w:tc>
        <w:tc>
          <w:tcPr>
            <w:tcW w:w="1228" w:type="dxa"/>
            <w:noWrap/>
            <w:vAlign w:val="center"/>
          </w:tcPr>
          <w:p w14:paraId="60834629" w14:textId="75A87EC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72785FC" w14:textId="1605244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2,449</w:t>
            </w:r>
          </w:p>
        </w:tc>
      </w:tr>
      <w:tr w:rsidR="00B25DA3" w:rsidRPr="00AB625A" w14:paraId="7F942F86"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0AB2FDEC" w14:textId="229BC20F" w:rsidR="00B25DA3" w:rsidRPr="00B25DA3" w:rsidRDefault="00B25DA3" w:rsidP="00B25DA3">
            <w:pPr>
              <w:pStyle w:val="Tabletext8pt"/>
              <w:rPr>
                <w:rFonts w:cs="Arial"/>
                <w:b w:val="0"/>
                <w:bCs w:val="0"/>
                <w:sz w:val="16"/>
                <w:szCs w:val="16"/>
              </w:rPr>
            </w:pPr>
            <w:r w:rsidRPr="00B25DA3">
              <w:rPr>
                <w:rFonts w:cs="Arial"/>
                <w:b w:val="0"/>
                <w:bCs w:val="0"/>
                <w:color w:val="000000"/>
                <w:sz w:val="16"/>
                <w:szCs w:val="16"/>
              </w:rPr>
              <w:t>All other organisations (&lt;$1 m)</w:t>
            </w:r>
          </w:p>
        </w:tc>
        <w:tc>
          <w:tcPr>
            <w:tcW w:w="1228" w:type="dxa"/>
            <w:noWrap/>
            <w:vAlign w:val="center"/>
          </w:tcPr>
          <w:p w14:paraId="6E6B03E1" w14:textId="4C70802E"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769</w:t>
            </w:r>
          </w:p>
        </w:tc>
        <w:tc>
          <w:tcPr>
            <w:tcW w:w="1228" w:type="dxa"/>
            <w:noWrap/>
            <w:vAlign w:val="center"/>
          </w:tcPr>
          <w:p w14:paraId="57F20381" w14:textId="12F25089"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474</w:t>
            </w:r>
          </w:p>
        </w:tc>
        <w:tc>
          <w:tcPr>
            <w:tcW w:w="1229" w:type="dxa"/>
            <w:noWrap/>
            <w:vAlign w:val="center"/>
          </w:tcPr>
          <w:p w14:paraId="7A7D544F" w14:textId="750859DA"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18,243</w:t>
            </w:r>
          </w:p>
        </w:tc>
        <w:tc>
          <w:tcPr>
            <w:tcW w:w="1228" w:type="dxa"/>
            <w:noWrap/>
            <w:vAlign w:val="center"/>
          </w:tcPr>
          <w:p w14:paraId="351862D8" w14:textId="45DC9C7B"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394D3F6" w14:textId="5C6C0857"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19,486</w:t>
            </w:r>
          </w:p>
        </w:tc>
      </w:tr>
      <w:tr w:rsidR="00B25DA3" w:rsidRPr="00AB625A" w14:paraId="4580BF4D"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6D89680E" w14:textId="3788CD18" w:rsidR="00B25DA3" w:rsidRPr="00B25DA3" w:rsidRDefault="00B25DA3" w:rsidP="00B25DA3">
            <w:pPr>
              <w:pStyle w:val="Tabletext8pt"/>
              <w:rPr>
                <w:rFonts w:cs="Arial"/>
                <w:b w:val="0"/>
                <w:bCs w:val="0"/>
                <w:color w:val="000000"/>
                <w:sz w:val="16"/>
                <w:szCs w:val="16"/>
              </w:rPr>
            </w:pPr>
            <w:r w:rsidRPr="00B25DA3">
              <w:rPr>
                <w:rFonts w:cs="Arial"/>
                <w:b w:val="0"/>
                <w:bCs w:val="0"/>
                <w:color w:val="000000"/>
                <w:sz w:val="16"/>
                <w:szCs w:val="16"/>
              </w:rPr>
              <w:t>Grand Total</w:t>
            </w:r>
          </w:p>
        </w:tc>
        <w:tc>
          <w:tcPr>
            <w:tcW w:w="1228" w:type="dxa"/>
            <w:noWrap/>
            <w:vAlign w:val="center"/>
          </w:tcPr>
          <w:p w14:paraId="4B69D06E" w14:textId="1630E33E"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11,471</w:t>
            </w:r>
          </w:p>
        </w:tc>
        <w:tc>
          <w:tcPr>
            <w:tcW w:w="1228" w:type="dxa"/>
            <w:noWrap/>
            <w:vAlign w:val="center"/>
          </w:tcPr>
          <w:p w14:paraId="356DE2CE" w14:textId="6C8A8CF9"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2,969</w:t>
            </w:r>
          </w:p>
        </w:tc>
        <w:tc>
          <w:tcPr>
            <w:tcW w:w="1229" w:type="dxa"/>
            <w:noWrap/>
            <w:vAlign w:val="center"/>
          </w:tcPr>
          <w:p w14:paraId="53A2C051" w14:textId="1A4F294A"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108,581</w:t>
            </w:r>
          </w:p>
        </w:tc>
        <w:tc>
          <w:tcPr>
            <w:tcW w:w="1228" w:type="dxa"/>
            <w:noWrap/>
            <w:vAlign w:val="center"/>
          </w:tcPr>
          <w:p w14:paraId="25B8C835" w14:textId="69EFC709"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3,587</w:t>
            </w:r>
          </w:p>
        </w:tc>
        <w:tc>
          <w:tcPr>
            <w:tcW w:w="1229" w:type="dxa"/>
            <w:noWrap/>
            <w:vAlign w:val="center"/>
          </w:tcPr>
          <w:p w14:paraId="3CE5587E" w14:textId="2EB3853A"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126,609</w:t>
            </w:r>
          </w:p>
        </w:tc>
      </w:tr>
    </w:tbl>
    <w:p w14:paraId="63134ADC" w14:textId="77777777" w:rsidR="005B699B" w:rsidRPr="00E00C4E" w:rsidRDefault="005B699B" w:rsidP="000723BA">
      <w:pPr>
        <w:pStyle w:val="Body"/>
      </w:pPr>
      <w:r w:rsidRPr="00E00C4E">
        <w:br w:type="page"/>
      </w:r>
    </w:p>
    <w:p w14:paraId="762BBE66" w14:textId="574893FE" w:rsidR="005B699B" w:rsidRPr="00494D61" w:rsidRDefault="005B699B" w:rsidP="005D7D2C">
      <w:pPr>
        <w:pStyle w:val="Heading2"/>
        <w:numPr>
          <w:ilvl w:val="1"/>
          <w:numId w:val="12"/>
        </w:numPr>
        <w:ind w:left="851" w:hanging="851"/>
      </w:pPr>
      <w:bookmarkStart w:id="2450" w:name="_Toc144905675"/>
      <w:bookmarkStart w:id="2451" w:name="_Toc111713623"/>
      <w:bookmarkStart w:id="2452" w:name="_Toc111713624"/>
      <w:bookmarkStart w:id="2453" w:name="_Toc12780662"/>
      <w:bookmarkStart w:id="2454" w:name="_Toc14172303"/>
      <w:bookmarkStart w:id="2455" w:name="_Toc33703977"/>
      <w:bookmarkStart w:id="2456" w:name="_Toc55381165"/>
      <w:bookmarkStart w:id="2457" w:name="_Toc100263371"/>
      <w:bookmarkStart w:id="2458" w:name="_Toc165961867"/>
      <w:bookmarkStart w:id="2459" w:name="_Toc201148295"/>
      <w:bookmarkStart w:id="2460" w:name="_Hlk170302304"/>
      <w:bookmarkEnd w:id="2450"/>
      <w:bookmarkEnd w:id="2451"/>
      <w:bookmarkEnd w:id="2452"/>
      <w:r w:rsidRPr="00494D61">
        <w:t>Non-</w:t>
      </w:r>
      <w:r>
        <w:t>g</w:t>
      </w:r>
      <w:r w:rsidRPr="00494D61">
        <w:t xml:space="preserve">overnment </w:t>
      </w:r>
      <w:bookmarkEnd w:id="2453"/>
      <w:bookmarkEnd w:id="2454"/>
      <w:bookmarkEnd w:id="2455"/>
      <w:bookmarkEnd w:id="2456"/>
      <w:r w:rsidRPr="00295CB9">
        <w:t>providers</w:t>
      </w:r>
      <w:r w:rsidRPr="00494D61">
        <w:t xml:space="preserve"> </w:t>
      </w:r>
      <w:bookmarkEnd w:id="2457"/>
      <w:r w:rsidRPr="00494D61">
        <w:t>202</w:t>
      </w:r>
      <w:r w:rsidR="000C0EF6">
        <w:t>5</w:t>
      </w:r>
      <w:r w:rsidRPr="00494D61">
        <w:t>–2</w:t>
      </w:r>
      <w:bookmarkEnd w:id="2458"/>
      <w:r w:rsidR="000C0EF6">
        <w:t>6</w:t>
      </w:r>
      <w:bookmarkEnd w:id="2459"/>
    </w:p>
    <w:bookmarkEnd w:id="2460"/>
    <w:p w14:paraId="74B50B38" w14:textId="77777777" w:rsidR="00541C64" w:rsidRPr="00541C64" w:rsidRDefault="00541C64" w:rsidP="00473B41">
      <w:pPr>
        <w:pStyle w:val="Tablefigurenote9pt"/>
      </w:pPr>
      <w:r w:rsidRPr="00667416">
        <w:t>Notes</w:t>
      </w:r>
    </w:p>
    <w:p w14:paraId="7F8E7B74" w14:textId="69D20759" w:rsidR="00541C64" w:rsidRPr="00494D61" w:rsidRDefault="7AADADFD" w:rsidP="00473B41">
      <w:pPr>
        <w:pStyle w:val="Tablebullet9pt"/>
      </w:pPr>
      <w:r>
        <w:t xml:space="preserve">This table shows the health funding to </w:t>
      </w:r>
      <w:r w:rsidR="5169BC3A">
        <w:t>non-government providers</w:t>
      </w:r>
      <w:r>
        <w:t xml:space="preserve"> that receive &gt; $1 million from specific health outputs.</w:t>
      </w:r>
    </w:p>
    <w:p w14:paraId="607C4C9E" w14:textId="77777777" w:rsidR="00541C64" w:rsidRPr="00A67ABC" w:rsidRDefault="00541C64" w:rsidP="00473B41">
      <w:pPr>
        <w:pStyle w:val="Tablebullet9pt"/>
        <w:rPr>
          <w:b/>
        </w:rPr>
      </w:pPr>
      <w:r w:rsidRPr="00A67ABC">
        <w:t>Subtotals and totals may not add up due to rounding.</w:t>
      </w:r>
    </w:p>
    <w:p w14:paraId="7E6CFC4A" w14:textId="7D38EB95" w:rsidR="005B699B" w:rsidRPr="00E00C4E" w:rsidRDefault="00462DC7" w:rsidP="00297FC9">
      <w:pPr>
        <w:pStyle w:val="Tablecaption"/>
      </w:pPr>
      <w:bookmarkStart w:id="2461" w:name="_Toc12780566"/>
      <w:bookmarkStart w:id="2462" w:name="_Toc14194822"/>
      <w:bookmarkStart w:id="2463" w:name="_Toc33704003"/>
      <w:bookmarkStart w:id="2464" w:name="_Toc109894133"/>
      <w:bookmarkStart w:id="2465" w:name="_Toc201148593"/>
      <w:bookmarkStart w:id="2466" w:name="_Hlk170300349"/>
      <w:r w:rsidRPr="00E00C4E">
        <w:t xml:space="preserve">Table </w:t>
      </w:r>
      <w:r w:rsidR="00D72666">
        <w:t>2</w:t>
      </w:r>
      <w:r w:rsidR="000E0ED2">
        <w:t>.</w:t>
      </w:r>
      <w:r>
        <w:fldChar w:fldCharType="begin"/>
      </w:r>
      <w:r>
        <w:instrText>SEQ Table \* ARABIC \s 1</w:instrText>
      </w:r>
      <w:r>
        <w:fldChar w:fldCharType="separate"/>
      </w:r>
      <w:r w:rsidR="007D262B">
        <w:rPr>
          <w:noProof/>
        </w:rPr>
        <w:t>7</w:t>
      </w:r>
      <w:r>
        <w:fldChar w:fldCharType="end"/>
      </w:r>
      <w:r w:rsidRPr="00E00C4E">
        <w:t xml:space="preserve">: </w:t>
      </w:r>
      <w:r w:rsidR="005B699B" w:rsidRPr="00E00C4E">
        <w:t xml:space="preserve">Non-government providers </w:t>
      </w:r>
      <w:bookmarkEnd w:id="2461"/>
      <w:bookmarkEnd w:id="2462"/>
      <w:bookmarkEnd w:id="2463"/>
      <w:bookmarkEnd w:id="2464"/>
      <w:r w:rsidR="005B699B" w:rsidRPr="00E00C4E">
        <w:t>202</w:t>
      </w:r>
      <w:r w:rsidR="000C0EF6">
        <w:t>5</w:t>
      </w:r>
      <w:r w:rsidR="005B699B" w:rsidRPr="00E00C4E">
        <w:t>–2</w:t>
      </w:r>
      <w:r w:rsidR="000C0EF6">
        <w:t>6</w:t>
      </w:r>
      <w:r w:rsidR="005B699B" w:rsidRPr="00E00C4E">
        <w:t xml:space="preserve"> – $’000s</w:t>
      </w:r>
      <w:bookmarkEnd w:id="2465"/>
    </w:p>
    <w:tbl>
      <w:tblPr>
        <w:tblStyle w:val="GridTable4-Accent1"/>
        <w:tblW w:w="9668" w:type="dxa"/>
        <w:tblInd w:w="-147" w:type="dxa"/>
        <w:tblLayout w:type="fixed"/>
        <w:tblLook w:val="04A0" w:firstRow="1" w:lastRow="0" w:firstColumn="1" w:lastColumn="0" w:noHBand="0" w:noVBand="1"/>
      </w:tblPr>
      <w:tblGrid>
        <w:gridCol w:w="2778"/>
        <w:gridCol w:w="861"/>
        <w:gridCol w:w="861"/>
        <w:gridCol w:w="861"/>
        <w:gridCol w:w="861"/>
        <w:gridCol w:w="862"/>
        <w:gridCol w:w="861"/>
        <w:gridCol w:w="861"/>
        <w:gridCol w:w="862"/>
      </w:tblGrid>
      <w:tr w:rsidR="00CC02E9" w:rsidRPr="00A31C1F" w14:paraId="3718484E" w14:textId="77777777" w:rsidTr="002560E2">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2778" w:type="dxa"/>
            <w:noWrap/>
            <w:hideMark/>
          </w:tcPr>
          <w:p w14:paraId="05521342" w14:textId="4FE4E2CD" w:rsidR="002E45CA" w:rsidRPr="00257223" w:rsidRDefault="002E45CA" w:rsidP="00473B41">
            <w:pPr>
              <w:pStyle w:val="Tablecolhead8pt"/>
              <w:rPr>
                <w:b/>
                <w:bCs w:val="0"/>
                <w:color w:val="FFFFFF" w:themeColor="background1"/>
              </w:rPr>
            </w:pPr>
            <w:r w:rsidRPr="00257223">
              <w:rPr>
                <w:b/>
                <w:bCs w:val="0"/>
                <w:color w:val="FFFFFF" w:themeColor="background1"/>
              </w:rPr>
              <w:t>Health service</w:t>
            </w:r>
          </w:p>
        </w:tc>
        <w:tc>
          <w:tcPr>
            <w:tcW w:w="861" w:type="dxa"/>
          </w:tcPr>
          <w:p w14:paraId="344C5BC8" w14:textId="1ADDAE90"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Acute health services</w:t>
            </w:r>
          </w:p>
        </w:tc>
        <w:tc>
          <w:tcPr>
            <w:tcW w:w="861" w:type="dxa"/>
            <w:hideMark/>
          </w:tcPr>
          <w:p w14:paraId="3E46648C" w14:textId="457E86DB"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Ageing, aged and home care</w:t>
            </w:r>
          </w:p>
        </w:tc>
        <w:tc>
          <w:tcPr>
            <w:tcW w:w="861" w:type="dxa"/>
          </w:tcPr>
          <w:p w14:paraId="5BD290CC" w14:textId="77777777" w:rsidR="002E45CA"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2025-23</w:t>
            </w:r>
          </w:p>
          <w:p w14:paraId="070A520F" w14:textId="4D3B9434" w:rsidR="002E45CA"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Ambulance Services</w:t>
            </w:r>
          </w:p>
        </w:tc>
        <w:tc>
          <w:tcPr>
            <w:tcW w:w="861" w:type="dxa"/>
            <w:hideMark/>
          </w:tcPr>
          <w:p w14:paraId="2D8C2507" w14:textId="7D35765A"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Drugs services</w:t>
            </w:r>
          </w:p>
        </w:tc>
        <w:tc>
          <w:tcPr>
            <w:tcW w:w="862" w:type="dxa"/>
            <w:hideMark/>
          </w:tcPr>
          <w:p w14:paraId="74755309" w14:textId="34017F3F"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Mental health</w:t>
            </w:r>
          </w:p>
        </w:tc>
        <w:tc>
          <w:tcPr>
            <w:tcW w:w="861" w:type="dxa"/>
            <w:hideMark/>
          </w:tcPr>
          <w:p w14:paraId="53FF63C6" w14:textId="387B6915"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Primary and dental health</w:t>
            </w:r>
          </w:p>
        </w:tc>
        <w:tc>
          <w:tcPr>
            <w:tcW w:w="861" w:type="dxa"/>
            <w:hideMark/>
          </w:tcPr>
          <w:p w14:paraId="07A3852A" w14:textId="717B1242"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Public health</w:t>
            </w:r>
          </w:p>
        </w:tc>
        <w:tc>
          <w:tcPr>
            <w:tcW w:w="862" w:type="dxa"/>
            <w:hideMark/>
          </w:tcPr>
          <w:p w14:paraId="273854C1" w14:textId="197860B2"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Total</w:t>
            </w:r>
          </w:p>
        </w:tc>
      </w:tr>
      <w:tr w:rsidR="00CC02E9" w:rsidRPr="00B469AB" w14:paraId="7BEBFB7B"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99AAA29" w14:textId="5C1D4D8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Anglican Aged Care Services Group</w:t>
            </w:r>
          </w:p>
        </w:tc>
        <w:tc>
          <w:tcPr>
            <w:tcW w:w="861" w:type="dxa"/>
            <w:vAlign w:val="center"/>
          </w:tcPr>
          <w:p w14:paraId="47B8EF06" w14:textId="3F60BA6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EFA68E7" w14:textId="6DD48A3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482</w:t>
            </w:r>
          </w:p>
        </w:tc>
        <w:tc>
          <w:tcPr>
            <w:tcW w:w="861" w:type="dxa"/>
            <w:vAlign w:val="center"/>
          </w:tcPr>
          <w:p w14:paraId="5F441935"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79758EE" w14:textId="2D10240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43B9BC5" w14:textId="28B6702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DD3B153" w14:textId="0DC81CE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725</w:t>
            </w:r>
          </w:p>
        </w:tc>
        <w:tc>
          <w:tcPr>
            <w:tcW w:w="861" w:type="dxa"/>
            <w:noWrap/>
            <w:vAlign w:val="center"/>
          </w:tcPr>
          <w:p w14:paraId="6D46B868" w14:textId="75EF369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D1D6657" w14:textId="510A972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1,207</w:t>
            </w:r>
          </w:p>
        </w:tc>
      </w:tr>
      <w:tr w:rsidR="003C047A" w:rsidRPr="00B469AB" w14:paraId="6421F10B"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71BA2C2" w14:textId="16B723D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Anglicare Victoria</w:t>
            </w:r>
          </w:p>
        </w:tc>
        <w:tc>
          <w:tcPr>
            <w:tcW w:w="861" w:type="dxa"/>
            <w:vAlign w:val="center"/>
          </w:tcPr>
          <w:p w14:paraId="17E11CA8" w14:textId="2CD2FE6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51FE00" w14:textId="687A09B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3149739"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98A0637" w14:textId="5C6C90F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1,374</w:t>
            </w:r>
          </w:p>
        </w:tc>
        <w:tc>
          <w:tcPr>
            <w:tcW w:w="862" w:type="dxa"/>
            <w:noWrap/>
            <w:vAlign w:val="center"/>
          </w:tcPr>
          <w:p w14:paraId="4F1D3902" w14:textId="4C028C9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1,611</w:t>
            </w:r>
          </w:p>
        </w:tc>
        <w:tc>
          <w:tcPr>
            <w:tcW w:w="861" w:type="dxa"/>
            <w:noWrap/>
            <w:vAlign w:val="center"/>
          </w:tcPr>
          <w:p w14:paraId="2F20D114" w14:textId="66DCC7F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901AD75" w14:textId="7DEC21E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0681607" w14:textId="18D7E7B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2,986</w:t>
            </w:r>
          </w:p>
        </w:tc>
      </w:tr>
      <w:tr w:rsidR="00CC02E9" w:rsidRPr="00B469AB" w14:paraId="4A17E4D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5291F6C" w14:textId="2F813434"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Arbias Limited</w:t>
            </w:r>
          </w:p>
        </w:tc>
        <w:tc>
          <w:tcPr>
            <w:tcW w:w="861" w:type="dxa"/>
            <w:vAlign w:val="center"/>
          </w:tcPr>
          <w:p w14:paraId="639F3E0C" w14:textId="05AE0ED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76A33C8" w14:textId="0E5C00C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629</w:t>
            </w:r>
          </w:p>
        </w:tc>
        <w:tc>
          <w:tcPr>
            <w:tcW w:w="861" w:type="dxa"/>
            <w:vAlign w:val="center"/>
          </w:tcPr>
          <w:p w14:paraId="119B1E2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515E11" w14:textId="1F18B31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C9286EB" w14:textId="7A96C28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591</w:t>
            </w:r>
          </w:p>
        </w:tc>
        <w:tc>
          <w:tcPr>
            <w:tcW w:w="861" w:type="dxa"/>
            <w:noWrap/>
            <w:vAlign w:val="center"/>
          </w:tcPr>
          <w:p w14:paraId="7C4ECFEA" w14:textId="6C03B6C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68B4F72" w14:textId="7E966DEA"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973C9F7" w14:textId="04B1DF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1,220</w:t>
            </w:r>
          </w:p>
        </w:tc>
      </w:tr>
      <w:tr w:rsidR="003C047A" w:rsidRPr="00B469AB" w14:paraId="0143F96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1B208D6" w14:textId="4D774555"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Australian Centre </w:t>
            </w:r>
            <w:r w:rsidR="00F3767A">
              <w:rPr>
                <w:rFonts w:cs="Arial"/>
                <w:b w:val="0"/>
                <w:bCs w:val="0"/>
                <w:color w:val="000000"/>
                <w:sz w:val="16"/>
                <w:szCs w:val="16"/>
              </w:rPr>
              <w:t>f</w:t>
            </w:r>
            <w:r w:rsidRPr="002560E2">
              <w:rPr>
                <w:rFonts w:cs="Arial"/>
                <w:b w:val="0"/>
                <w:bCs w:val="0"/>
                <w:color w:val="000000"/>
                <w:sz w:val="16"/>
                <w:szCs w:val="16"/>
              </w:rPr>
              <w:t xml:space="preserve">or Grief </w:t>
            </w:r>
            <w:r w:rsidR="00F3767A">
              <w:rPr>
                <w:rFonts w:cs="Arial"/>
                <w:b w:val="0"/>
                <w:bCs w:val="0"/>
                <w:color w:val="000000"/>
                <w:sz w:val="16"/>
                <w:szCs w:val="16"/>
              </w:rPr>
              <w:t>a</w:t>
            </w:r>
            <w:r w:rsidRPr="002560E2">
              <w:rPr>
                <w:rFonts w:cs="Arial"/>
                <w:b w:val="0"/>
                <w:bCs w:val="0"/>
                <w:color w:val="000000"/>
                <w:sz w:val="16"/>
                <w:szCs w:val="16"/>
              </w:rPr>
              <w:t>nd Bereavement Inc</w:t>
            </w:r>
          </w:p>
        </w:tc>
        <w:tc>
          <w:tcPr>
            <w:tcW w:w="861" w:type="dxa"/>
            <w:vAlign w:val="center"/>
          </w:tcPr>
          <w:p w14:paraId="767D81EC" w14:textId="45FA79A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2,107</w:t>
            </w:r>
          </w:p>
        </w:tc>
        <w:tc>
          <w:tcPr>
            <w:tcW w:w="861" w:type="dxa"/>
            <w:noWrap/>
            <w:vAlign w:val="center"/>
          </w:tcPr>
          <w:p w14:paraId="6AEE1E88" w14:textId="2CC5C1A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908B74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C16431D" w14:textId="525D1C0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D19852E" w14:textId="6DD7A6F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71700CA" w14:textId="1E884BF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8861F5F" w14:textId="3D2DBBB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6E5F20" w14:textId="351ABDB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2,107</w:t>
            </w:r>
          </w:p>
        </w:tc>
      </w:tr>
      <w:tr w:rsidR="00CC02E9" w:rsidRPr="00B469AB" w14:paraId="397A9EF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7C4001F" w14:textId="1C790211"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Australian College </w:t>
            </w:r>
            <w:r w:rsidR="00F3767A">
              <w:rPr>
                <w:rFonts w:cs="Arial"/>
                <w:b w:val="0"/>
                <w:bCs w:val="0"/>
                <w:color w:val="000000"/>
                <w:sz w:val="16"/>
                <w:szCs w:val="16"/>
              </w:rPr>
              <w:t>o</w:t>
            </w:r>
            <w:r w:rsidRPr="002560E2">
              <w:rPr>
                <w:rFonts w:cs="Arial"/>
                <w:b w:val="0"/>
                <w:bCs w:val="0"/>
                <w:color w:val="000000"/>
                <w:sz w:val="16"/>
                <w:szCs w:val="16"/>
              </w:rPr>
              <w:t>f Optometry</w:t>
            </w:r>
          </w:p>
        </w:tc>
        <w:tc>
          <w:tcPr>
            <w:tcW w:w="861" w:type="dxa"/>
            <w:vAlign w:val="center"/>
          </w:tcPr>
          <w:p w14:paraId="0BC34C1C" w14:textId="5A80A8D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FF4A16" w14:textId="0D70DB8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7,661</w:t>
            </w:r>
          </w:p>
        </w:tc>
        <w:tc>
          <w:tcPr>
            <w:tcW w:w="861" w:type="dxa"/>
            <w:vAlign w:val="center"/>
          </w:tcPr>
          <w:p w14:paraId="2862BE02"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6CA2145" w14:textId="3E0030F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36B2C42" w14:textId="3FE5734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8DB1CC" w14:textId="663CA72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3EAC670" w14:textId="60D1A89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0CB7CAC" w14:textId="3DA2105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7,661</w:t>
            </w:r>
          </w:p>
        </w:tc>
      </w:tr>
      <w:tr w:rsidR="003C047A" w:rsidRPr="00B469AB" w14:paraId="4DF36BF3"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03214D8" w14:textId="518EA09A"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Community Support Organisation Inc</w:t>
            </w:r>
          </w:p>
        </w:tc>
        <w:tc>
          <w:tcPr>
            <w:tcW w:w="861" w:type="dxa"/>
            <w:vAlign w:val="center"/>
          </w:tcPr>
          <w:p w14:paraId="00665F8D" w14:textId="5908035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D8CAD20" w14:textId="5CEF07B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1D1359C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8DAA3C7" w14:textId="67B41FC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16,942</w:t>
            </w:r>
          </w:p>
        </w:tc>
        <w:tc>
          <w:tcPr>
            <w:tcW w:w="862" w:type="dxa"/>
            <w:noWrap/>
            <w:vAlign w:val="center"/>
          </w:tcPr>
          <w:p w14:paraId="06C9EC94" w14:textId="04338AA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4,050</w:t>
            </w:r>
          </w:p>
        </w:tc>
        <w:tc>
          <w:tcPr>
            <w:tcW w:w="861" w:type="dxa"/>
            <w:noWrap/>
            <w:vAlign w:val="center"/>
          </w:tcPr>
          <w:p w14:paraId="0B8590BB" w14:textId="79E7AB5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E0E1ACC" w14:textId="2D00271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E26B4D1" w14:textId="485B0A7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20,992</w:t>
            </w:r>
          </w:p>
        </w:tc>
      </w:tr>
      <w:tr w:rsidR="00CC02E9" w:rsidRPr="00B469AB" w14:paraId="0B6C1C23"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E8121B2" w14:textId="6849575A"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Red Cross Blood Service</w:t>
            </w:r>
          </w:p>
        </w:tc>
        <w:tc>
          <w:tcPr>
            <w:tcW w:w="861" w:type="dxa"/>
            <w:vAlign w:val="center"/>
          </w:tcPr>
          <w:p w14:paraId="55A25829" w14:textId="60A90DA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15,250</w:t>
            </w:r>
          </w:p>
        </w:tc>
        <w:tc>
          <w:tcPr>
            <w:tcW w:w="861" w:type="dxa"/>
            <w:noWrap/>
            <w:vAlign w:val="center"/>
          </w:tcPr>
          <w:p w14:paraId="2A4E6982" w14:textId="7968806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34D21B83"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D326756" w14:textId="3754371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1B3102E" w14:textId="43E02B2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D80888E" w14:textId="2893A9A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703933F" w14:textId="086BBF3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F347B54" w14:textId="507CD5F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15,250</w:t>
            </w:r>
          </w:p>
        </w:tc>
      </w:tr>
      <w:tr w:rsidR="003C047A" w:rsidRPr="00B469AB" w14:paraId="1211A3D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D801D4A" w14:textId="0AE17751"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Red Cross Society</w:t>
            </w:r>
          </w:p>
        </w:tc>
        <w:tc>
          <w:tcPr>
            <w:tcW w:w="861" w:type="dxa"/>
            <w:vAlign w:val="center"/>
          </w:tcPr>
          <w:p w14:paraId="752AC183" w14:textId="06AB19EC"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1,025</w:t>
            </w:r>
          </w:p>
        </w:tc>
        <w:tc>
          <w:tcPr>
            <w:tcW w:w="861" w:type="dxa"/>
            <w:noWrap/>
            <w:vAlign w:val="center"/>
          </w:tcPr>
          <w:p w14:paraId="15F877A9" w14:textId="3DC24DE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1A0D422"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813581F" w14:textId="2953098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9289347" w14:textId="7E3B3A2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4A6C191" w14:textId="7D353B9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C5CA90C" w14:textId="1AC7C74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9CE153E" w14:textId="6D0E2EC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1,025</w:t>
            </w:r>
          </w:p>
        </w:tc>
      </w:tr>
      <w:tr w:rsidR="00CC02E9" w:rsidRPr="00B469AB" w14:paraId="037CB65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9C86C44" w14:textId="13CB92D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Ballarat And District Aboriginal Co-Operative Limited</w:t>
            </w:r>
          </w:p>
        </w:tc>
        <w:tc>
          <w:tcPr>
            <w:tcW w:w="861" w:type="dxa"/>
            <w:vAlign w:val="center"/>
          </w:tcPr>
          <w:p w14:paraId="2A100418" w14:textId="2FB0370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81DB3C7" w14:textId="03CBE1C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w:t>
            </w:r>
          </w:p>
        </w:tc>
        <w:tc>
          <w:tcPr>
            <w:tcW w:w="861" w:type="dxa"/>
            <w:vAlign w:val="center"/>
          </w:tcPr>
          <w:p w14:paraId="64415670"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686CCB0" w14:textId="3FA122D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1,923</w:t>
            </w:r>
          </w:p>
        </w:tc>
        <w:tc>
          <w:tcPr>
            <w:tcW w:w="862" w:type="dxa"/>
            <w:noWrap/>
            <w:vAlign w:val="center"/>
          </w:tcPr>
          <w:p w14:paraId="7C6724EB" w14:textId="23C2C85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1,758</w:t>
            </w:r>
          </w:p>
        </w:tc>
        <w:tc>
          <w:tcPr>
            <w:tcW w:w="861" w:type="dxa"/>
            <w:noWrap/>
            <w:vAlign w:val="center"/>
          </w:tcPr>
          <w:p w14:paraId="1C00594A" w14:textId="028C352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243</w:t>
            </w:r>
          </w:p>
        </w:tc>
        <w:tc>
          <w:tcPr>
            <w:tcW w:w="861" w:type="dxa"/>
            <w:noWrap/>
            <w:vAlign w:val="center"/>
          </w:tcPr>
          <w:p w14:paraId="546E208E" w14:textId="26CBFD3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FE3DC07" w14:textId="57DEFB1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3,989</w:t>
            </w:r>
          </w:p>
        </w:tc>
      </w:tr>
      <w:tr w:rsidR="003C047A" w:rsidRPr="00B469AB" w14:paraId="1960E9E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26CBBA4" w14:textId="1F6A323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Ballarat Hospice Care Inc</w:t>
            </w:r>
          </w:p>
        </w:tc>
        <w:tc>
          <w:tcPr>
            <w:tcW w:w="861" w:type="dxa"/>
            <w:vAlign w:val="center"/>
          </w:tcPr>
          <w:p w14:paraId="299B9DAB" w14:textId="481653F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3,083</w:t>
            </w:r>
          </w:p>
        </w:tc>
        <w:tc>
          <w:tcPr>
            <w:tcW w:w="861" w:type="dxa"/>
            <w:noWrap/>
            <w:vAlign w:val="center"/>
          </w:tcPr>
          <w:p w14:paraId="1942BBAF" w14:textId="55B31E0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1436E96"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026DAB4" w14:textId="0202D2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DA10117" w14:textId="730B786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B3A946" w14:textId="6F5A376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B7194B4" w14:textId="1B71947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F62B906" w14:textId="1BA0ADC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3,083</w:t>
            </w:r>
          </w:p>
        </w:tc>
      </w:tr>
      <w:tr w:rsidR="00CC02E9" w:rsidRPr="00B469AB" w14:paraId="50D5B9C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5FB25A1" w14:textId="15D7EAA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Banksia Palliative Care Service Inc</w:t>
            </w:r>
          </w:p>
        </w:tc>
        <w:tc>
          <w:tcPr>
            <w:tcW w:w="861" w:type="dxa"/>
            <w:vAlign w:val="center"/>
          </w:tcPr>
          <w:p w14:paraId="2EE433D3" w14:textId="1750CC6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4,574</w:t>
            </w:r>
          </w:p>
        </w:tc>
        <w:tc>
          <w:tcPr>
            <w:tcW w:w="861" w:type="dxa"/>
            <w:noWrap/>
            <w:vAlign w:val="center"/>
          </w:tcPr>
          <w:p w14:paraId="5B7E8EB0" w14:textId="4E89F7D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64DA99C"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134D82C" w14:textId="7D627C7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355C87C" w14:textId="32F4EC4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CF8EEE1" w14:textId="4DA44B9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4F0D932" w14:textId="125478A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6C93A7D" w14:textId="11BD46F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4,574</w:t>
            </w:r>
          </w:p>
        </w:tc>
      </w:tr>
      <w:tr w:rsidR="003C047A" w:rsidRPr="00B469AB" w14:paraId="016887B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24413FB" w14:textId="3A574779"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Barwon Child, Youth &amp; Family</w:t>
            </w:r>
          </w:p>
        </w:tc>
        <w:tc>
          <w:tcPr>
            <w:tcW w:w="861" w:type="dxa"/>
            <w:vAlign w:val="center"/>
          </w:tcPr>
          <w:p w14:paraId="2DEB6792" w14:textId="6B5B19F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D64E1EF" w14:textId="4C90D57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582E1E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23C662B" w14:textId="415DAF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531</w:t>
            </w:r>
          </w:p>
        </w:tc>
        <w:tc>
          <w:tcPr>
            <w:tcW w:w="862" w:type="dxa"/>
            <w:noWrap/>
            <w:vAlign w:val="center"/>
          </w:tcPr>
          <w:p w14:paraId="62283904" w14:textId="4213FAA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2,154</w:t>
            </w:r>
          </w:p>
        </w:tc>
        <w:tc>
          <w:tcPr>
            <w:tcW w:w="861" w:type="dxa"/>
            <w:noWrap/>
            <w:vAlign w:val="center"/>
          </w:tcPr>
          <w:p w14:paraId="3C202D8A" w14:textId="1383899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207</w:t>
            </w:r>
          </w:p>
        </w:tc>
        <w:tc>
          <w:tcPr>
            <w:tcW w:w="861" w:type="dxa"/>
            <w:noWrap/>
            <w:vAlign w:val="center"/>
          </w:tcPr>
          <w:p w14:paraId="397FE4DE" w14:textId="10E900A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A7BFB67" w14:textId="38427D8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2,891</w:t>
            </w:r>
          </w:p>
        </w:tc>
      </w:tr>
      <w:tr w:rsidR="00CC02E9" w:rsidRPr="00B469AB" w14:paraId="16AF023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22A7316" w14:textId="4B98396E"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Bendigo And District Aboriginal Co-Operative Ltd</w:t>
            </w:r>
          </w:p>
        </w:tc>
        <w:tc>
          <w:tcPr>
            <w:tcW w:w="861" w:type="dxa"/>
            <w:vAlign w:val="center"/>
          </w:tcPr>
          <w:p w14:paraId="093EEF2C" w14:textId="3EFF97E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740240D" w14:textId="29E001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100</w:t>
            </w:r>
          </w:p>
        </w:tc>
        <w:tc>
          <w:tcPr>
            <w:tcW w:w="861" w:type="dxa"/>
            <w:vAlign w:val="center"/>
          </w:tcPr>
          <w:p w14:paraId="6239A510"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B3E4FD" w14:textId="11A0FC7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2,044</w:t>
            </w:r>
          </w:p>
        </w:tc>
        <w:tc>
          <w:tcPr>
            <w:tcW w:w="862" w:type="dxa"/>
            <w:noWrap/>
            <w:vAlign w:val="center"/>
          </w:tcPr>
          <w:p w14:paraId="4A645E5B" w14:textId="6801429B"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815</w:t>
            </w:r>
          </w:p>
        </w:tc>
        <w:tc>
          <w:tcPr>
            <w:tcW w:w="861" w:type="dxa"/>
            <w:noWrap/>
            <w:vAlign w:val="center"/>
          </w:tcPr>
          <w:p w14:paraId="0784957E" w14:textId="1365200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630</w:t>
            </w:r>
          </w:p>
        </w:tc>
        <w:tc>
          <w:tcPr>
            <w:tcW w:w="861" w:type="dxa"/>
            <w:noWrap/>
            <w:vAlign w:val="center"/>
          </w:tcPr>
          <w:p w14:paraId="0467B162" w14:textId="3B00730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90CAF55" w14:textId="298B9A9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3,589</w:t>
            </w:r>
          </w:p>
        </w:tc>
      </w:tr>
      <w:tr w:rsidR="003C047A" w:rsidRPr="00B469AB" w14:paraId="7DD904F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2F56DAB" w14:textId="2FC512CE"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Beyond Blue Limited</w:t>
            </w:r>
          </w:p>
        </w:tc>
        <w:tc>
          <w:tcPr>
            <w:tcW w:w="861" w:type="dxa"/>
            <w:vAlign w:val="center"/>
          </w:tcPr>
          <w:p w14:paraId="73A7F3C1" w14:textId="16DD8C7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8BFB156" w14:textId="3490176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0CB8C3B"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D030A75" w14:textId="64392EF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8B4F8A8" w14:textId="366F36F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2,311</w:t>
            </w:r>
          </w:p>
        </w:tc>
        <w:tc>
          <w:tcPr>
            <w:tcW w:w="861" w:type="dxa"/>
            <w:noWrap/>
            <w:vAlign w:val="center"/>
          </w:tcPr>
          <w:p w14:paraId="21B409D1" w14:textId="55BAC8D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2E96707" w14:textId="3C1A3D9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F2231B1" w14:textId="639D4CB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2,311</w:t>
            </w:r>
          </w:p>
        </w:tc>
      </w:tr>
      <w:tr w:rsidR="00CC02E9" w:rsidRPr="00B469AB" w14:paraId="7CDB577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9A0D513" w14:textId="6086D159"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Breastscreen Victoria Inc.</w:t>
            </w:r>
          </w:p>
        </w:tc>
        <w:tc>
          <w:tcPr>
            <w:tcW w:w="861" w:type="dxa"/>
            <w:vAlign w:val="center"/>
          </w:tcPr>
          <w:p w14:paraId="49C4EAD4" w14:textId="4B3FC60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399105C" w14:textId="7AA5F1F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AEA3FE9"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158B3D" w14:textId="03A5CE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F8B79B4" w14:textId="0B699AC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4C8C05D" w14:textId="18262B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4887EAF" w14:textId="2F1A1B6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65,226</w:t>
            </w:r>
          </w:p>
        </w:tc>
        <w:tc>
          <w:tcPr>
            <w:tcW w:w="862" w:type="dxa"/>
            <w:noWrap/>
            <w:vAlign w:val="center"/>
          </w:tcPr>
          <w:p w14:paraId="6370E3AD" w14:textId="1798F5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65,226</w:t>
            </w:r>
          </w:p>
        </w:tc>
      </w:tr>
      <w:tr w:rsidR="003C047A" w:rsidRPr="00B469AB" w14:paraId="31D6110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5B72E20" w14:textId="7496A897"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Budja Budja Aboriginal Co-Operative Limited</w:t>
            </w:r>
          </w:p>
        </w:tc>
        <w:tc>
          <w:tcPr>
            <w:tcW w:w="861" w:type="dxa"/>
            <w:vAlign w:val="center"/>
          </w:tcPr>
          <w:p w14:paraId="5C8F5395" w14:textId="2ABC3E4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5487589" w14:textId="0BF4004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A30B3B4"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7D1B61B" w14:textId="52CEA2C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6343D929" w14:textId="5C47010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930</w:t>
            </w:r>
          </w:p>
        </w:tc>
        <w:tc>
          <w:tcPr>
            <w:tcW w:w="861" w:type="dxa"/>
            <w:noWrap/>
            <w:vAlign w:val="center"/>
          </w:tcPr>
          <w:p w14:paraId="3CEEF24E" w14:textId="2B007DB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404</w:t>
            </w:r>
          </w:p>
        </w:tc>
        <w:tc>
          <w:tcPr>
            <w:tcW w:w="861" w:type="dxa"/>
            <w:noWrap/>
            <w:vAlign w:val="center"/>
          </w:tcPr>
          <w:p w14:paraId="35D27034" w14:textId="63028B7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5275ADF" w14:textId="4CE359C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1,520</w:t>
            </w:r>
          </w:p>
        </w:tc>
      </w:tr>
      <w:tr w:rsidR="00CC02E9" w:rsidRPr="00B469AB" w14:paraId="2FD68F5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C570DBB" w14:textId="471A5F1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Cancer Council Victoria</w:t>
            </w:r>
          </w:p>
        </w:tc>
        <w:tc>
          <w:tcPr>
            <w:tcW w:w="861" w:type="dxa"/>
            <w:vAlign w:val="center"/>
          </w:tcPr>
          <w:p w14:paraId="02252F3B" w14:textId="59BFF0A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894</w:t>
            </w:r>
          </w:p>
        </w:tc>
        <w:tc>
          <w:tcPr>
            <w:tcW w:w="861" w:type="dxa"/>
            <w:noWrap/>
            <w:vAlign w:val="center"/>
          </w:tcPr>
          <w:p w14:paraId="24ECB4C6" w14:textId="24C5BA2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B50DE1F"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7DFE832" w14:textId="47AE0DB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3DB9EF4" w14:textId="3984FFA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B6DD9D9" w14:textId="69ECB91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4B2031" w14:textId="337FAF4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9,682</w:t>
            </w:r>
          </w:p>
        </w:tc>
        <w:tc>
          <w:tcPr>
            <w:tcW w:w="862" w:type="dxa"/>
            <w:noWrap/>
            <w:vAlign w:val="center"/>
          </w:tcPr>
          <w:p w14:paraId="4D1EC0C8" w14:textId="447304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10,575</w:t>
            </w:r>
          </w:p>
        </w:tc>
      </w:tr>
      <w:tr w:rsidR="003C047A" w:rsidRPr="00B469AB" w14:paraId="11513E8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546293D" w14:textId="5ECA76F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Caraniche Pty Ltd</w:t>
            </w:r>
          </w:p>
        </w:tc>
        <w:tc>
          <w:tcPr>
            <w:tcW w:w="861" w:type="dxa"/>
            <w:vAlign w:val="center"/>
          </w:tcPr>
          <w:p w14:paraId="05A88E3A" w14:textId="668F51F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FF92791" w14:textId="7176686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1D607812"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46FAC08" w14:textId="184219E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2,364</w:t>
            </w:r>
          </w:p>
        </w:tc>
        <w:tc>
          <w:tcPr>
            <w:tcW w:w="862" w:type="dxa"/>
            <w:noWrap/>
            <w:vAlign w:val="center"/>
          </w:tcPr>
          <w:p w14:paraId="2B279E40" w14:textId="6AE62C5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EED3F2" w14:textId="72A97B2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A45A475" w14:textId="3027670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CC30986" w14:textId="3AE778CC"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2,364</w:t>
            </w:r>
          </w:p>
        </w:tc>
      </w:tr>
      <w:tr w:rsidR="00CC02E9" w:rsidRPr="00B469AB" w14:paraId="12387A9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4D8D420" w14:textId="160EDFE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Dandenong &amp; District Aborigines Co-Operative Limited</w:t>
            </w:r>
          </w:p>
        </w:tc>
        <w:tc>
          <w:tcPr>
            <w:tcW w:w="861" w:type="dxa"/>
            <w:vAlign w:val="center"/>
          </w:tcPr>
          <w:p w14:paraId="599AD307" w14:textId="53AFB0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317</w:t>
            </w:r>
          </w:p>
        </w:tc>
        <w:tc>
          <w:tcPr>
            <w:tcW w:w="861" w:type="dxa"/>
            <w:noWrap/>
            <w:vAlign w:val="center"/>
          </w:tcPr>
          <w:p w14:paraId="110106F0" w14:textId="1616D31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91</w:t>
            </w:r>
          </w:p>
        </w:tc>
        <w:tc>
          <w:tcPr>
            <w:tcW w:w="861" w:type="dxa"/>
            <w:vAlign w:val="center"/>
          </w:tcPr>
          <w:p w14:paraId="573D9EB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F73ECAB" w14:textId="04AC2C3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4D4B40E6" w14:textId="5C27EE5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787</w:t>
            </w:r>
          </w:p>
        </w:tc>
        <w:tc>
          <w:tcPr>
            <w:tcW w:w="861" w:type="dxa"/>
            <w:noWrap/>
            <w:vAlign w:val="center"/>
          </w:tcPr>
          <w:p w14:paraId="5B059D3B" w14:textId="02EECB8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259</w:t>
            </w:r>
          </w:p>
        </w:tc>
        <w:tc>
          <w:tcPr>
            <w:tcW w:w="861" w:type="dxa"/>
            <w:noWrap/>
            <w:vAlign w:val="center"/>
          </w:tcPr>
          <w:p w14:paraId="016DCCEF" w14:textId="27BD909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C5BA0E6" w14:textId="1E02F10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1,640</w:t>
            </w:r>
          </w:p>
        </w:tc>
      </w:tr>
      <w:tr w:rsidR="003C047A" w:rsidRPr="00B469AB" w14:paraId="6196265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BC49CFF" w14:textId="0D17C1CB"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Darlingford Upper Goulburn Nursing Home Inc</w:t>
            </w:r>
          </w:p>
        </w:tc>
        <w:tc>
          <w:tcPr>
            <w:tcW w:w="861" w:type="dxa"/>
            <w:vAlign w:val="center"/>
          </w:tcPr>
          <w:p w14:paraId="30203156" w14:textId="5115F37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82396AC" w14:textId="6372464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1,846</w:t>
            </w:r>
          </w:p>
        </w:tc>
        <w:tc>
          <w:tcPr>
            <w:tcW w:w="861" w:type="dxa"/>
            <w:vAlign w:val="center"/>
          </w:tcPr>
          <w:p w14:paraId="510B717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8583EC5" w14:textId="68A3053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C6CCFD4" w14:textId="0279E71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56DBDB2" w14:textId="6237671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E135305" w14:textId="43CE73A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664BC3D" w14:textId="31FE570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1,846</w:t>
            </w:r>
          </w:p>
        </w:tc>
      </w:tr>
      <w:tr w:rsidR="00CC02E9" w:rsidRPr="00B469AB" w14:paraId="11C0446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49713B" w14:textId="0F61EBE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Dementia Australia Limited</w:t>
            </w:r>
          </w:p>
        </w:tc>
        <w:tc>
          <w:tcPr>
            <w:tcW w:w="861" w:type="dxa"/>
            <w:vAlign w:val="center"/>
          </w:tcPr>
          <w:p w14:paraId="1BDAA8D9" w14:textId="04E5957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078D16" w14:textId="3AA323A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4,311</w:t>
            </w:r>
          </w:p>
        </w:tc>
        <w:tc>
          <w:tcPr>
            <w:tcW w:w="861" w:type="dxa"/>
            <w:vAlign w:val="center"/>
          </w:tcPr>
          <w:p w14:paraId="0A1DB55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BC450F" w14:textId="7083C4B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1B20F8A" w14:textId="3D61195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70AF8B9" w14:textId="740D4D7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AF4B803" w14:textId="5EA17B8A"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94406A9" w14:textId="1F9C973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4,311</w:t>
            </w:r>
          </w:p>
        </w:tc>
      </w:tr>
      <w:tr w:rsidR="003C047A" w:rsidRPr="00B469AB" w14:paraId="0AEBE42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80C25EA" w14:textId="4A9938C7"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Dhauwurd-Wurrung Elderly &amp; Community Health Service Inc</w:t>
            </w:r>
          </w:p>
        </w:tc>
        <w:tc>
          <w:tcPr>
            <w:tcW w:w="861" w:type="dxa"/>
            <w:vAlign w:val="center"/>
          </w:tcPr>
          <w:p w14:paraId="3DB650AF" w14:textId="3C9A684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BE55EF" w14:textId="7324052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223</w:t>
            </w:r>
          </w:p>
        </w:tc>
        <w:tc>
          <w:tcPr>
            <w:tcW w:w="861" w:type="dxa"/>
            <w:vAlign w:val="center"/>
          </w:tcPr>
          <w:p w14:paraId="3E820CF6"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2F35723" w14:textId="47E79C3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337</w:t>
            </w:r>
          </w:p>
        </w:tc>
        <w:tc>
          <w:tcPr>
            <w:tcW w:w="862" w:type="dxa"/>
            <w:noWrap/>
            <w:vAlign w:val="center"/>
          </w:tcPr>
          <w:p w14:paraId="0C62C517" w14:textId="1B60B00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1,219</w:t>
            </w:r>
          </w:p>
        </w:tc>
        <w:tc>
          <w:tcPr>
            <w:tcW w:w="861" w:type="dxa"/>
            <w:noWrap/>
            <w:vAlign w:val="center"/>
          </w:tcPr>
          <w:p w14:paraId="442FC1FF" w14:textId="674E431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243</w:t>
            </w:r>
          </w:p>
        </w:tc>
        <w:tc>
          <w:tcPr>
            <w:tcW w:w="861" w:type="dxa"/>
            <w:noWrap/>
            <w:vAlign w:val="center"/>
          </w:tcPr>
          <w:p w14:paraId="773227C7" w14:textId="02B793A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A2CFCD2" w14:textId="4071239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2,021</w:t>
            </w:r>
          </w:p>
        </w:tc>
      </w:tr>
      <w:tr w:rsidR="00CC02E9" w:rsidRPr="00B469AB" w14:paraId="4AF5706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69B5F51" w14:textId="267F91BB"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Diabetes Australia - Victoria</w:t>
            </w:r>
          </w:p>
        </w:tc>
        <w:tc>
          <w:tcPr>
            <w:tcW w:w="861" w:type="dxa"/>
            <w:vAlign w:val="center"/>
          </w:tcPr>
          <w:p w14:paraId="550998FC" w14:textId="022B6E5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B5E6A76" w14:textId="65FEFC8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5B085159"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0273C28" w14:textId="7F5E2D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C3BBE26" w14:textId="698690F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AFA75C6" w14:textId="0706771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2,441</w:t>
            </w:r>
          </w:p>
        </w:tc>
        <w:tc>
          <w:tcPr>
            <w:tcW w:w="861" w:type="dxa"/>
            <w:noWrap/>
            <w:vAlign w:val="center"/>
          </w:tcPr>
          <w:p w14:paraId="4584E8B9" w14:textId="1E149EFB"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5,998</w:t>
            </w:r>
          </w:p>
        </w:tc>
        <w:tc>
          <w:tcPr>
            <w:tcW w:w="862" w:type="dxa"/>
            <w:noWrap/>
            <w:vAlign w:val="center"/>
          </w:tcPr>
          <w:p w14:paraId="16E0D91A" w14:textId="1823B7F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8,440</w:t>
            </w:r>
          </w:p>
        </w:tc>
      </w:tr>
      <w:tr w:rsidR="003C047A" w:rsidRPr="00B469AB" w14:paraId="3342304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4E5A423" w14:textId="0F7DC4B6"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Eastern Palliative Care Association Inc.</w:t>
            </w:r>
          </w:p>
        </w:tc>
        <w:tc>
          <w:tcPr>
            <w:tcW w:w="861" w:type="dxa"/>
            <w:vAlign w:val="center"/>
          </w:tcPr>
          <w:p w14:paraId="23C5CF4F" w14:textId="66F0285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14,007</w:t>
            </w:r>
          </w:p>
        </w:tc>
        <w:tc>
          <w:tcPr>
            <w:tcW w:w="861" w:type="dxa"/>
            <w:noWrap/>
            <w:vAlign w:val="center"/>
          </w:tcPr>
          <w:p w14:paraId="213317E7" w14:textId="76E4B41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2C796D4"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028C38C" w14:textId="2956D2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6E2A866" w14:textId="4B51DB4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0634963" w14:textId="345C130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C035061" w14:textId="1AE3E88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62F64FE" w14:textId="2648BAF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14,007</w:t>
            </w:r>
          </w:p>
        </w:tc>
      </w:tr>
      <w:tr w:rsidR="00CC02E9" w:rsidRPr="00B469AB" w14:paraId="5682FCD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41E823" w14:textId="25116A3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Eating Disorders Foundation </w:t>
            </w:r>
            <w:r w:rsidR="00C42D86">
              <w:rPr>
                <w:rFonts w:cs="Arial"/>
                <w:b w:val="0"/>
                <w:bCs w:val="0"/>
                <w:color w:val="000000"/>
                <w:sz w:val="16"/>
                <w:szCs w:val="16"/>
              </w:rPr>
              <w:t>o</w:t>
            </w:r>
            <w:r w:rsidRPr="002560E2">
              <w:rPr>
                <w:rFonts w:cs="Arial"/>
                <w:b w:val="0"/>
                <w:bCs w:val="0"/>
                <w:color w:val="000000"/>
                <w:sz w:val="16"/>
                <w:szCs w:val="16"/>
              </w:rPr>
              <w:t>f Victoria Inc</w:t>
            </w:r>
          </w:p>
        </w:tc>
        <w:tc>
          <w:tcPr>
            <w:tcW w:w="861" w:type="dxa"/>
            <w:vAlign w:val="center"/>
          </w:tcPr>
          <w:p w14:paraId="5D627EE1" w14:textId="14C1F35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2C024A8" w14:textId="03815C6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B76EAA1"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04B0C1C" w14:textId="4C98580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A1C6829" w14:textId="3BC6CBF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2,832</w:t>
            </w:r>
          </w:p>
        </w:tc>
        <w:tc>
          <w:tcPr>
            <w:tcW w:w="861" w:type="dxa"/>
            <w:noWrap/>
            <w:vAlign w:val="center"/>
          </w:tcPr>
          <w:p w14:paraId="6ED4CC80" w14:textId="1D13EDA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4B64202" w14:textId="1FD081E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F0F3C24" w14:textId="548B7F4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2,832</w:t>
            </w:r>
          </w:p>
        </w:tc>
      </w:tr>
      <w:tr w:rsidR="003C047A" w:rsidRPr="00B469AB" w14:paraId="5EE6186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A2A435A" w14:textId="076C8A4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Gegac</w:t>
            </w:r>
          </w:p>
        </w:tc>
        <w:tc>
          <w:tcPr>
            <w:tcW w:w="861" w:type="dxa"/>
            <w:vAlign w:val="center"/>
          </w:tcPr>
          <w:p w14:paraId="78E9BBBD" w14:textId="6A00DB2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250</w:t>
            </w:r>
          </w:p>
        </w:tc>
        <w:tc>
          <w:tcPr>
            <w:tcW w:w="861" w:type="dxa"/>
            <w:noWrap/>
            <w:vAlign w:val="center"/>
          </w:tcPr>
          <w:p w14:paraId="7EEA2424" w14:textId="3DE4EE9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203</w:t>
            </w:r>
          </w:p>
        </w:tc>
        <w:tc>
          <w:tcPr>
            <w:tcW w:w="861" w:type="dxa"/>
            <w:vAlign w:val="center"/>
          </w:tcPr>
          <w:p w14:paraId="468EF79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7797C0D" w14:textId="12A2EFC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1,278</w:t>
            </w:r>
          </w:p>
        </w:tc>
        <w:tc>
          <w:tcPr>
            <w:tcW w:w="862" w:type="dxa"/>
            <w:noWrap/>
            <w:vAlign w:val="center"/>
          </w:tcPr>
          <w:p w14:paraId="0A98EC0C" w14:textId="0FD4761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1,206</w:t>
            </w:r>
          </w:p>
        </w:tc>
        <w:tc>
          <w:tcPr>
            <w:tcW w:w="861" w:type="dxa"/>
            <w:noWrap/>
            <w:vAlign w:val="center"/>
          </w:tcPr>
          <w:p w14:paraId="27A43C70" w14:textId="64C3F67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502</w:t>
            </w:r>
          </w:p>
        </w:tc>
        <w:tc>
          <w:tcPr>
            <w:tcW w:w="861" w:type="dxa"/>
            <w:noWrap/>
            <w:vAlign w:val="center"/>
          </w:tcPr>
          <w:p w14:paraId="62AF5161" w14:textId="18EE1AA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AD1D505" w14:textId="4CD2714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3,438</w:t>
            </w:r>
          </w:p>
        </w:tc>
      </w:tr>
      <w:tr w:rsidR="00CC02E9" w:rsidRPr="00B469AB" w14:paraId="2758ABB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C42FD5C" w14:textId="04C8275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Goolum-Goolum Aboriginal Co-Operative Limited</w:t>
            </w:r>
          </w:p>
        </w:tc>
        <w:tc>
          <w:tcPr>
            <w:tcW w:w="861" w:type="dxa"/>
            <w:vAlign w:val="center"/>
          </w:tcPr>
          <w:p w14:paraId="184D5FEC" w14:textId="2169D2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4EC160" w14:textId="0D99376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53</w:t>
            </w:r>
          </w:p>
        </w:tc>
        <w:tc>
          <w:tcPr>
            <w:tcW w:w="861" w:type="dxa"/>
            <w:vAlign w:val="center"/>
          </w:tcPr>
          <w:p w14:paraId="4069E6EF"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5D876B" w14:textId="49EF304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69210456" w14:textId="781AEC2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1,169</w:t>
            </w:r>
          </w:p>
        </w:tc>
        <w:tc>
          <w:tcPr>
            <w:tcW w:w="861" w:type="dxa"/>
            <w:noWrap/>
            <w:vAlign w:val="center"/>
          </w:tcPr>
          <w:p w14:paraId="32B049BC" w14:textId="3BE36DE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442</w:t>
            </w:r>
          </w:p>
        </w:tc>
        <w:tc>
          <w:tcPr>
            <w:tcW w:w="861" w:type="dxa"/>
            <w:noWrap/>
            <w:vAlign w:val="center"/>
          </w:tcPr>
          <w:p w14:paraId="300979C1" w14:textId="4BCF96B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690AD63" w14:textId="1EFB7AE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1,850</w:t>
            </w:r>
          </w:p>
        </w:tc>
      </w:tr>
      <w:tr w:rsidR="003C047A" w:rsidRPr="00B469AB" w14:paraId="75CACF94"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FC09C52" w14:textId="06BFA9D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Grow</w:t>
            </w:r>
          </w:p>
        </w:tc>
        <w:tc>
          <w:tcPr>
            <w:tcW w:w="861" w:type="dxa"/>
            <w:vAlign w:val="center"/>
          </w:tcPr>
          <w:p w14:paraId="7E6E0F66" w14:textId="43DCB89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EC34001" w14:textId="6733A8B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D15902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37B3B1B" w14:textId="055DDD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997655B" w14:textId="01E489D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1,098</w:t>
            </w:r>
          </w:p>
        </w:tc>
        <w:tc>
          <w:tcPr>
            <w:tcW w:w="861" w:type="dxa"/>
            <w:noWrap/>
            <w:vAlign w:val="center"/>
          </w:tcPr>
          <w:p w14:paraId="70183922" w14:textId="1B9D32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C54CED3" w14:textId="4C84BEE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8F7010" w14:textId="3789791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1,098</w:t>
            </w:r>
          </w:p>
        </w:tc>
      </w:tr>
      <w:tr w:rsidR="00CC02E9" w:rsidRPr="00B469AB" w14:paraId="50B0FC4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08A62B2" w14:textId="3ABB2D4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Gunditjmara Aboriginal Co-Operative Limited</w:t>
            </w:r>
          </w:p>
        </w:tc>
        <w:tc>
          <w:tcPr>
            <w:tcW w:w="861" w:type="dxa"/>
            <w:vAlign w:val="center"/>
          </w:tcPr>
          <w:p w14:paraId="08806FB9" w14:textId="39C4ED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306</w:t>
            </w:r>
          </w:p>
        </w:tc>
        <w:tc>
          <w:tcPr>
            <w:tcW w:w="861" w:type="dxa"/>
            <w:noWrap/>
            <w:vAlign w:val="center"/>
          </w:tcPr>
          <w:p w14:paraId="05730AD3" w14:textId="52D4AF3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w:t>
            </w:r>
          </w:p>
        </w:tc>
        <w:tc>
          <w:tcPr>
            <w:tcW w:w="861" w:type="dxa"/>
            <w:vAlign w:val="center"/>
          </w:tcPr>
          <w:p w14:paraId="3F005201"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72F45B" w14:textId="44526AD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510</w:t>
            </w:r>
          </w:p>
        </w:tc>
        <w:tc>
          <w:tcPr>
            <w:tcW w:w="862" w:type="dxa"/>
            <w:noWrap/>
            <w:vAlign w:val="center"/>
          </w:tcPr>
          <w:p w14:paraId="3A150746" w14:textId="28D93A6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1,323</w:t>
            </w:r>
          </w:p>
        </w:tc>
        <w:tc>
          <w:tcPr>
            <w:tcW w:w="861" w:type="dxa"/>
            <w:noWrap/>
            <w:vAlign w:val="center"/>
          </w:tcPr>
          <w:p w14:paraId="53C4D575" w14:textId="30A277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613</w:t>
            </w:r>
          </w:p>
        </w:tc>
        <w:tc>
          <w:tcPr>
            <w:tcW w:w="861" w:type="dxa"/>
            <w:noWrap/>
            <w:vAlign w:val="center"/>
          </w:tcPr>
          <w:p w14:paraId="413DB8DA" w14:textId="1ED51E3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7E96ABE" w14:textId="63C1148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2,892</w:t>
            </w:r>
          </w:p>
        </w:tc>
      </w:tr>
      <w:tr w:rsidR="003C047A" w:rsidRPr="00B469AB" w14:paraId="2333038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0CAF002" w14:textId="3AEF1F5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Harm Reduction Victoria Inc</w:t>
            </w:r>
          </w:p>
        </w:tc>
        <w:tc>
          <w:tcPr>
            <w:tcW w:w="861" w:type="dxa"/>
            <w:vAlign w:val="center"/>
          </w:tcPr>
          <w:p w14:paraId="03103E35" w14:textId="333624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3284077" w14:textId="6210A27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D677E69"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3DD67F" w14:textId="029152D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w:t>
            </w:r>
          </w:p>
        </w:tc>
        <w:tc>
          <w:tcPr>
            <w:tcW w:w="862" w:type="dxa"/>
            <w:noWrap/>
            <w:vAlign w:val="center"/>
          </w:tcPr>
          <w:p w14:paraId="015A81A2" w14:textId="1C242DC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660</w:t>
            </w:r>
          </w:p>
        </w:tc>
        <w:tc>
          <w:tcPr>
            <w:tcW w:w="861" w:type="dxa"/>
            <w:noWrap/>
            <w:vAlign w:val="center"/>
          </w:tcPr>
          <w:p w14:paraId="082BDFDF" w14:textId="59D8861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6383473" w14:textId="32FC975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811</w:t>
            </w:r>
          </w:p>
        </w:tc>
        <w:tc>
          <w:tcPr>
            <w:tcW w:w="862" w:type="dxa"/>
            <w:noWrap/>
            <w:vAlign w:val="center"/>
          </w:tcPr>
          <w:p w14:paraId="0540D4DE" w14:textId="1F47AF7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1,972</w:t>
            </w:r>
          </w:p>
        </w:tc>
      </w:tr>
      <w:tr w:rsidR="00CC02E9" w:rsidRPr="00B469AB" w14:paraId="510EB05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71A4C8E" w14:textId="32E0E8A5"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Indigo North Health Inc</w:t>
            </w:r>
          </w:p>
        </w:tc>
        <w:tc>
          <w:tcPr>
            <w:tcW w:w="861" w:type="dxa"/>
            <w:vAlign w:val="center"/>
          </w:tcPr>
          <w:p w14:paraId="7EAE445E" w14:textId="7BCEF3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E62043D" w14:textId="7949E02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1,895</w:t>
            </w:r>
          </w:p>
        </w:tc>
        <w:tc>
          <w:tcPr>
            <w:tcW w:w="861" w:type="dxa"/>
            <w:vAlign w:val="center"/>
          </w:tcPr>
          <w:p w14:paraId="0FF7DCD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149529C" w14:textId="22CF90E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4F2D1DB" w14:textId="1B62CDC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269BEB0" w14:textId="222811D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636</w:t>
            </w:r>
          </w:p>
        </w:tc>
        <w:tc>
          <w:tcPr>
            <w:tcW w:w="861" w:type="dxa"/>
            <w:noWrap/>
            <w:vAlign w:val="center"/>
          </w:tcPr>
          <w:p w14:paraId="4DC53C2E" w14:textId="60C694E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2A28D2D" w14:textId="7640C29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2,531</w:t>
            </w:r>
          </w:p>
        </w:tc>
      </w:tr>
      <w:tr w:rsidR="003C047A" w:rsidRPr="00B469AB" w14:paraId="4594E0B3"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B90E8C1" w14:textId="7A7F008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Kirrae Health Service Inc</w:t>
            </w:r>
          </w:p>
        </w:tc>
        <w:tc>
          <w:tcPr>
            <w:tcW w:w="861" w:type="dxa"/>
            <w:vAlign w:val="center"/>
          </w:tcPr>
          <w:p w14:paraId="236F01C9" w14:textId="14FB404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E398BB" w14:textId="7544357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73</w:t>
            </w:r>
          </w:p>
        </w:tc>
        <w:tc>
          <w:tcPr>
            <w:tcW w:w="861" w:type="dxa"/>
            <w:vAlign w:val="center"/>
          </w:tcPr>
          <w:p w14:paraId="3BD384A1"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A66EB44" w14:textId="54C45B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495C656C" w14:textId="0BFD7A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1,090</w:t>
            </w:r>
          </w:p>
        </w:tc>
        <w:tc>
          <w:tcPr>
            <w:tcW w:w="861" w:type="dxa"/>
            <w:noWrap/>
            <w:vAlign w:val="center"/>
          </w:tcPr>
          <w:p w14:paraId="78ABB247" w14:textId="7AFDBAF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DE34A06" w14:textId="1A34E9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39BA850" w14:textId="16542FD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1,349</w:t>
            </w:r>
          </w:p>
        </w:tc>
      </w:tr>
      <w:tr w:rsidR="00CC02E9" w:rsidRPr="00B469AB" w14:paraId="0597F92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B7D127C" w14:textId="16A6F17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La Trobe University</w:t>
            </w:r>
          </w:p>
        </w:tc>
        <w:tc>
          <w:tcPr>
            <w:tcW w:w="861" w:type="dxa"/>
            <w:vAlign w:val="center"/>
          </w:tcPr>
          <w:p w14:paraId="40A74482" w14:textId="1D8A92B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2,847</w:t>
            </w:r>
          </w:p>
        </w:tc>
        <w:tc>
          <w:tcPr>
            <w:tcW w:w="861" w:type="dxa"/>
            <w:noWrap/>
            <w:vAlign w:val="center"/>
          </w:tcPr>
          <w:p w14:paraId="5BC6930D" w14:textId="682A3AB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1,528</w:t>
            </w:r>
          </w:p>
        </w:tc>
        <w:tc>
          <w:tcPr>
            <w:tcW w:w="861" w:type="dxa"/>
            <w:vAlign w:val="center"/>
          </w:tcPr>
          <w:p w14:paraId="0F2B95CE"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C044B03" w14:textId="371B2A9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128</w:t>
            </w:r>
          </w:p>
        </w:tc>
        <w:tc>
          <w:tcPr>
            <w:tcW w:w="862" w:type="dxa"/>
            <w:noWrap/>
            <w:vAlign w:val="center"/>
          </w:tcPr>
          <w:p w14:paraId="7BBEA481" w14:textId="283EA25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2,605</w:t>
            </w:r>
          </w:p>
        </w:tc>
        <w:tc>
          <w:tcPr>
            <w:tcW w:w="861" w:type="dxa"/>
            <w:noWrap/>
            <w:vAlign w:val="center"/>
          </w:tcPr>
          <w:p w14:paraId="5BB9D0CA" w14:textId="05E71DF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855</w:t>
            </w:r>
          </w:p>
        </w:tc>
        <w:tc>
          <w:tcPr>
            <w:tcW w:w="861" w:type="dxa"/>
            <w:noWrap/>
            <w:vAlign w:val="center"/>
          </w:tcPr>
          <w:p w14:paraId="028BACD4" w14:textId="4BF1153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371F384" w14:textId="0E74E98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7,964</w:t>
            </w:r>
          </w:p>
        </w:tc>
      </w:tr>
      <w:tr w:rsidR="003C047A" w:rsidRPr="00B469AB" w14:paraId="5EBFC80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23D403B" w14:textId="3075570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Lake Tyers Health &amp; </w:t>
            </w:r>
            <w:r w:rsidR="005365DA" w:rsidRPr="003C047A">
              <w:rPr>
                <w:rFonts w:cs="Arial"/>
                <w:b w:val="0"/>
                <w:bCs w:val="0"/>
                <w:color w:val="000000"/>
                <w:sz w:val="16"/>
                <w:szCs w:val="16"/>
              </w:rPr>
              <w:t>Children’</w:t>
            </w:r>
            <w:r w:rsidR="005365DA" w:rsidRPr="003C047A">
              <w:rPr>
                <w:rFonts w:cs="Arial"/>
                <w:color w:val="000000"/>
                <w:sz w:val="16"/>
                <w:szCs w:val="16"/>
              </w:rPr>
              <w:t>s</w:t>
            </w:r>
            <w:r w:rsidRPr="003C047A">
              <w:rPr>
                <w:rFonts w:cs="Arial"/>
                <w:b w:val="0"/>
                <w:bCs w:val="0"/>
                <w:color w:val="000000"/>
                <w:sz w:val="16"/>
                <w:szCs w:val="16"/>
              </w:rPr>
              <w:t xml:space="preserve"> Services Association Inc</w:t>
            </w:r>
          </w:p>
        </w:tc>
        <w:tc>
          <w:tcPr>
            <w:tcW w:w="861" w:type="dxa"/>
            <w:vAlign w:val="center"/>
          </w:tcPr>
          <w:p w14:paraId="5823AC1A" w14:textId="16309F8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0C1A834" w14:textId="38696A0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w:t>
            </w:r>
          </w:p>
        </w:tc>
        <w:tc>
          <w:tcPr>
            <w:tcW w:w="861" w:type="dxa"/>
            <w:vAlign w:val="center"/>
          </w:tcPr>
          <w:p w14:paraId="3F10FA99"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05E9E31" w14:textId="3F15AF0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78E7ACB1" w14:textId="3DE8EF5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665</w:t>
            </w:r>
          </w:p>
        </w:tc>
        <w:tc>
          <w:tcPr>
            <w:tcW w:w="861" w:type="dxa"/>
            <w:noWrap/>
            <w:vAlign w:val="center"/>
          </w:tcPr>
          <w:p w14:paraId="6AD8FBE8" w14:textId="2C31EAB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171</w:t>
            </w:r>
          </w:p>
        </w:tc>
        <w:tc>
          <w:tcPr>
            <w:tcW w:w="861" w:type="dxa"/>
            <w:noWrap/>
            <w:vAlign w:val="center"/>
          </w:tcPr>
          <w:p w14:paraId="2144EBFE" w14:textId="73AEB9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C1E3AB9" w14:textId="120644B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1,030</w:t>
            </w:r>
          </w:p>
        </w:tc>
      </w:tr>
      <w:tr w:rsidR="00CC02E9" w:rsidRPr="00B469AB" w14:paraId="5C5AA9A8"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E69F2C8" w14:textId="0222048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Liverwell Limited</w:t>
            </w:r>
          </w:p>
        </w:tc>
        <w:tc>
          <w:tcPr>
            <w:tcW w:w="861" w:type="dxa"/>
            <w:vAlign w:val="center"/>
          </w:tcPr>
          <w:p w14:paraId="46918ACD" w14:textId="48580B2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283F775" w14:textId="2A31821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0D0425C"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BB922F6" w14:textId="48A36E6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87F20F2" w14:textId="1051E9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01F94D8" w14:textId="20A2603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69DED66" w14:textId="6E13AB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1,659</w:t>
            </w:r>
          </w:p>
        </w:tc>
        <w:tc>
          <w:tcPr>
            <w:tcW w:w="862" w:type="dxa"/>
            <w:noWrap/>
            <w:vAlign w:val="center"/>
          </w:tcPr>
          <w:p w14:paraId="13A92E1C" w14:textId="03A5F5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1,659</w:t>
            </w:r>
          </w:p>
        </w:tc>
      </w:tr>
      <w:tr w:rsidR="003C047A" w:rsidRPr="00B469AB" w14:paraId="26F741A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D2B88CC" w14:textId="635B292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Mackillop Family Services Limited</w:t>
            </w:r>
          </w:p>
        </w:tc>
        <w:tc>
          <w:tcPr>
            <w:tcW w:w="861" w:type="dxa"/>
            <w:vAlign w:val="center"/>
          </w:tcPr>
          <w:p w14:paraId="211818A6" w14:textId="49B251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81C8BC2" w14:textId="3B45FA4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544</w:t>
            </w:r>
          </w:p>
        </w:tc>
        <w:tc>
          <w:tcPr>
            <w:tcW w:w="861" w:type="dxa"/>
            <w:vAlign w:val="center"/>
          </w:tcPr>
          <w:p w14:paraId="2DD7AB9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A2A7D3A" w14:textId="4BDE65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B12D530" w14:textId="069E87F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1,273</w:t>
            </w:r>
          </w:p>
        </w:tc>
        <w:tc>
          <w:tcPr>
            <w:tcW w:w="861" w:type="dxa"/>
            <w:noWrap/>
            <w:vAlign w:val="center"/>
          </w:tcPr>
          <w:p w14:paraId="5C897857" w14:textId="347A7D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0DA7CA5" w14:textId="4813A3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8EC9403" w14:textId="0AD2442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1,818</w:t>
            </w:r>
          </w:p>
        </w:tc>
      </w:tr>
      <w:tr w:rsidR="00CC02E9" w:rsidRPr="00B469AB" w14:paraId="75FDDBA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69DB825" w14:textId="52976D6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Mecwa</w:t>
            </w:r>
          </w:p>
        </w:tc>
        <w:tc>
          <w:tcPr>
            <w:tcW w:w="861" w:type="dxa"/>
            <w:vAlign w:val="center"/>
          </w:tcPr>
          <w:p w14:paraId="560F4932" w14:textId="745503F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86E8DF1" w14:textId="164C799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14,643</w:t>
            </w:r>
          </w:p>
        </w:tc>
        <w:tc>
          <w:tcPr>
            <w:tcW w:w="861" w:type="dxa"/>
            <w:vAlign w:val="center"/>
          </w:tcPr>
          <w:p w14:paraId="208B4DD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448090E" w14:textId="3C338BE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A9021E6" w14:textId="2BD3A16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67136CA" w14:textId="57BA942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04FD319" w14:textId="17F2C6A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1625FB1" w14:textId="0EE1245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14,643</w:t>
            </w:r>
          </w:p>
        </w:tc>
      </w:tr>
      <w:tr w:rsidR="003C047A" w:rsidRPr="00B469AB" w14:paraId="32A55DD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6E03AAF" w14:textId="6B658B9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Melbourne City Mission</w:t>
            </w:r>
          </w:p>
        </w:tc>
        <w:tc>
          <w:tcPr>
            <w:tcW w:w="861" w:type="dxa"/>
            <w:vAlign w:val="center"/>
          </w:tcPr>
          <w:p w14:paraId="68EE9BFE" w14:textId="31AA4E2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7,515</w:t>
            </w:r>
          </w:p>
        </w:tc>
        <w:tc>
          <w:tcPr>
            <w:tcW w:w="861" w:type="dxa"/>
            <w:noWrap/>
            <w:vAlign w:val="center"/>
          </w:tcPr>
          <w:p w14:paraId="1A7936C5" w14:textId="6D85A7C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222</w:t>
            </w:r>
          </w:p>
        </w:tc>
        <w:tc>
          <w:tcPr>
            <w:tcW w:w="861" w:type="dxa"/>
            <w:vAlign w:val="center"/>
          </w:tcPr>
          <w:p w14:paraId="1A61640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736EDF9" w14:textId="7BF5A90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1544219" w14:textId="66F169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8788E5A" w14:textId="157FE7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3F9E14C" w14:textId="3FBB74E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444E8D8" w14:textId="3B8172A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7,737</w:t>
            </w:r>
          </w:p>
        </w:tc>
      </w:tr>
      <w:tr w:rsidR="00CC02E9" w:rsidRPr="00B469AB" w14:paraId="0214E27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0DE3DD" w14:textId="113FA3A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Mercy Palliative Care Ltd</w:t>
            </w:r>
          </w:p>
        </w:tc>
        <w:tc>
          <w:tcPr>
            <w:tcW w:w="861" w:type="dxa"/>
            <w:vAlign w:val="center"/>
          </w:tcPr>
          <w:p w14:paraId="1F06626C" w14:textId="517718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9,534</w:t>
            </w:r>
          </w:p>
        </w:tc>
        <w:tc>
          <w:tcPr>
            <w:tcW w:w="861" w:type="dxa"/>
            <w:noWrap/>
            <w:vAlign w:val="center"/>
          </w:tcPr>
          <w:p w14:paraId="27A357DF" w14:textId="6A09E4A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34EB474"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06EDA75" w14:textId="04823C4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7BF892D" w14:textId="34E00EA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9FE78EA" w14:textId="0D98AAE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715C56" w14:textId="65306B7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1F012FA" w14:textId="61056B8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9,534</w:t>
            </w:r>
          </w:p>
        </w:tc>
      </w:tr>
      <w:tr w:rsidR="003C047A" w:rsidRPr="00B469AB" w14:paraId="76CE464B"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640609E" w14:textId="6C43B9D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Merri Outreach Support Service Inc</w:t>
            </w:r>
          </w:p>
        </w:tc>
        <w:tc>
          <w:tcPr>
            <w:tcW w:w="861" w:type="dxa"/>
            <w:vAlign w:val="center"/>
          </w:tcPr>
          <w:p w14:paraId="48BE9740" w14:textId="075330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263180" w14:textId="7D3D75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1,677</w:t>
            </w:r>
          </w:p>
        </w:tc>
        <w:tc>
          <w:tcPr>
            <w:tcW w:w="861" w:type="dxa"/>
            <w:vAlign w:val="center"/>
          </w:tcPr>
          <w:p w14:paraId="73049A5B"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45D676" w14:textId="4A4278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C415A57" w14:textId="27CC434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337D8A" w14:textId="22F4E3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C641157" w14:textId="4181931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5FA1A42" w14:textId="39D932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1,677</w:t>
            </w:r>
          </w:p>
        </w:tc>
      </w:tr>
      <w:tr w:rsidR="00CC02E9" w:rsidRPr="00B469AB" w14:paraId="2CA37DF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26B8FCC" w14:textId="718F769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Mind Australia</w:t>
            </w:r>
          </w:p>
        </w:tc>
        <w:tc>
          <w:tcPr>
            <w:tcW w:w="861" w:type="dxa"/>
            <w:vAlign w:val="center"/>
          </w:tcPr>
          <w:p w14:paraId="46B95AF1" w14:textId="4D6BA2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462F41" w14:textId="64E8AE1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3C7C633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F8FA5CF" w14:textId="668CA3F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4D8BDD5" w14:textId="27C6489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30,931</w:t>
            </w:r>
          </w:p>
        </w:tc>
        <w:tc>
          <w:tcPr>
            <w:tcW w:w="861" w:type="dxa"/>
            <w:noWrap/>
            <w:vAlign w:val="center"/>
          </w:tcPr>
          <w:p w14:paraId="79F760BA" w14:textId="3FDDAAD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246C34C" w14:textId="6EA80B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FBEFAAD" w14:textId="7CDC984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30,931</w:t>
            </w:r>
          </w:p>
        </w:tc>
      </w:tr>
      <w:tr w:rsidR="003C047A" w:rsidRPr="00B469AB" w14:paraId="5EB43CE4"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72337C8" w14:textId="6BD29A3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Moira Inc.</w:t>
            </w:r>
          </w:p>
        </w:tc>
        <w:tc>
          <w:tcPr>
            <w:tcW w:w="861" w:type="dxa"/>
            <w:vAlign w:val="center"/>
          </w:tcPr>
          <w:p w14:paraId="238A3792" w14:textId="1DB458C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4CDEA7" w14:textId="097371C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1,264</w:t>
            </w:r>
          </w:p>
        </w:tc>
        <w:tc>
          <w:tcPr>
            <w:tcW w:w="861" w:type="dxa"/>
            <w:vAlign w:val="center"/>
          </w:tcPr>
          <w:p w14:paraId="334405D4"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4066FA8" w14:textId="024BDC0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5F64257" w14:textId="764B5BC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35BFA4A" w14:textId="1F78BF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A9DDE4B" w14:textId="59DD725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565D549" w14:textId="2CDF7BB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1,264</w:t>
            </w:r>
          </w:p>
        </w:tc>
      </w:tr>
      <w:tr w:rsidR="00CC02E9" w:rsidRPr="00B469AB" w14:paraId="30547C4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390DBE8" w14:textId="1031D9B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Monash University</w:t>
            </w:r>
          </w:p>
        </w:tc>
        <w:tc>
          <w:tcPr>
            <w:tcW w:w="861" w:type="dxa"/>
            <w:vAlign w:val="center"/>
          </w:tcPr>
          <w:p w14:paraId="2765E38A" w14:textId="637A4E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1,105</w:t>
            </w:r>
          </w:p>
        </w:tc>
        <w:tc>
          <w:tcPr>
            <w:tcW w:w="861" w:type="dxa"/>
            <w:noWrap/>
            <w:vAlign w:val="center"/>
          </w:tcPr>
          <w:p w14:paraId="706DADBB" w14:textId="2DB7B8D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8A1C5C7" w14:textId="661C726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3C047A">
              <w:rPr>
                <w:rFonts w:cs="Arial"/>
                <w:color w:val="000000"/>
                <w:sz w:val="16"/>
                <w:szCs w:val="16"/>
              </w:rPr>
              <w:t>1,615</w:t>
            </w:r>
          </w:p>
        </w:tc>
        <w:tc>
          <w:tcPr>
            <w:tcW w:w="861" w:type="dxa"/>
            <w:noWrap/>
            <w:vAlign w:val="center"/>
          </w:tcPr>
          <w:p w14:paraId="3AAEE55B" w14:textId="714B164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2A1A8CD" w14:textId="33EE8D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ED5AB05" w14:textId="2748EE6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60EC3E6" w14:textId="6C5D39C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456</w:t>
            </w:r>
          </w:p>
        </w:tc>
        <w:tc>
          <w:tcPr>
            <w:tcW w:w="862" w:type="dxa"/>
            <w:noWrap/>
            <w:vAlign w:val="center"/>
          </w:tcPr>
          <w:p w14:paraId="4F7E0361" w14:textId="4F7F2E4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3,176</w:t>
            </w:r>
          </w:p>
        </w:tc>
      </w:tr>
      <w:tr w:rsidR="003C047A" w:rsidRPr="00B469AB" w14:paraId="44E84A6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42F7F30" w14:textId="1D3E531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Mungabareena Aboriginal Corporation</w:t>
            </w:r>
          </w:p>
        </w:tc>
        <w:tc>
          <w:tcPr>
            <w:tcW w:w="861" w:type="dxa"/>
            <w:vAlign w:val="center"/>
          </w:tcPr>
          <w:p w14:paraId="5AE57F50" w14:textId="7B05E65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272</w:t>
            </w:r>
          </w:p>
        </w:tc>
        <w:tc>
          <w:tcPr>
            <w:tcW w:w="861" w:type="dxa"/>
            <w:noWrap/>
            <w:vAlign w:val="center"/>
          </w:tcPr>
          <w:p w14:paraId="355453DF" w14:textId="2C6209F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w:t>
            </w:r>
          </w:p>
        </w:tc>
        <w:tc>
          <w:tcPr>
            <w:tcW w:w="861" w:type="dxa"/>
            <w:vAlign w:val="center"/>
          </w:tcPr>
          <w:p w14:paraId="0B1F9F68"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F226AB9" w14:textId="482546D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66653DCE" w14:textId="591B4E1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83</w:t>
            </w:r>
          </w:p>
        </w:tc>
        <w:tc>
          <w:tcPr>
            <w:tcW w:w="861" w:type="dxa"/>
            <w:noWrap/>
            <w:vAlign w:val="center"/>
          </w:tcPr>
          <w:p w14:paraId="5500F8C0" w14:textId="0790AE9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685</w:t>
            </w:r>
          </w:p>
        </w:tc>
        <w:tc>
          <w:tcPr>
            <w:tcW w:w="861" w:type="dxa"/>
            <w:noWrap/>
            <w:vAlign w:val="center"/>
          </w:tcPr>
          <w:p w14:paraId="2153D3B0" w14:textId="5376A4D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7ECDD08" w14:textId="54869A9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1,271</w:t>
            </w:r>
          </w:p>
        </w:tc>
      </w:tr>
      <w:tr w:rsidR="00CC02E9" w:rsidRPr="00B469AB" w14:paraId="28954F5B"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E7C4597" w14:textId="5FB2ACE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Murray Valley Aboriginal Co-Operative Limited</w:t>
            </w:r>
          </w:p>
        </w:tc>
        <w:tc>
          <w:tcPr>
            <w:tcW w:w="861" w:type="dxa"/>
            <w:vAlign w:val="center"/>
          </w:tcPr>
          <w:p w14:paraId="52F4C00B" w14:textId="6F24EB3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01DD1B6" w14:textId="649F534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81</w:t>
            </w:r>
          </w:p>
        </w:tc>
        <w:tc>
          <w:tcPr>
            <w:tcW w:w="861" w:type="dxa"/>
            <w:vAlign w:val="center"/>
          </w:tcPr>
          <w:p w14:paraId="75269DF9"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3031FE9" w14:textId="4F4A00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180</w:t>
            </w:r>
          </w:p>
        </w:tc>
        <w:tc>
          <w:tcPr>
            <w:tcW w:w="862" w:type="dxa"/>
            <w:noWrap/>
            <w:vAlign w:val="center"/>
          </w:tcPr>
          <w:p w14:paraId="59EC23F4" w14:textId="64F5286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755</w:t>
            </w:r>
          </w:p>
        </w:tc>
        <w:tc>
          <w:tcPr>
            <w:tcW w:w="861" w:type="dxa"/>
            <w:noWrap/>
            <w:vAlign w:val="center"/>
          </w:tcPr>
          <w:p w14:paraId="532C40A6" w14:textId="2C1B7C1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372</w:t>
            </w:r>
          </w:p>
        </w:tc>
        <w:tc>
          <w:tcPr>
            <w:tcW w:w="861" w:type="dxa"/>
            <w:noWrap/>
            <w:vAlign w:val="center"/>
          </w:tcPr>
          <w:p w14:paraId="63B9078E" w14:textId="0C0388C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C63B7F7" w14:textId="357355B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1,387</w:t>
            </w:r>
          </w:p>
        </w:tc>
      </w:tr>
      <w:tr w:rsidR="003C047A" w:rsidRPr="00B469AB" w14:paraId="016E41C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3121A9F" w14:textId="59A9AB5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Neami Limited</w:t>
            </w:r>
          </w:p>
        </w:tc>
        <w:tc>
          <w:tcPr>
            <w:tcW w:w="861" w:type="dxa"/>
            <w:vAlign w:val="center"/>
          </w:tcPr>
          <w:p w14:paraId="4FC01347" w14:textId="4C74444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0F57D84" w14:textId="3BB93D5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18D36B6"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4DCF883" w14:textId="207FCAA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C367EFA" w14:textId="5D1F290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23,205</w:t>
            </w:r>
          </w:p>
        </w:tc>
        <w:tc>
          <w:tcPr>
            <w:tcW w:w="861" w:type="dxa"/>
            <w:noWrap/>
            <w:vAlign w:val="center"/>
          </w:tcPr>
          <w:p w14:paraId="71B1F7F0" w14:textId="33C1DF6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3819817" w14:textId="07D93B3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DB48565" w14:textId="0F75FE7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23,205</w:t>
            </w:r>
          </w:p>
        </w:tc>
      </w:tr>
      <w:tr w:rsidR="00CC02E9" w:rsidRPr="00B469AB" w14:paraId="2E8A213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DDDE061" w14:textId="602CB04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Njernda Aboriginal Corporation</w:t>
            </w:r>
          </w:p>
        </w:tc>
        <w:tc>
          <w:tcPr>
            <w:tcW w:w="861" w:type="dxa"/>
            <w:vAlign w:val="center"/>
          </w:tcPr>
          <w:p w14:paraId="5488C602" w14:textId="2D726EC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315</w:t>
            </w:r>
          </w:p>
        </w:tc>
        <w:tc>
          <w:tcPr>
            <w:tcW w:w="861" w:type="dxa"/>
            <w:noWrap/>
            <w:vAlign w:val="center"/>
          </w:tcPr>
          <w:p w14:paraId="4B31DAF6" w14:textId="1A11895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205</w:t>
            </w:r>
          </w:p>
        </w:tc>
        <w:tc>
          <w:tcPr>
            <w:tcW w:w="861" w:type="dxa"/>
            <w:vAlign w:val="center"/>
          </w:tcPr>
          <w:p w14:paraId="39FC338B"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A9E9E1" w14:textId="2DCF74E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771</w:t>
            </w:r>
          </w:p>
        </w:tc>
        <w:tc>
          <w:tcPr>
            <w:tcW w:w="862" w:type="dxa"/>
            <w:noWrap/>
            <w:vAlign w:val="center"/>
          </w:tcPr>
          <w:p w14:paraId="5B7E46C3" w14:textId="0AC56E2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744</w:t>
            </w:r>
          </w:p>
        </w:tc>
        <w:tc>
          <w:tcPr>
            <w:tcW w:w="861" w:type="dxa"/>
            <w:noWrap/>
            <w:vAlign w:val="center"/>
          </w:tcPr>
          <w:p w14:paraId="166D8182" w14:textId="531FC8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629</w:t>
            </w:r>
          </w:p>
        </w:tc>
        <w:tc>
          <w:tcPr>
            <w:tcW w:w="861" w:type="dxa"/>
            <w:noWrap/>
            <w:vAlign w:val="center"/>
          </w:tcPr>
          <w:p w14:paraId="020E0377" w14:textId="242D095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EA79849" w14:textId="05488F2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2,664</w:t>
            </w:r>
          </w:p>
        </w:tc>
      </w:tr>
      <w:tr w:rsidR="003C047A" w:rsidRPr="00B469AB" w14:paraId="2100C36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429B6D2" w14:textId="42FCDA3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Northern District Community Health</w:t>
            </w:r>
          </w:p>
        </w:tc>
        <w:tc>
          <w:tcPr>
            <w:tcW w:w="861" w:type="dxa"/>
            <w:vAlign w:val="center"/>
          </w:tcPr>
          <w:p w14:paraId="19713B8B" w14:textId="6573B8C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FCD375E" w14:textId="794C80E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289</w:t>
            </w:r>
          </w:p>
        </w:tc>
        <w:tc>
          <w:tcPr>
            <w:tcW w:w="861" w:type="dxa"/>
            <w:vAlign w:val="center"/>
          </w:tcPr>
          <w:p w14:paraId="47F961F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ED20A15" w14:textId="58AEE0F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AD9A7EA" w14:textId="411A90A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B0B7F25" w14:textId="06F98FE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1,657</w:t>
            </w:r>
          </w:p>
        </w:tc>
        <w:tc>
          <w:tcPr>
            <w:tcW w:w="861" w:type="dxa"/>
            <w:noWrap/>
            <w:vAlign w:val="center"/>
          </w:tcPr>
          <w:p w14:paraId="13197EB1" w14:textId="142B223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41E1462" w14:textId="2F1292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1,945</w:t>
            </w:r>
          </w:p>
        </w:tc>
      </w:tr>
      <w:tr w:rsidR="00CC02E9" w:rsidRPr="00B469AB" w14:paraId="78229D7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5550B0E" w14:textId="22A0D33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Nursing And Midwifery Health Program Victoria Ltd</w:t>
            </w:r>
          </w:p>
        </w:tc>
        <w:tc>
          <w:tcPr>
            <w:tcW w:w="861" w:type="dxa"/>
            <w:vAlign w:val="center"/>
          </w:tcPr>
          <w:p w14:paraId="31453136" w14:textId="0ED4ECE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1,411</w:t>
            </w:r>
          </w:p>
        </w:tc>
        <w:tc>
          <w:tcPr>
            <w:tcW w:w="861" w:type="dxa"/>
            <w:noWrap/>
            <w:vAlign w:val="center"/>
          </w:tcPr>
          <w:p w14:paraId="01E28BA4" w14:textId="73927C5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B2E2E5F"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B13C381" w14:textId="505BC1F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0401D28" w14:textId="1AD6A3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6AB6AA9" w14:textId="6CA1EB8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927BB39" w14:textId="260017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4464DC6" w14:textId="199246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1,411</w:t>
            </w:r>
          </w:p>
        </w:tc>
      </w:tr>
      <w:tr w:rsidR="003C047A" w:rsidRPr="00B469AB" w14:paraId="2377ADC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300A836" w14:textId="1E69374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Odyssey House, Victoria</w:t>
            </w:r>
          </w:p>
        </w:tc>
        <w:tc>
          <w:tcPr>
            <w:tcW w:w="861" w:type="dxa"/>
            <w:vAlign w:val="center"/>
          </w:tcPr>
          <w:p w14:paraId="616313C1" w14:textId="20A6000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27B1096" w14:textId="676820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3DAA718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37FDD1" w14:textId="4579A5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24,330</w:t>
            </w:r>
          </w:p>
        </w:tc>
        <w:tc>
          <w:tcPr>
            <w:tcW w:w="862" w:type="dxa"/>
            <w:noWrap/>
            <w:vAlign w:val="center"/>
          </w:tcPr>
          <w:p w14:paraId="0D112507" w14:textId="0B942F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5C638CF" w14:textId="6A3197A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07E510B" w14:textId="0420678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8F7BF6F" w14:textId="66DF9C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24,330</w:t>
            </w:r>
          </w:p>
        </w:tc>
      </w:tr>
      <w:tr w:rsidR="00CC02E9" w:rsidRPr="00B469AB" w14:paraId="7A15B2AA"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152E0A8" w14:textId="2B152C9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Penington Institute</w:t>
            </w:r>
          </w:p>
        </w:tc>
        <w:tc>
          <w:tcPr>
            <w:tcW w:w="861" w:type="dxa"/>
            <w:vAlign w:val="center"/>
          </w:tcPr>
          <w:p w14:paraId="033D864F" w14:textId="6A9E57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7416FFA" w14:textId="370F8CE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D8D1FF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471A502" w14:textId="665C475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1,145</w:t>
            </w:r>
          </w:p>
        </w:tc>
        <w:tc>
          <w:tcPr>
            <w:tcW w:w="862" w:type="dxa"/>
            <w:noWrap/>
            <w:vAlign w:val="center"/>
          </w:tcPr>
          <w:p w14:paraId="76D419BC" w14:textId="5103B2A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EC4399" w14:textId="0105A7D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FEA19A1" w14:textId="3B8BE60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2E5EF2E" w14:textId="7D29AE1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1,145</w:t>
            </w:r>
          </w:p>
        </w:tc>
      </w:tr>
      <w:tr w:rsidR="003C047A" w:rsidRPr="00B469AB" w14:paraId="2413254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D7426CF" w14:textId="1B069D0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Peninsula Home Hospice</w:t>
            </w:r>
          </w:p>
        </w:tc>
        <w:tc>
          <w:tcPr>
            <w:tcW w:w="861" w:type="dxa"/>
            <w:vAlign w:val="center"/>
          </w:tcPr>
          <w:p w14:paraId="19F2538B" w14:textId="67C202A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5,016</w:t>
            </w:r>
          </w:p>
        </w:tc>
        <w:tc>
          <w:tcPr>
            <w:tcW w:w="861" w:type="dxa"/>
            <w:noWrap/>
            <w:vAlign w:val="center"/>
          </w:tcPr>
          <w:p w14:paraId="4591FEBD" w14:textId="4E75EE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0D1B448"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E67101" w14:textId="3A1633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F89ECC1" w14:textId="6621AF3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94CAD8F" w14:textId="30952E6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DAB341F" w14:textId="14EBAE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BFB55B0" w14:textId="18EDCCD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5,016</w:t>
            </w:r>
          </w:p>
        </w:tc>
      </w:tr>
      <w:tr w:rsidR="00CC02E9" w:rsidRPr="00B469AB" w14:paraId="2B1C8B1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8983F0" w14:textId="01E2925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People Living With H</w:t>
            </w:r>
            <w:r w:rsidR="005365DA">
              <w:rPr>
                <w:rFonts w:cs="Arial"/>
                <w:b w:val="0"/>
                <w:bCs w:val="0"/>
                <w:color w:val="000000"/>
                <w:sz w:val="16"/>
                <w:szCs w:val="16"/>
              </w:rPr>
              <w:t>IV</w:t>
            </w:r>
            <w:r w:rsidRPr="003C047A">
              <w:rPr>
                <w:rFonts w:cs="Arial"/>
                <w:b w:val="0"/>
                <w:bCs w:val="0"/>
                <w:color w:val="000000"/>
                <w:sz w:val="16"/>
                <w:szCs w:val="16"/>
              </w:rPr>
              <w:t>/Aids Victoria Inc</w:t>
            </w:r>
          </w:p>
        </w:tc>
        <w:tc>
          <w:tcPr>
            <w:tcW w:w="861" w:type="dxa"/>
            <w:vAlign w:val="center"/>
          </w:tcPr>
          <w:p w14:paraId="60468969" w14:textId="38D950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97F7FC4" w14:textId="3EA41C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7BA587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B555419" w14:textId="2CE567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3883161" w14:textId="461A11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ADB181A" w14:textId="7F42F0B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386A53" w14:textId="47488D2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2,010</w:t>
            </w:r>
          </w:p>
        </w:tc>
        <w:tc>
          <w:tcPr>
            <w:tcW w:w="862" w:type="dxa"/>
            <w:noWrap/>
            <w:vAlign w:val="center"/>
          </w:tcPr>
          <w:p w14:paraId="4953B391" w14:textId="455ACD2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2,010</w:t>
            </w:r>
          </w:p>
        </w:tc>
      </w:tr>
      <w:tr w:rsidR="003C047A" w:rsidRPr="00B469AB" w14:paraId="6419D5D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1117BF4" w14:textId="2CAA869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Ramahyuck District Aboriginal Corporation</w:t>
            </w:r>
          </w:p>
        </w:tc>
        <w:tc>
          <w:tcPr>
            <w:tcW w:w="861" w:type="dxa"/>
            <w:vAlign w:val="center"/>
          </w:tcPr>
          <w:p w14:paraId="40B369E1" w14:textId="24F92D1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313</w:t>
            </w:r>
          </w:p>
        </w:tc>
        <w:tc>
          <w:tcPr>
            <w:tcW w:w="861" w:type="dxa"/>
            <w:noWrap/>
            <w:vAlign w:val="center"/>
          </w:tcPr>
          <w:p w14:paraId="512FC535" w14:textId="064378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151</w:t>
            </w:r>
          </w:p>
        </w:tc>
        <w:tc>
          <w:tcPr>
            <w:tcW w:w="861" w:type="dxa"/>
            <w:vAlign w:val="center"/>
          </w:tcPr>
          <w:p w14:paraId="3841BC7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0AD5D68" w14:textId="6576EDC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781</w:t>
            </w:r>
          </w:p>
        </w:tc>
        <w:tc>
          <w:tcPr>
            <w:tcW w:w="862" w:type="dxa"/>
            <w:noWrap/>
            <w:vAlign w:val="center"/>
          </w:tcPr>
          <w:p w14:paraId="05E5242B" w14:textId="1E8D0E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929</w:t>
            </w:r>
          </w:p>
        </w:tc>
        <w:tc>
          <w:tcPr>
            <w:tcW w:w="861" w:type="dxa"/>
            <w:noWrap/>
            <w:vAlign w:val="center"/>
          </w:tcPr>
          <w:p w14:paraId="42A940BD" w14:textId="24661C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410</w:t>
            </w:r>
          </w:p>
        </w:tc>
        <w:tc>
          <w:tcPr>
            <w:tcW w:w="861" w:type="dxa"/>
            <w:noWrap/>
            <w:vAlign w:val="center"/>
          </w:tcPr>
          <w:p w14:paraId="7225788F" w14:textId="75C85F6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28F075A" w14:textId="7C70B9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2,584</w:t>
            </w:r>
          </w:p>
        </w:tc>
      </w:tr>
      <w:tr w:rsidR="00CC02E9" w:rsidRPr="00B469AB" w14:paraId="6D14FE9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E2DAA9E" w14:textId="478E4FF3"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Red Cliffs </w:t>
            </w:r>
            <w:r w:rsidR="00207F55">
              <w:rPr>
                <w:rFonts w:cs="Arial"/>
                <w:b w:val="0"/>
                <w:bCs w:val="0"/>
                <w:color w:val="000000"/>
                <w:sz w:val="16"/>
                <w:szCs w:val="16"/>
              </w:rPr>
              <w:t>a</w:t>
            </w:r>
            <w:r w:rsidRPr="003C047A">
              <w:rPr>
                <w:rFonts w:cs="Arial"/>
                <w:b w:val="0"/>
                <w:bCs w:val="0"/>
                <w:color w:val="000000"/>
                <w:sz w:val="16"/>
                <w:szCs w:val="16"/>
              </w:rPr>
              <w:t>nd Community Aged Care Services Inc</w:t>
            </w:r>
          </w:p>
        </w:tc>
        <w:tc>
          <w:tcPr>
            <w:tcW w:w="861" w:type="dxa"/>
            <w:vAlign w:val="center"/>
          </w:tcPr>
          <w:p w14:paraId="7C3CD03B" w14:textId="0899BC7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4BCBA5" w14:textId="630B1F2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1,885</w:t>
            </w:r>
          </w:p>
        </w:tc>
        <w:tc>
          <w:tcPr>
            <w:tcW w:w="861" w:type="dxa"/>
            <w:vAlign w:val="center"/>
          </w:tcPr>
          <w:p w14:paraId="72048034"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6D050FC" w14:textId="2E4D997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0BF9770" w14:textId="6A1BC2E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214687" w14:textId="442568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9B94A5" w14:textId="395670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FA23696" w14:textId="3CB6290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1,885</w:t>
            </w:r>
          </w:p>
        </w:tc>
      </w:tr>
      <w:tr w:rsidR="003C047A" w:rsidRPr="00B469AB" w14:paraId="74D6E1E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978E357" w14:textId="62297B0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Royal District Nursing Service Limited</w:t>
            </w:r>
          </w:p>
        </w:tc>
        <w:tc>
          <w:tcPr>
            <w:tcW w:w="861" w:type="dxa"/>
            <w:vAlign w:val="center"/>
          </w:tcPr>
          <w:p w14:paraId="378167E8" w14:textId="3ECA399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E08042" w14:textId="6C62CCB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34,674</w:t>
            </w:r>
          </w:p>
        </w:tc>
        <w:tc>
          <w:tcPr>
            <w:tcW w:w="861" w:type="dxa"/>
            <w:vAlign w:val="center"/>
          </w:tcPr>
          <w:p w14:paraId="61ED00D6"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4A52564" w14:textId="7310ADE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E9836C1" w14:textId="05A89B5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0798A9D" w14:textId="255428E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124</w:t>
            </w:r>
          </w:p>
        </w:tc>
        <w:tc>
          <w:tcPr>
            <w:tcW w:w="861" w:type="dxa"/>
            <w:noWrap/>
            <w:vAlign w:val="center"/>
          </w:tcPr>
          <w:p w14:paraId="31C796A8" w14:textId="28B2D8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899</w:t>
            </w:r>
          </w:p>
        </w:tc>
        <w:tc>
          <w:tcPr>
            <w:tcW w:w="862" w:type="dxa"/>
            <w:noWrap/>
            <w:vAlign w:val="center"/>
          </w:tcPr>
          <w:p w14:paraId="50EB7AE7" w14:textId="702C50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35,697</w:t>
            </w:r>
          </w:p>
        </w:tc>
      </w:tr>
      <w:tr w:rsidR="00CC02E9" w:rsidRPr="00B469AB" w14:paraId="146DA86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A47F81" w14:textId="5F0F7545"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Rumbalara Aboriginal Co-Operative Limited</w:t>
            </w:r>
          </w:p>
        </w:tc>
        <w:tc>
          <w:tcPr>
            <w:tcW w:w="861" w:type="dxa"/>
            <w:vAlign w:val="center"/>
          </w:tcPr>
          <w:p w14:paraId="68D0CE09" w14:textId="6F12B7E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w:t>
            </w:r>
          </w:p>
        </w:tc>
        <w:tc>
          <w:tcPr>
            <w:tcW w:w="861" w:type="dxa"/>
            <w:noWrap/>
            <w:vAlign w:val="center"/>
          </w:tcPr>
          <w:p w14:paraId="74E19DC1" w14:textId="3C25D89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220</w:t>
            </w:r>
          </w:p>
        </w:tc>
        <w:tc>
          <w:tcPr>
            <w:tcW w:w="861" w:type="dxa"/>
            <w:vAlign w:val="center"/>
          </w:tcPr>
          <w:p w14:paraId="2BC5A06D"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E6DD8C5" w14:textId="12F39B7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1,995</w:t>
            </w:r>
          </w:p>
        </w:tc>
        <w:tc>
          <w:tcPr>
            <w:tcW w:w="862" w:type="dxa"/>
            <w:noWrap/>
            <w:vAlign w:val="center"/>
          </w:tcPr>
          <w:p w14:paraId="2721C786" w14:textId="269EC51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1,968</w:t>
            </w:r>
          </w:p>
        </w:tc>
        <w:tc>
          <w:tcPr>
            <w:tcW w:w="861" w:type="dxa"/>
            <w:noWrap/>
            <w:vAlign w:val="center"/>
          </w:tcPr>
          <w:p w14:paraId="55F01DDF" w14:textId="33FC066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492</w:t>
            </w:r>
          </w:p>
        </w:tc>
        <w:tc>
          <w:tcPr>
            <w:tcW w:w="861" w:type="dxa"/>
            <w:noWrap/>
            <w:vAlign w:val="center"/>
          </w:tcPr>
          <w:p w14:paraId="77B6C4B5" w14:textId="67FA9B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9A545A5" w14:textId="668E91B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4,926</w:t>
            </w:r>
          </w:p>
        </w:tc>
      </w:tr>
      <w:tr w:rsidR="003C047A" w:rsidRPr="00B469AB" w14:paraId="2D4CE12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DE1581F" w14:textId="5D11ED1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Sacred Heart Mission Inc.</w:t>
            </w:r>
          </w:p>
        </w:tc>
        <w:tc>
          <w:tcPr>
            <w:tcW w:w="861" w:type="dxa"/>
            <w:vAlign w:val="center"/>
          </w:tcPr>
          <w:p w14:paraId="10A8DB87" w14:textId="1ABFC39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434BD3D" w14:textId="13C1B7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609</w:t>
            </w:r>
          </w:p>
        </w:tc>
        <w:tc>
          <w:tcPr>
            <w:tcW w:w="861" w:type="dxa"/>
            <w:vAlign w:val="center"/>
          </w:tcPr>
          <w:p w14:paraId="69146453"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4CAFB0" w14:textId="4738CCC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6FCEDAC" w14:textId="09A832D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1,707</w:t>
            </w:r>
          </w:p>
        </w:tc>
        <w:tc>
          <w:tcPr>
            <w:tcW w:w="861" w:type="dxa"/>
            <w:noWrap/>
            <w:vAlign w:val="center"/>
          </w:tcPr>
          <w:p w14:paraId="5036A731" w14:textId="0D3884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BB8D61F" w14:textId="788E7C0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CFB3C80" w14:textId="14B3171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2,316</w:t>
            </w:r>
          </w:p>
        </w:tc>
      </w:tr>
      <w:tr w:rsidR="00CC02E9" w:rsidRPr="00B469AB" w14:paraId="1E84407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9666929" w14:textId="6E0AC5A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Self Help Addiction Resource Centre Inc</w:t>
            </w:r>
          </w:p>
        </w:tc>
        <w:tc>
          <w:tcPr>
            <w:tcW w:w="861" w:type="dxa"/>
            <w:vAlign w:val="center"/>
          </w:tcPr>
          <w:p w14:paraId="28346C6B" w14:textId="4C4786C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A3FEBFA" w14:textId="059BFD0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F30C8F5"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4C86D3" w14:textId="2E4E539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986</w:t>
            </w:r>
          </w:p>
        </w:tc>
        <w:tc>
          <w:tcPr>
            <w:tcW w:w="862" w:type="dxa"/>
            <w:noWrap/>
            <w:vAlign w:val="center"/>
          </w:tcPr>
          <w:p w14:paraId="7FDD1E8C" w14:textId="0DE8B3B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3,117</w:t>
            </w:r>
          </w:p>
        </w:tc>
        <w:tc>
          <w:tcPr>
            <w:tcW w:w="861" w:type="dxa"/>
            <w:noWrap/>
            <w:vAlign w:val="center"/>
          </w:tcPr>
          <w:p w14:paraId="60E9CF27" w14:textId="406FF3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BCF366" w14:textId="6592811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FD23691" w14:textId="3343961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4,103</w:t>
            </w:r>
          </w:p>
        </w:tc>
      </w:tr>
      <w:tr w:rsidR="003C047A" w:rsidRPr="00B469AB" w14:paraId="1CF51721"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2A96B92" w14:textId="5503701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Sexual Health Victoria Incorporated</w:t>
            </w:r>
          </w:p>
        </w:tc>
        <w:tc>
          <w:tcPr>
            <w:tcW w:w="861" w:type="dxa"/>
            <w:vAlign w:val="center"/>
          </w:tcPr>
          <w:p w14:paraId="4484F601" w14:textId="2544D99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E779DE4" w14:textId="76E0B32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39E0A39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DF12318" w14:textId="5B49D0E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6DC45E2" w14:textId="12E262E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B71B3CF" w14:textId="7FF0031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4,083</w:t>
            </w:r>
          </w:p>
        </w:tc>
        <w:tc>
          <w:tcPr>
            <w:tcW w:w="861" w:type="dxa"/>
            <w:noWrap/>
            <w:vAlign w:val="center"/>
          </w:tcPr>
          <w:p w14:paraId="040BFBB2" w14:textId="35B34FF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988</w:t>
            </w:r>
          </w:p>
        </w:tc>
        <w:tc>
          <w:tcPr>
            <w:tcW w:w="862" w:type="dxa"/>
            <w:noWrap/>
            <w:vAlign w:val="center"/>
          </w:tcPr>
          <w:p w14:paraId="5AC399EE" w14:textId="3B0E883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5,071</w:t>
            </w:r>
          </w:p>
        </w:tc>
      </w:tr>
      <w:tr w:rsidR="00CC02E9" w:rsidRPr="00B469AB" w14:paraId="49B9118A"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1851466" w14:textId="2F538B4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Tandem Inc</w:t>
            </w:r>
          </w:p>
        </w:tc>
        <w:tc>
          <w:tcPr>
            <w:tcW w:w="861" w:type="dxa"/>
            <w:vAlign w:val="center"/>
          </w:tcPr>
          <w:p w14:paraId="7A64C601" w14:textId="623C700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98CCC39" w14:textId="40ADAF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7727176"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839753" w14:textId="468E983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851254B" w14:textId="3311D31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10,111</w:t>
            </w:r>
          </w:p>
        </w:tc>
        <w:tc>
          <w:tcPr>
            <w:tcW w:w="861" w:type="dxa"/>
            <w:noWrap/>
            <w:vAlign w:val="center"/>
          </w:tcPr>
          <w:p w14:paraId="1C10756E" w14:textId="211195E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E75C5DE" w14:textId="1D74B35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734A55F" w14:textId="4DDC061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10,111</w:t>
            </w:r>
          </w:p>
        </w:tc>
      </w:tr>
      <w:tr w:rsidR="003C047A" w:rsidRPr="00B469AB" w14:paraId="74F6FC5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BE2C7C7" w14:textId="53B0A59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Australian Nutrition Foundation-Victorian Division Inc.</w:t>
            </w:r>
          </w:p>
        </w:tc>
        <w:tc>
          <w:tcPr>
            <w:tcW w:w="861" w:type="dxa"/>
            <w:vAlign w:val="center"/>
          </w:tcPr>
          <w:p w14:paraId="3D0DC27B" w14:textId="6532D1B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C414BEF" w14:textId="07B927A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61EB3D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00AEF5B" w14:textId="14B385B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E8D669A" w14:textId="0D66378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1A5F50B" w14:textId="1FC616D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6B66B54" w14:textId="3ACCFEA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1,354</w:t>
            </w:r>
          </w:p>
        </w:tc>
        <w:tc>
          <w:tcPr>
            <w:tcW w:w="862" w:type="dxa"/>
            <w:noWrap/>
            <w:vAlign w:val="center"/>
          </w:tcPr>
          <w:p w14:paraId="4F406888" w14:textId="6552F98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1,354</w:t>
            </w:r>
          </w:p>
        </w:tc>
      </w:tr>
      <w:tr w:rsidR="00CC02E9" w:rsidRPr="00B469AB" w14:paraId="41BF3F0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23BE575" w14:textId="554D8F0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Goulburn Valley Hospice Care Service Inc</w:t>
            </w:r>
          </w:p>
        </w:tc>
        <w:tc>
          <w:tcPr>
            <w:tcW w:w="861" w:type="dxa"/>
            <w:vAlign w:val="center"/>
          </w:tcPr>
          <w:p w14:paraId="268CEB60" w14:textId="1B75C7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2,022</w:t>
            </w:r>
          </w:p>
        </w:tc>
        <w:tc>
          <w:tcPr>
            <w:tcW w:w="861" w:type="dxa"/>
            <w:noWrap/>
            <w:vAlign w:val="center"/>
          </w:tcPr>
          <w:p w14:paraId="0B0F70EC" w14:textId="587A7AB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593932B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A6BBBF6" w14:textId="4E70D21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216CF58" w14:textId="337960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01D29EE" w14:textId="567A78C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9DE4375" w14:textId="7C54A63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ECEE1F4" w14:textId="10651BE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2,022</w:t>
            </w:r>
          </w:p>
        </w:tc>
      </w:tr>
      <w:tr w:rsidR="003C047A" w:rsidRPr="00B469AB" w14:paraId="634DDAE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0E102BF" w14:textId="4DEE1DE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Salvation Army (Victoria) Property Trust</w:t>
            </w:r>
          </w:p>
        </w:tc>
        <w:tc>
          <w:tcPr>
            <w:tcW w:w="861" w:type="dxa"/>
            <w:vAlign w:val="center"/>
          </w:tcPr>
          <w:p w14:paraId="06B99323" w14:textId="24F01B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FBC78AC" w14:textId="42FD9B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3,300</w:t>
            </w:r>
          </w:p>
        </w:tc>
        <w:tc>
          <w:tcPr>
            <w:tcW w:w="861" w:type="dxa"/>
            <w:vAlign w:val="center"/>
          </w:tcPr>
          <w:p w14:paraId="61B2945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6E30FC" w14:textId="164472D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13,883</w:t>
            </w:r>
          </w:p>
        </w:tc>
        <w:tc>
          <w:tcPr>
            <w:tcW w:w="862" w:type="dxa"/>
            <w:noWrap/>
            <w:vAlign w:val="center"/>
          </w:tcPr>
          <w:p w14:paraId="7A59E67F" w14:textId="5AF78CE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1,636</w:t>
            </w:r>
          </w:p>
        </w:tc>
        <w:tc>
          <w:tcPr>
            <w:tcW w:w="861" w:type="dxa"/>
            <w:noWrap/>
            <w:vAlign w:val="center"/>
          </w:tcPr>
          <w:p w14:paraId="65EC83C1" w14:textId="0121F97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D87796D" w14:textId="4263939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14A1D2C" w14:textId="65E58D7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18,819</w:t>
            </w:r>
          </w:p>
        </w:tc>
      </w:tr>
      <w:tr w:rsidR="00CC02E9" w:rsidRPr="00B469AB" w14:paraId="2CADD32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CD3B96B" w14:textId="5AF3368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The University </w:t>
            </w:r>
            <w:r w:rsidR="00207F55">
              <w:rPr>
                <w:rFonts w:cs="Arial"/>
                <w:b w:val="0"/>
                <w:bCs w:val="0"/>
                <w:color w:val="000000"/>
                <w:sz w:val="16"/>
                <w:szCs w:val="16"/>
              </w:rPr>
              <w:t>o</w:t>
            </w:r>
            <w:r w:rsidRPr="003C047A">
              <w:rPr>
                <w:rFonts w:cs="Arial"/>
                <w:b w:val="0"/>
                <w:bCs w:val="0"/>
                <w:color w:val="000000"/>
                <w:sz w:val="16"/>
                <w:szCs w:val="16"/>
              </w:rPr>
              <w:t>f Melbourne</w:t>
            </w:r>
          </w:p>
        </w:tc>
        <w:tc>
          <w:tcPr>
            <w:tcW w:w="861" w:type="dxa"/>
            <w:vAlign w:val="center"/>
          </w:tcPr>
          <w:p w14:paraId="56D221F1" w14:textId="0986AA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1,121</w:t>
            </w:r>
          </w:p>
        </w:tc>
        <w:tc>
          <w:tcPr>
            <w:tcW w:w="861" w:type="dxa"/>
            <w:noWrap/>
            <w:vAlign w:val="center"/>
          </w:tcPr>
          <w:p w14:paraId="55938357" w14:textId="64BFF7E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FAEDFD1"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72296C5" w14:textId="0E4888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646</w:t>
            </w:r>
          </w:p>
        </w:tc>
        <w:tc>
          <w:tcPr>
            <w:tcW w:w="862" w:type="dxa"/>
            <w:noWrap/>
            <w:vAlign w:val="center"/>
          </w:tcPr>
          <w:p w14:paraId="24FEC834" w14:textId="0F9E359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2,885</w:t>
            </w:r>
          </w:p>
        </w:tc>
        <w:tc>
          <w:tcPr>
            <w:tcW w:w="861" w:type="dxa"/>
            <w:noWrap/>
            <w:vAlign w:val="center"/>
          </w:tcPr>
          <w:p w14:paraId="5D53350D" w14:textId="4379CD1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294</w:t>
            </w:r>
          </w:p>
        </w:tc>
        <w:tc>
          <w:tcPr>
            <w:tcW w:w="861" w:type="dxa"/>
            <w:noWrap/>
            <w:vAlign w:val="center"/>
          </w:tcPr>
          <w:p w14:paraId="5C271C79" w14:textId="32BF091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8,107</w:t>
            </w:r>
          </w:p>
        </w:tc>
        <w:tc>
          <w:tcPr>
            <w:tcW w:w="862" w:type="dxa"/>
            <w:noWrap/>
            <w:vAlign w:val="center"/>
          </w:tcPr>
          <w:p w14:paraId="637C253F" w14:textId="65CD51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13,053</w:t>
            </w:r>
          </w:p>
        </w:tc>
      </w:tr>
      <w:tr w:rsidR="003C047A" w:rsidRPr="00B469AB" w14:paraId="44A74F2C"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38B57C4" w14:textId="62D3618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The Victorian Foundation </w:t>
            </w:r>
            <w:r w:rsidR="00207F55">
              <w:rPr>
                <w:rFonts w:cs="Arial"/>
                <w:b w:val="0"/>
                <w:bCs w:val="0"/>
                <w:color w:val="000000"/>
                <w:sz w:val="16"/>
                <w:szCs w:val="16"/>
              </w:rPr>
              <w:t>f</w:t>
            </w:r>
            <w:r w:rsidRPr="003C047A">
              <w:rPr>
                <w:rFonts w:cs="Arial"/>
                <w:b w:val="0"/>
                <w:bCs w:val="0"/>
                <w:color w:val="000000"/>
                <w:sz w:val="16"/>
                <w:szCs w:val="16"/>
              </w:rPr>
              <w:t xml:space="preserve">or Survivors </w:t>
            </w:r>
            <w:r w:rsidR="00207F55">
              <w:rPr>
                <w:rFonts w:cs="Arial"/>
                <w:b w:val="0"/>
                <w:bCs w:val="0"/>
                <w:color w:val="000000"/>
                <w:sz w:val="16"/>
                <w:szCs w:val="16"/>
              </w:rPr>
              <w:t>o</w:t>
            </w:r>
            <w:r w:rsidRPr="003C047A">
              <w:rPr>
                <w:rFonts w:cs="Arial"/>
                <w:b w:val="0"/>
                <w:bCs w:val="0"/>
                <w:color w:val="000000"/>
                <w:sz w:val="16"/>
                <w:szCs w:val="16"/>
              </w:rPr>
              <w:t>f Torture Inc</w:t>
            </w:r>
          </w:p>
        </w:tc>
        <w:tc>
          <w:tcPr>
            <w:tcW w:w="861" w:type="dxa"/>
            <w:vAlign w:val="center"/>
          </w:tcPr>
          <w:p w14:paraId="63AC9A58" w14:textId="43B8ADF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D745B2" w14:textId="5E60D42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86D70A7"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F99BA0B" w14:textId="39024DB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78325EB" w14:textId="44EE4AB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2,105</w:t>
            </w:r>
          </w:p>
        </w:tc>
        <w:tc>
          <w:tcPr>
            <w:tcW w:w="861" w:type="dxa"/>
            <w:noWrap/>
            <w:vAlign w:val="center"/>
          </w:tcPr>
          <w:p w14:paraId="6D526DC1" w14:textId="04B410D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2,417</w:t>
            </w:r>
          </w:p>
        </w:tc>
        <w:tc>
          <w:tcPr>
            <w:tcW w:w="861" w:type="dxa"/>
            <w:noWrap/>
            <w:vAlign w:val="center"/>
          </w:tcPr>
          <w:p w14:paraId="0E496699" w14:textId="3CE4E24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0F1BB33" w14:textId="0AF6C5D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4,522</w:t>
            </w:r>
          </w:p>
        </w:tc>
      </w:tr>
      <w:tr w:rsidR="00CC02E9" w:rsidRPr="00B469AB" w14:paraId="5155A7F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19514F0" w14:textId="4039813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Thorne Harbour Health Ltd</w:t>
            </w:r>
          </w:p>
        </w:tc>
        <w:tc>
          <w:tcPr>
            <w:tcW w:w="861" w:type="dxa"/>
            <w:vAlign w:val="center"/>
          </w:tcPr>
          <w:p w14:paraId="094974F4" w14:textId="25CDC3F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63B8CB8" w14:textId="1EE72D9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3B23B4C"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59260BC" w14:textId="2B31394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563</w:t>
            </w:r>
          </w:p>
        </w:tc>
        <w:tc>
          <w:tcPr>
            <w:tcW w:w="862" w:type="dxa"/>
            <w:noWrap/>
            <w:vAlign w:val="center"/>
          </w:tcPr>
          <w:p w14:paraId="1B95E9BC" w14:textId="1A6FA7F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132</w:t>
            </w:r>
          </w:p>
        </w:tc>
        <w:tc>
          <w:tcPr>
            <w:tcW w:w="861" w:type="dxa"/>
            <w:noWrap/>
            <w:vAlign w:val="center"/>
          </w:tcPr>
          <w:p w14:paraId="6134982D" w14:textId="6C04089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9BEF01B" w14:textId="488BB8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6,657</w:t>
            </w:r>
          </w:p>
        </w:tc>
        <w:tc>
          <w:tcPr>
            <w:tcW w:w="862" w:type="dxa"/>
            <w:noWrap/>
            <w:vAlign w:val="center"/>
          </w:tcPr>
          <w:p w14:paraId="6D0E1C04" w14:textId="331EA8D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7,352</w:t>
            </w:r>
          </w:p>
        </w:tc>
      </w:tr>
      <w:tr w:rsidR="003C047A" w:rsidRPr="00B469AB" w14:paraId="16F0313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E1A42FD" w14:textId="0B737EFE"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Uniting (Victoria </w:t>
            </w:r>
            <w:r w:rsidR="00207F55">
              <w:rPr>
                <w:rFonts w:cs="Arial"/>
                <w:b w:val="0"/>
                <w:bCs w:val="0"/>
                <w:color w:val="000000"/>
                <w:sz w:val="16"/>
                <w:szCs w:val="16"/>
              </w:rPr>
              <w:t>a</w:t>
            </w:r>
            <w:r w:rsidRPr="003C047A">
              <w:rPr>
                <w:rFonts w:cs="Arial"/>
                <w:b w:val="0"/>
                <w:bCs w:val="0"/>
                <w:color w:val="000000"/>
                <w:sz w:val="16"/>
                <w:szCs w:val="16"/>
              </w:rPr>
              <w:t>nd Tasmania) Limited</w:t>
            </w:r>
          </w:p>
        </w:tc>
        <w:tc>
          <w:tcPr>
            <w:tcW w:w="861" w:type="dxa"/>
            <w:vAlign w:val="center"/>
          </w:tcPr>
          <w:p w14:paraId="135D34FB" w14:textId="1F11896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F7B17B" w14:textId="6D2614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6,190</w:t>
            </w:r>
          </w:p>
        </w:tc>
        <w:tc>
          <w:tcPr>
            <w:tcW w:w="861" w:type="dxa"/>
            <w:vAlign w:val="center"/>
          </w:tcPr>
          <w:p w14:paraId="5E121B0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5606EF0" w14:textId="68EC0BF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27,971</w:t>
            </w:r>
          </w:p>
        </w:tc>
        <w:tc>
          <w:tcPr>
            <w:tcW w:w="862" w:type="dxa"/>
            <w:noWrap/>
            <w:vAlign w:val="center"/>
          </w:tcPr>
          <w:p w14:paraId="2F8CA9F5" w14:textId="4293205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3,425</w:t>
            </w:r>
          </w:p>
        </w:tc>
        <w:tc>
          <w:tcPr>
            <w:tcW w:w="861" w:type="dxa"/>
            <w:noWrap/>
            <w:vAlign w:val="center"/>
          </w:tcPr>
          <w:p w14:paraId="4260DB65" w14:textId="5C7FA6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8CD7ECC" w14:textId="1D90F1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E860811" w14:textId="214CE3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37,586</w:t>
            </w:r>
          </w:p>
        </w:tc>
      </w:tr>
      <w:tr w:rsidR="00CC02E9" w:rsidRPr="00B469AB" w14:paraId="0740162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79DF2CA" w14:textId="6EE59D1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Very Special Kids</w:t>
            </w:r>
          </w:p>
        </w:tc>
        <w:tc>
          <w:tcPr>
            <w:tcW w:w="861" w:type="dxa"/>
            <w:vAlign w:val="center"/>
          </w:tcPr>
          <w:p w14:paraId="4D7D3081" w14:textId="79C8D0F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2,513</w:t>
            </w:r>
          </w:p>
        </w:tc>
        <w:tc>
          <w:tcPr>
            <w:tcW w:w="861" w:type="dxa"/>
            <w:noWrap/>
            <w:vAlign w:val="center"/>
          </w:tcPr>
          <w:p w14:paraId="10A593D2" w14:textId="49A8219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8A3382E"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B248E45" w14:textId="10A1576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472C2A3" w14:textId="4B1D1DD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A1AB53" w14:textId="294B5C3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366D42" w14:textId="55A1551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D0A8293" w14:textId="2805DB4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2,513</w:t>
            </w:r>
          </w:p>
        </w:tc>
      </w:tr>
      <w:tr w:rsidR="003C047A" w:rsidRPr="00B469AB" w14:paraId="2A60219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09E73FD" w14:textId="009ACE5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 Legal Aid</w:t>
            </w:r>
          </w:p>
        </w:tc>
        <w:tc>
          <w:tcPr>
            <w:tcW w:w="861" w:type="dxa"/>
            <w:vAlign w:val="center"/>
          </w:tcPr>
          <w:p w14:paraId="6292E9CC" w14:textId="18D8EA8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8AE607" w14:textId="07CB2F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01573D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A74939" w14:textId="3BF423F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EB0EFC4" w14:textId="4DE9823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15,374</w:t>
            </w:r>
          </w:p>
        </w:tc>
        <w:tc>
          <w:tcPr>
            <w:tcW w:w="861" w:type="dxa"/>
            <w:noWrap/>
            <w:vAlign w:val="center"/>
          </w:tcPr>
          <w:p w14:paraId="54EB06CC" w14:textId="7797F58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7709CB8" w14:textId="178F82C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6392C2B" w14:textId="1234754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15,374</w:t>
            </w:r>
          </w:p>
        </w:tc>
      </w:tr>
      <w:tr w:rsidR="00CC02E9" w:rsidRPr="00B469AB" w14:paraId="3D8AED3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4F6ACD9" w14:textId="6B044CB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 University</w:t>
            </w:r>
          </w:p>
        </w:tc>
        <w:tc>
          <w:tcPr>
            <w:tcW w:w="861" w:type="dxa"/>
            <w:vAlign w:val="center"/>
          </w:tcPr>
          <w:p w14:paraId="2477A454" w14:textId="7E41337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E9A9A82" w14:textId="42D847A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C763F5F" w14:textId="1F01293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3C047A">
              <w:rPr>
                <w:rFonts w:cs="Arial"/>
                <w:color w:val="000000"/>
                <w:sz w:val="16"/>
                <w:szCs w:val="16"/>
              </w:rPr>
              <w:t>5,000</w:t>
            </w:r>
          </w:p>
        </w:tc>
        <w:tc>
          <w:tcPr>
            <w:tcW w:w="861" w:type="dxa"/>
            <w:noWrap/>
            <w:vAlign w:val="center"/>
          </w:tcPr>
          <w:p w14:paraId="1C2646B2" w14:textId="3B51CEC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372C980" w14:textId="2D10974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5A8D4C4" w14:textId="2647D70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8F755EC" w14:textId="75C1C8F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3A7F5BB" w14:textId="0A97ACC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5,000</w:t>
            </w:r>
          </w:p>
        </w:tc>
      </w:tr>
      <w:tr w:rsidR="003C047A" w:rsidRPr="00B469AB" w14:paraId="43EC3C46"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5BB0823" w14:textId="47894F0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Aboriginal Community Controlled Health Organisation Inc</w:t>
            </w:r>
          </w:p>
        </w:tc>
        <w:tc>
          <w:tcPr>
            <w:tcW w:w="861" w:type="dxa"/>
            <w:vAlign w:val="center"/>
          </w:tcPr>
          <w:p w14:paraId="49BFC5BA" w14:textId="79A9D7D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2,497</w:t>
            </w:r>
          </w:p>
        </w:tc>
        <w:tc>
          <w:tcPr>
            <w:tcW w:w="861" w:type="dxa"/>
            <w:noWrap/>
            <w:vAlign w:val="center"/>
          </w:tcPr>
          <w:p w14:paraId="382C5121" w14:textId="03CB6A6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362</w:t>
            </w:r>
          </w:p>
        </w:tc>
        <w:tc>
          <w:tcPr>
            <w:tcW w:w="861" w:type="dxa"/>
            <w:vAlign w:val="center"/>
          </w:tcPr>
          <w:p w14:paraId="2EE8646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731219A" w14:textId="2DBE4DA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183</w:t>
            </w:r>
          </w:p>
        </w:tc>
        <w:tc>
          <w:tcPr>
            <w:tcW w:w="862" w:type="dxa"/>
            <w:noWrap/>
            <w:vAlign w:val="center"/>
          </w:tcPr>
          <w:p w14:paraId="52E2D6C7" w14:textId="78B513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2,842</w:t>
            </w:r>
          </w:p>
        </w:tc>
        <w:tc>
          <w:tcPr>
            <w:tcW w:w="861" w:type="dxa"/>
            <w:noWrap/>
            <w:vAlign w:val="center"/>
          </w:tcPr>
          <w:p w14:paraId="63567538" w14:textId="55BE977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3,321</w:t>
            </w:r>
          </w:p>
        </w:tc>
        <w:tc>
          <w:tcPr>
            <w:tcW w:w="861" w:type="dxa"/>
            <w:noWrap/>
            <w:vAlign w:val="center"/>
          </w:tcPr>
          <w:p w14:paraId="06DBD8E3" w14:textId="0BC4E4C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2,503</w:t>
            </w:r>
          </w:p>
        </w:tc>
        <w:tc>
          <w:tcPr>
            <w:tcW w:w="862" w:type="dxa"/>
            <w:noWrap/>
            <w:vAlign w:val="center"/>
          </w:tcPr>
          <w:p w14:paraId="3B1C3363" w14:textId="1B89838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11,708</w:t>
            </w:r>
          </w:p>
        </w:tc>
      </w:tr>
      <w:tr w:rsidR="00CC02E9" w:rsidRPr="00B469AB" w14:paraId="260995D7"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D12511" w14:textId="135DA06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Aboriginal Health Service Co-Operative Limited</w:t>
            </w:r>
          </w:p>
        </w:tc>
        <w:tc>
          <w:tcPr>
            <w:tcW w:w="861" w:type="dxa"/>
            <w:vAlign w:val="center"/>
          </w:tcPr>
          <w:p w14:paraId="4BB67554" w14:textId="1467656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315</w:t>
            </w:r>
          </w:p>
        </w:tc>
        <w:tc>
          <w:tcPr>
            <w:tcW w:w="861" w:type="dxa"/>
            <w:noWrap/>
            <w:vAlign w:val="center"/>
          </w:tcPr>
          <w:p w14:paraId="79281C6C" w14:textId="5DA9740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226</w:t>
            </w:r>
          </w:p>
        </w:tc>
        <w:tc>
          <w:tcPr>
            <w:tcW w:w="861" w:type="dxa"/>
            <w:vAlign w:val="center"/>
          </w:tcPr>
          <w:p w14:paraId="23AA03C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2D758D1" w14:textId="48D64F4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3,312</w:t>
            </w:r>
          </w:p>
        </w:tc>
        <w:tc>
          <w:tcPr>
            <w:tcW w:w="862" w:type="dxa"/>
            <w:noWrap/>
            <w:vAlign w:val="center"/>
          </w:tcPr>
          <w:p w14:paraId="6A770DE2" w14:textId="60ABF28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4,495</w:t>
            </w:r>
          </w:p>
        </w:tc>
        <w:tc>
          <w:tcPr>
            <w:tcW w:w="861" w:type="dxa"/>
            <w:noWrap/>
            <w:vAlign w:val="center"/>
          </w:tcPr>
          <w:p w14:paraId="745C8DA3" w14:textId="3F8393B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1,364</w:t>
            </w:r>
          </w:p>
        </w:tc>
        <w:tc>
          <w:tcPr>
            <w:tcW w:w="861" w:type="dxa"/>
            <w:noWrap/>
            <w:vAlign w:val="center"/>
          </w:tcPr>
          <w:p w14:paraId="1DB28DB1" w14:textId="35C76EB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275</w:t>
            </w:r>
          </w:p>
        </w:tc>
        <w:tc>
          <w:tcPr>
            <w:tcW w:w="862" w:type="dxa"/>
            <w:noWrap/>
            <w:vAlign w:val="center"/>
          </w:tcPr>
          <w:p w14:paraId="65F2934B" w14:textId="3EEF06A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9,987</w:t>
            </w:r>
          </w:p>
        </w:tc>
      </w:tr>
      <w:tr w:rsidR="003C047A" w:rsidRPr="00B469AB" w14:paraId="08C8FBE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C61AAB" w14:textId="0D71498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Clinical Genetics Services Limited</w:t>
            </w:r>
          </w:p>
        </w:tc>
        <w:tc>
          <w:tcPr>
            <w:tcW w:w="861" w:type="dxa"/>
            <w:vAlign w:val="center"/>
          </w:tcPr>
          <w:p w14:paraId="2D63252A" w14:textId="4E1F281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5,693</w:t>
            </w:r>
          </w:p>
        </w:tc>
        <w:tc>
          <w:tcPr>
            <w:tcW w:w="861" w:type="dxa"/>
            <w:noWrap/>
            <w:vAlign w:val="center"/>
          </w:tcPr>
          <w:p w14:paraId="087F324F" w14:textId="36AE15A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2389C0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2B9C8A2" w14:textId="74C986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C52B0B6" w14:textId="20C58BF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52295C" w14:textId="6C2D4B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096FFB" w14:textId="1C520F5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10,416</w:t>
            </w:r>
          </w:p>
        </w:tc>
        <w:tc>
          <w:tcPr>
            <w:tcW w:w="862" w:type="dxa"/>
            <w:noWrap/>
            <w:vAlign w:val="center"/>
          </w:tcPr>
          <w:p w14:paraId="0719EDEB" w14:textId="13224DC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16,109</w:t>
            </w:r>
          </w:p>
        </w:tc>
      </w:tr>
      <w:tr w:rsidR="00CC02E9" w:rsidRPr="00B469AB" w14:paraId="579E633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174BB37" w14:textId="38F6A08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Cytology Service Limited</w:t>
            </w:r>
          </w:p>
        </w:tc>
        <w:tc>
          <w:tcPr>
            <w:tcW w:w="861" w:type="dxa"/>
            <w:vAlign w:val="center"/>
          </w:tcPr>
          <w:p w14:paraId="489595A5" w14:textId="3BDDDFE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75DA159" w14:textId="35C0AD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A5FFBE9"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E0394BF" w14:textId="6883910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A6E2CD1" w14:textId="1497563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FBA2810" w14:textId="0720E9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39FDB5C" w14:textId="687A6FA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5,204</w:t>
            </w:r>
          </w:p>
        </w:tc>
        <w:tc>
          <w:tcPr>
            <w:tcW w:w="862" w:type="dxa"/>
            <w:noWrap/>
            <w:vAlign w:val="center"/>
          </w:tcPr>
          <w:p w14:paraId="16AF2154" w14:textId="3C1A547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5,204</w:t>
            </w:r>
          </w:p>
        </w:tc>
      </w:tr>
      <w:tr w:rsidR="003C047A" w:rsidRPr="00B469AB" w14:paraId="789FF0C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51FF30" w14:textId="5F71F7D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Health Promotion Foundation</w:t>
            </w:r>
          </w:p>
        </w:tc>
        <w:tc>
          <w:tcPr>
            <w:tcW w:w="861" w:type="dxa"/>
            <w:vAlign w:val="center"/>
          </w:tcPr>
          <w:p w14:paraId="0DF18C73" w14:textId="1E1DF4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A772B27" w14:textId="378901F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85DA775"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8BF5FEB" w14:textId="0FCEB76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0CF91CF" w14:textId="39D1D1B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19B16D" w14:textId="6971478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2B88CED" w14:textId="323DA65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48,260</w:t>
            </w:r>
          </w:p>
        </w:tc>
        <w:tc>
          <w:tcPr>
            <w:tcW w:w="862" w:type="dxa"/>
            <w:noWrap/>
            <w:vAlign w:val="center"/>
          </w:tcPr>
          <w:p w14:paraId="7D0309E7" w14:textId="0223D43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48,260</w:t>
            </w:r>
          </w:p>
        </w:tc>
      </w:tr>
      <w:tr w:rsidR="00CC02E9" w:rsidRPr="00B469AB" w14:paraId="045A4233"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AE42D67" w14:textId="3A6FF3E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Vincentcare Victoria</w:t>
            </w:r>
          </w:p>
        </w:tc>
        <w:tc>
          <w:tcPr>
            <w:tcW w:w="861" w:type="dxa"/>
            <w:vAlign w:val="center"/>
          </w:tcPr>
          <w:p w14:paraId="51F2CF5A" w14:textId="5D23C5B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7FEC46A" w14:textId="73ECD23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1,274</w:t>
            </w:r>
          </w:p>
        </w:tc>
        <w:tc>
          <w:tcPr>
            <w:tcW w:w="861" w:type="dxa"/>
            <w:vAlign w:val="center"/>
          </w:tcPr>
          <w:p w14:paraId="05CB5D0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3C1E94D" w14:textId="6BADCE2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120242A" w14:textId="14AE7E5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9181607" w14:textId="6151A83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C120247" w14:textId="1F2ECBE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9EE41AC" w14:textId="5F4A48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1,274</w:t>
            </w:r>
          </w:p>
        </w:tc>
      </w:tr>
      <w:tr w:rsidR="003C047A" w:rsidRPr="00B469AB" w14:paraId="1937791C"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5AA426C" w14:textId="3A41B9D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Wathaurong Aboriginal Co-Operative Limited</w:t>
            </w:r>
          </w:p>
        </w:tc>
        <w:tc>
          <w:tcPr>
            <w:tcW w:w="861" w:type="dxa"/>
            <w:vAlign w:val="center"/>
          </w:tcPr>
          <w:p w14:paraId="687CFE39" w14:textId="0683A8C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307</w:t>
            </w:r>
          </w:p>
        </w:tc>
        <w:tc>
          <w:tcPr>
            <w:tcW w:w="861" w:type="dxa"/>
            <w:noWrap/>
            <w:vAlign w:val="center"/>
          </w:tcPr>
          <w:p w14:paraId="31A2A367" w14:textId="03EF9AB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108</w:t>
            </w:r>
          </w:p>
        </w:tc>
        <w:tc>
          <w:tcPr>
            <w:tcW w:w="861" w:type="dxa"/>
            <w:vAlign w:val="center"/>
          </w:tcPr>
          <w:p w14:paraId="2B768CCB"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7637372" w14:textId="1A0E201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1,887</w:t>
            </w:r>
          </w:p>
        </w:tc>
        <w:tc>
          <w:tcPr>
            <w:tcW w:w="862" w:type="dxa"/>
            <w:noWrap/>
            <w:vAlign w:val="center"/>
          </w:tcPr>
          <w:p w14:paraId="4D50ABC3" w14:textId="2AF1D7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1,839</w:t>
            </w:r>
          </w:p>
        </w:tc>
        <w:tc>
          <w:tcPr>
            <w:tcW w:w="861" w:type="dxa"/>
            <w:noWrap/>
            <w:vAlign w:val="center"/>
          </w:tcPr>
          <w:p w14:paraId="2ADA3F64" w14:textId="1AD7502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360</w:t>
            </w:r>
          </w:p>
        </w:tc>
        <w:tc>
          <w:tcPr>
            <w:tcW w:w="861" w:type="dxa"/>
            <w:noWrap/>
            <w:vAlign w:val="center"/>
          </w:tcPr>
          <w:p w14:paraId="11BEBA38" w14:textId="512BAED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44</w:t>
            </w:r>
          </w:p>
        </w:tc>
        <w:tc>
          <w:tcPr>
            <w:tcW w:w="862" w:type="dxa"/>
            <w:noWrap/>
            <w:vAlign w:val="center"/>
          </w:tcPr>
          <w:p w14:paraId="5CFAB67B" w14:textId="13DFDF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4,544</w:t>
            </w:r>
          </w:p>
        </w:tc>
      </w:tr>
      <w:tr w:rsidR="00CC02E9" w:rsidRPr="00B469AB" w14:paraId="0EED381F"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02DD448" w14:textId="0C84E69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Wellways Australia Limited</w:t>
            </w:r>
          </w:p>
        </w:tc>
        <w:tc>
          <w:tcPr>
            <w:tcW w:w="861" w:type="dxa"/>
            <w:vAlign w:val="center"/>
          </w:tcPr>
          <w:p w14:paraId="6A8267B1" w14:textId="0B324F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6BA9E82" w14:textId="618ECDB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90</w:t>
            </w:r>
          </w:p>
        </w:tc>
        <w:tc>
          <w:tcPr>
            <w:tcW w:w="861" w:type="dxa"/>
            <w:vAlign w:val="center"/>
          </w:tcPr>
          <w:p w14:paraId="21AF1A9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05F9DFF" w14:textId="33C4D86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F3CFF07" w14:textId="3E772C1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38,824</w:t>
            </w:r>
          </w:p>
        </w:tc>
        <w:tc>
          <w:tcPr>
            <w:tcW w:w="861" w:type="dxa"/>
            <w:noWrap/>
            <w:vAlign w:val="center"/>
          </w:tcPr>
          <w:p w14:paraId="22107CA5" w14:textId="6FDCF6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D8A9C42" w14:textId="53F818D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9997367" w14:textId="7CE442A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38,914</w:t>
            </w:r>
          </w:p>
        </w:tc>
      </w:tr>
      <w:tr w:rsidR="003C047A" w:rsidRPr="00B469AB" w14:paraId="6CFE479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D8EC0EC" w14:textId="1163EEB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Western Region Alcohol And Drug Centre Inc</w:t>
            </w:r>
          </w:p>
        </w:tc>
        <w:tc>
          <w:tcPr>
            <w:tcW w:w="861" w:type="dxa"/>
            <w:vAlign w:val="center"/>
          </w:tcPr>
          <w:p w14:paraId="285D2FB1" w14:textId="5CA3F4D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CC532A7" w14:textId="26E28F6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5EC736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4350317" w14:textId="41C8EA4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2,780</w:t>
            </w:r>
          </w:p>
        </w:tc>
        <w:tc>
          <w:tcPr>
            <w:tcW w:w="862" w:type="dxa"/>
            <w:noWrap/>
            <w:vAlign w:val="center"/>
          </w:tcPr>
          <w:p w14:paraId="10C45BB4" w14:textId="6656AF3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7FED3C4" w14:textId="17D1CA9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0EFC10" w14:textId="384A5C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7E8E74C" w14:textId="53D131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2,780</w:t>
            </w:r>
          </w:p>
        </w:tc>
      </w:tr>
      <w:tr w:rsidR="00CC02E9" w:rsidRPr="00B469AB" w14:paraId="52CDBCC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0E5FA6" w14:textId="2D41D0D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Winda-Mara Aboriginal Corporation</w:t>
            </w:r>
          </w:p>
        </w:tc>
        <w:tc>
          <w:tcPr>
            <w:tcW w:w="861" w:type="dxa"/>
            <w:vAlign w:val="center"/>
          </w:tcPr>
          <w:p w14:paraId="6F538497" w14:textId="4433AB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D8EF204" w14:textId="50F5EC5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71</w:t>
            </w:r>
          </w:p>
        </w:tc>
        <w:tc>
          <w:tcPr>
            <w:tcW w:w="861" w:type="dxa"/>
            <w:vAlign w:val="center"/>
          </w:tcPr>
          <w:p w14:paraId="2E81FDF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FE746BE" w14:textId="0578F22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495</w:t>
            </w:r>
          </w:p>
        </w:tc>
        <w:tc>
          <w:tcPr>
            <w:tcW w:w="862" w:type="dxa"/>
            <w:noWrap/>
            <w:vAlign w:val="center"/>
          </w:tcPr>
          <w:p w14:paraId="36919ED9" w14:textId="0BEF1B5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703</w:t>
            </w:r>
          </w:p>
        </w:tc>
        <w:tc>
          <w:tcPr>
            <w:tcW w:w="861" w:type="dxa"/>
            <w:noWrap/>
            <w:vAlign w:val="center"/>
          </w:tcPr>
          <w:p w14:paraId="0B87AAAD" w14:textId="6EF78EA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372</w:t>
            </w:r>
          </w:p>
        </w:tc>
        <w:tc>
          <w:tcPr>
            <w:tcW w:w="861" w:type="dxa"/>
            <w:noWrap/>
            <w:vAlign w:val="center"/>
          </w:tcPr>
          <w:p w14:paraId="6EAB5908" w14:textId="0E6264E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E836BDC" w14:textId="2A2948A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1,640</w:t>
            </w:r>
          </w:p>
        </w:tc>
      </w:tr>
      <w:tr w:rsidR="003C047A" w:rsidRPr="00B469AB" w14:paraId="2AC8A1D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9CEE5D2" w14:textId="0D9BD24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Windana Drug &amp; Alcohol Recovery Inc.</w:t>
            </w:r>
          </w:p>
        </w:tc>
        <w:tc>
          <w:tcPr>
            <w:tcW w:w="861" w:type="dxa"/>
            <w:vAlign w:val="center"/>
          </w:tcPr>
          <w:p w14:paraId="01865DBD" w14:textId="639DD1C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B527DB" w14:textId="50157E5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507EF0D"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C6ADEF" w14:textId="2DDDE4E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22,187</w:t>
            </w:r>
          </w:p>
        </w:tc>
        <w:tc>
          <w:tcPr>
            <w:tcW w:w="862" w:type="dxa"/>
            <w:noWrap/>
            <w:vAlign w:val="center"/>
          </w:tcPr>
          <w:p w14:paraId="7B0B9E8F" w14:textId="3CAAF57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7CED401" w14:textId="50D9555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4A7EE2D" w14:textId="2529D4E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968F695" w14:textId="34A32AD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22,187</w:t>
            </w:r>
          </w:p>
        </w:tc>
      </w:tr>
      <w:tr w:rsidR="00CC02E9" w:rsidRPr="00B469AB" w14:paraId="75E8405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7F74366D" w14:textId="6DF7AC3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Wintringham</w:t>
            </w:r>
          </w:p>
        </w:tc>
        <w:tc>
          <w:tcPr>
            <w:tcW w:w="861" w:type="dxa"/>
            <w:vAlign w:val="center"/>
          </w:tcPr>
          <w:p w14:paraId="2858E62A" w14:textId="7C43A8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582A8C1" w14:textId="5195BD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1,090</w:t>
            </w:r>
          </w:p>
        </w:tc>
        <w:tc>
          <w:tcPr>
            <w:tcW w:w="861" w:type="dxa"/>
            <w:vAlign w:val="center"/>
          </w:tcPr>
          <w:p w14:paraId="72CFCE1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90E99A" w14:textId="4AECA05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25E8B97" w14:textId="7986CB2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01E071B" w14:textId="218EACC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B037C2F" w14:textId="04D2AEF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FC00E10" w14:textId="7894A2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1,090</w:t>
            </w:r>
          </w:p>
        </w:tc>
      </w:tr>
      <w:tr w:rsidR="003C047A" w:rsidRPr="00B469AB" w14:paraId="0A673BF1"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69FA5E11" w14:textId="1FB8A2FB"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Women'</w:t>
            </w:r>
            <w:r w:rsidR="005365DA">
              <w:rPr>
                <w:rFonts w:cs="Arial"/>
                <w:b w:val="0"/>
                <w:bCs w:val="0"/>
                <w:color w:val="000000"/>
                <w:sz w:val="16"/>
                <w:szCs w:val="16"/>
              </w:rPr>
              <w:t>s</w:t>
            </w:r>
            <w:r w:rsidRPr="003C047A">
              <w:rPr>
                <w:rFonts w:cs="Arial"/>
                <w:b w:val="0"/>
                <w:bCs w:val="0"/>
                <w:color w:val="000000"/>
                <w:sz w:val="16"/>
                <w:szCs w:val="16"/>
              </w:rPr>
              <w:t xml:space="preserve"> Health Victoria Inc</w:t>
            </w:r>
          </w:p>
        </w:tc>
        <w:tc>
          <w:tcPr>
            <w:tcW w:w="861" w:type="dxa"/>
            <w:vAlign w:val="center"/>
          </w:tcPr>
          <w:p w14:paraId="44F79F32" w14:textId="5B6877D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1,011</w:t>
            </w:r>
          </w:p>
        </w:tc>
        <w:tc>
          <w:tcPr>
            <w:tcW w:w="861" w:type="dxa"/>
            <w:noWrap/>
            <w:vAlign w:val="center"/>
          </w:tcPr>
          <w:p w14:paraId="6AA32604" w14:textId="2715679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1FFD1D3"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FF65407" w14:textId="19AB0C3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8024B95" w14:textId="62185D6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1A986E" w14:textId="51CA190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1,645</w:t>
            </w:r>
          </w:p>
        </w:tc>
        <w:tc>
          <w:tcPr>
            <w:tcW w:w="861" w:type="dxa"/>
            <w:noWrap/>
            <w:vAlign w:val="center"/>
          </w:tcPr>
          <w:p w14:paraId="16566CD6" w14:textId="15A30DD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99FC0D" w14:textId="512EAB3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2,655</w:t>
            </w:r>
          </w:p>
        </w:tc>
      </w:tr>
      <w:tr w:rsidR="00CC02E9" w:rsidRPr="00B469AB" w14:paraId="675EF57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35734F63" w14:textId="0A20841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Women'</w:t>
            </w:r>
            <w:r w:rsidR="005365DA">
              <w:rPr>
                <w:rFonts w:cs="Arial"/>
                <w:b w:val="0"/>
                <w:bCs w:val="0"/>
                <w:color w:val="000000"/>
                <w:sz w:val="16"/>
                <w:szCs w:val="16"/>
              </w:rPr>
              <w:t>s</w:t>
            </w:r>
            <w:r w:rsidRPr="003C047A">
              <w:rPr>
                <w:rFonts w:cs="Arial"/>
                <w:b w:val="0"/>
                <w:bCs w:val="0"/>
                <w:color w:val="000000"/>
                <w:sz w:val="16"/>
                <w:szCs w:val="16"/>
              </w:rPr>
              <w:t xml:space="preserve"> Health West Inc</w:t>
            </w:r>
          </w:p>
        </w:tc>
        <w:tc>
          <w:tcPr>
            <w:tcW w:w="861" w:type="dxa"/>
            <w:vAlign w:val="center"/>
          </w:tcPr>
          <w:p w14:paraId="23B963B4" w14:textId="19A605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A32C8F5" w14:textId="214B7B8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124</w:t>
            </w:r>
          </w:p>
        </w:tc>
        <w:tc>
          <w:tcPr>
            <w:tcW w:w="861" w:type="dxa"/>
            <w:vAlign w:val="center"/>
          </w:tcPr>
          <w:p w14:paraId="5A317F60"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542D4E" w14:textId="3E44385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D5ADC0F" w14:textId="15F60F4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B8F34E" w14:textId="67CFCAE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1,365</w:t>
            </w:r>
          </w:p>
        </w:tc>
        <w:tc>
          <w:tcPr>
            <w:tcW w:w="861" w:type="dxa"/>
            <w:noWrap/>
            <w:vAlign w:val="center"/>
          </w:tcPr>
          <w:p w14:paraId="6F5AD897" w14:textId="020DCA0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B341038" w14:textId="29A700D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1,489</w:t>
            </w:r>
          </w:p>
        </w:tc>
      </w:tr>
      <w:tr w:rsidR="003C047A" w:rsidRPr="00B469AB" w14:paraId="7D71526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114530B2" w14:textId="29D946B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Youth Projects Limited</w:t>
            </w:r>
          </w:p>
        </w:tc>
        <w:tc>
          <w:tcPr>
            <w:tcW w:w="861" w:type="dxa"/>
            <w:vAlign w:val="center"/>
          </w:tcPr>
          <w:p w14:paraId="2669DB88" w14:textId="681D51A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617B318" w14:textId="1EB385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3821497"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63E6C86" w14:textId="0F7B116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1,817</w:t>
            </w:r>
          </w:p>
        </w:tc>
        <w:tc>
          <w:tcPr>
            <w:tcW w:w="862" w:type="dxa"/>
            <w:noWrap/>
            <w:vAlign w:val="center"/>
          </w:tcPr>
          <w:p w14:paraId="73D60B1F" w14:textId="103E90A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575982C" w14:textId="7E474C1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B5BD030" w14:textId="1F50EA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C4E932F" w14:textId="7F569ED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1,817</w:t>
            </w:r>
          </w:p>
        </w:tc>
      </w:tr>
      <w:tr w:rsidR="00CC02E9" w:rsidRPr="00B469AB" w14:paraId="74A0B3C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359263E2" w14:textId="7845ED1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Ysas Pty Ltd</w:t>
            </w:r>
          </w:p>
        </w:tc>
        <w:tc>
          <w:tcPr>
            <w:tcW w:w="861" w:type="dxa"/>
            <w:vAlign w:val="center"/>
          </w:tcPr>
          <w:p w14:paraId="4C0EA799" w14:textId="221DB2A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94071E5" w14:textId="35E15F9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23973E9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85E4BCF" w14:textId="2DA643C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21,139</w:t>
            </w:r>
          </w:p>
        </w:tc>
        <w:tc>
          <w:tcPr>
            <w:tcW w:w="862" w:type="dxa"/>
            <w:noWrap/>
            <w:vAlign w:val="center"/>
          </w:tcPr>
          <w:p w14:paraId="048F3A71" w14:textId="5E8420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154</w:t>
            </w:r>
          </w:p>
        </w:tc>
        <w:tc>
          <w:tcPr>
            <w:tcW w:w="861" w:type="dxa"/>
            <w:noWrap/>
            <w:vAlign w:val="center"/>
          </w:tcPr>
          <w:p w14:paraId="05C1A64B" w14:textId="1253E3A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1154949" w14:textId="522937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8A95EA5" w14:textId="0DE9940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21,293</w:t>
            </w:r>
          </w:p>
        </w:tc>
      </w:tr>
      <w:tr w:rsidR="002560E2" w:rsidRPr="00B469AB" w14:paraId="49EF3F2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541E09AC" w14:textId="27EA3AB2" w:rsidR="002560E2" w:rsidRPr="002560E2" w:rsidRDefault="002560E2" w:rsidP="002560E2">
            <w:pPr>
              <w:pStyle w:val="Tabletext8pt"/>
              <w:rPr>
                <w:rFonts w:cs="Arial"/>
                <w:b w:val="0"/>
                <w:bCs w:val="0"/>
                <w:sz w:val="16"/>
                <w:szCs w:val="16"/>
              </w:rPr>
            </w:pPr>
            <w:r w:rsidRPr="002560E2">
              <w:rPr>
                <w:rFonts w:cs="Arial"/>
                <w:b w:val="0"/>
                <w:bCs w:val="0"/>
                <w:color w:val="000000"/>
                <w:sz w:val="16"/>
                <w:szCs w:val="16"/>
              </w:rPr>
              <w:t>All other organisations (&lt;$1 m)</w:t>
            </w:r>
          </w:p>
        </w:tc>
        <w:tc>
          <w:tcPr>
            <w:tcW w:w="861" w:type="dxa"/>
            <w:vAlign w:val="center"/>
          </w:tcPr>
          <w:p w14:paraId="1F65FBCE" w14:textId="5FDA90A2"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11,313</w:t>
            </w:r>
          </w:p>
        </w:tc>
        <w:tc>
          <w:tcPr>
            <w:tcW w:w="861" w:type="dxa"/>
            <w:noWrap/>
            <w:vAlign w:val="center"/>
          </w:tcPr>
          <w:p w14:paraId="2679CC07" w14:textId="5EEB8C1D"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22,968</w:t>
            </w:r>
          </w:p>
        </w:tc>
        <w:tc>
          <w:tcPr>
            <w:tcW w:w="861" w:type="dxa"/>
            <w:vAlign w:val="center"/>
          </w:tcPr>
          <w:p w14:paraId="0F9BA57E" w14:textId="77777777"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94F93E" w14:textId="0D6B18A5"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3,051</w:t>
            </w:r>
          </w:p>
        </w:tc>
        <w:tc>
          <w:tcPr>
            <w:tcW w:w="862" w:type="dxa"/>
            <w:noWrap/>
            <w:vAlign w:val="center"/>
          </w:tcPr>
          <w:p w14:paraId="532A8B0D" w14:textId="609D18D4"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10,407</w:t>
            </w:r>
          </w:p>
        </w:tc>
        <w:tc>
          <w:tcPr>
            <w:tcW w:w="861" w:type="dxa"/>
            <w:noWrap/>
            <w:vAlign w:val="center"/>
          </w:tcPr>
          <w:p w14:paraId="22254F29" w14:textId="05CE6146"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10,482</w:t>
            </w:r>
          </w:p>
        </w:tc>
        <w:tc>
          <w:tcPr>
            <w:tcW w:w="861" w:type="dxa"/>
            <w:noWrap/>
            <w:vAlign w:val="center"/>
          </w:tcPr>
          <w:p w14:paraId="0C5A9EC8" w14:textId="59766F41"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1,895</w:t>
            </w:r>
          </w:p>
        </w:tc>
        <w:tc>
          <w:tcPr>
            <w:tcW w:w="862" w:type="dxa"/>
            <w:noWrap/>
            <w:vAlign w:val="center"/>
          </w:tcPr>
          <w:p w14:paraId="0B8A0BB1" w14:textId="2F96ECA0"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60,115</w:t>
            </w:r>
          </w:p>
        </w:tc>
      </w:tr>
      <w:tr w:rsidR="00CC02E9" w:rsidRPr="00B469AB" w14:paraId="080712F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7A5650F8" w14:textId="4C009210" w:rsidR="002560E2" w:rsidRPr="002560E2" w:rsidRDefault="002560E2" w:rsidP="002560E2">
            <w:pPr>
              <w:pStyle w:val="Tabletext8pt"/>
              <w:rPr>
                <w:rFonts w:cs="Arial"/>
                <w:b w:val="0"/>
                <w:bCs w:val="0"/>
                <w:sz w:val="16"/>
                <w:szCs w:val="16"/>
              </w:rPr>
            </w:pPr>
            <w:r w:rsidRPr="002560E2">
              <w:rPr>
                <w:rFonts w:cs="Arial"/>
                <w:b w:val="0"/>
                <w:bCs w:val="0"/>
                <w:color w:val="000000"/>
                <w:sz w:val="16"/>
                <w:szCs w:val="16"/>
              </w:rPr>
              <w:t>Grand Total</w:t>
            </w:r>
          </w:p>
        </w:tc>
        <w:tc>
          <w:tcPr>
            <w:tcW w:w="861" w:type="dxa"/>
            <w:vAlign w:val="center"/>
          </w:tcPr>
          <w:p w14:paraId="5C6D34D3" w14:textId="4CF044C8"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97,185</w:t>
            </w:r>
          </w:p>
        </w:tc>
        <w:tc>
          <w:tcPr>
            <w:tcW w:w="861" w:type="dxa"/>
            <w:noWrap/>
            <w:vAlign w:val="center"/>
          </w:tcPr>
          <w:p w14:paraId="649070DF" w14:textId="388B85BF"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111,616</w:t>
            </w:r>
          </w:p>
        </w:tc>
        <w:tc>
          <w:tcPr>
            <w:tcW w:w="861" w:type="dxa"/>
            <w:vAlign w:val="center"/>
          </w:tcPr>
          <w:p w14:paraId="71D79122" w14:textId="5B96C91A"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60E2">
              <w:rPr>
                <w:rFonts w:cs="Arial"/>
                <w:color w:val="000000"/>
                <w:sz w:val="16"/>
                <w:szCs w:val="16"/>
              </w:rPr>
              <w:t>6,615</w:t>
            </w:r>
          </w:p>
        </w:tc>
        <w:tc>
          <w:tcPr>
            <w:tcW w:w="861" w:type="dxa"/>
            <w:noWrap/>
            <w:vAlign w:val="center"/>
          </w:tcPr>
          <w:p w14:paraId="1446FC46" w14:textId="42ADC6AF"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159,152</w:t>
            </w:r>
          </w:p>
        </w:tc>
        <w:tc>
          <w:tcPr>
            <w:tcW w:w="862" w:type="dxa"/>
            <w:noWrap/>
            <w:vAlign w:val="center"/>
          </w:tcPr>
          <w:p w14:paraId="0248B411" w14:textId="1FABF20E"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188,516</w:t>
            </w:r>
          </w:p>
        </w:tc>
        <w:tc>
          <w:tcPr>
            <w:tcW w:w="861" w:type="dxa"/>
            <w:noWrap/>
            <w:vAlign w:val="center"/>
          </w:tcPr>
          <w:p w14:paraId="3A30B137" w14:textId="2271CBB2"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38,440</w:t>
            </w:r>
          </w:p>
        </w:tc>
        <w:tc>
          <w:tcPr>
            <w:tcW w:w="861" w:type="dxa"/>
            <w:noWrap/>
            <w:vAlign w:val="center"/>
          </w:tcPr>
          <w:p w14:paraId="790B57EE" w14:textId="02A01F85"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172,442</w:t>
            </w:r>
          </w:p>
        </w:tc>
        <w:tc>
          <w:tcPr>
            <w:tcW w:w="862" w:type="dxa"/>
            <w:noWrap/>
            <w:vAlign w:val="center"/>
          </w:tcPr>
          <w:p w14:paraId="43394B35" w14:textId="53E5D91A"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773,966</w:t>
            </w:r>
          </w:p>
        </w:tc>
      </w:tr>
    </w:tbl>
    <w:p w14:paraId="357A4E3F" w14:textId="1151CAA6" w:rsidR="005B699B" w:rsidRPr="00E00C4E" w:rsidRDefault="005B699B" w:rsidP="000723BA">
      <w:pPr>
        <w:pStyle w:val="Body"/>
      </w:pPr>
    </w:p>
    <w:p w14:paraId="30188B73" w14:textId="70A23192" w:rsidR="005B699B" w:rsidRPr="00340815" w:rsidRDefault="005B699B" w:rsidP="005D7D2C">
      <w:pPr>
        <w:pStyle w:val="Heading2"/>
        <w:numPr>
          <w:ilvl w:val="1"/>
          <w:numId w:val="12"/>
        </w:numPr>
        <w:ind w:left="851" w:hanging="851"/>
      </w:pPr>
      <w:bookmarkStart w:id="2467" w:name="_Toc144905677"/>
      <w:bookmarkStart w:id="2468" w:name="_Toc12780663"/>
      <w:bookmarkStart w:id="2469" w:name="_Toc14172304"/>
      <w:bookmarkStart w:id="2470" w:name="_Toc33703978"/>
      <w:bookmarkStart w:id="2471" w:name="_Toc55381166"/>
      <w:bookmarkStart w:id="2472" w:name="_Toc100263372"/>
      <w:bookmarkStart w:id="2473" w:name="_Toc165961868"/>
      <w:bookmarkStart w:id="2474" w:name="_Toc201148296"/>
      <w:bookmarkStart w:id="2475" w:name="_Hlk170302258"/>
      <w:bookmarkEnd w:id="2466"/>
      <w:bookmarkEnd w:id="2467"/>
      <w:r>
        <w:t xml:space="preserve">Other </w:t>
      </w:r>
      <w:r w:rsidR="00DC7E40">
        <w:t>f</w:t>
      </w:r>
      <w:r w:rsidR="00DC7E40" w:rsidRPr="00295CB9">
        <w:t>unded</w:t>
      </w:r>
      <w:r w:rsidR="00DC7E40">
        <w:t xml:space="preserve"> </w:t>
      </w:r>
      <w:bookmarkEnd w:id="2468"/>
      <w:bookmarkEnd w:id="2469"/>
      <w:bookmarkEnd w:id="2470"/>
      <w:bookmarkEnd w:id="2471"/>
      <w:bookmarkEnd w:id="2472"/>
      <w:r w:rsidR="00DC7E40">
        <w:t>o</w:t>
      </w:r>
      <w:r w:rsidR="00DC7E40" w:rsidRPr="00340815">
        <w:t xml:space="preserve">rganisations </w:t>
      </w:r>
      <w:r w:rsidRPr="00340815">
        <w:t>202</w:t>
      </w:r>
      <w:r w:rsidR="000C0EF6">
        <w:t>5</w:t>
      </w:r>
      <w:r w:rsidRPr="00340815">
        <w:t>–2</w:t>
      </w:r>
      <w:bookmarkEnd w:id="2473"/>
      <w:r w:rsidR="000C0EF6">
        <w:t>6</w:t>
      </w:r>
      <w:bookmarkEnd w:id="2474"/>
    </w:p>
    <w:bookmarkEnd w:id="2475"/>
    <w:p w14:paraId="5E265BFA" w14:textId="77777777" w:rsidR="00541C64" w:rsidRPr="00541C64" w:rsidRDefault="00541C64" w:rsidP="00473B41">
      <w:pPr>
        <w:pStyle w:val="Tablefigurenote9pt"/>
      </w:pPr>
      <w:r w:rsidRPr="00DC7E40">
        <w:t>Notes</w:t>
      </w:r>
    </w:p>
    <w:p w14:paraId="00DF67E8" w14:textId="77777777" w:rsidR="00541C64" w:rsidRPr="00494D61" w:rsidRDefault="00541C64" w:rsidP="00473B41">
      <w:pPr>
        <w:pStyle w:val="Tablebullet9pt"/>
      </w:pPr>
      <w:r w:rsidRPr="00494D61">
        <w:t>This table shows the health funding to local government authorities that receive &gt; $1 million from specific health outputs.</w:t>
      </w:r>
    </w:p>
    <w:p w14:paraId="00A36DFA" w14:textId="77777777" w:rsidR="00541C64" w:rsidRPr="00216560" w:rsidRDefault="00541C64" w:rsidP="00473B41">
      <w:pPr>
        <w:pStyle w:val="Tablebullet9pt"/>
        <w:rPr>
          <w:b/>
        </w:rPr>
      </w:pPr>
      <w:r w:rsidRPr="00A67ABC">
        <w:t>Subtotals and totals may not add up due to rounding.</w:t>
      </w:r>
    </w:p>
    <w:p w14:paraId="38AA75F9" w14:textId="4243B072" w:rsidR="005B699B" w:rsidRDefault="00462DC7" w:rsidP="00297FC9">
      <w:pPr>
        <w:pStyle w:val="Tablecaption"/>
      </w:pPr>
      <w:bookmarkStart w:id="2476" w:name="_Toc12780567"/>
      <w:bookmarkStart w:id="2477" w:name="_Toc14194823"/>
      <w:bookmarkStart w:id="2478" w:name="_Toc33704004"/>
      <w:bookmarkStart w:id="2479" w:name="_Toc109894134"/>
      <w:bookmarkStart w:id="2480" w:name="_Toc201148594"/>
      <w:bookmarkStart w:id="2481" w:name="_Hlk170301134"/>
      <w:r w:rsidRPr="00340815">
        <w:t xml:space="preserve">Table </w:t>
      </w:r>
      <w:r w:rsidR="00D72666">
        <w:t>2</w:t>
      </w:r>
      <w:r w:rsidR="000E0ED2">
        <w:t>.</w:t>
      </w:r>
      <w:r>
        <w:fldChar w:fldCharType="begin"/>
      </w:r>
      <w:r>
        <w:instrText>SEQ Table \* ARABIC \s 1</w:instrText>
      </w:r>
      <w:r>
        <w:fldChar w:fldCharType="separate"/>
      </w:r>
      <w:r w:rsidR="007D262B">
        <w:rPr>
          <w:noProof/>
        </w:rPr>
        <w:t>8</w:t>
      </w:r>
      <w:r>
        <w:fldChar w:fldCharType="end"/>
      </w:r>
      <w:r w:rsidRPr="00340815">
        <w:t xml:space="preserve">: </w:t>
      </w:r>
      <w:bookmarkStart w:id="2482" w:name="_Hlk200977889"/>
      <w:r w:rsidR="005B699B" w:rsidRPr="00340815">
        <w:t xml:space="preserve">Other funded organisations expenditure budgets </w:t>
      </w:r>
      <w:bookmarkEnd w:id="2476"/>
      <w:bookmarkEnd w:id="2477"/>
      <w:bookmarkEnd w:id="2478"/>
      <w:bookmarkEnd w:id="2479"/>
      <w:r w:rsidR="005B699B" w:rsidRPr="00340815">
        <w:t>202</w:t>
      </w:r>
      <w:r w:rsidR="000C0EF6">
        <w:t>5</w:t>
      </w:r>
      <w:r w:rsidR="005B699B" w:rsidRPr="00340815">
        <w:t>–2</w:t>
      </w:r>
      <w:r w:rsidR="000C0EF6">
        <w:t>6</w:t>
      </w:r>
      <w:r w:rsidR="005B699B">
        <w:t xml:space="preserve"> </w:t>
      </w:r>
      <w:bookmarkEnd w:id="2482"/>
      <w:r w:rsidR="005B699B">
        <w:t>– $’000s</w:t>
      </w:r>
      <w:bookmarkEnd w:id="2480"/>
      <w:r w:rsidR="00037B46" w:rsidRPr="00037B46">
        <w:rPr>
          <w:color w:val="FF0000"/>
        </w:rPr>
        <w:t xml:space="preserve"> </w:t>
      </w:r>
    </w:p>
    <w:tbl>
      <w:tblPr>
        <w:tblStyle w:val="GridTable4-Accent1"/>
        <w:tblW w:w="9884" w:type="dxa"/>
        <w:tblLayout w:type="fixed"/>
        <w:tblLook w:val="04A0" w:firstRow="1" w:lastRow="0" w:firstColumn="1" w:lastColumn="0" w:noHBand="0" w:noVBand="1"/>
      </w:tblPr>
      <w:tblGrid>
        <w:gridCol w:w="1928"/>
        <w:gridCol w:w="974"/>
        <w:gridCol w:w="975"/>
        <w:gridCol w:w="1134"/>
        <w:gridCol w:w="975"/>
        <w:gridCol w:w="974"/>
        <w:gridCol w:w="975"/>
        <w:gridCol w:w="974"/>
        <w:gridCol w:w="975"/>
      </w:tblGrid>
      <w:tr w:rsidR="009D4BF1" w:rsidRPr="00A47C7D" w14:paraId="2EDC4ADC" w14:textId="77777777" w:rsidTr="007E58A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1928" w:type="dxa"/>
            <w:hideMark/>
          </w:tcPr>
          <w:p w14:paraId="7473AAF7" w14:textId="77777777" w:rsidR="00F14D84" w:rsidRPr="007E58A2" w:rsidRDefault="00F14D84" w:rsidP="00473B41">
            <w:pPr>
              <w:pStyle w:val="Tablecolhead8pt"/>
              <w:rPr>
                <w:b/>
                <w:bCs w:val="0"/>
                <w:color w:val="FFFFFF" w:themeColor="background1"/>
                <w:sz w:val="16"/>
              </w:rPr>
            </w:pPr>
            <w:r w:rsidRPr="007E58A2">
              <w:rPr>
                <w:b/>
                <w:bCs w:val="0"/>
                <w:color w:val="FFFFFF" w:themeColor="background1"/>
                <w:sz w:val="16"/>
              </w:rPr>
              <w:t>Health service</w:t>
            </w:r>
          </w:p>
        </w:tc>
        <w:tc>
          <w:tcPr>
            <w:tcW w:w="974" w:type="dxa"/>
            <w:hideMark/>
          </w:tcPr>
          <w:p w14:paraId="1472AE7C" w14:textId="3E42D5C1"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Acute health services</w:t>
            </w:r>
          </w:p>
        </w:tc>
        <w:tc>
          <w:tcPr>
            <w:tcW w:w="975" w:type="dxa"/>
            <w:hideMark/>
          </w:tcPr>
          <w:p w14:paraId="0E9C7C21" w14:textId="250F23A9"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Ageing, aged and home care</w:t>
            </w:r>
          </w:p>
        </w:tc>
        <w:tc>
          <w:tcPr>
            <w:tcW w:w="1134" w:type="dxa"/>
            <w:hideMark/>
          </w:tcPr>
          <w:p w14:paraId="2452B07E" w14:textId="50D7C177"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Ambulance services</w:t>
            </w:r>
          </w:p>
        </w:tc>
        <w:tc>
          <w:tcPr>
            <w:tcW w:w="975" w:type="dxa"/>
            <w:hideMark/>
          </w:tcPr>
          <w:p w14:paraId="13499596" w14:textId="0025DF7B"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Drugs services</w:t>
            </w:r>
          </w:p>
        </w:tc>
        <w:tc>
          <w:tcPr>
            <w:tcW w:w="974" w:type="dxa"/>
            <w:hideMark/>
          </w:tcPr>
          <w:p w14:paraId="08FC5DBC" w14:textId="47FB1EB7"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Mental health</w:t>
            </w:r>
          </w:p>
        </w:tc>
        <w:tc>
          <w:tcPr>
            <w:tcW w:w="975" w:type="dxa"/>
            <w:hideMark/>
          </w:tcPr>
          <w:p w14:paraId="54A4984A" w14:textId="07D632B2"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Primary and dental health</w:t>
            </w:r>
          </w:p>
        </w:tc>
        <w:tc>
          <w:tcPr>
            <w:tcW w:w="974" w:type="dxa"/>
            <w:hideMark/>
          </w:tcPr>
          <w:p w14:paraId="4973220E" w14:textId="3F637ADB"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Public health</w:t>
            </w:r>
          </w:p>
        </w:tc>
        <w:tc>
          <w:tcPr>
            <w:tcW w:w="975" w:type="dxa"/>
            <w:hideMark/>
          </w:tcPr>
          <w:p w14:paraId="60EE3E63" w14:textId="666CF321"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Total</w:t>
            </w:r>
          </w:p>
        </w:tc>
      </w:tr>
      <w:tr w:rsidR="009D4BF1" w:rsidRPr="00B469AB" w14:paraId="57B4990E"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430AD2B" w14:textId="563CCED4" w:rsidR="00BA6926" w:rsidRPr="007E58A2" w:rsidRDefault="00BA6926" w:rsidP="00BA6926">
            <w:pPr>
              <w:pStyle w:val="Tabletext8pt"/>
              <w:rPr>
                <w:b w:val="0"/>
                <w:bCs w:val="0"/>
                <w:sz w:val="16"/>
                <w:szCs w:val="16"/>
              </w:rPr>
            </w:pPr>
            <w:r w:rsidRPr="007E58A2">
              <w:rPr>
                <w:b w:val="0"/>
                <w:bCs w:val="0"/>
                <w:sz w:val="16"/>
                <w:szCs w:val="16"/>
              </w:rPr>
              <w:t xml:space="preserve">Access Services </w:t>
            </w:r>
            <w:r w:rsidR="0077715A" w:rsidRPr="007E58A2">
              <w:rPr>
                <w:b w:val="0"/>
                <w:bCs w:val="0"/>
                <w:sz w:val="16"/>
                <w:szCs w:val="16"/>
              </w:rPr>
              <w:t>f</w:t>
            </w:r>
            <w:r w:rsidRPr="007E58A2">
              <w:rPr>
                <w:b w:val="0"/>
                <w:bCs w:val="0"/>
                <w:sz w:val="16"/>
                <w:szCs w:val="16"/>
              </w:rPr>
              <w:t>or Koories Ltd.</w:t>
            </w:r>
          </w:p>
        </w:tc>
        <w:tc>
          <w:tcPr>
            <w:tcW w:w="974" w:type="dxa"/>
            <w:noWrap/>
            <w:vAlign w:val="center"/>
          </w:tcPr>
          <w:p w14:paraId="6A701CE4" w14:textId="7D2CABE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A114199" w14:textId="3ADAF66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30E8491" w14:textId="014E7B4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4F007D6D" w14:textId="18822B8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132</w:t>
            </w:r>
          </w:p>
        </w:tc>
        <w:tc>
          <w:tcPr>
            <w:tcW w:w="974" w:type="dxa"/>
            <w:noWrap/>
            <w:vAlign w:val="center"/>
          </w:tcPr>
          <w:p w14:paraId="60D894C3" w14:textId="54CD52B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1,860</w:t>
            </w:r>
          </w:p>
        </w:tc>
        <w:tc>
          <w:tcPr>
            <w:tcW w:w="975" w:type="dxa"/>
            <w:noWrap/>
            <w:vAlign w:val="center"/>
          </w:tcPr>
          <w:p w14:paraId="6FCFF8B2" w14:textId="63EBA49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2,184</w:t>
            </w:r>
          </w:p>
        </w:tc>
        <w:tc>
          <w:tcPr>
            <w:tcW w:w="974" w:type="dxa"/>
            <w:noWrap/>
            <w:vAlign w:val="center"/>
          </w:tcPr>
          <w:p w14:paraId="1884A82C" w14:textId="0C663CA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4345BDA" w14:textId="62168B8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4,176</w:t>
            </w:r>
          </w:p>
        </w:tc>
      </w:tr>
      <w:tr w:rsidR="00BA6926" w:rsidRPr="00B469AB" w14:paraId="6521C717"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46608647" w14:textId="74929536" w:rsidR="00BA6926" w:rsidRPr="007E58A2" w:rsidRDefault="00BA6926" w:rsidP="00BA6926">
            <w:pPr>
              <w:pStyle w:val="Tabletext8pt"/>
              <w:rPr>
                <w:b w:val="0"/>
                <w:bCs w:val="0"/>
                <w:sz w:val="16"/>
                <w:szCs w:val="16"/>
              </w:rPr>
            </w:pPr>
            <w:r w:rsidRPr="007E58A2">
              <w:rPr>
                <w:b w:val="0"/>
                <w:bCs w:val="0"/>
                <w:sz w:val="16"/>
                <w:szCs w:val="16"/>
              </w:rPr>
              <w:t>Ambulance Victoria</w:t>
            </w:r>
            <w:r w:rsidR="0095530C">
              <w:rPr>
                <w:rStyle w:val="FootnoteReference"/>
                <w:b w:val="0"/>
                <w:bCs w:val="0"/>
                <w:sz w:val="16"/>
                <w:szCs w:val="16"/>
              </w:rPr>
              <w:footnoteReference w:id="18"/>
            </w:r>
          </w:p>
        </w:tc>
        <w:tc>
          <w:tcPr>
            <w:tcW w:w="974" w:type="dxa"/>
            <w:noWrap/>
            <w:vAlign w:val="center"/>
          </w:tcPr>
          <w:p w14:paraId="000C239E" w14:textId="65AF237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6CBF255C" w14:textId="7C5CA0B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7C0926C4" w14:textId="3BE1EF8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6212DDC" w14:textId="20E6DC7A"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1E8FFC1" w14:textId="037B012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2A856BF" w14:textId="104A0A5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2F14A9BD" w14:textId="0C756F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6C09505" w14:textId="2B717D5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p>
        </w:tc>
      </w:tr>
      <w:tr w:rsidR="009D4BF1" w:rsidRPr="00B469AB" w14:paraId="32B4E8A2"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BDFBB3C" w14:textId="6022B469" w:rsidR="00BA6926" w:rsidRPr="007E58A2" w:rsidRDefault="00BA6926" w:rsidP="00BA6926">
            <w:pPr>
              <w:pStyle w:val="Tabletext8pt"/>
              <w:rPr>
                <w:b w:val="0"/>
                <w:bCs w:val="0"/>
                <w:sz w:val="16"/>
                <w:szCs w:val="16"/>
              </w:rPr>
            </w:pPr>
            <w:r w:rsidRPr="007E58A2">
              <w:rPr>
                <w:b w:val="0"/>
                <w:bCs w:val="0"/>
                <w:sz w:val="16"/>
                <w:szCs w:val="16"/>
              </w:rPr>
              <w:t>Baobag</w:t>
            </w:r>
          </w:p>
        </w:tc>
        <w:tc>
          <w:tcPr>
            <w:tcW w:w="974" w:type="dxa"/>
            <w:noWrap/>
            <w:vAlign w:val="center"/>
          </w:tcPr>
          <w:p w14:paraId="311ECCA2" w14:textId="7A46DAC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59D228B" w14:textId="01FA4C1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7842F11B" w14:textId="64789BB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B288501" w14:textId="162A011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1C835C4B" w14:textId="7C66FDF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678766B" w14:textId="163980C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4,594</w:t>
            </w:r>
          </w:p>
        </w:tc>
        <w:tc>
          <w:tcPr>
            <w:tcW w:w="974" w:type="dxa"/>
            <w:noWrap/>
            <w:vAlign w:val="center"/>
          </w:tcPr>
          <w:p w14:paraId="0663EA86" w14:textId="7A66FF7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4228CFB3" w14:textId="370DB1E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4,594</w:t>
            </w:r>
          </w:p>
        </w:tc>
      </w:tr>
      <w:tr w:rsidR="00BA6926" w:rsidRPr="00B469AB" w14:paraId="393C188C"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14D6A30" w14:textId="2E7001C7" w:rsidR="00BA6926" w:rsidRPr="007E58A2" w:rsidRDefault="00BA6926" w:rsidP="00BA6926">
            <w:pPr>
              <w:pStyle w:val="Tabletext8pt"/>
              <w:rPr>
                <w:b w:val="0"/>
                <w:bCs w:val="0"/>
                <w:sz w:val="16"/>
                <w:szCs w:val="16"/>
              </w:rPr>
            </w:pPr>
            <w:r w:rsidRPr="007E58A2">
              <w:rPr>
                <w:b w:val="0"/>
                <w:bCs w:val="0"/>
                <w:sz w:val="16"/>
                <w:szCs w:val="16"/>
              </w:rPr>
              <w:t>Child And Family Services Ballarat Inc</w:t>
            </w:r>
          </w:p>
        </w:tc>
        <w:tc>
          <w:tcPr>
            <w:tcW w:w="974" w:type="dxa"/>
            <w:noWrap/>
            <w:vAlign w:val="center"/>
          </w:tcPr>
          <w:p w14:paraId="71EF9D62" w14:textId="60896F8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1075B2AA" w14:textId="1939FC1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0E53D331" w14:textId="01CFBAB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0D9B174" w14:textId="1FDD248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7A7980E2" w14:textId="236F98F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1,298</w:t>
            </w:r>
          </w:p>
        </w:tc>
        <w:tc>
          <w:tcPr>
            <w:tcW w:w="975" w:type="dxa"/>
            <w:noWrap/>
            <w:vAlign w:val="center"/>
          </w:tcPr>
          <w:p w14:paraId="225264D3" w14:textId="4ADB9D4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DF2BCE8" w14:textId="7912372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445EA58" w14:textId="0B4BA9E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1,298</w:t>
            </w:r>
          </w:p>
        </w:tc>
      </w:tr>
      <w:tr w:rsidR="009D4BF1" w:rsidRPr="00B469AB" w14:paraId="0E230D13"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1867FF6" w14:textId="04227E7D" w:rsidR="00BA6926" w:rsidRPr="007E58A2" w:rsidRDefault="0077715A" w:rsidP="00BA6926">
            <w:pPr>
              <w:pStyle w:val="Tabletext8pt"/>
              <w:rPr>
                <w:b w:val="0"/>
                <w:bCs w:val="0"/>
                <w:sz w:val="16"/>
                <w:szCs w:val="16"/>
              </w:rPr>
            </w:pPr>
            <w:r w:rsidRPr="007E58A2">
              <w:rPr>
                <w:b w:val="0"/>
                <w:bCs w:val="0"/>
                <w:sz w:val="16"/>
                <w:szCs w:val="16"/>
              </w:rPr>
              <w:t>Childre</w:t>
            </w:r>
            <w:r w:rsidRPr="00DB3F68">
              <w:rPr>
                <w:b w:val="0"/>
                <w:bCs w:val="0"/>
                <w:sz w:val="16"/>
                <w:szCs w:val="16"/>
              </w:rPr>
              <w:t>n’s</w:t>
            </w:r>
            <w:r w:rsidR="00BA6926" w:rsidRPr="007E58A2">
              <w:rPr>
                <w:b w:val="0"/>
                <w:bCs w:val="0"/>
                <w:sz w:val="16"/>
                <w:szCs w:val="16"/>
              </w:rPr>
              <w:t xml:space="preserve"> Health Partnership Pty Ltd</w:t>
            </w:r>
          </w:p>
        </w:tc>
        <w:tc>
          <w:tcPr>
            <w:tcW w:w="974" w:type="dxa"/>
            <w:noWrap/>
            <w:vAlign w:val="center"/>
          </w:tcPr>
          <w:p w14:paraId="2FE7D6B0" w14:textId="70C1AD8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157,319</w:t>
            </w:r>
          </w:p>
        </w:tc>
        <w:tc>
          <w:tcPr>
            <w:tcW w:w="975" w:type="dxa"/>
            <w:noWrap/>
            <w:vAlign w:val="center"/>
          </w:tcPr>
          <w:p w14:paraId="6C23DB00" w14:textId="5901136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69590A0" w14:textId="7536F92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22DA2D42" w14:textId="189708B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06FC5E" w14:textId="0FF0812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20C6F40" w14:textId="6F905A9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214C091" w14:textId="173F399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12C5E1B" w14:textId="512BE19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157,319</w:t>
            </w:r>
          </w:p>
        </w:tc>
      </w:tr>
      <w:tr w:rsidR="00BA6926" w:rsidRPr="00B469AB" w14:paraId="6585FF31" w14:textId="77777777" w:rsidTr="007E58A2">
        <w:trPr>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1B94E84" w14:textId="00BAF29B" w:rsidR="00BA6926" w:rsidRPr="007E58A2" w:rsidRDefault="00600B7E" w:rsidP="00BA6926">
            <w:pPr>
              <w:pStyle w:val="Tabletext8pt"/>
              <w:rPr>
                <w:b w:val="0"/>
                <w:bCs w:val="0"/>
                <w:sz w:val="16"/>
                <w:szCs w:val="16"/>
              </w:rPr>
            </w:pPr>
            <w:r>
              <w:rPr>
                <w:b w:val="0"/>
                <w:bCs w:val="0"/>
                <w:sz w:val="16"/>
                <w:szCs w:val="16"/>
              </w:rPr>
              <w:t>Oral Health Victoria</w:t>
            </w:r>
          </w:p>
        </w:tc>
        <w:tc>
          <w:tcPr>
            <w:tcW w:w="974" w:type="dxa"/>
            <w:noWrap/>
            <w:vAlign w:val="center"/>
          </w:tcPr>
          <w:p w14:paraId="6D061C21" w14:textId="1B7B841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5,827</w:t>
            </w:r>
          </w:p>
        </w:tc>
        <w:tc>
          <w:tcPr>
            <w:tcW w:w="975" w:type="dxa"/>
            <w:noWrap/>
            <w:vAlign w:val="center"/>
          </w:tcPr>
          <w:p w14:paraId="1E7219B3" w14:textId="0A5C7AA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A50974F" w14:textId="7E1BC4D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0C97CC8" w14:textId="79D511E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6CC4B848" w14:textId="0F66E7B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1DE81C4" w14:textId="6C86BBA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184,661</w:t>
            </w:r>
          </w:p>
        </w:tc>
        <w:tc>
          <w:tcPr>
            <w:tcW w:w="974" w:type="dxa"/>
            <w:noWrap/>
            <w:vAlign w:val="center"/>
          </w:tcPr>
          <w:p w14:paraId="60250D59" w14:textId="07D9949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574</w:t>
            </w:r>
          </w:p>
        </w:tc>
        <w:tc>
          <w:tcPr>
            <w:tcW w:w="975" w:type="dxa"/>
            <w:noWrap/>
            <w:vAlign w:val="center"/>
          </w:tcPr>
          <w:p w14:paraId="087E04AC" w14:textId="412725A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191,061</w:t>
            </w:r>
          </w:p>
        </w:tc>
      </w:tr>
      <w:tr w:rsidR="009D4BF1" w:rsidRPr="00B469AB" w14:paraId="00F0AE5B"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09BEA4B" w14:textId="6B5E929B" w:rsidR="00BA6926" w:rsidRPr="007E58A2" w:rsidRDefault="00BA6926" w:rsidP="00BA6926">
            <w:pPr>
              <w:pStyle w:val="Tabletext8pt"/>
              <w:rPr>
                <w:b w:val="0"/>
                <w:bCs w:val="0"/>
                <w:sz w:val="16"/>
                <w:szCs w:val="16"/>
              </w:rPr>
            </w:pPr>
            <w:r w:rsidRPr="007E58A2">
              <w:rPr>
                <w:b w:val="0"/>
                <w:bCs w:val="0"/>
                <w:sz w:val="16"/>
                <w:szCs w:val="16"/>
              </w:rPr>
              <w:t>Exemplar Health Partnership</w:t>
            </w:r>
          </w:p>
        </w:tc>
        <w:tc>
          <w:tcPr>
            <w:tcW w:w="974" w:type="dxa"/>
            <w:noWrap/>
            <w:vAlign w:val="center"/>
          </w:tcPr>
          <w:p w14:paraId="587823E0" w14:textId="15DB35C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78,621</w:t>
            </w:r>
          </w:p>
        </w:tc>
        <w:tc>
          <w:tcPr>
            <w:tcW w:w="975" w:type="dxa"/>
            <w:noWrap/>
            <w:vAlign w:val="center"/>
          </w:tcPr>
          <w:p w14:paraId="1405200B" w14:textId="6E55DC9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23AB0D68" w14:textId="00739CE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42E063A" w14:textId="265E085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4B1C8CC" w14:textId="2C1B176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70F8F9" w14:textId="65132FB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300C5182" w14:textId="5981D69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39FB507" w14:textId="15AA03A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78,621</w:t>
            </w:r>
          </w:p>
        </w:tc>
      </w:tr>
      <w:tr w:rsidR="00BA6926" w:rsidRPr="00B469AB" w14:paraId="27E8C05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C5D803F" w14:textId="262B47CF" w:rsidR="00BA6926" w:rsidRPr="007E58A2" w:rsidRDefault="00BA6926" w:rsidP="00BA6926">
            <w:pPr>
              <w:pStyle w:val="Tabletext8pt"/>
              <w:rPr>
                <w:b w:val="0"/>
                <w:bCs w:val="0"/>
                <w:sz w:val="16"/>
                <w:szCs w:val="16"/>
              </w:rPr>
            </w:pPr>
            <w:r w:rsidRPr="007E58A2">
              <w:rPr>
                <w:b w:val="0"/>
                <w:bCs w:val="0"/>
                <w:sz w:val="16"/>
                <w:szCs w:val="16"/>
              </w:rPr>
              <w:t>Healthshare Victoria</w:t>
            </w:r>
          </w:p>
        </w:tc>
        <w:tc>
          <w:tcPr>
            <w:tcW w:w="974" w:type="dxa"/>
            <w:noWrap/>
            <w:vAlign w:val="center"/>
          </w:tcPr>
          <w:p w14:paraId="1A0DCAA8" w14:textId="365B160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49,976</w:t>
            </w:r>
          </w:p>
        </w:tc>
        <w:tc>
          <w:tcPr>
            <w:tcW w:w="975" w:type="dxa"/>
            <w:noWrap/>
            <w:vAlign w:val="center"/>
          </w:tcPr>
          <w:p w14:paraId="1E243EE0" w14:textId="1800AAC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6F8CDD2B" w14:textId="2CECEB0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A0DAF40" w14:textId="4F55E2D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A08E66B" w14:textId="3C4C1F3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27C6B3D" w14:textId="1961141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A2AF13C" w14:textId="64F1554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C7537C1" w14:textId="5F67F34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49,976</w:t>
            </w:r>
          </w:p>
        </w:tc>
      </w:tr>
      <w:tr w:rsidR="009D4BF1" w:rsidRPr="00B469AB" w14:paraId="6D8742DD"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7282359" w14:textId="656EA1A5" w:rsidR="00BA6926" w:rsidRPr="007E58A2" w:rsidRDefault="00BA6926" w:rsidP="00BA6926">
            <w:pPr>
              <w:pStyle w:val="Tabletext8pt"/>
              <w:rPr>
                <w:b w:val="0"/>
                <w:bCs w:val="0"/>
                <w:sz w:val="16"/>
                <w:szCs w:val="16"/>
              </w:rPr>
            </w:pPr>
            <w:r w:rsidRPr="007E58A2">
              <w:rPr>
                <w:b w:val="0"/>
                <w:bCs w:val="0"/>
                <w:sz w:val="16"/>
                <w:szCs w:val="16"/>
              </w:rPr>
              <w:t>Karingal St Laurence Limited</w:t>
            </w:r>
          </w:p>
        </w:tc>
        <w:tc>
          <w:tcPr>
            <w:tcW w:w="974" w:type="dxa"/>
            <w:noWrap/>
            <w:vAlign w:val="center"/>
          </w:tcPr>
          <w:p w14:paraId="49E0E154" w14:textId="75C643F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311EBE" w14:textId="31EC357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1,353</w:t>
            </w:r>
          </w:p>
        </w:tc>
        <w:tc>
          <w:tcPr>
            <w:tcW w:w="1134" w:type="dxa"/>
            <w:noWrap/>
            <w:vAlign w:val="center"/>
          </w:tcPr>
          <w:p w14:paraId="1E7546F4" w14:textId="458B2DF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42FAFA6" w14:textId="5A9C9EF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04721ED8" w14:textId="4DCB23A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285</w:t>
            </w:r>
          </w:p>
        </w:tc>
        <w:tc>
          <w:tcPr>
            <w:tcW w:w="975" w:type="dxa"/>
            <w:noWrap/>
            <w:vAlign w:val="center"/>
          </w:tcPr>
          <w:p w14:paraId="2915E60A" w14:textId="5F668F3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826CF7F" w14:textId="0033D45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3F30804" w14:textId="0524150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1,638</w:t>
            </w:r>
          </w:p>
        </w:tc>
      </w:tr>
      <w:tr w:rsidR="00BA6926" w:rsidRPr="00B469AB" w14:paraId="76044284"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91D0813" w14:textId="603C21CA" w:rsidR="00BA6926" w:rsidRPr="007E58A2" w:rsidRDefault="00BA6926" w:rsidP="00BA6926">
            <w:pPr>
              <w:pStyle w:val="Tabletext8pt"/>
              <w:rPr>
                <w:b w:val="0"/>
                <w:bCs w:val="0"/>
                <w:sz w:val="16"/>
                <w:szCs w:val="16"/>
              </w:rPr>
            </w:pPr>
            <w:r w:rsidRPr="007E58A2">
              <w:rPr>
                <w:b w:val="0"/>
                <w:bCs w:val="0"/>
                <w:sz w:val="16"/>
                <w:szCs w:val="16"/>
              </w:rPr>
              <w:t>Lifeline Australia</w:t>
            </w:r>
          </w:p>
        </w:tc>
        <w:tc>
          <w:tcPr>
            <w:tcW w:w="974" w:type="dxa"/>
            <w:noWrap/>
            <w:vAlign w:val="center"/>
          </w:tcPr>
          <w:p w14:paraId="69CBC167" w14:textId="76D1761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8C77A0A" w14:textId="12BCFA0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27A1A182" w14:textId="6EE2ED7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BDC3D3" w14:textId="41943C8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10E806B" w14:textId="5446EF4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1,143</w:t>
            </w:r>
          </w:p>
        </w:tc>
        <w:tc>
          <w:tcPr>
            <w:tcW w:w="975" w:type="dxa"/>
            <w:noWrap/>
            <w:vAlign w:val="center"/>
          </w:tcPr>
          <w:p w14:paraId="346171FF" w14:textId="1119761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95F1769" w14:textId="6583EC9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011CD77" w14:textId="405652C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1,143</w:t>
            </w:r>
          </w:p>
        </w:tc>
      </w:tr>
      <w:tr w:rsidR="009D4BF1" w:rsidRPr="00B469AB" w14:paraId="61C844F7"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C78BE90" w14:textId="7DE91CF8" w:rsidR="00BA6926" w:rsidRPr="007E58A2" w:rsidRDefault="00BA6926" w:rsidP="00BA6926">
            <w:pPr>
              <w:pStyle w:val="Tabletext8pt"/>
              <w:rPr>
                <w:b w:val="0"/>
                <w:bCs w:val="0"/>
                <w:sz w:val="16"/>
                <w:szCs w:val="16"/>
              </w:rPr>
            </w:pPr>
            <w:r w:rsidRPr="007E58A2">
              <w:rPr>
                <w:b w:val="0"/>
                <w:bCs w:val="0"/>
                <w:sz w:val="16"/>
                <w:szCs w:val="16"/>
              </w:rPr>
              <w:t>Mallee District Aboriginal Services Limited</w:t>
            </w:r>
          </w:p>
        </w:tc>
        <w:tc>
          <w:tcPr>
            <w:tcW w:w="974" w:type="dxa"/>
            <w:noWrap/>
            <w:vAlign w:val="center"/>
          </w:tcPr>
          <w:p w14:paraId="5F33507C" w14:textId="4AB384C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564</w:t>
            </w:r>
          </w:p>
        </w:tc>
        <w:tc>
          <w:tcPr>
            <w:tcW w:w="975" w:type="dxa"/>
            <w:noWrap/>
            <w:vAlign w:val="center"/>
          </w:tcPr>
          <w:p w14:paraId="4EA38B66" w14:textId="63F974E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57</w:t>
            </w:r>
          </w:p>
        </w:tc>
        <w:tc>
          <w:tcPr>
            <w:tcW w:w="1134" w:type="dxa"/>
            <w:noWrap/>
            <w:vAlign w:val="center"/>
          </w:tcPr>
          <w:p w14:paraId="7327A689" w14:textId="256CDFA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2CD7D8" w14:textId="740674A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1,644</w:t>
            </w:r>
          </w:p>
        </w:tc>
        <w:tc>
          <w:tcPr>
            <w:tcW w:w="974" w:type="dxa"/>
            <w:noWrap/>
            <w:vAlign w:val="center"/>
          </w:tcPr>
          <w:p w14:paraId="7A615FE4" w14:textId="36B5B6A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2,264</w:t>
            </w:r>
          </w:p>
        </w:tc>
        <w:tc>
          <w:tcPr>
            <w:tcW w:w="975" w:type="dxa"/>
            <w:noWrap/>
            <w:vAlign w:val="center"/>
          </w:tcPr>
          <w:p w14:paraId="04A8B9A6" w14:textId="742D274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1,161</w:t>
            </w:r>
          </w:p>
        </w:tc>
        <w:tc>
          <w:tcPr>
            <w:tcW w:w="974" w:type="dxa"/>
            <w:noWrap/>
            <w:vAlign w:val="center"/>
          </w:tcPr>
          <w:p w14:paraId="57E6C6AE" w14:textId="03484C8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133</w:t>
            </w:r>
          </w:p>
        </w:tc>
        <w:tc>
          <w:tcPr>
            <w:tcW w:w="975" w:type="dxa"/>
            <w:noWrap/>
            <w:vAlign w:val="center"/>
          </w:tcPr>
          <w:p w14:paraId="4B60F5F3" w14:textId="07AD5F9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5,822</w:t>
            </w:r>
          </w:p>
        </w:tc>
      </w:tr>
      <w:tr w:rsidR="00BA6926" w:rsidRPr="00B469AB" w14:paraId="421E7C13"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B0AA1D4" w14:textId="73094715" w:rsidR="00BA6926" w:rsidRPr="007E58A2" w:rsidRDefault="00BA6926" w:rsidP="00BA6926">
            <w:pPr>
              <w:pStyle w:val="Tabletext8pt"/>
              <w:rPr>
                <w:b w:val="0"/>
                <w:bCs w:val="0"/>
                <w:sz w:val="16"/>
                <w:szCs w:val="16"/>
              </w:rPr>
            </w:pPr>
            <w:r w:rsidRPr="007E58A2">
              <w:rPr>
                <w:b w:val="0"/>
                <w:bCs w:val="0"/>
                <w:sz w:val="16"/>
                <w:szCs w:val="16"/>
              </w:rPr>
              <w:t>National Blood Authority</w:t>
            </w:r>
          </w:p>
        </w:tc>
        <w:tc>
          <w:tcPr>
            <w:tcW w:w="974" w:type="dxa"/>
            <w:noWrap/>
            <w:vAlign w:val="center"/>
          </w:tcPr>
          <w:p w14:paraId="41EF23A6" w14:textId="2139F23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174,275</w:t>
            </w:r>
          </w:p>
        </w:tc>
        <w:tc>
          <w:tcPr>
            <w:tcW w:w="975" w:type="dxa"/>
            <w:noWrap/>
            <w:vAlign w:val="center"/>
          </w:tcPr>
          <w:p w14:paraId="0E3764C9" w14:textId="50E874C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7E221F73" w14:textId="72A2216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1D73F6" w14:textId="0BCDD64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AF6A7DE" w14:textId="7368854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392C118" w14:textId="2BBC572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6006A091" w14:textId="2B56606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94AB569" w14:textId="470CF85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174,275</w:t>
            </w:r>
          </w:p>
        </w:tc>
      </w:tr>
      <w:tr w:rsidR="009D4BF1" w:rsidRPr="00B469AB" w14:paraId="0D5C2876"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68AB35B" w14:textId="45F8ED89" w:rsidR="00BA6926" w:rsidRPr="007E58A2" w:rsidRDefault="00BA6926" w:rsidP="00BA6926">
            <w:pPr>
              <w:pStyle w:val="Tabletext8pt"/>
              <w:rPr>
                <w:b w:val="0"/>
                <w:bCs w:val="0"/>
                <w:sz w:val="16"/>
                <w:szCs w:val="16"/>
              </w:rPr>
            </w:pPr>
            <w:r w:rsidRPr="007E58A2">
              <w:rPr>
                <w:b w:val="0"/>
                <w:bCs w:val="0"/>
                <w:sz w:val="16"/>
                <w:szCs w:val="16"/>
              </w:rPr>
              <w:t>Ngwala Willumbong Aboriginal Corporation</w:t>
            </w:r>
          </w:p>
        </w:tc>
        <w:tc>
          <w:tcPr>
            <w:tcW w:w="974" w:type="dxa"/>
            <w:noWrap/>
            <w:vAlign w:val="center"/>
          </w:tcPr>
          <w:p w14:paraId="320F645B" w14:textId="520BF27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389B6AD" w14:textId="579FF53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131</w:t>
            </w:r>
          </w:p>
        </w:tc>
        <w:tc>
          <w:tcPr>
            <w:tcW w:w="1134" w:type="dxa"/>
            <w:noWrap/>
            <w:vAlign w:val="center"/>
          </w:tcPr>
          <w:p w14:paraId="2531C67E" w14:textId="75D1AA51"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19899BB" w14:textId="2E8E10D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11,847</w:t>
            </w:r>
          </w:p>
        </w:tc>
        <w:tc>
          <w:tcPr>
            <w:tcW w:w="974" w:type="dxa"/>
            <w:noWrap/>
            <w:vAlign w:val="center"/>
          </w:tcPr>
          <w:p w14:paraId="564E591F" w14:textId="1B29299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1,447</w:t>
            </w:r>
          </w:p>
        </w:tc>
        <w:tc>
          <w:tcPr>
            <w:tcW w:w="975" w:type="dxa"/>
            <w:noWrap/>
            <w:vAlign w:val="center"/>
          </w:tcPr>
          <w:p w14:paraId="16BDF154" w14:textId="152CD6F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106</w:t>
            </w:r>
          </w:p>
        </w:tc>
        <w:tc>
          <w:tcPr>
            <w:tcW w:w="974" w:type="dxa"/>
            <w:noWrap/>
            <w:vAlign w:val="center"/>
          </w:tcPr>
          <w:p w14:paraId="0FDFD426" w14:textId="621EB8C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8DA64DD" w14:textId="743F0D5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13,531</w:t>
            </w:r>
          </w:p>
        </w:tc>
      </w:tr>
      <w:tr w:rsidR="00BA6926" w:rsidRPr="00B469AB" w14:paraId="308913C7" w14:textId="77777777" w:rsidTr="007E58A2">
        <w:trPr>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388F6DC" w14:textId="79BD72D0" w:rsidR="00BA6926" w:rsidRPr="007E58A2" w:rsidRDefault="00BA6926" w:rsidP="00BA6926">
            <w:pPr>
              <w:pStyle w:val="Tabletext8pt"/>
              <w:rPr>
                <w:b w:val="0"/>
                <w:bCs w:val="0"/>
                <w:sz w:val="16"/>
                <w:szCs w:val="16"/>
              </w:rPr>
            </w:pPr>
            <w:r w:rsidRPr="007E58A2">
              <w:rPr>
                <w:b w:val="0"/>
                <w:bCs w:val="0"/>
                <w:sz w:val="16"/>
                <w:szCs w:val="16"/>
              </w:rPr>
              <w:t>Oonah Health &amp; Community Services Aboriginal Corporation</w:t>
            </w:r>
          </w:p>
        </w:tc>
        <w:tc>
          <w:tcPr>
            <w:tcW w:w="974" w:type="dxa"/>
            <w:noWrap/>
            <w:vAlign w:val="center"/>
          </w:tcPr>
          <w:p w14:paraId="58730E0B" w14:textId="4958F57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0EE97B5" w14:textId="2A02D2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6C3EE12E" w14:textId="5BB0D5B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351872A" w14:textId="31F0372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180</w:t>
            </w:r>
          </w:p>
        </w:tc>
        <w:tc>
          <w:tcPr>
            <w:tcW w:w="974" w:type="dxa"/>
            <w:noWrap/>
            <w:vAlign w:val="center"/>
          </w:tcPr>
          <w:p w14:paraId="29BB2E00" w14:textId="6781680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827</w:t>
            </w:r>
          </w:p>
        </w:tc>
        <w:tc>
          <w:tcPr>
            <w:tcW w:w="975" w:type="dxa"/>
            <w:noWrap/>
            <w:vAlign w:val="center"/>
          </w:tcPr>
          <w:p w14:paraId="0CE08461" w14:textId="6A80B4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167</w:t>
            </w:r>
          </w:p>
        </w:tc>
        <w:tc>
          <w:tcPr>
            <w:tcW w:w="974" w:type="dxa"/>
            <w:noWrap/>
            <w:vAlign w:val="center"/>
          </w:tcPr>
          <w:p w14:paraId="1C433091" w14:textId="6039E9E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8AAEE69" w14:textId="669D4C8A"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1,174</w:t>
            </w:r>
          </w:p>
        </w:tc>
      </w:tr>
      <w:tr w:rsidR="009D4BF1" w:rsidRPr="00B469AB" w14:paraId="0D01E20A"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5C886C6" w14:textId="73EA91CA" w:rsidR="00BA6926" w:rsidRPr="007E58A2" w:rsidRDefault="00BA6926" w:rsidP="00BA6926">
            <w:pPr>
              <w:pStyle w:val="Tabletext8pt"/>
              <w:rPr>
                <w:b w:val="0"/>
                <w:bCs w:val="0"/>
                <w:sz w:val="16"/>
                <w:szCs w:val="16"/>
              </w:rPr>
            </w:pPr>
            <w:r w:rsidRPr="007E58A2">
              <w:rPr>
                <w:b w:val="0"/>
                <w:bCs w:val="0"/>
                <w:sz w:val="16"/>
                <w:szCs w:val="16"/>
              </w:rPr>
              <w:t>Orygen Limited</w:t>
            </w:r>
          </w:p>
        </w:tc>
        <w:tc>
          <w:tcPr>
            <w:tcW w:w="974" w:type="dxa"/>
            <w:noWrap/>
            <w:vAlign w:val="center"/>
          </w:tcPr>
          <w:p w14:paraId="48E7065D" w14:textId="5765705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1EBEC9C" w14:textId="006C578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2E0F9CF" w14:textId="1EB0D1C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BDC4B91" w14:textId="683D9CA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D4C03EB" w14:textId="3B8E26B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12,260</w:t>
            </w:r>
          </w:p>
        </w:tc>
        <w:tc>
          <w:tcPr>
            <w:tcW w:w="975" w:type="dxa"/>
            <w:noWrap/>
            <w:vAlign w:val="center"/>
          </w:tcPr>
          <w:p w14:paraId="783F2D27" w14:textId="2DCE559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AB428C1" w14:textId="338C70C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C8C4A0E" w14:textId="5771345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12,260</w:t>
            </w:r>
          </w:p>
        </w:tc>
      </w:tr>
      <w:tr w:rsidR="00BA6926" w:rsidRPr="00B469AB" w14:paraId="13526F1F"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C496324" w14:textId="2DC018A4" w:rsidR="00BA6926" w:rsidRPr="009D339E" w:rsidRDefault="00BA6926" w:rsidP="00BA6926">
            <w:pPr>
              <w:pStyle w:val="Tabletext8pt"/>
              <w:rPr>
                <w:b w:val="0"/>
                <w:bCs w:val="0"/>
                <w:sz w:val="16"/>
                <w:szCs w:val="16"/>
              </w:rPr>
            </w:pPr>
            <w:r w:rsidRPr="009D339E">
              <w:rPr>
                <w:b w:val="0"/>
                <w:bCs w:val="0"/>
                <w:sz w:val="16"/>
                <w:szCs w:val="16"/>
              </w:rPr>
              <w:t>Plenary Health Casey Pty Ltd (</w:t>
            </w:r>
            <w:r w:rsidR="009D339E" w:rsidRPr="009D339E">
              <w:rPr>
                <w:b w:val="0"/>
                <w:bCs w:val="0"/>
                <w:sz w:val="16"/>
                <w:szCs w:val="16"/>
              </w:rPr>
              <w:t>Non-GST</w:t>
            </w:r>
            <w:r w:rsidRPr="009D339E">
              <w:rPr>
                <w:b w:val="0"/>
                <w:bCs w:val="0"/>
                <w:sz w:val="16"/>
                <w:szCs w:val="16"/>
              </w:rPr>
              <w:t>)</w:t>
            </w:r>
          </w:p>
        </w:tc>
        <w:tc>
          <w:tcPr>
            <w:tcW w:w="974" w:type="dxa"/>
            <w:noWrap/>
            <w:vAlign w:val="center"/>
          </w:tcPr>
          <w:p w14:paraId="466D16D2" w14:textId="2CF1EE5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16,239</w:t>
            </w:r>
          </w:p>
        </w:tc>
        <w:tc>
          <w:tcPr>
            <w:tcW w:w="975" w:type="dxa"/>
            <w:noWrap/>
            <w:vAlign w:val="center"/>
          </w:tcPr>
          <w:p w14:paraId="62115FB6" w14:textId="159968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4F91B8C2" w14:textId="05973A0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469DD0B" w14:textId="671E044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C51BE6C" w14:textId="639F08B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3702FD64" w14:textId="6330D66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8BFBC19" w14:textId="35D2631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3E9FCB99" w14:textId="58510EF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16,239</w:t>
            </w:r>
          </w:p>
        </w:tc>
      </w:tr>
      <w:tr w:rsidR="009D4BF1" w:rsidRPr="00B469AB" w14:paraId="721A3A1C"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C7DB720" w14:textId="4643AB60" w:rsidR="00BA6926" w:rsidRPr="009D339E" w:rsidRDefault="00BA6926" w:rsidP="00BA6926">
            <w:pPr>
              <w:pStyle w:val="Tabletext8pt"/>
              <w:rPr>
                <w:b w:val="0"/>
                <w:bCs w:val="0"/>
                <w:sz w:val="16"/>
                <w:szCs w:val="16"/>
              </w:rPr>
            </w:pPr>
            <w:r w:rsidRPr="009D339E">
              <w:rPr>
                <w:b w:val="0"/>
                <w:bCs w:val="0"/>
                <w:sz w:val="16"/>
                <w:szCs w:val="16"/>
              </w:rPr>
              <w:t>Plenary Health Ccc Pty Ltd</w:t>
            </w:r>
          </w:p>
        </w:tc>
        <w:tc>
          <w:tcPr>
            <w:tcW w:w="974" w:type="dxa"/>
            <w:noWrap/>
            <w:vAlign w:val="center"/>
          </w:tcPr>
          <w:p w14:paraId="5DE72FAC" w14:textId="38B7FCA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156,617</w:t>
            </w:r>
          </w:p>
        </w:tc>
        <w:tc>
          <w:tcPr>
            <w:tcW w:w="975" w:type="dxa"/>
            <w:noWrap/>
            <w:vAlign w:val="center"/>
          </w:tcPr>
          <w:p w14:paraId="091CCCA7" w14:textId="736F5DC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0E3DD1D" w14:textId="5BB96BF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0A66F16" w14:textId="6409817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7C0078C1" w14:textId="6D5B564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925752E" w14:textId="7389179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D0D434B" w14:textId="23F4706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0DB8F6E" w14:textId="0563CA11"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156,617</w:t>
            </w:r>
          </w:p>
        </w:tc>
      </w:tr>
      <w:tr w:rsidR="00BA6926" w:rsidRPr="00B469AB" w14:paraId="59B7113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3344B7D" w14:textId="14533AA6" w:rsidR="00BA6926" w:rsidRPr="009D339E" w:rsidRDefault="00BA6926" w:rsidP="00BA6926">
            <w:pPr>
              <w:pStyle w:val="Tabletext8pt"/>
              <w:rPr>
                <w:b w:val="0"/>
                <w:bCs w:val="0"/>
                <w:sz w:val="16"/>
                <w:szCs w:val="16"/>
              </w:rPr>
            </w:pPr>
            <w:r w:rsidRPr="009D339E">
              <w:rPr>
                <w:b w:val="0"/>
                <w:bCs w:val="0"/>
                <w:sz w:val="16"/>
                <w:szCs w:val="16"/>
              </w:rPr>
              <w:t>Plenary Health Chep Pty Ltd (</w:t>
            </w:r>
            <w:r w:rsidR="009D339E" w:rsidRPr="009D339E">
              <w:rPr>
                <w:b w:val="0"/>
                <w:bCs w:val="0"/>
                <w:sz w:val="16"/>
                <w:szCs w:val="16"/>
              </w:rPr>
              <w:t>Non-GST</w:t>
            </w:r>
            <w:r w:rsidRPr="009D339E">
              <w:rPr>
                <w:b w:val="0"/>
                <w:bCs w:val="0"/>
                <w:sz w:val="16"/>
                <w:szCs w:val="16"/>
              </w:rPr>
              <w:t>)</w:t>
            </w:r>
          </w:p>
        </w:tc>
        <w:tc>
          <w:tcPr>
            <w:tcW w:w="974" w:type="dxa"/>
            <w:noWrap/>
            <w:vAlign w:val="center"/>
          </w:tcPr>
          <w:p w14:paraId="3840FC69" w14:textId="604BA14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10,138</w:t>
            </w:r>
          </w:p>
        </w:tc>
        <w:tc>
          <w:tcPr>
            <w:tcW w:w="975" w:type="dxa"/>
            <w:noWrap/>
            <w:vAlign w:val="center"/>
          </w:tcPr>
          <w:p w14:paraId="302027AE" w14:textId="2336C62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5C9F0863" w14:textId="583C7A9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C11B76C" w14:textId="5FE4667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2EB694EF" w14:textId="498073B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D7C617A" w14:textId="0C2A300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7B45832" w14:textId="5AEE89D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CA82597" w14:textId="5076F5F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10,138</w:t>
            </w:r>
          </w:p>
        </w:tc>
      </w:tr>
      <w:tr w:rsidR="009D4BF1" w:rsidRPr="00B469AB" w14:paraId="2CA8BCF3"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F1CFC8B" w14:textId="352CE374" w:rsidR="00BA6926" w:rsidRPr="007E58A2" w:rsidRDefault="00BA6926" w:rsidP="00BA6926">
            <w:pPr>
              <w:pStyle w:val="Tabletext8pt"/>
              <w:rPr>
                <w:b w:val="0"/>
                <w:bCs w:val="0"/>
                <w:sz w:val="16"/>
                <w:szCs w:val="16"/>
              </w:rPr>
            </w:pPr>
            <w:r w:rsidRPr="007E58A2">
              <w:rPr>
                <w:b w:val="0"/>
                <w:bCs w:val="0"/>
                <w:sz w:val="16"/>
                <w:szCs w:val="16"/>
              </w:rPr>
              <w:t>Respect Group Limited</w:t>
            </w:r>
          </w:p>
        </w:tc>
        <w:tc>
          <w:tcPr>
            <w:tcW w:w="974" w:type="dxa"/>
            <w:noWrap/>
            <w:vAlign w:val="center"/>
          </w:tcPr>
          <w:p w14:paraId="761140DA" w14:textId="7EC7B28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2,322</w:t>
            </w:r>
          </w:p>
        </w:tc>
        <w:tc>
          <w:tcPr>
            <w:tcW w:w="975" w:type="dxa"/>
            <w:noWrap/>
            <w:vAlign w:val="center"/>
          </w:tcPr>
          <w:p w14:paraId="0EF1DBAA" w14:textId="4E194AD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6,495</w:t>
            </w:r>
          </w:p>
        </w:tc>
        <w:tc>
          <w:tcPr>
            <w:tcW w:w="1134" w:type="dxa"/>
            <w:noWrap/>
            <w:vAlign w:val="center"/>
          </w:tcPr>
          <w:p w14:paraId="6F84D4F5" w14:textId="6A20037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5EAB0CA" w14:textId="770A886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8D23E7" w14:textId="3B59444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428</w:t>
            </w:r>
          </w:p>
        </w:tc>
        <w:tc>
          <w:tcPr>
            <w:tcW w:w="975" w:type="dxa"/>
            <w:noWrap/>
            <w:vAlign w:val="center"/>
          </w:tcPr>
          <w:p w14:paraId="6CA72BAF" w14:textId="39FA2D0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443BF73" w14:textId="085B849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61487C1" w14:textId="6A9CD1F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9,245</w:t>
            </w:r>
          </w:p>
        </w:tc>
      </w:tr>
      <w:tr w:rsidR="00BA6926" w:rsidRPr="00B469AB" w14:paraId="068AC647"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06574D7" w14:textId="161EB05C" w:rsidR="00BA6926" w:rsidRPr="007E58A2" w:rsidRDefault="00BA6926" w:rsidP="00BA6926">
            <w:pPr>
              <w:pStyle w:val="Tabletext8pt"/>
              <w:rPr>
                <w:b w:val="0"/>
                <w:bCs w:val="0"/>
                <w:sz w:val="16"/>
                <w:szCs w:val="16"/>
              </w:rPr>
            </w:pPr>
            <w:r w:rsidRPr="007E58A2">
              <w:rPr>
                <w:b w:val="0"/>
                <w:bCs w:val="0"/>
                <w:sz w:val="16"/>
                <w:szCs w:val="16"/>
              </w:rPr>
              <w:t>Rw Health Partnerships Pty Ltd</w:t>
            </w:r>
          </w:p>
        </w:tc>
        <w:tc>
          <w:tcPr>
            <w:tcW w:w="974" w:type="dxa"/>
            <w:noWrap/>
            <w:vAlign w:val="center"/>
          </w:tcPr>
          <w:p w14:paraId="2F404FA5" w14:textId="1D2F2A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54,485</w:t>
            </w:r>
          </w:p>
        </w:tc>
        <w:tc>
          <w:tcPr>
            <w:tcW w:w="975" w:type="dxa"/>
            <w:noWrap/>
            <w:vAlign w:val="center"/>
          </w:tcPr>
          <w:p w14:paraId="513C4A3A" w14:textId="3B0C476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0F87262" w14:textId="6D8FA72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648CEE1" w14:textId="2F69167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23546D5" w14:textId="6426612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60EB42F4" w14:textId="5DF03B7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3C7461DC" w14:textId="6500775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7DAF8E1" w14:textId="3584E8B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54,485</w:t>
            </w:r>
          </w:p>
        </w:tc>
      </w:tr>
      <w:tr w:rsidR="009D4BF1" w:rsidRPr="00B469AB" w14:paraId="5CF903B4"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4E552E9" w14:textId="32607D62" w:rsidR="00BA6926" w:rsidRPr="007E58A2" w:rsidRDefault="00BA6926" w:rsidP="00BA6926">
            <w:pPr>
              <w:pStyle w:val="Tabletext8pt"/>
              <w:rPr>
                <w:b w:val="0"/>
                <w:bCs w:val="0"/>
                <w:sz w:val="16"/>
                <w:szCs w:val="16"/>
              </w:rPr>
            </w:pPr>
            <w:r w:rsidRPr="007E58A2">
              <w:rPr>
                <w:b w:val="0"/>
                <w:bCs w:val="0"/>
                <w:sz w:val="16"/>
                <w:szCs w:val="16"/>
              </w:rPr>
              <w:t>South East Palliative Care Ltd</w:t>
            </w:r>
          </w:p>
        </w:tc>
        <w:tc>
          <w:tcPr>
            <w:tcW w:w="974" w:type="dxa"/>
            <w:noWrap/>
            <w:vAlign w:val="center"/>
          </w:tcPr>
          <w:p w14:paraId="3CAA6234" w14:textId="46DFB0D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6,555</w:t>
            </w:r>
          </w:p>
        </w:tc>
        <w:tc>
          <w:tcPr>
            <w:tcW w:w="975" w:type="dxa"/>
            <w:noWrap/>
            <w:vAlign w:val="center"/>
          </w:tcPr>
          <w:p w14:paraId="6F862926" w14:textId="758A19D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08E582DB" w14:textId="5F19A2D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7D9BC56" w14:textId="36B1D3D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1B1299" w14:textId="690D1A2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4A54BE0" w14:textId="2E72114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45CB779" w14:textId="1F26CC2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F79AC3" w14:textId="0E8FAFC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6,555</w:t>
            </w:r>
          </w:p>
        </w:tc>
      </w:tr>
      <w:tr w:rsidR="00BA6926" w:rsidRPr="00B469AB" w14:paraId="084CEB8F"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80FFA90" w14:textId="3EBA05DD" w:rsidR="00BA6926" w:rsidRPr="007E58A2" w:rsidRDefault="00BA6926" w:rsidP="00BA6926">
            <w:pPr>
              <w:pStyle w:val="Tabletext8pt"/>
              <w:rPr>
                <w:b w:val="0"/>
                <w:bCs w:val="0"/>
                <w:sz w:val="16"/>
                <w:szCs w:val="16"/>
              </w:rPr>
            </w:pPr>
            <w:r w:rsidRPr="007E58A2">
              <w:rPr>
                <w:b w:val="0"/>
                <w:bCs w:val="0"/>
                <w:sz w:val="16"/>
                <w:szCs w:val="16"/>
              </w:rPr>
              <w:t xml:space="preserve">The Florey Institute </w:t>
            </w:r>
            <w:r w:rsidR="00DB3F68">
              <w:rPr>
                <w:b w:val="0"/>
                <w:bCs w:val="0"/>
                <w:sz w:val="16"/>
                <w:szCs w:val="16"/>
              </w:rPr>
              <w:t>o</w:t>
            </w:r>
            <w:r w:rsidRPr="007E58A2">
              <w:rPr>
                <w:b w:val="0"/>
                <w:bCs w:val="0"/>
                <w:sz w:val="16"/>
                <w:szCs w:val="16"/>
              </w:rPr>
              <w:t xml:space="preserve">f Neuroscience </w:t>
            </w:r>
            <w:r w:rsidR="00DB3F68">
              <w:rPr>
                <w:b w:val="0"/>
                <w:bCs w:val="0"/>
                <w:sz w:val="16"/>
                <w:szCs w:val="16"/>
              </w:rPr>
              <w:t>a</w:t>
            </w:r>
            <w:r w:rsidRPr="007E58A2">
              <w:rPr>
                <w:b w:val="0"/>
                <w:bCs w:val="0"/>
                <w:sz w:val="16"/>
                <w:szCs w:val="16"/>
              </w:rPr>
              <w:t>nd Mental Health</w:t>
            </w:r>
          </w:p>
        </w:tc>
        <w:tc>
          <w:tcPr>
            <w:tcW w:w="974" w:type="dxa"/>
            <w:noWrap/>
            <w:vAlign w:val="center"/>
          </w:tcPr>
          <w:p w14:paraId="780C4EE9" w14:textId="4DB9F82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B3C305E" w14:textId="1308A54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F183308" w14:textId="5686F8E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6A8C2D" w14:textId="724830D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890851F" w14:textId="3956207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1,779</w:t>
            </w:r>
          </w:p>
        </w:tc>
        <w:tc>
          <w:tcPr>
            <w:tcW w:w="975" w:type="dxa"/>
            <w:noWrap/>
            <w:vAlign w:val="center"/>
          </w:tcPr>
          <w:p w14:paraId="3B4FC9F5" w14:textId="12EF40D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7F0391B8" w14:textId="52B2082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6FA3841" w14:textId="3827FBD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1,779</w:t>
            </w:r>
          </w:p>
        </w:tc>
      </w:tr>
      <w:tr w:rsidR="009D4BF1" w:rsidRPr="00B469AB" w14:paraId="6DEE8918"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09F58D8B" w14:textId="160CDB69" w:rsidR="00BA6926" w:rsidRPr="007E58A2" w:rsidRDefault="00BA6926" w:rsidP="00BA6926">
            <w:pPr>
              <w:pStyle w:val="Tabletext8pt"/>
              <w:rPr>
                <w:b w:val="0"/>
                <w:bCs w:val="0"/>
                <w:sz w:val="16"/>
                <w:szCs w:val="16"/>
              </w:rPr>
            </w:pPr>
            <w:r w:rsidRPr="007E58A2">
              <w:rPr>
                <w:b w:val="0"/>
                <w:bCs w:val="0"/>
                <w:sz w:val="16"/>
                <w:szCs w:val="16"/>
              </w:rPr>
              <w:t>The Queen Elizabeth Centre</w:t>
            </w:r>
          </w:p>
        </w:tc>
        <w:tc>
          <w:tcPr>
            <w:tcW w:w="974" w:type="dxa"/>
            <w:noWrap/>
            <w:vAlign w:val="center"/>
          </w:tcPr>
          <w:p w14:paraId="2C43B0A4" w14:textId="70F4A6E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1,248</w:t>
            </w:r>
          </w:p>
        </w:tc>
        <w:tc>
          <w:tcPr>
            <w:tcW w:w="975" w:type="dxa"/>
            <w:noWrap/>
            <w:vAlign w:val="center"/>
          </w:tcPr>
          <w:p w14:paraId="3BDC3E53" w14:textId="3FA6C09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0B4FB937" w14:textId="3CB9D17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C813C44" w14:textId="4863EE4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54F1A28A" w14:textId="74B35F7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306</w:t>
            </w:r>
          </w:p>
        </w:tc>
        <w:tc>
          <w:tcPr>
            <w:tcW w:w="975" w:type="dxa"/>
            <w:noWrap/>
            <w:vAlign w:val="center"/>
          </w:tcPr>
          <w:p w14:paraId="54F57DEB" w14:textId="24C3D8D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8EC8EE3" w14:textId="6AB1096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6329798" w14:textId="2062C5D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1,553</w:t>
            </w:r>
          </w:p>
        </w:tc>
      </w:tr>
      <w:tr w:rsidR="00BA6926" w:rsidRPr="00B469AB" w14:paraId="35E11BC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30E469E" w14:textId="0649F8B4" w:rsidR="00BA6926" w:rsidRPr="007E58A2" w:rsidRDefault="00BA6926" w:rsidP="00BA6926">
            <w:pPr>
              <w:pStyle w:val="Tabletext8pt"/>
              <w:rPr>
                <w:b w:val="0"/>
                <w:bCs w:val="0"/>
                <w:sz w:val="16"/>
                <w:szCs w:val="16"/>
              </w:rPr>
            </w:pPr>
            <w:r w:rsidRPr="007E58A2">
              <w:rPr>
                <w:b w:val="0"/>
                <w:bCs w:val="0"/>
                <w:sz w:val="16"/>
                <w:szCs w:val="16"/>
              </w:rPr>
              <w:t>Victorian Comprehensive Cancer Centre Ltd</w:t>
            </w:r>
          </w:p>
        </w:tc>
        <w:tc>
          <w:tcPr>
            <w:tcW w:w="974" w:type="dxa"/>
            <w:noWrap/>
            <w:vAlign w:val="center"/>
          </w:tcPr>
          <w:p w14:paraId="05B800A1" w14:textId="084C2F4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3,933</w:t>
            </w:r>
          </w:p>
        </w:tc>
        <w:tc>
          <w:tcPr>
            <w:tcW w:w="975" w:type="dxa"/>
            <w:noWrap/>
            <w:vAlign w:val="center"/>
          </w:tcPr>
          <w:p w14:paraId="7EFCE33F" w14:textId="7239C95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46A6E205" w14:textId="4E5D740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B39B6A8" w14:textId="5EE6913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0210088" w14:textId="1449664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D1E2F68" w14:textId="086B37D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A0D85FF" w14:textId="6DBDB74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48</w:t>
            </w:r>
          </w:p>
        </w:tc>
        <w:tc>
          <w:tcPr>
            <w:tcW w:w="975" w:type="dxa"/>
            <w:noWrap/>
            <w:vAlign w:val="center"/>
          </w:tcPr>
          <w:p w14:paraId="13DA399E" w14:textId="222C7FB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3,981</w:t>
            </w:r>
          </w:p>
        </w:tc>
      </w:tr>
      <w:tr w:rsidR="009D4BF1" w:rsidRPr="00B469AB" w14:paraId="53915B45"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7F419D5" w14:textId="587040FF" w:rsidR="00BA6926" w:rsidRPr="007E58A2" w:rsidRDefault="00BA6926" w:rsidP="00BA6926">
            <w:pPr>
              <w:pStyle w:val="Tabletext8pt"/>
              <w:rPr>
                <w:b w:val="0"/>
                <w:bCs w:val="0"/>
                <w:sz w:val="16"/>
                <w:szCs w:val="16"/>
              </w:rPr>
            </w:pPr>
            <w:r w:rsidRPr="007E58A2">
              <w:rPr>
                <w:b w:val="0"/>
                <w:bCs w:val="0"/>
                <w:sz w:val="16"/>
                <w:szCs w:val="16"/>
              </w:rPr>
              <w:t xml:space="preserve">Victorian Institute </w:t>
            </w:r>
            <w:r w:rsidR="0077715A" w:rsidRPr="007E58A2">
              <w:rPr>
                <w:b w:val="0"/>
                <w:bCs w:val="0"/>
                <w:sz w:val="16"/>
                <w:szCs w:val="16"/>
              </w:rPr>
              <w:t>o</w:t>
            </w:r>
            <w:r w:rsidRPr="007E58A2">
              <w:rPr>
                <w:b w:val="0"/>
                <w:bCs w:val="0"/>
                <w:sz w:val="16"/>
                <w:szCs w:val="16"/>
              </w:rPr>
              <w:t>f Forensic Mental Health</w:t>
            </w:r>
            <w:r w:rsidR="00216560">
              <w:rPr>
                <w:rStyle w:val="FootnoteReference"/>
                <w:b w:val="0"/>
                <w:bCs w:val="0"/>
                <w:sz w:val="16"/>
                <w:szCs w:val="16"/>
              </w:rPr>
              <w:footnoteReference w:id="19"/>
            </w:r>
          </w:p>
        </w:tc>
        <w:tc>
          <w:tcPr>
            <w:tcW w:w="974" w:type="dxa"/>
            <w:noWrap/>
            <w:vAlign w:val="center"/>
          </w:tcPr>
          <w:p w14:paraId="0A8FC71D" w14:textId="202BC15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22,116</w:t>
            </w:r>
          </w:p>
        </w:tc>
        <w:tc>
          <w:tcPr>
            <w:tcW w:w="975" w:type="dxa"/>
            <w:noWrap/>
            <w:vAlign w:val="center"/>
          </w:tcPr>
          <w:p w14:paraId="48D668FE" w14:textId="6ECFD6E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6486C0B9" w14:textId="614D555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209C5AFE" w14:textId="34FCCCE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95B7753" w14:textId="49A4A26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109,687</w:t>
            </w:r>
          </w:p>
        </w:tc>
        <w:tc>
          <w:tcPr>
            <w:tcW w:w="975" w:type="dxa"/>
            <w:noWrap/>
            <w:vAlign w:val="center"/>
          </w:tcPr>
          <w:p w14:paraId="34FD75B5" w14:textId="6F1A102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7A997053" w14:textId="1F0A743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B771C9B" w14:textId="4BF7696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131,803</w:t>
            </w:r>
          </w:p>
        </w:tc>
      </w:tr>
      <w:tr w:rsidR="00BA6926" w:rsidRPr="00B469AB" w14:paraId="5622551F" w14:textId="77777777" w:rsidTr="007E58A2">
        <w:trPr>
          <w:trHeight w:val="585"/>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0A6754BD" w14:textId="72CF2D59" w:rsidR="00BA6926" w:rsidRPr="007E58A2" w:rsidRDefault="00BA6926" w:rsidP="00BA6926">
            <w:pPr>
              <w:pStyle w:val="Tabletext8pt"/>
              <w:rPr>
                <w:b w:val="0"/>
                <w:bCs w:val="0"/>
                <w:sz w:val="16"/>
                <w:szCs w:val="16"/>
              </w:rPr>
            </w:pPr>
            <w:r w:rsidRPr="007E58A2">
              <w:rPr>
                <w:b w:val="0"/>
                <w:bCs w:val="0"/>
                <w:sz w:val="16"/>
                <w:szCs w:val="16"/>
              </w:rPr>
              <w:t>All other organisations (&lt;$1 m)</w:t>
            </w:r>
          </w:p>
        </w:tc>
        <w:tc>
          <w:tcPr>
            <w:tcW w:w="974" w:type="dxa"/>
            <w:noWrap/>
            <w:vAlign w:val="center"/>
          </w:tcPr>
          <w:p w14:paraId="392A9500" w14:textId="6D92F3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2,333</w:t>
            </w:r>
          </w:p>
        </w:tc>
        <w:tc>
          <w:tcPr>
            <w:tcW w:w="975" w:type="dxa"/>
            <w:noWrap/>
            <w:vAlign w:val="center"/>
          </w:tcPr>
          <w:p w14:paraId="31A2FFA3" w14:textId="39981F5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889</w:t>
            </w:r>
          </w:p>
        </w:tc>
        <w:tc>
          <w:tcPr>
            <w:tcW w:w="1134" w:type="dxa"/>
            <w:noWrap/>
            <w:vAlign w:val="center"/>
          </w:tcPr>
          <w:p w14:paraId="5535D380" w14:textId="3143443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CFFB3B0" w14:textId="1BF7B9C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689</w:t>
            </w:r>
          </w:p>
        </w:tc>
        <w:tc>
          <w:tcPr>
            <w:tcW w:w="974" w:type="dxa"/>
            <w:noWrap/>
            <w:vAlign w:val="center"/>
          </w:tcPr>
          <w:p w14:paraId="489D26C7" w14:textId="099DF6D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3,240</w:t>
            </w:r>
          </w:p>
        </w:tc>
        <w:tc>
          <w:tcPr>
            <w:tcW w:w="975" w:type="dxa"/>
            <w:noWrap/>
            <w:vAlign w:val="center"/>
          </w:tcPr>
          <w:p w14:paraId="4FE570D7" w14:textId="0C131B6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3,590</w:t>
            </w:r>
          </w:p>
        </w:tc>
        <w:tc>
          <w:tcPr>
            <w:tcW w:w="974" w:type="dxa"/>
            <w:noWrap/>
            <w:vAlign w:val="center"/>
          </w:tcPr>
          <w:p w14:paraId="3026CC10" w14:textId="540FFA7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240</w:t>
            </w:r>
          </w:p>
        </w:tc>
        <w:tc>
          <w:tcPr>
            <w:tcW w:w="975" w:type="dxa"/>
            <w:noWrap/>
            <w:vAlign w:val="center"/>
          </w:tcPr>
          <w:p w14:paraId="5B6F4120" w14:textId="0408873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10,982</w:t>
            </w:r>
          </w:p>
        </w:tc>
      </w:tr>
      <w:tr w:rsidR="009D4BF1" w:rsidRPr="007E5A22" w14:paraId="6127E944" w14:textId="77777777" w:rsidTr="00B277E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E2860B2" w14:textId="2B9791FD" w:rsidR="00BA6926" w:rsidRPr="007E58A2" w:rsidRDefault="00BA6926" w:rsidP="00BA6926">
            <w:pPr>
              <w:pStyle w:val="Tabletext8pt"/>
              <w:rPr>
                <w:b w:val="0"/>
                <w:bCs w:val="0"/>
                <w:sz w:val="16"/>
                <w:szCs w:val="16"/>
              </w:rPr>
            </w:pPr>
            <w:r w:rsidRPr="007E58A2">
              <w:rPr>
                <w:b w:val="0"/>
                <w:bCs w:val="0"/>
                <w:sz w:val="16"/>
                <w:szCs w:val="16"/>
              </w:rPr>
              <w:t>Total</w:t>
            </w:r>
          </w:p>
        </w:tc>
        <w:tc>
          <w:tcPr>
            <w:tcW w:w="974" w:type="dxa"/>
            <w:noWrap/>
            <w:vAlign w:val="center"/>
          </w:tcPr>
          <w:p w14:paraId="6E129614" w14:textId="7B51B61D" w:rsidR="00BA6926" w:rsidRPr="007E58A2" w:rsidRDefault="00394CE9"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4CE9">
              <w:rPr>
                <w:sz w:val="16"/>
                <w:szCs w:val="16"/>
              </w:rPr>
              <w:t>742,567</w:t>
            </w:r>
          </w:p>
        </w:tc>
        <w:tc>
          <w:tcPr>
            <w:tcW w:w="975" w:type="dxa"/>
            <w:noWrap/>
            <w:vAlign w:val="center"/>
          </w:tcPr>
          <w:p w14:paraId="5A148290" w14:textId="40C8190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8,924</w:t>
            </w:r>
          </w:p>
        </w:tc>
        <w:tc>
          <w:tcPr>
            <w:tcW w:w="1134" w:type="dxa"/>
            <w:noWrap/>
            <w:vAlign w:val="center"/>
          </w:tcPr>
          <w:p w14:paraId="5FE1AD8B" w14:textId="3785A29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FCBA887" w14:textId="51F8E8A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14,493</w:t>
            </w:r>
          </w:p>
        </w:tc>
        <w:tc>
          <w:tcPr>
            <w:tcW w:w="974" w:type="dxa"/>
            <w:noWrap/>
            <w:vAlign w:val="center"/>
          </w:tcPr>
          <w:p w14:paraId="730D269F" w14:textId="550218F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136,823</w:t>
            </w:r>
          </w:p>
        </w:tc>
        <w:tc>
          <w:tcPr>
            <w:tcW w:w="975" w:type="dxa"/>
            <w:noWrap/>
            <w:vAlign w:val="center"/>
          </w:tcPr>
          <w:p w14:paraId="5A8F8B09" w14:textId="4C85CFA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196,463</w:t>
            </w:r>
          </w:p>
        </w:tc>
        <w:tc>
          <w:tcPr>
            <w:tcW w:w="974" w:type="dxa"/>
            <w:noWrap/>
            <w:vAlign w:val="center"/>
          </w:tcPr>
          <w:p w14:paraId="4FD5BA0D" w14:textId="447CB59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995</w:t>
            </w:r>
          </w:p>
        </w:tc>
        <w:tc>
          <w:tcPr>
            <w:tcW w:w="975" w:type="dxa"/>
            <w:noWrap/>
            <w:vAlign w:val="center"/>
          </w:tcPr>
          <w:p w14:paraId="554F6022" w14:textId="3A0EBB36" w:rsidR="00BA6926" w:rsidRPr="007E5A22" w:rsidRDefault="007E5A22" w:rsidP="00BA6926">
            <w:pPr>
              <w:pStyle w:val="Tabletext8pt"/>
              <w:jc w:val="right"/>
              <w:cnfStyle w:val="000000100000" w:firstRow="0" w:lastRow="0" w:firstColumn="0" w:lastColumn="0" w:oddVBand="0" w:evenVBand="0" w:oddHBand="1" w:evenHBand="0" w:firstRowFirstColumn="0" w:firstRowLastColumn="0" w:lastRowFirstColumn="0" w:lastRowLastColumn="0"/>
              <w:rPr>
                <w:bCs/>
                <w:sz w:val="16"/>
                <w:szCs w:val="16"/>
              </w:rPr>
            </w:pPr>
            <w:r w:rsidRPr="007E5A22">
              <w:rPr>
                <w:bCs/>
                <w:sz w:val="16"/>
                <w:szCs w:val="16"/>
              </w:rPr>
              <w:t>1,100,264</w:t>
            </w:r>
          </w:p>
        </w:tc>
      </w:tr>
    </w:tbl>
    <w:p w14:paraId="212B1FC6" w14:textId="442D737B" w:rsidR="005B699B" w:rsidRDefault="005B699B" w:rsidP="005D7D2C">
      <w:pPr>
        <w:pStyle w:val="Heading2"/>
        <w:numPr>
          <w:ilvl w:val="1"/>
          <w:numId w:val="12"/>
        </w:numPr>
        <w:ind w:left="851" w:hanging="851"/>
      </w:pPr>
      <w:bookmarkStart w:id="2483" w:name="_Toc199184937"/>
      <w:bookmarkStart w:id="2484" w:name="_Toc12780664"/>
      <w:bookmarkStart w:id="2485" w:name="_Toc14172305"/>
      <w:bookmarkStart w:id="2486" w:name="_Toc33703979"/>
      <w:bookmarkStart w:id="2487" w:name="_Toc55381167"/>
      <w:bookmarkStart w:id="2488" w:name="_Toc100263373"/>
      <w:bookmarkStart w:id="2489" w:name="_Toc165961869"/>
      <w:bookmarkStart w:id="2490" w:name="_Toc201148297"/>
      <w:bookmarkStart w:id="2491" w:name="_Hlk170302197"/>
      <w:bookmarkEnd w:id="2481"/>
      <w:bookmarkEnd w:id="2483"/>
      <w:r>
        <w:t xml:space="preserve">Health </w:t>
      </w:r>
      <w:bookmarkEnd w:id="2484"/>
      <w:bookmarkEnd w:id="2485"/>
      <w:bookmarkEnd w:id="2486"/>
      <w:bookmarkEnd w:id="2487"/>
      <w:r>
        <w:t>o</w:t>
      </w:r>
      <w:r w:rsidRPr="00B6080E">
        <w:t xml:space="preserve">perations </w:t>
      </w:r>
      <w:bookmarkEnd w:id="2488"/>
      <w:r w:rsidRPr="00B6080E">
        <w:t>202</w:t>
      </w:r>
      <w:r w:rsidR="000C0EF6">
        <w:t>5</w:t>
      </w:r>
      <w:r w:rsidRPr="00B6080E">
        <w:t>–2</w:t>
      </w:r>
      <w:bookmarkEnd w:id="2489"/>
      <w:r w:rsidR="000C0EF6">
        <w:t>6</w:t>
      </w:r>
      <w:bookmarkEnd w:id="2490"/>
    </w:p>
    <w:p w14:paraId="394C3083" w14:textId="77777777" w:rsidR="00541C64" w:rsidRPr="00DC7E40" w:rsidRDefault="00541C64" w:rsidP="00473B41">
      <w:pPr>
        <w:pStyle w:val="Tablefigurenote9pt"/>
      </w:pPr>
      <w:r>
        <w:t>Notes</w:t>
      </w:r>
    </w:p>
    <w:p w14:paraId="3AEDDB18" w14:textId="77777777" w:rsidR="00541C64" w:rsidRPr="00A67ABC" w:rsidRDefault="00541C64" w:rsidP="00473B41">
      <w:pPr>
        <w:pStyle w:val="Tablebullet9pt"/>
        <w:rPr>
          <w:b/>
        </w:rPr>
      </w:pPr>
      <w:r w:rsidRPr="00A67ABC">
        <w:t>Subtotals and totals may not add up due to rounding.</w:t>
      </w:r>
    </w:p>
    <w:p w14:paraId="51FB08D3" w14:textId="77777777" w:rsidR="00541C64" w:rsidRDefault="00541C64" w:rsidP="00473B41">
      <w:pPr>
        <w:pStyle w:val="Tablebullet9pt"/>
      </w:pPr>
      <w:r w:rsidRPr="00A67ABC">
        <w:t>When published, Statement of Priorities Part C supersede these tables.</w:t>
      </w:r>
    </w:p>
    <w:p w14:paraId="0395B4AA" w14:textId="36301138" w:rsidR="00A06CA4" w:rsidRPr="00A67ABC" w:rsidRDefault="00A06CA4" w:rsidP="00A06CA4">
      <w:pPr>
        <w:pStyle w:val="Tablebullet9pt"/>
      </w:pPr>
      <w:r w:rsidRPr="00A06CA4">
        <w:t>Draft information pending finalisation of SOPs</w:t>
      </w:r>
      <w:r>
        <w:t>.</w:t>
      </w:r>
    </w:p>
    <w:p w14:paraId="5F3A687A" w14:textId="7DF302B0" w:rsidR="005B699B" w:rsidRDefault="00462DC7" w:rsidP="00297FC9">
      <w:pPr>
        <w:pStyle w:val="Tablecaption"/>
      </w:pPr>
      <w:bookmarkStart w:id="2492" w:name="_Toc12780568"/>
      <w:bookmarkStart w:id="2493" w:name="_Toc14194824"/>
      <w:bookmarkStart w:id="2494" w:name="_Toc33704005"/>
      <w:bookmarkStart w:id="2495" w:name="_Toc109894135"/>
      <w:bookmarkStart w:id="2496" w:name="_Toc201148595"/>
      <w:bookmarkStart w:id="2497" w:name="_Hlk170301497"/>
      <w:bookmarkEnd w:id="2491"/>
      <w:r w:rsidRPr="00B6080E">
        <w:t xml:space="preserve">Table </w:t>
      </w:r>
      <w:r w:rsidR="00D72666">
        <w:t>2</w:t>
      </w:r>
      <w:r w:rsidR="000E0ED2">
        <w:t>.</w:t>
      </w:r>
      <w:r>
        <w:fldChar w:fldCharType="begin"/>
      </w:r>
      <w:r>
        <w:instrText>SEQ Table \* ARABIC \s 1</w:instrText>
      </w:r>
      <w:r>
        <w:fldChar w:fldCharType="separate"/>
      </w:r>
      <w:r w:rsidR="007D262B">
        <w:rPr>
          <w:noProof/>
        </w:rPr>
        <w:t>9</w:t>
      </w:r>
      <w:r>
        <w:fldChar w:fldCharType="end"/>
      </w:r>
      <w:r w:rsidRPr="00B6080E">
        <w:t xml:space="preserve"> </w:t>
      </w:r>
      <w:r w:rsidR="005B699B" w:rsidRPr="00B6080E">
        <w:t xml:space="preserve">Health operations expenditure budgets </w:t>
      </w:r>
      <w:bookmarkEnd w:id="2492"/>
      <w:bookmarkEnd w:id="2493"/>
      <w:bookmarkEnd w:id="2494"/>
      <w:bookmarkEnd w:id="2495"/>
      <w:r w:rsidR="005B699B" w:rsidRPr="00B6080E">
        <w:t>202</w:t>
      </w:r>
      <w:r w:rsidR="000C0EF6">
        <w:t>5</w:t>
      </w:r>
      <w:r w:rsidR="005B699B" w:rsidRPr="00B6080E">
        <w:t>–2</w:t>
      </w:r>
      <w:r w:rsidR="000C0EF6">
        <w:t>6</w:t>
      </w:r>
      <w:r w:rsidR="005B699B">
        <w:t xml:space="preserve"> – $’000s</w:t>
      </w:r>
      <w:bookmarkEnd w:id="2496"/>
      <w:r w:rsidR="00037B46">
        <w:t xml:space="preserve"> </w:t>
      </w:r>
    </w:p>
    <w:tbl>
      <w:tblPr>
        <w:tblStyle w:val="GridTable4-Accent1"/>
        <w:tblW w:w="10141" w:type="dxa"/>
        <w:tblInd w:w="-289" w:type="dxa"/>
        <w:tblLayout w:type="fixed"/>
        <w:tblLook w:val="04A0" w:firstRow="1" w:lastRow="0" w:firstColumn="1" w:lastColumn="0" w:noHBand="0" w:noVBand="1"/>
      </w:tblPr>
      <w:tblGrid>
        <w:gridCol w:w="1871"/>
        <w:gridCol w:w="1027"/>
        <w:gridCol w:w="1028"/>
        <w:gridCol w:w="1027"/>
        <w:gridCol w:w="1028"/>
        <w:gridCol w:w="1028"/>
        <w:gridCol w:w="1027"/>
        <w:gridCol w:w="1028"/>
        <w:gridCol w:w="1077"/>
      </w:tblGrid>
      <w:tr w:rsidR="00DD0145" w:rsidRPr="00A47C7D" w14:paraId="5089C2A9" w14:textId="77777777" w:rsidTr="004168EB">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871" w:type="dxa"/>
            <w:noWrap/>
            <w:hideMark/>
          </w:tcPr>
          <w:p w14:paraId="268524A9" w14:textId="6C5D89DB" w:rsidR="005C5D1E" w:rsidRPr="006338BA" w:rsidRDefault="005C5D1E" w:rsidP="00473B41">
            <w:pPr>
              <w:pStyle w:val="Tablecolhead8pt"/>
              <w:rPr>
                <w:b/>
                <w:bCs w:val="0"/>
                <w:color w:val="FFFFFF" w:themeColor="background1"/>
                <w:sz w:val="16"/>
              </w:rPr>
            </w:pPr>
            <w:r w:rsidRPr="006338BA">
              <w:rPr>
                <w:b/>
                <w:bCs w:val="0"/>
                <w:color w:val="FFFFFF" w:themeColor="background1"/>
                <w:sz w:val="16"/>
              </w:rPr>
              <w:t>Provider type</w:t>
            </w:r>
          </w:p>
        </w:tc>
        <w:tc>
          <w:tcPr>
            <w:tcW w:w="1027" w:type="dxa"/>
            <w:hideMark/>
          </w:tcPr>
          <w:p w14:paraId="5CDC39F7" w14:textId="5B7E8DFE"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Acute health services</w:t>
            </w:r>
          </w:p>
        </w:tc>
        <w:tc>
          <w:tcPr>
            <w:tcW w:w="1028" w:type="dxa"/>
            <w:hideMark/>
          </w:tcPr>
          <w:p w14:paraId="07A89904" w14:textId="211A37CB"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Ageing, aged and home care</w:t>
            </w:r>
          </w:p>
        </w:tc>
        <w:tc>
          <w:tcPr>
            <w:tcW w:w="1027" w:type="dxa"/>
            <w:hideMark/>
          </w:tcPr>
          <w:p w14:paraId="6A02F196" w14:textId="05DB3D84"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Ambulance services</w:t>
            </w:r>
          </w:p>
        </w:tc>
        <w:tc>
          <w:tcPr>
            <w:tcW w:w="1028" w:type="dxa"/>
            <w:hideMark/>
          </w:tcPr>
          <w:p w14:paraId="0DFAFE1B" w14:textId="46D3B17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Drugs services</w:t>
            </w:r>
          </w:p>
        </w:tc>
        <w:tc>
          <w:tcPr>
            <w:tcW w:w="1028" w:type="dxa"/>
            <w:hideMark/>
          </w:tcPr>
          <w:p w14:paraId="70F319E3" w14:textId="424C0B21"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Mental health</w:t>
            </w:r>
          </w:p>
        </w:tc>
        <w:tc>
          <w:tcPr>
            <w:tcW w:w="1027" w:type="dxa"/>
            <w:hideMark/>
          </w:tcPr>
          <w:p w14:paraId="39350FA1" w14:textId="7A53D63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Primary and dental health</w:t>
            </w:r>
          </w:p>
        </w:tc>
        <w:tc>
          <w:tcPr>
            <w:tcW w:w="1028" w:type="dxa"/>
            <w:hideMark/>
          </w:tcPr>
          <w:p w14:paraId="43A55833" w14:textId="7D4DE50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Public health</w:t>
            </w:r>
          </w:p>
        </w:tc>
        <w:tc>
          <w:tcPr>
            <w:tcW w:w="1077" w:type="dxa"/>
            <w:hideMark/>
          </w:tcPr>
          <w:p w14:paraId="393565A8" w14:textId="305830DC"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Total</w:t>
            </w:r>
          </w:p>
        </w:tc>
      </w:tr>
      <w:tr w:rsidR="00DD0145" w:rsidRPr="00A47C7D" w14:paraId="40F27330"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4FFDA50F" w14:textId="4DB1DB45" w:rsidR="00F03F24" w:rsidRPr="006338BA" w:rsidRDefault="00F03F24" w:rsidP="00F03F24">
            <w:pPr>
              <w:pStyle w:val="Tabletext8pt"/>
              <w:rPr>
                <w:b w:val="0"/>
                <w:bCs w:val="0"/>
                <w:sz w:val="16"/>
                <w:szCs w:val="16"/>
              </w:rPr>
            </w:pPr>
            <w:r w:rsidRPr="006338BA">
              <w:rPr>
                <w:b w:val="0"/>
                <w:bCs w:val="0"/>
                <w:sz w:val="16"/>
                <w:szCs w:val="16"/>
              </w:rPr>
              <w:t>Health Service</w:t>
            </w:r>
          </w:p>
        </w:tc>
        <w:tc>
          <w:tcPr>
            <w:tcW w:w="1027" w:type="dxa"/>
            <w:noWrap/>
            <w:vAlign w:val="center"/>
          </w:tcPr>
          <w:p w14:paraId="50B21E38" w14:textId="0DDF229E"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18,080,762</w:t>
            </w:r>
          </w:p>
        </w:tc>
        <w:tc>
          <w:tcPr>
            <w:tcW w:w="1028" w:type="dxa"/>
            <w:noWrap/>
            <w:vAlign w:val="center"/>
          </w:tcPr>
          <w:p w14:paraId="5C3E2827" w14:textId="443FB421"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137,505</w:t>
            </w:r>
          </w:p>
        </w:tc>
        <w:tc>
          <w:tcPr>
            <w:tcW w:w="1027" w:type="dxa"/>
            <w:noWrap/>
            <w:vAlign w:val="center"/>
          </w:tcPr>
          <w:p w14:paraId="579749E4" w14:textId="5AEE40A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1,308</w:t>
            </w:r>
          </w:p>
        </w:tc>
        <w:tc>
          <w:tcPr>
            <w:tcW w:w="1028" w:type="dxa"/>
            <w:noWrap/>
            <w:vAlign w:val="center"/>
          </w:tcPr>
          <w:p w14:paraId="61FA94FB" w14:textId="01346C98"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88,753</w:t>
            </w:r>
          </w:p>
        </w:tc>
        <w:tc>
          <w:tcPr>
            <w:tcW w:w="1028" w:type="dxa"/>
            <w:noWrap/>
            <w:vAlign w:val="center"/>
          </w:tcPr>
          <w:p w14:paraId="65324343" w14:textId="5336AFBA"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2,271,966</w:t>
            </w:r>
          </w:p>
        </w:tc>
        <w:tc>
          <w:tcPr>
            <w:tcW w:w="1027" w:type="dxa"/>
            <w:noWrap/>
            <w:vAlign w:val="center"/>
          </w:tcPr>
          <w:p w14:paraId="544B58A0" w14:textId="7400485D"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83,056</w:t>
            </w:r>
          </w:p>
        </w:tc>
        <w:tc>
          <w:tcPr>
            <w:tcW w:w="1028" w:type="dxa"/>
            <w:noWrap/>
            <w:vAlign w:val="center"/>
          </w:tcPr>
          <w:p w14:paraId="6993D28E" w14:textId="49E4FC44"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76,351</w:t>
            </w:r>
          </w:p>
        </w:tc>
        <w:tc>
          <w:tcPr>
            <w:tcW w:w="1077" w:type="dxa"/>
            <w:noWrap/>
            <w:vAlign w:val="center"/>
          </w:tcPr>
          <w:p w14:paraId="67018905" w14:textId="03CD773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20,739,701</w:t>
            </w:r>
          </w:p>
        </w:tc>
      </w:tr>
      <w:tr w:rsidR="004168EB" w:rsidRPr="00A47C7D" w14:paraId="53E729A1" w14:textId="77777777" w:rsidTr="004168E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3039C145" w14:textId="3B35CC6B" w:rsidR="00F03F24" w:rsidRPr="006338BA" w:rsidRDefault="00F03F24" w:rsidP="00F03F24">
            <w:pPr>
              <w:pStyle w:val="Tabletext8pt"/>
              <w:rPr>
                <w:b w:val="0"/>
                <w:bCs w:val="0"/>
                <w:sz w:val="16"/>
                <w:szCs w:val="16"/>
              </w:rPr>
            </w:pPr>
            <w:r w:rsidRPr="006338BA">
              <w:rPr>
                <w:b w:val="0"/>
                <w:bCs w:val="0"/>
                <w:sz w:val="16"/>
                <w:szCs w:val="16"/>
              </w:rPr>
              <w:t>Small Rural Health Service</w:t>
            </w:r>
          </w:p>
        </w:tc>
        <w:tc>
          <w:tcPr>
            <w:tcW w:w="1027" w:type="dxa"/>
            <w:noWrap/>
            <w:vAlign w:val="center"/>
          </w:tcPr>
          <w:p w14:paraId="32B83CD3" w14:textId="70AE868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363,643</w:t>
            </w:r>
          </w:p>
        </w:tc>
        <w:tc>
          <w:tcPr>
            <w:tcW w:w="1028" w:type="dxa"/>
            <w:noWrap/>
            <w:vAlign w:val="center"/>
          </w:tcPr>
          <w:p w14:paraId="61022C70" w14:textId="726AFFD7"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44,340</w:t>
            </w:r>
          </w:p>
        </w:tc>
        <w:tc>
          <w:tcPr>
            <w:tcW w:w="1027" w:type="dxa"/>
            <w:noWrap/>
            <w:vAlign w:val="center"/>
          </w:tcPr>
          <w:p w14:paraId="2B6FB0F6" w14:textId="6B93211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76E492E6" w14:textId="5159580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9E470F9" w14:textId="0DE5DA6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300</w:t>
            </w:r>
          </w:p>
        </w:tc>
        <w:tc>
          <w:tcPr>
            <w:tcW w:w="1027" w:type="dxa"/>
            <w:noWrap/>
            <w:vAlign w:val="center"/>
          </w:tcPr>
          <w:p w14:paraId="0BCEDE32" w14:textId="45F8B8F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15,095</w:t>
            </w:r>
          </w:p>
        </w:tc>
        <w:tc>
          <w:tcPr>
            <w:tcW w:w="1028" w:type="dxa"/>
            <w:noWrap/>
            <w:vAlign w:val="center"/>
          </w:tcPr>
          <w:p w14:paraId="1A2EE08F" w14:textId="7157BFB5"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77" w:type="dxa"/>
            <w:noWrap/>
            <w:vAlign w:val="center"/>
          </w:tcPr>
          <w:p w14:paraId="136990DD" w14:textId="7C629972"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6338BA">
              <w:rPr>
                <w:sz w:val="16"/>
                <w:szCs w:val="16"/>
              </w:rPr>
              <w:t>423,378</w:t>
            </w:r>
          </w:p>
        </w:tc>
      </w:tr>
      <w:tr w:rsidR="00DD0145" w:rsidRPr="00A47C7D" w14:paraId="36F21E9C"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6634D9EE" w14:textId="19F0035C" w:rsidR="00F03F24" w:rsidRPr="006338BA" w:rsidRDefault="00F03F24" w:rsidP="00F03F24">
            <w:pPr>
              <w:pStyle w:val="Tabletext8pt"/>
              <w:rPr>
                <w:b w:val="0"/>
                <w:bCs w:val="0"/>
                <w:sz w:val="16"/>
                <w:szCs w:val="16"/>
              </w:rPr>
            </w:pPr>
            <w:r w:rsidRPr="006338BA">
              <w:rPr>
                <w:b w:val="0"/>
                <w:bCs w:val="0"/>
                <w:sz w:val="16"/>
                <w:szCs w:val="16"/>
              </w:rPr>
              <w:t>Community Health Centres</w:t>
            </w:r>
          </w:p>
        </w:tc>
        <w:tc>
          <w:tcPr>
            <w:tcW w:w="1027" w:type="dxa"/>
            <w:noWrap/>
            <w:vAlign w:val="center"/>
          </w:tcPr>
          <w:p w14:paraId="14997480" w14:textId="71DDFA15"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8,883</w:t>
            </w:r>
          </w:p>
        </w:tc>
        <w:tc>
          <w:tcPr>
            <w:tcW w:w="1028" w:type="dxa"/>
            <w:noWrap/>
            <w:vAlign w:val="center"/>
          </w:tcPr>
          <w:p w14:paraId="5E1721B3" w14:textId="6BCFE399"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32,001</w:t>
            </w:r>
          </w:p>
        </w:tc>
        <w:tc>
          <w:tcPr>
            <w:tcW w:w="1027" w:type="dxa"/>
            <w:noWrap/>
            <w:vAlign w:val="center"/>
          </w:tcPr>
          <w:p w14:paraId="3874A9A4" w14:textId="6F55E6D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028" w:type="dxa"/>
            <w:noWrap/>
            <w:vAlign w:val="center"/>
          </w:tcPr>
          <w:p w14:paraId="6E9CDBB5" w14:textId="215B5B0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75,616</w:t>
            </w:r>
          </w:p>
        </w:tc>
        <w:tc>
          <w:tcPr>
            <w:tcW w:w="1028" w:type="dxa"/>
            <w:noWrap/>
            <w:vAlign w:val="center"/>
          </w:tcPr>
          <w:p w14:paraId="12A59482" w14:textId="48C09594"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36,900</w:t>
            </w:r>
          </w:p>
        </w:tc>
        <w:tc>
          <w:tcPr>
            <w:tcW w:w="1027" w:type="dxa"/>
            <w:noWrap/>
            <w:vAlign w:val="center"/>
          </w:tcPr>
          <w:p w14:paraId="753F0C7A" w14:textId="1F372DC7"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139,263</w:t>
            </w:r>
          </w:p>
        </w:tc>
        <w:tc>
          <w:tcPr>
            <w:tcW w:w="1028" w:type="dxa"/>
            <w:noWrap/>
            <w:vAlign w:val="center"/>
          </w:tcPr>
          <w:p w14:paraId="0ECE8894" w14:textId="22E3EB0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2,353</w:t>
            </w:r>
          </w:p>
        </w:tc>
        <w:tc>
          <w:tcPr>
            <w:tcW w:w="1077" w:type="dxa"/>
            <w:noWrap/>
            <w:vAlign w:val="center"/>
          </w:tcPr>
          <w:p w14:paraId="245A4ABE" w14:textId="6DA593E9"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295,016</w:t>
            </w:r>
          </w:p>
        </w:tc>
      </w:tr>
      <w:tr w:rsidR="004168EB" w:rsidRPr="00A47C7D" w14:paraId="5DAB762A" w14:textId="77777777" w:rsidTr="004168E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18D1A5F" w14:textId="27BD95C6" w:rsidR="00F03F24" w:rsidRPr="006338BA" w:rsidRDefault="00F03F24" w:rsidP="00F03F24">
            <w:pPr>
              <w:pStyle w:val="Tabletext8pt"/>
              <w:rPr>
                <w:b w:val="0"/>
                <w:bCs w:val="0"/>
                <w:sz w:val="16"/>
                <w:szCs w:val="16"/>
              </w:rPr>
            </w:pPr>
            <w:r w:rsidRPr="006338BA">
              <w:rPr>
                <w:b w:val="0"/>
                <w:bCs w:val="0"/>
                <w:sz w:val="16"/>
                <w:szCs w:val="16"/>
              </w:rPr>
              <w:t>Local Government</w:t>
            </w:r>
          </w:p>
        </w:tc>
        <w:tc>
          <w:tcPr>
            <w:tcW w:w="1027" w:type="dxa"/>
            <w:noWrap/>
            <w:vAlign w:val="center"/>
          </w:tcPr>
          <w:p w14:paraId="1D395DDE" w14:textId="1D2095F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CD2DFB2" w14:textId="1CBD6808"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11,471</w:t>
            </w:r>
          </w:p>
        </w:tc>
        <w:tc>
          <w:tcPr>
            <w:tcW w:w="1027" w:type="dxa"/>
            <w:noWrap/>
            <w:vAlign w:val="center"/>
          </w:tcPr>
          <w:p w14:paraId="00DC910A" w14:textId="4713702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28B4CE81" w14:textId="0025D97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B62E23D" w14:textId="294CBC9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2,969</w:t>
            </w:r>
          </w:p>
        </w:tc>
        <w:tc>
          <w:tcPr>
            <w:tcW w:w="1027" w:type="dxa"/>
            <w:noWrap/>
            <w:vAlign w:val="center"/>
          </w:tcPr>
          <w:p w14:paraId="5B8E060D" w14:textId="7FECDEB3"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108,581</w:t>
            </w:r>
          </w:p>
        </w:tc>
        <w:tc>
          <w:tcPr>
            <w:tcW w:w="1028" w:type="dxa"/>
            <w:noWrap/>
            <w:vAlign w:val="center"/>
          </w:tcPr>
          <w:p w14:paraId="728B189B" w14:textId="3D28690C"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3,587</w:t>
            </w:r>
          </w:p>
        </w:tc>
        <w:tc>
          <w:tcPr>
            <w:tcW w:w="1077" w:type="dxa"/>
            <w:noWrap/>
            <w:vAlign w:val="center"/>
          </w:tcPr>
          <w:p w14:paraId="5D3BE420" w14:textId="04284843"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6338BA">
              <w:rPr>
                <w:sz w:val="16"/>
                <w:szCs w:val="16"/>
              </w:rPr>
              <w:t>126,609</w:t>
            </w:r>
          </w:p>
        </w:tc>
      </w:tr>
      <w:tr w:rsidR="00DD0145" w:rsidRPr="00A47C7D" w14:paraId="7F18C585"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5E12198" w14:textId="2F278CFF" w:rsidR="00F03F24" w:rsidRPr="006338BA" w:rsidRDefault="00F03F24" w:rsidP="00F03F24">
            <w:pPr>
              <w:pStyle w:val="Tabletext8pt"/>
              <w:rPr>
                <w:b w:val="0"/>
                <w:bCs w:val="0"/>
                <w:sz w:val="16"/>
                <w:szCs w:val="16"/>
              </w:rPr>
            </w:pPr>
            <w:r w:rsidRPr="006338BA">
              <w:rPr>
                <w:b w:val="0"/>
                <w:bCs w:val="0"/>
                <w:sz w:val="16"/>
                <w:szCs w:val="16"/>
              </w:rPr>
              <w:t>Non Government Providers</w:t>
            </w:r>
          </w:p>
        </w:tc>
        <w:tc>
          <w:tcPr>
            <w:tcW w:w="1027" w:type="dxa"/>
            <w:noWrap/>
            <w:vAlign w:val="center"/>
          </w:tcPr>
          <w:p w14:paraId="78D2931D" w14:textId="5252BA1D"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97,185</w:t>
            </w:r>
          </w:p>
        </w:tc>
        <w:tc>
          <w:tcPr>
            <w:tcW w:w="1028" w:type="dxa"/>
            <w:noWrap/>
            <w:vAlign w:val="center"/>
          </w:tcPr>
          <w:p w14:paraId="4162CA01" w14:textId="4ABAD2A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111,616</w:t>
            </w:r>
          </w:p>
        </w:tc>
        <w:tc>
          <w:tcPr>
            <w:tcW w:w="1027" w:type="dxa"/>
            <w:noWrap/>
            <w:vAlign w:val="center"/>
          </w:tcPr>
          <w:p w14:paraId="05EC559E" w14:textId="7C316FD8"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6,615</w:t>
            </w:r>
          </w:p>
        </w:tc>
        <w:tc>
          <w:tcPr>
            <w:tcW w:w="1028" w:type="dxa"/>
            <w:noWrap/>
            <w:vAlign w:val="center"/>
          </w:tcPr>
          <w:p w14:paraId="569D4C4A" w14:textId="0F9C9D5E"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159,152</w:t>
            </w:r>
          </w:p>
        </w:tc>
        <w:tc>
          <w:tcPr>
            <w:tcW w:w="1028" w:type="dxa"/>
            <w:noWrap/>
            <w:vAlign w:val="center"/>
          </w:tcPr>
          <w:p w14:paraId="6B848E11" w14:textId="064DE835"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188,516</w:t>
            </w:r>
          </w:p>
        </w:tc>
        <w:tc>
          <w:tcPr>
            <w:tcW w:w="1027" w:type="dxa"/>
            <w:noWrap/>
            <w:vAlign w:val="center"/>
          </w:tcPr>
          <w:p w14:paraId="574B248D" w14:textId="75D1F08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38,440</w:t>
            </w:r>
          </w:p>
        </w:tc>
        <w:tc>
          <w:tcPr>
            <w:tcW w:w="1028" w:type="dxa"/>
            <w:noWrap/>
            <w:vAlign w:val="center"/>
          </w:tcPr>
          <w:p w14:paraId="78C61128" w14:textId="12062D0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172,442</w:t>
            </w:r>
          </w:p>
        </w:tc>
        <w:tc>
          <w:tcPr>
            <w:tcW w:w="1077" w:type="dxa"/>
            <w:noWrap/>
            <w:vAlign w:val="center"/>
          </w:tcPr>
          <w:p w14:paraId="618D26DD" w14:textId="1868D42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773,966</w:t>
            </w:r>
          </w:p>
        </w:tc>
      </w:tr>
      <w:tr w:rsidR="00F324B4" w:rsidRPr="00A47C7D" w14:paraId="470B9E6F" w14:textId="77777777" w:rsidTr="00F324B4">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745E8C54" w14:textId="1B58D1BB" w:rsidR="00F324B4" w:rsidRPr="006338BA" w:rsidRDefault="00F324B4" w:rsidP="00F324B4">
            <w:pPr>
              <w:pStyle w:val="Tabletext8pt"/>
              <w:rPr>
                <w:b w:val="0"/>
                <w:bCs w:val="0"/>
                <w:sz w:val="16"/>
                <w:szCs w:val="16"/>
              </w:rPr>
            </w:pPr>
            <w:r w:rsidRPr="006338BA">
              <w:rPr>
                <w:b w:val="0"/>
                <w:bCs w:val="0"/>
                <w:sz w:val="16"/>
                <w:szCs w:val="16"/>
              </w:rPr>
              <w:t>Other</w:t>
            </w:r>
          </w:p>
        </w:tc>
        <w:tc>
          <w:tcPr>
            <w:tcW w:w="1027" w:type="dxa"/>
            <w:noWrap/>
          </w:tcPr>
          <w:p w14:paraId="6A3A6D05" w14:textId="4F90A389"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742,567</w:t>
            </w:r>
          </w:p>
        </w:tc>
        <w:tc>
          <w:tcPr>
            <w:tcW w:w="1028" w:type="dxa"/>
            <w:noWrap/>
          </w:tcPr>
          <w:p w14:paraId="5E75586B" w14:textId="57B8C724"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8,924</w:t>
            </w:r>
          </w:p>
        </w:tc>
        <w:tc>
          <w:tcPr>
            <w:tcW w:w="1027" w:type="dxa"/>
            <w:noWrap/>
          </w:tcPr>
          <w:p w14:paraId="56CDE786" w14:textId="1D3BA39A"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tcPr>
          <w:p w14:paraId="3437D3AD" w14:textId="33C97650"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14,493</w:t>
            </w:r>
          </w:p>
        </w:tc>
        <w:tc>
          <w:tcPr>
            <w:tcW w:w="1028" w:type="dxa"/>
            <w:noWrap/>
          </w:tcPr>
          <w:p w14:paraId="5CC05F13" w14:textId="05EA47EB"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136,823</w:t>
            </w:r>
          </w:p>
        </w:tc>
        <w:tc>
          <w:tcPr>
            <w:tcW w:w="1027" w:type="dxa"/>
            <w:noWrap/>
          </w:tcPr>
          <w:p w14:paraId="5B0C43D4" w14:textId="07D5BFBE"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196,463</w:t>
            </w:r>
          </w:p>
        </w:tc>
        <w:tc>
          <w:tcPr>
            <w:tcW w:w="1028" w:type="dxa"/>
            <w:noWrap/>
          </w:tcPr>
          <w:p w14:paraId="0092F363" w14:textId="2E29866F"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995</w:t>
            </w:r>
          </w:p>
        </w:tc>
        <w:tc>
          <w:tcPr>
            <w:tcW w:w="1077" w:type="dxa"/>
            <w:noWrap/>
          </w:tcPr>
          <w:p w14:paraId="208FC880" w14:textId="0A1722D3"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440D4E">
              <w:t>1,100,264</w:t>
            </w:r>
          </w:p>
        </w:tc>
      </w:tr>
      <w:tr w:rsidR="00E71064" w:rsidRPr="00CA63DE" w14:paraId="37A3804C"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23C9D5B1" w14:textId="3972A42A" w:rsidR="00E71064" w:rsidRPr="006338BA" w:rsidRDefault="00E71064" w:rsidP="00E71064">
            <w:pPr>
              <w:pStyle w:val="Tabletext8pt"/>
              <w:rPr>
                <w:b w:val="0"/>
                <w:bCs w:val="0"/>
                <w:sz w:val="16"/>
                <w:szCs w:val="16"/>
              </w:rPr>
            </w:pPr>
            <w:r w:rsidRPr="006338BA">
              <w:rPr>
                <w:b w:val="0"/>
                <w:bCs w:val="0"/>
                <w:sz w:val="16"/>
                <w:szCs w:val="16"/>
              </w:rPr>
              <w:t>Grand Total</w:t>
            </w:r>
          </w:p>
        </w:tc>
        <w:tc>
          <w:tcPr>
            <w:tcW w:w="1027" w:type="dxa"/>
            <w:noWrap/>
          </w:tcPr>
          <w:p w14:paraId="11179C81" w14:textId="2A107FEA"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19,293,040</w:t>
            </w:r>
          </w:p>
        </w:tc>
        <w:tc>
          <w:tcPr>
            <w:tcW w:w="1028" w:type="dxa"/>
            <w:noWrap/>
          </w:tcPr>
          <w:p w14:paraId="51DBB2FD" w14:textId="5607FA37"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345,856</w:t>
            </w:r>
          </w:p>
        </w:tc>
        <w:tc>
          <w:tcPr>
            <w:tcW w:w="1027" w:type="dxa"/>
            <w:noWrap/>
          </w:tcPr>
          <w:p w14:paraId="746E819A" w14:textId="0B16F164"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7,923</w:t>
            </w:r>
          </w:p>
        </w:tc>
        <w:tc>
          <w:tcPr>
            <w:tcW w:w="1028" w:type="dxa"/>
            <w:noWrap/>
          </w:tcPr>
          <w:p w14:paraId="4E6EEE26" w14:textId="0A3741E7"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338,014</w:t>
            </w:r>
          </w:p>
        </w:tc>
        <w:tc>
          <w:tcPr>
            <w:tcW w:w="1028" w:type="dxa"/>
            <w:noWrap/>
          </w:tcPr>
          <w:p w14:paraId="10B315BA" w14:textId="04E7F3B8"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2,637,474</w:t>
            </w:r>
          </w:p>
        </w:tc>
        <w:tc>
          <w:tcPr>
            <w:tcW w:w="1027" w:type="dxa"/>
            <w:noWrap/>
          </w:tcPr>
          <w:p w14:paraId="415545F4" w14:textId="517D812E"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580,899</w:t>
            </w:r>
          </w:p>
        </w:tc>
        <w:tc>
          <w:tcPr>
            <w:tcW w:w="1028" w:type="dxa"/>
            <w:noWrap/>
          </w:tcPr>
          <w:p w14:paraId="7F69831E" w14:textId="56D1A969"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255,728</w:t>
            </w:r>
          </w:p>
        </w:tc>
        <w:tc>
          <w:tcPr>
            <w:tcW w:w="1077" w:type="dxa"/>
            <w:noWrap/>
          </w:tcPr>
          <w:p w14:paraId="0DD8222B" w14:textId="445D09F8" w:rsidR="00E71064" w:rsidRPr="00CA63DE"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Cs/>
                <w:sz w:val="16"/>
                <w:szCs w:val="16"/>
              </w:rPr>
            </w:pPr>
            <w:r w:rsidRPr="006832B2">
              <w:t>23,458,934</w:t>
            </w:r>
          </w:p>
        </w:tc>
      </w:tr>
      <w:bookmarkEnd w:id="2497"/>
    </w:tbl>
    <w:p w14:paraId="1BBEFD6D" w14:textId="77777777" w:rsidR="005B699B" w:rsidRPr="00E00C4E" w:rsidRDefault="005B699B" w:rsidP="00E00C4E">
      <w:pPr>
        <w:pStyle w:val="Body"/>
      </w:pPr>
    </w:p>
    <w:p w14:paraId="090D057C" w14:textId="77777777" w:rsidR="005B699B" w:rsidRPr="006E208C" w:rsidRDefault="005B699B" w:rsidP="005B699B">
      <w:pPr>
        <w:sectPr w:rsidR="005B699B" w:rsidRPr="006E208C" w:rsidSect="00C469BB">
          <w:headerReference w:type="default" r:id="rId83"/>
          <w:footerReference w:type="even" r:id="rId84"/>
          <w:footerReference w:type="default" r:id="rId85"/>
          <w:footerReference w:type="first" r:id="rId86"/>
          <w:pgSz w:w="11906" w:h="16838" w:code="9"/>
          <w:pgMar w:top="1418" w:right="1133" w:bottom="1134" w:left="1304" w:header="680" w:footer="567" w:gutter="0"/>
          <w:cols w:space="340"/>
          <w:docGrid w:linePitch="360"/>
        </w:sectPr>
      </w:pPr>
      <w:bookmarkStart w:id="2498" w:name="_Toc12780665"/>
      <w:bookmarkStart w:id="2499" w:name="_Toc14172306"/>
      <w:bookmarkStart w:id="2500" w:name="_Toc33703980"/>
      <w:bookmarkStart w:id="2501" w:name="_Toc55381168"/>
    </w:p>
    <w:p w14:paraId="53981314" w14:textId="7111C494" w:rsidR="005B699B" w:rsidRPr="00445B44" w:rsidRDefault="005B699B" w:rsidP="00B718DB">
      <w:pPr>
        <w:pStyle w:val="Heading1"/>
        <w:numPr>
          <w:ilvl w:val="0"/>
          <w:numId w:val="12"/>
        </w:numPr>
        <w:ind w:left="851" w:hanging="851"/>
      </w:pPr>
      <w:bookmarkStart w:id="2502" w:name="_Toc100263374"/>
      <w:bookmarkStart w:id="2503" w:name="_Toc165961870"/>
      <w:bookmarkStart w:id="2504" w:name="_Toc201148298"/>
      <w:bookmarkEnd w:id="2498"/>
      <w:bookmarkEnd w:id="2499"/>
      <w:bookmarkEnd w:id="2500"/>
      <w:bookmarkEnd w:id="2501"/>
      <w:r w:rsidRPr="00445B44">
        <w:t>Ac</w:t>
      </w:r>
      <w:r w:rsidRPr="004903A7">
        <w:t xml:space="preserve">tivity </w:t>
      </w:r>
      <w:r>
        <w:t>t</w:t>
      </w:r>
      <w:r w:rsidRPr="004903A7">
        <w:t xml:space="preserve">arget </w:t>
      </w:r>
      <w:bookmarkEnd w:id="2502"/>
      <w:r w:rsidRPr="00295CB9">
        <w:t>tables</w:t>
      </w:r>
      <w:bookmarkEnd w:id="2503"/>
      <w:bookmarkEnd w:id="2504"/>
      <w:r w:rsidR="00F63A67">
        <w:t xml:space="preserve"> </w:t>
      </w:r>
    </w:p>
    <w:p w14:paraId="0C20C67A" w14:textId="39D1964E" w:rsidR="005B699B" w:rsidRPr="00043CAC" w:rsidRDefault="005B699B" w:rsidP="005D7D2C">
      <w:pPr>
        <w:pStyle w:val="Heading2"/>
        <w:numPr>
          <w:ilvl w:val="1"/>
          <w:numId w:val="12"/>
        </w:numPr>
        <w:ind w:left="851" w:hanging="851"/>
      </w:pPr>
      <w:bookmarkStart w:id="2505" w:name="_Victorian_Acute_Admitted"/>
      <w:bookmarkStart w:id="2506" w:name="_Toc12780666"/>
      <w:bookmarkStart w:id="2507" w:name="_Toc14172307"/>
      <w:bookmarkStart w:id="2508" w:name="_Toc33703981"/>
      <w:bookmarkStart w:id="2509" w:name="_Toc55381169"/>
      <w:bookmarkStart w:id="2510" w:name="_Toc100263375"/>
      <w:bookmarkStart w:id="2511" w:name="_Toc165961871"/>
      <w:bookmarkStart w:id="2512" w:name="_Toc201148299"/>
      <w:bookmarkEnd w:id="2505"/>
      <w:r w:rsidRPr="00FD0484">
        <w:t xml:space="preserve">Victorian </w:t>
      </w:r>
      <w:r>
        <w:t xml:space="preserve">activity </w:t>
      </w:r>
      <w:r w:rsidRPr="00295CB9">
        <w:t>targets</w:t>
      </w:r>
      <w:r>
        <w:t xml:space="preserve"> </w:t>
      </w:r>
      <w:r w:rsidRPr="00424E68">
        <w:t>(</w:t>
      </w:r>
      <w:r>
        <w:t>NWAU</w:t>
      </w:r>
      <w:r w:rsidRPr="00424E68">
        <w:t>)</w:t>
      </w:r>
      <w:r>
        <w:t xml:space="preserve"> </w:t>
      </w:r>
      <w:bookmarkEnd w:id="2506"/>
      <w:bookmarkEnd w:id="2507"/>
      <w:bookmarkEnd w:id="2508"/>
      <w:bookmarkEnd w:id="2509"/>
      <w:bookmarkEnd w:id="2510"/>
      <w:r w:rsidRPr="00043CAC">
        <w:t>202</w:t>
      </w:r>
      <w:r w:rsidR="000C0EF6">
        <w:t>5</w:t>
      </w:r>
      <w:r w:rsidRPr="00043CAC">
        <w:t>–2</w:t>
      </w:r>
      <w:bookmarkEnd w:id="2511"/>
      <w:r w:rsidR="000C0EF6">
        <w:t>6</w:t>
      </w:r>
      <w:bookmarkEnd w:id="2512"/>
    </w:p>
    <w:p w14:paraId="6C2159F5" w14:textId="77777777" w:rsidR="00541C64" w:rsidRPr="00541C64" w:rsidRDefault="00541C64" w:rsidP="00A31C1F">
      <w:pPr>
        <w:pStyle w:val="Tablefigurenote9pt"/>
      </w:pPr>
      <w:r w:rsidRPr="00DC7E40">
        <w:t>Notes</w:t>
      </w:r>
    </w:p>
    <w:p w14:paraId="3693634E" w14:textId="54BCC822" w:rsidR="001102D6" w:rsidRPr="00473B41" w:rsidRDefault="00541C64" w:rsidP="00473B41">
      <w:pPr>
        <w:pStyle w:val="Tablebullet9pt"/>
      </w:pPr>
      <w:r w:rsidRPr="00DC7E40">
        <w:t>Note that</w:t>
      </w:r>
      <w:r w:rsidR="00C919E3" w:rsidRPr="00DC7E40">
        <w:t xml:space="preserve"> </w:t>
      </w:r>
      <w:r w:rsidR="00613FCC">
        <w:t xml:space="preserve">acute admitted mental health NWAU </w:t>
      </w:r>
      <w:r w:rsidR="00C919E3" w:rsidRPr="00DC7E40">
        <w:t>has</w:t>
      </w:r>
      <w:r w:rsidR="00C22DA3" w:rsidRPr="00DC7E40">
        <w:t xml:space="preserve"> been </w:t>
      </w:r>
      <w:r w:rsidR="00613FCC">
        <w:t xml:space="preserve">included </w:t>
      </w:r>
      <w:r w:rsidR="00470F47">
        <w:t xml:space="preserve">in the </w:t>
      </w:r>
      <w:r w:rsidRPr="00DC7E40">
        <w:t xml:space="preserve">consolidated </w:t>
      </w:r>
      <w:r w:rsidR="00C22DA3" w:rsidRPr="00DC7E40">
        <w:t>NWAU</w:t>
      </w:r>
      <w:r w:rsidR="00DC7E40" w:rsidRPr="00DC7E40">
        <w:t>.</w:t>
      </w:r>
    </w:p>
    <w:p w14:paraId="1780F6EC" w14:textId="2AA4D7AB" w:rsidR="008532C0" w:rsidRDefault="00031575" w:rsidP="00473B41">
      <w:pPr>
        <w:pStyle w:val="Tablebullet9pt"/>
      </w:pPr>
      <w:r w:rsidRPr="00DC7E40">
        <w:t>Excludes N</w:t>
      </w:r>
      <w:r w:rsidR="007D775F" w:rsidRPr="00DC7E40">
        <w:t xml:space="preserve">ew </w:t>
      </w:r>
      <w:r w:rsidRPr="00DC7E40">
        <w:t>S</w:t>
      </w:r>
      <w:r w:rsidR="007D775F" w:rsidRPr="00DC7E40">
        <w:t xml:space="preserve">outh </w:t>
      </w:r>
      <w:r w:rsidRPr="00DC7E40">
        <w:t>W</w:t>
      </w:r>
      <w:r w:rsidR="007D775F" w:rsidRPr="00DC7E40">
        <w:t>ales</w:t>
      </w:r>
      <w:r w:rsidRPr="00DC7E40">
        <w:t xml:space="preserve"> contribution</w:t>
      </w:r>
      <w:r w:rsidR="00DC7E40" w:rsidRPr="00DC7E40">
        <w:t>.</w:t>
      </w:r>
    </w:p>
    <w:p w14:paraId="2D05C40C" w14:textId="188364B2" w:rsidR="00A06CA4" w:rsidRPr="00473B41" w:rsidRDefault="00A06CA4" w:rsidP="00A06CA4">
      <w:pPr>
        <w:pStyle w:val="Tablebullet9pt"/>
      </w:pPr>
      <w:r w:rsidRPr="00A06CA4">
        <w:t>Draft information pending finalisation of SOPs</w:t>
      </w:r>
      <w:r>
        <w:t>.</w:t>
      </w:r>
    </w:p>
    <w:p w14:paraId="1C0FF00E" w14:textId="43D3849B" w:rsidR="005B699B" w:rsidRDefault="00462DC7" w:rsidP="00297FC9">
      <w:pPr>
        <w:pStyle w:val="Tablecaption"/>
      </w:pPr>
      <w:bookmarkStart w:id="2513" w:name="_Toc12780569"/>
      <w:bookmarkStart w:id="2514" w:name="_Toc14194825"/>
      <w:bookmarkStart w:id="2515" w:name="_Toc33704006"/>
      <w:bookmarkStart w:id="2516" w:name="_Toc109894136"/>
      <w:bookmarkStart w:id="2517" w:name="_Ref144903552"/>
      <w:bookmarkStart w:id="2518" w:name="_Toc201148596"/>
      <w:r w:rsidRPr="00620874">
        <w:t xml:space="preserve">Table </w:t>
      </w:r>
      <w:r w:rsidR="00D72666">
        <w:t>2</w:t>
      </w:r>
      <w:r w:rsidR="000E0ED2">
        <w:t>.</w:t>
      </w:r>
      <w:r w:rsidR="00D72666">
        <w:fldChar w:fldCharType="begin"/>
      </w:r>
      <w:r w:rsidR="00D72666">
        <w:instrText xml:space="preserve"> SEQ Table \* ARABIC \r 10</w:instrText>
      </w:r>
      <w:r w:rsidR="00D72666">
        <w:fldChar w:fldCharType="separate"/>
      </w:r>
      <w:r w:rsidR="007D262B">
        <w:rPr>
          <w:noProof/>
        </w:rPr>
        <w:t>10</w:t>
      </w:r>
      <w:r w:rsidR="00D72666">
        <w:fldChar w:fldCharType="end"/>
      </w:r>
      <w:r w:rsidRPr="00620874">
        <w:t xml:space="preserve">: </w:t>
      </w:r>
      <w:r w:rsidR="005B699B" w:rsidRPr="00FD0484">
        <w:t xml:space="preserve">Victorian </w:t>
      </w:r>
      <w:r w:rsidR="005B699B" w:rsidRPr="00620874">
        <w:t xml:space="preserve">activity targets (NWAU) </w:t>
      </w:r>
      <w:bookmarkEnd w:id="2513"/>
      <w:bookmarkEnd w:id="2514"/>
      <w:bookmarkEnd w:id="2515"/>
      <w:bookmarkEnd w:id="2516"/>
      <w:r w:rsidR="005B699B" w:rsidRPr="00620874">
        <w:t>202</w:t>
      </w:r>
      <w:r w:rsidR="000C0EF6">
        <w:t>5</w:t>
      </w:r>
      <w:r w:rsidR="005B699B" w:rsidRPr="00620874">
        <w:t>–2</w:t>
      </w:r>
      <w:bookmarkEnd w:id="2517"/>
      <w:r w:rsidR="000C0EF6">
        <w:t>6</w:t>
      </w:r>
      <w:bookmarkEnd w:id="2518"/>
    </w:p>
    <w:tbl>
      <w:tblPr>
        <w:tblStyle w:val="GridTable4-Accent1"/>
        <w:tblW w:w="9688" w:type="dxa"/>
        <w:tblLayout w:type="fixed"/>
        <w:tblLook w:val="04A0" w:firstRow="1" w:lastRow="0" w:firstColumn="1" w:lastColumn="0" w:noHBand="0" w:noVBand="1"/>
      </w:tblPr>
      <w:tblGrid>
        <w:gridCol w:w="2269"/>
        <w:gridCol w:w="1236"/>
        <w:gridCol w:w="1237"/>
        <w:gridCol w:w="1236"/>
        <w:gridCol w:w="1237"/>
        <w:gridCol w:w="1236"/>
        <w:gridCol w:w="1237"/>
      </w:tblGrid>
      <w:tr w:rsidR="009D4BF1" w:rsidRPr="0034306F" w14:paraId="680BA706" w14:textId="77777777" w:rsidTr="00A31C1F">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9" w:type="dxa"/>
            <w:noWrap/>
            <w:hideMark/>
          </w:tcPr>
          <w:p w14:paraId="2FBBBC92" w14:textId="571E9F21" w:rsidR="002820C5" w:rsidRPr="00257223" w:rsidRDefault="002820C5" w:rsidP="002820C5">
            <w:pPr>
              <w:pStyle w:val="Tablecolhead8pt"/>
              <w:rPr>
                <w:b/>
                <w:bCs w:val="0"/>
                <w:color w:val="FFFFFF" w:themeColor="background1"/>
                <w:sz w:val="16"/>
              </w:rPr>
            </w:pPr>
            <w:bookmarkStart w:id="2519" w:name="_Ref167713843"/>
            <w:r w:rsidRPr="00257223">
              <w:rPr>
                <w:b/>
                <w:bCs w:val="0"/>
                <w:color w:val="FFFFFF" w:themeColor="background1"/>
                <w:sz w:val="16"/>
              </w:rPr>
              <w:t>Health service</w:t>
            </w:r>
          </w:p>
        </w:tc>
        <w:tc>
          <w:tcPr>
            <w:tcW w:w="1236" w:type="dxa"/>
            <w:hideMark/>
          </w:tcPr>
          <w:p w14:paraId="503DF8B7" w14:textId="4CCB9E90"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Consolidated NWAU</w:t>
            </w:r>
          </w:p>
        </w:tc>
        <w:tc>
          <w:tcPr>
            <w:tcW w:w="1237" w:type="dxa"/>
          </w:tcPr>
          <w:p w14:paraId="747B6FDA" w14:textId="5A7B852B"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Admitted DVA NWAU</w:t>
            </w:r>
          </w:p>
        </w:tc>
        <w:tc>
          <w:tcPr>
            <w:tcW w:w="1236" w:type="dxa"/>
            <w:hideMark/>
          </w:tcPr>
          <w:p w14:paraId="3E7EE333" w14:textId="56DCE21A"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Admitted TAC NWAU</w:t>
            </w:r>
          </w:p>
        </w:tc>
        <w:tc>
          <w:tcPr>
            <w:tcW w:w="1237" w:type="dxa"/>
            <w:hideMark/>
          </w:tcPr>
          <w:p w14:paraId="24DEEFAC" w14:textId="0D78B9A9"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Subacute admitted DVA NWAU</w:t>
            </w:r>
          </w:p>
        </w:tc>
        <w:tc>
          <w:tcPr>
            <w:tcW w:w="1236" w:type="dxa"/>
            <w:hideMark/>
          </w:tcPr>
          <w:p w14:paraId="179D72A7" w14:textId="2DC61243"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Pr>
                <w:b/>
                <w:bCs w:val="0"/>
                <w:color w:val="FFFFFF" w:themeColor="background1"/>
                <w:sz w:val="16"/>
              </w:rPr>
              <w:t>Community Mental Health NWAU</w:t>
            </w:r>
          </w:p>
        </w:tc>
        <w:tc>
          <w:tcPr>
            <w:tcW w:w="1237" w:type="dxa"/>
            <w:hideMark/>
          </w:tcPr>
          <w:p w14:paraId="0E4429FE" w14:textId="77777777"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NWAU</w:t>
            </w:r>
          </w:p>
        </w:tc>
      </w:tr>
      <w:tr w:rsidR="009D4BF1" w:rsidRPr="0034306F" w14:paraId="7E81ED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2C95A78" w14:textId="09821FE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Albury Wodonga Health</w:t>
            </w:r>
          </w:p>
        </w:tc>
        <w:tc>
          <w:tcPr>
            <w:tcW w:w="1236" w:type="dxa"/>
            <w:noWrap/>
          </w:tcPr>
          <w:p w14:paraId="71A087BB" w14:textId="1704707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37,658 </w:t>
            </w:r>
          </w:p>
        </w:tc>
        <w:tc>
          <w:tcPr>
            <w:tcW w:w="1237" w:type="dxa"/>
          </w:tcPr>
          <w:p w14:paraId="3683FE7B" w14:textId="205B903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45 </w:t>
            </w:r>
          </w:p>
        </w:tc>
        <w:tc>
          <w:tcPr>
            <w:tcW w:w="1236" w:type="dxa"/>
            <w:noWrap/>
          </w:tcPr>
          <w:p w14:paraId="00C67DBE" w14:textId="73B8B25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 </w:t>
            </w:r>
          </w:p>
        </w:tc>
        <w:tc>
          <w:tcPr>
            <w:tcW w:w="1237" w:type="dxa"/>
            <w:noWrap/>
          </w:tcPr>
          <w:p w14:paraId="59D29952" w14:textId="0F9FD44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76 </w:t>
            </w:r>
          </w:p>
        </w:tc>
        <w:tc>
          <w:tcPr>
            <w:tcW w:w="1236" w:type="dxa"/>
            <w:noWrap/>
          </w:tcPr>
          <w:p w14:paraId="7F50BA93" w14:textId="019FAC0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4,010 </w:t>
            </w:r>
          </w:p>
        </w:tc>
        <w:tc>
          <w:tcPr>
            <w:tcW w:w="1237" w:type="dxa"/>
            <w:noWrap/>
          </w:tcPr>
          <w:p w14:paraId="57129243" w14:textId="6597EC5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41,791 </w:t>
            </w:r>
          </w:p>
        </w:tc>
      </w:tr>
      <w:tr w:rsidR="00824F1A" w:rsidRPr="0034306F" w14:paraId="6C88FC91"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89ED28" w14:textId="0F0D9D8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Alfred Health</w:t>
            </w:r>
          </w:p>
        </w:tc>
        <w:tc>
          <w:tcPr>
            <w:tcW w:w="1236" w:type="dxa"/>
            <w:noWrap/>
          </w:tcPr>
          <w:p w14:paraId="1B5C09A6" w14:textId="10520D3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203,809 </w:t>
            </w:r>
          </w:p>
        </w:tc>
        <w:tc>
          <w:tcPr>
            <w:tcW w:w="1237" w:type="dxa"/>
          </w:tcPr>
          <w:p w14:paraId="34EAF148" w14:textId="36D0B1F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135 </w:t>
            </w:r>
          </w:p>
        </w:tc>
        <w:tc>
          <w:tcPr>
            <w:tcW w:w="1236" w:type="dxa"/>
            <w:noWrap/>
          </w:tcPr>
          <w:p w14:paraId="3437380A" w14:textId="7F49490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8,241 </w:t>
            </w:r>
          </w:p>
        </w:tc>
        <w:tc>
          <w:tcPr>
            <w:tcW w:w="1237" w:type="dxa"/>
            <w:noWrap/>
          </w:tcPr>
          <w:p w14:paraId="456DAC27" w14:textId="3983264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129 </w:t>
            </w:r>
          </w:p>
        </w:tc>
        <w:tc>
          <w:tcPr>
            <w:tcW w:w="1236" w:type="dxa"/>
            <w:noWrap/>
          </w:tcPr>
          <w:p w14:paraId="1B7229D0" w14:textId="7761179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11,886 </w:t>
            </w:r>
          </w:p>
        </w:tc>
        <w:tc>
          <w:tcPr>
            <w:tcW w:w="1237" w:type="dxa"/>
            <w:noWrap/>
          </w:tcPr>
          <w:p w14:paraId="05BADBA5" w14:textId="62D2B77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224,200 </w:t>
            </w:r>
          </w:p>
        </w:tc>
      </w:tr>
      <w:tr w:rsidR="009D4BF1" w:rsidRPr="0034306F" w14:paraId="395A46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E4E2648" w14:textId="4189893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Austin Health</w:t>
            </w:r>
          </w:p>
        </w:tc>
        <w:tc>
          <w:tcPr>
            <w:tcW w:w="1236" w:type="dxa"/>
            <w:noWrap/>
          </w:tcPr>
          <w:p w14:paraId="771F8FAA" w14:textId="48D6737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151,386 </w:t>
            </w:r>
          </w:p>
        </w:tc>
        <w:tc>
          <w:tcPr>
            <w:tcW w:w="1237" w:type="dxa"/>
          </w:tcPr>
          <w:p w14:paraId="10D76219" w14:textId="66180DB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220 </w:t>
            </w:r>
          </w:p>
        </w:tc>
        <w:tc>
          <w:tcPr>
            <w:tcW w:w="1236" w:type="dxa"/>
            <w:noWrap/>
          </w:tcPr>
          <w:p w14:paraId="31DB1DF1" w14:textId="43D2365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700 </w:t>
            </w:r>
          </w:p>
        </w:tc>
        <w:tc>
          <w:tcPr>
            <w:tcW w:w="1237" w:type="dxa"/>
            <w:noWrap/>
          </w:tcPr>
          <w:p w14:paraId="3E187D9E" w14:textId="727C594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204 </w:t>
            </w:r>
          </w:p>
        </w:tc>
        <w:tc>
          <w:tcPr>
            <w:tcW w:w="1236" w:type="dxa"/>
            <w:noWrap/>
          </w:tcPr>
          <w:p w14:paraId="4C97F2C9" w14:textId="277B2F8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7,664 </w:t>
            </w:r>
          </w:p>
        </w:tc>
        <w:tc>
          <w:tcPr>
            <w:tcW w:w="1237" w:type="dxa"/>
            <w:noWrap/>
          </w:tcPr>
          <w:p w14:paraId="7C49E16E" w14:textId="3BDA087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160,174 </w:t>
            </w:r>
          </w:p>
        </w:tc>
      </w:tr>
      <w:tr w:rsidR="00824F1A" w:rsidRPr="0034306F" w14:paraId="3F1839FD"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73E3BC2" w14:textId="3CF3841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Bairnsdale Regional Health Service</w:t>
            </w:r>
          </w:p>
        </w:tc>
        <w:tc>
          <w:tcPr>
            <w:tcW w:w="1236" w:type="dxa"/>
            <w:noWrap/>
          </w:tcPr>
          <w:p w14:paraId="098775EB" w14:textId="36834A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16,372 </w:t>
            </w:r>
          </w:p>
        </w:tc>
        <w:tc>
          <w:tcPr>
            <w:tcW w:w="1237" w:type="dxa"/>
          </w:tcPr>
          <w:p w14:paraId="2CC37630" w14:textId="65DC02B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52 </w:t>
            </w:r>
          </w:p>
        </w:tc>
        <w:tc>
          <w:tcPr>
            <w:tcW w:w="1236" w:type="dxa"/>
            <w:noWrap/>
          </w:tcPr>
          <w:p w14:paraId="6199E3A8" w14:textId="4461C93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 </w:t>
            </w:r>
          </w:p>
        </w:tc>
        <w:tc>
          <w:tcPr>
            <w:tcW w:w="1237" w:type="dxa"/>
            <w:noWrap/>
          </w:tcPr>
          <w:p w14:paraId="67BF842A" w14:textId="7670A0B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41 </w:t>
            </w:r>
          </w:p>
        </w:tc>
        <w:tc>
          <w:tcPr>
            <w:tcW w:w="1236" w:type="dxa"/>
            <w:noWrap/>
          </w:tcPr>
          <w:p w14:paraId="393E1AD2" w14:textId="3878D06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1E97C2C8" w14:textId="59D34C2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16,468 </w:t>
            </w:r>
          </w:p>
        </w:tc>
      </w:tr>
      <w:tr w:rsidR="009D4BF1" w:rsidRPr="0034306F" w14:paraId="1B043E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F7575C1" w14:textId="18B235DA"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Barwon Health</w:t>
            </w:r>
          </w:p>
        </w:tc>
        <w:tc>
          <w:tcPr>
            <w:tcW w:w="1236" w:type="dxa"/>
            <w:noWrap/>
          </w:tcPr>
          <w:p w14:paraId="78333497" w14:textId="1A1C3CF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132,287 </w:t>
            </w:r>
          </w:p>
        </w:tc>
        <w:tc>
          <w:tcPr>
            <w:tcW w:w="1237" w:type="dxa"/>
          </w:tcPr>
          <w:p w14:paraId="5F758FFF" w14:textId="485BCBA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144 </w:t>
            </w:r>
          </w:p>
        </w:tc>
        <w:tc>
          <w:tcPr>
            <w:tcW w:w="1236" w:type="dxa"/>
            <w:noWrap/>
          </w:tcPr>
          <w:p w14:paraId="3C220F51" w14:textId="04A0FCD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429 </w:t>
            </w:r>
          </w:p>
        </w:tc>
        <w:tc>
          <w:tcPr>
            <w:tcW w:w="1237" w:type="dxa"/>
            <w:noWrap/>
          </w:tcPr>
          <w:p w14:paraId="01B25C90" w14:textId="2F11AEC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84 </w:t>
            </w:r>
          </w:p>
        </w:tc>
        <w:tc>
          <w:tcPr>
            <w:tcW w:w="1236" w:type="dxa"/>
            <w:noWrap/>
          </w:tcPr>
          <w:p w14:paraId="3295B464" w14:textId="546A27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9,673 </w:t>
            </w:r>
          </w:p>
        </w:tc>
        <w:tc>
          <w:tcPr>
            <w:tcW w:w="1237" w:type="dxa"/>
            <w:noWrap/>
          </w:tcPr>
          <w:p w14:paraId="34361D06" w14:textId="078245C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142,616 </w:t>
            </w:r>
          </w:p>
        </w:tc>
      </w:tr>
      <w:tr w:rsidR="00824F1A" w:rsidRPr="0034306F" w14:paraId="4CA522A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CE28878" w14:textId="2C03D28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Bass Coast Health</w:t>
            </w:r>
          </w:p>
        </w:tc>
        <w:tc>
          <w:tcPr>
            <w:tcW w:w="1236" w:type="dxa"/>
            <w:noWrap/>
          </w:tcPr>
          <w:p w14:paraId="699A13FF" w14:textId="2BBC139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19,058 </w:t>
            </w:r>
          </w:p>
        </w:tc>
        <w:tc>
          <w:tcPr>
            <w:tcW w:w="1237" w:type="dxa"/>
          </w:tcPr>
          <w:p w14:paraId="56FE0483" w14:textId="6948BDC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 </w:t>
            </w:r>
          </w:p>
        </w:tc>
        <w:tc>
          <w:tcPr>
            <w:tcW w:w="1236" w:type="dxa"/>
            <w:noWrap/>
          </w:tcPr>
          <w:p w14:paraId="69FFFE7D" w14:textId="11FCD9F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1CD2E6A4" w14:textId="35A2074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45 </w:t>
            </w:r>
          </w:p>
        </w:tc>
        <w:tc>
          <w:tcPr>
            <w:tcW w:w="1236" w:type="dxa"/>
            <w:noWrap/>
          </w:tcPr>
          <w:p w14:paraId="61E6E443" w14:textId="631C97F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71CFD180" w14:textId="23FD3D4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19,132 </w:t>
            </w:r>
          </w:p>
        </w:tc>
      </w:tr>
      <w:tr w:rsidR="009D4BF1" w:rsidRPr="0034306F" w14:paraId="496111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62FEE08" w14:textId="57BA53A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Benalla Health</w:t>
            </w:r>
          </w:p>
        </w:tc>
        <w:tc>
          <w:tcPr>
            <w:tcW w:w="1236" w:type="dxa"/>
            <w:noWrap/>
          </w:tcPr>
          <w:p w14:paraId="27CBA909" w14:textId="45249F8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3,594 </w:t>
            </w:r>
          </w:p>
        </w:tc>
        <w:tc>
          <w:tcPr>
            <w:tcW w:w="1237" w:type="dxa"/>
          </w:tcPr>
          <w:p w14:paraId="4B20891F" w14:textId="290852D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29 </w:t>
            </w:r>
          </w:p>
        </w:tc>
        <w:tc>
          <w:tcPr>
            <w:tcW w:w="1236" w:type="dxa"/>
            <w:noWrap/>
          </w:tcPr>
          <w:p w14:paraId="3A3955B6" w14:textId="2C4328C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4499ECBA" w14:textId="0847498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601B6B98" w14:textId="23C27EC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6FB7FC3" w14:textId="31DB9AE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3,637 </w:t>
            </w:r>
          </w:p>
        </w:tc>
      </w:tr>
      <w:tr w:rsidR="00824F1A" w:rsidRPr="0034306F" w14:paraId="1857B9A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BEE8417" w14:textId="6AA325D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Bendigo Health</w:t>
            </w:r>
          </w:p>
        </w:tc>
        <w:tc>
          <w:tcPr>
            <w:tcW w:w="1236" w:type="dxa"/>
            <w:noWrap/>
          </w:tcPr>
          <w:p w14:paraId="784E3314" w14:textId="50D25C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78,578 </w:t>
            </w:r>
          </w:p>
        </w:tc>
        <w:tc>
          <w:tcPr>
            <w:tcW w:w="1237" w:type="dxa"/>
          </w:tcPr>
          <w:p w14:paraId="6B0A8677" w14:textId="31419F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141 </w:t>
            </w:r>
          </w:p>
        </w:tc>
        <w:tc>
          <w:tcPr>
            <w:tcW w:w="1236" w:type="dxa"/>
            <w:noWrap/>
          </w:tcPr>
          <w:p w14:paraId="0DD57B58" w14:textId="3D8CAB0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297 </w:t>
            </w:r>
          </w:p>
        </w:tc>
        <w:tc>
          <w:tcPr>
            <w:tcW w:w="1237" w:type="dxa"/>
            <w:noWrap/>
          </w:tcPr>
          <w:p w14:paraId="51E9990A" w14:textId="5888F98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155 </w:t>
            </w:r>
          </w:p>
        </w:tc>
        <w:tc>
          <w:tcPr>
            <w:tcW w:w="1236" w:type="dxa"/>
            <w:noWrap/>
          </w:tcPr>
          <w:p w14:paraId="09A0E5B5" w14:textId="19D9009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8,508 </w:t>
            </w:r>
          </w:p>
        </w:tc>
        <w:tc>
          <w:tcPr>
            <w:tcW w:w="1237" w:type="dxa"/>
            <w:noWrap/>
          </w:tcPr>
          <w:p w14:paraId="7C9918C2" w14:textId="34F961B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87,679 </w:t>
            </w:r>
          </w:p>
        </w:tc>
      </w:tr>
      <w:tr w:rsidR="009D4BF1" w:rsidRPr="0034306F" w14:paraId="3D7817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87AC43D" w14:textId="52F90AE1"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Calvary Health Care Bethlehem Limited</w:t>
            </w:r>
          </w:p>
        </w:tc>
        <w:tc>
          <w:tcPr>
            <w:tcW w:w="1236" w:type="dxa"/>
            <w:noWrap/>
          </w:tcPr>
          <w:p w14:paraId="18C74050" w14:textId="5E25E19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3,165 </w:t>
            </w:r>
          </w:p>
        </w:tc>
        <w:tc>
          <w:tcPr>
            <w:tcW w:w="1237" w:type="dxa"/>
          </w:tcPr>
          <w:p w14:paraId="2EFB031F" w14:textId="6D5C6A1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6EB38FBB" w14:textId="203CFFF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799DE01B" w14:textId="42F7BD1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38AB70A8" w14:textId="7A5C536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40DB8D2" w14:textId="6E4D898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3,165 </w:t>
            </w:r>
          </w:p>
        </w:tc>
      </w:tr>
      <w:tr w:rsidR="00824F1A" w:rsidRPr="0034306F" w14:paraId="3B8CCBE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323861F" w14:textId="4D41FFBA"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Central Gippsland Health Service</w:t>
            </w:r>
          </w:p>
        </w:tc>
        <w:tc>
          <w:tcPr>
            <w:tcW w:w="1236" w:type="dxa"/>
            <w:noWrap/>
          </w:tcPr>
          <w:p w14:paraId="44DD2B3A" w14:textId="2FA2923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13,688 </w:t>
            </w:r>
          </w:p>
        </w:tc>
        <w:tc>
          <w:tcPr>
            <w:tcW w:w="1237" w:type="dxa"/>
          </w:tcPr>
          <w:p w14:paraId="73D03359" w14:textId="0ACFC6B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34 </w:t>
            </w:r>
          </w:p>
        </w:tc>
        <w:tc>
          <w:tcPr>
            <w:tcW w:w="1236" w:type="dxa"/>
            <w:noWrap/>
          </w:tcPr>
          <w:p w14:paraId="154ED106" w14:textId="6006E43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0BB5980B" w14:textId="036E29B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 </w:t>
            </w:r>
          </w:p>
        </w:tc>
        <w:tc>
          <w:tcPr>
            <w:tcW w:w="1236" w:type="dxa"/>
            <w:noWrap/>
          </w:tcPr>
          <w:p w14:paraId="50968EB3" w14:textId="2B9054A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3AED456A" w14:textId="3442FE2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13,734 </w:t>
            </w:r>
          </w:p>
        </w:tc>
      </w:tr>
      <w:tr w:rsidR="009D4BF1" w:rsidRPr="0034306F" w14:paraId="0AE6F33E" w14:textId="77777777" w:rsidTr="00824F1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3780377" w14:textId="189B69C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Colac Area Health</w:t>
            </w:r>
          </w:p>
        </w:tc>
        <w:tc>
          <w:tcPr>
            <w:tcW w:w="1236" w:type="dxa"/>
            <w:noWrap/>
          </w:tcPr>
          <w:p w14:paraId="4E29A0D4" w14:textId="091C687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7,107 </w:t>
            </w:r>
          </w:p>
        </w:tc>
        <w:tc>
          <w:tcPr>
            <w:tcW w:w="1237" w:type="dxa"/>
          </w:tcPr>
          <w:p w14:paraId="2E0BD27D" w14:textId="21DFAE3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 </w:t>
            </w:r>
          </w:p>
        </w:tc>
        <w:tc>
          <w:tcPr>
            <w:tcW w:w="1236" w:type="dxa"/>
            <w:noWrap/>
          </w:tcPr>
          <w:p w14:paraId="1696C75A" w14:textId="6C1DDF5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316A752E" w14:textId="02682C0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6" w:type="dxa"/>
            <w:noWrap/>
          </w:tcPr>
          <w:p w14:paraId="5C1E2300" w14:textId="623F424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0B31A72C" w14:textId="4E37AF5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7,109 </w:t>
            </w:r>
          </w:p>
        </w:tc>
      </w:tr>
      <w:tr w:rsidR="00824F1A" w:rsidRPr="0034306F" w14:paraId="78F12537"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0E4419" w14:textId="518C2BC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Corryong Health</w:t>
            </w:r>
          </w:p>
        </w:tc>
        <w:tc>
          <w:tcPr>
            <w:tcW w:w="1236" w:type="dxa"/>
            <w:noWrap/>
          </w:tcPr>
          <w:p w14:paraId="1357643A" w14:textId="4D5C6FE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tcPr>
          <w:p w14:paraId="1AACC330" w14:textId="3A4ACD8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0C8D22A" w14:textId="5AE7985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63338B45" w14:textId="11025DE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4B72B334" w14:textId="4B22CC3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0A51A344" w14:textId="01CD54C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r>
      <w:tr w:rsidR="009D4BF1" w:rsidRPr="0034306F" w14:paraId="1D17C88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214446A" w14:textId="4CB8F09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Dhelkaya Health</w:t>
            </w:r>
          </w:p>
        </w:tc>
        <w:tc>
          <w:tcPr>
            <w:tcW w:w="1236" w:type="dxa"/>
            <w:noWrap/>
          </w:tcPr>
          <w:p w14:paraId="5E914A22" w14:textId="3D3AD93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6,089 </w:t>
            </w:r>
          </w:p>
        </w:tc>
        <w:tc>
          <w:tcPr>
            <w:tcW w:w="1237" w:type="dxa"/>
          </w:tcPr>
          <w:p w14:paraId="06D5D9F7" w14:textId="15AD162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55179A84" w14:textId="633B991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058FA63A" w14:textId="59324E3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 </w:t>
            </w:r>
          </w:p>
        </w:tc>
        <w:tc>
          <w:tcPr>
            <w:tcW w:w="1236" w:type="dxa"/>
            <w:noWrap/>
          </w:tcPr>
          <w:p w14:paraId="72E8C49A"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66CB375D" w14:textId="79EF0C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6,136 </w:t>
            </w:r>
          </w:p>
        </w:tc>
      </w:tr>
      <w:tr w:rsidR="00824F1A" w:rsidRPr="0034306F" w14:paraId="0510C7C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62C6B24" w14:textId="4A0DEF7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East Grampians Health Service</w:t>
            </w:r>
          </w:p>
        </w:tc>
        <w:tc>
          <w:tcPr>
            <w:tcW w:w="1236" w:type="dxa"/>
            <w:noWrap/>
          </w:tcPr>
          <w:p w14:paraId="111713E1" w14:textId="62C78A9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5,304 </w:t>
            </w:r>
          </w:p>
        </w:tc>
        <w:tc>
          <w:tcPr>
            <w:tcW w:w="1237" w:type="dxa"/>
          </w:tcPr>
          <w:p w14:paraId="3D626360" w14:textId="1C1BBE9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 </w:t>
            </w:r>
          </w:p>
        </w:tc>
        <w:tc>
          <w:tcPr>
            <w:tcW w:w="1236" w:type="dxa"/>
            <w:noWrap/>
          </w:tcPr>
          <w:p w14:paraId="028B1C0A" w14:textId="1D8C873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2DBF6E05" w14:textId="487DE7A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23EC8D1D"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4EE4D1A" w14:textId="2386FAB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5,313 </w:t>
            </w:r>
          </w:p>
        </w:tc>
      </w:tr>
      <w:tr w:rsidR="009D4BF1" w:rsidRPr="0034306F" w14:paraId="35486D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67E0AE" w14:textId="610A02B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Eastern Health</w:t>
            </w:r>
          </w:p>
        </w:tc>
        <w:tc>
          <w:tcPr>
            <w:tcW w:w="1236" w:type="dxa"/>
            <w:noWrap/>
          </w:tcPr>
          <w:p w14:paraId="1923415D" w14:textId="0C4CC22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186,283 </w:t>
            </w:r>
          </w:p>
        </w:tc>
        <w:tc>
          <w:tcPr>
            <w:tcW w:w="1237" w:type="dxa"/>
          </w:tcPr>
          <w:p w14:paraId="788F5191" w14:textId="77C1282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145 </w:t>
            </w:r>
          </w:p>
        </w:tc>
        <w:tc>
          <w:tcPr>
            <w:tcW w:w="1236" w:type="dxa"/>
            <w:noWrap/>
          </w:tcPr>
          <w:p w14:paraId="2D391E24" w14:textId="482F80F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178 </w:t>
            </w:r>
          </w:p>
        </w:tc>
        <w:tc>
          <w:tcPr>
            <w:tcW w:w="1237" w:type="dxa"/>
            <w:noWrap/>
          </w:tcPr>
          <w:p w14:paraId="0346054D" w14:textId="61747C1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231 </w:t>
            </w:r>
          </w:p>
        </w:tc>
        <w:tc>
          <w:tcPr>
            <w:tcW w:w="1236" w:type="dxa"/>
            <w:noWrap/>
          </w:tcPr>
          <w:p w14:paraId="3046139F" w14:textId="4CC98D2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18,199 </w:t>
            </w:r>
          </w:p>
        </w:tc>
        <w:tc>
          <w:tcPr>
            <w:tcW w:w="1237" w:type="dxa"/>
            <w:noWrap/>
          </w:tcPr>
          <w:p w14:paraId="0B6B7A88" w14:textId="6B398C6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205,034 </w:t>
            </w:r>
          </w:p>
        </w:tc>
      </w:tr>
      <w:tr w:rsidR="00824F1A" w:rsidRPr="0034306F" w14:paraId="323CD523"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62DB40D" w14:textId="63EC86B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Echuca Regional Health</w:t>
            </w:r>
          </w:p>
        </w:tc>
        <w:tc>
          <w:tcPr>
            <w:tcW w:w="1236" w:type="dxa"/>
            <w:noWrap/>
          </w:tcPr>
          <w:p w14:paraId="32614757" w14:textId="19CC26D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17,411 </w:t>
            </w:r>
          </w:p>
        </w:tc>
        <w:tc>
          <w:tcPr>
            <w:tcW w:w="1237" w:type="dxa"/>
          </w:tcPr>
          <w:p w14:paraId="58FAAEAB" w14:textId="47FA83E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 </w:t>
            </w:r>
          </w:p>
        </w:tc>
        <w:tc>
          <w:tcPr>
            <w:tcW w:w="1236" w:type="dxa"/>
            <w:noWrap/>
          </w:tcPr>
          <w:p w14:paraId="240BBCB3" w14:textId="70A437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7152EC0D" w14:textId="66EE1A2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20 </w:t>
            </w:r>
          </w:p>
        </w:tc>
        <w:tc>
          <w:tcPr>
            <w:tcW w:w="1236" w:type="dxa"/>
            <w:noWrap/>
          </w:tcPr>
          <w:p w14:paraId="1536A470" w14:textId="7FC984F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C4F1DF3" w14:textId="576DF26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17,457 </w:t>
            </w:r>
          </w:p>
        </w:tc>
      </w:tr>
      <w:tr w:rsidR="009D4BF1" w:rsidRPr="0034306F" w14:paraId="09BA7A9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2C95BE1" w14:textId="705239B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Gippsland Southern Health Service</w:t>
            </w:r>
          </w:p>
        </w:tc>
        <w:tc>
          <w:tcPr>
            <w:tcW w:w="1236" w:type="dxa"/>
            <w:noWrap/>
          </w:tcPr>
          <w:p w14:paraId="61D6C178" w14:textId="2FF9480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4,007 </w:t>
            </w:r>
          </w:p>
        </w:tc>
        <w:tc>
          <w:tcPr>
            <w:tcW w:w="1237" w:type="dxa"/>
          </w:tcPr>
          <w:p w14:paraId="06C906AB" w14:textId="094C78D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13 </w:t>
            </w:r>
          </w:p>
        </w:tc>
        <w:tc>
          <w:tcPr>
            <w:tcW w:w="1236" w:type="dxa"/>
            <w:noWrap/>
          </w:tcPr>
          <w:p w14:paraId="69117B13" w14:textId="6E8E93F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EAB8781" w14:textId="5F0F940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 </w:t>
            </w:r>
          </w:p>
        </w:tc>
        <w:tc>
          <w:tcPr>
            <w:tcW w:w="1236" w:type="dxa"/>
            <w:noWrap/>
          </w:tcPr>
          <w:p w14:paraId="757A4683" w14:textId="0F228BD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6EF009F2" w14:textId="73AFBEC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4,042 </w:t>
            </w:r>
          </w:p>
        </w:tc>
      </w:tr>
      <w:tr w:rsidR="00824F1A" w:rsidRPr="0034306F" w14:paraId="06A806B0"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FD6EBC" w14:textId="4F001A0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Goulburn Valley Health</w:t>
            </w:r>
          </w:p>
        </w:tc>
        <w:tc>
          <w:tcPr>
            <w:tcW w:w="1236" w:type="dxa"/>
            <w:noWrap/>
          </w:tcPr>
          <w:p w14:paraId="028DFC84" w14:textId="3837463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43,835 </w:t>
            </w:r>
          </w:p>
        </w:tc>
        <w:tc>
          <w:tcPr>
            <w:tcW w:w="1237" w:type="dxa"/>
          </w:tcPr>
          <w:p w14:paraId="1C1CFBBE" w14:textId="3B8C948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67 </w:t>
            </w:r>
          </w:p>
        </w:tc>
        <w:tc>
          <w:tcPr>
            <w:tcW w:w="1236" w:type="dxa"/>
            <w:noWrap/>
          </w:tcPr>
          <w:p w14:paraId="1EF26CD0" w14:textId="1B2BBB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125 </w:t>
            </w:r>
          </w:p>
        </w:tc>
        <w:tc>
          <w:tcPr>
            <w:tcW w:w="1237" w:type="dxa"/>
            <w:noWrap/>
          </w:tcPr>
          <w:p w14:paraId="5545284D" w14:textId="77C0C0D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92 </w:t>
            </w:r>
          </w:p>
        </w:tc>
        <w:tc>
          <w:tcPr>
            <w:tcW w:w="1236" w:type="dxa"/>
            <w:noWrap/>
          </w:tcPr>
          <w:p w14:paraId="5927E96A" w14:textId="38B21BC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4,596 </w:t>
            </w:r>
          </w:p>
        </w:tc>
        <w:tc>
          <w:tcPr>
            <w:tcW w:w="1237" w:type="dxa"/>
            <w:noWrap/>
          </w:tcPr>
          <w:p w14:paraId="6B32605F" w14:textId="23E11CF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48,716 </w:t>
            </w:r>
          </w:p>
        </w:tc>
      </w:tr>
      <w:tr w:rsidR="009D4BF1" w:rsidRPr="0034306F" w14:paraId="60D715E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E86330" w14:textId="3634D67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Grampians Health</w:t>
            </w:r>
          </w:p>
        </w:tc>
        <w:tc>
          <w:tcPr>
            <w:tcW w:w="1236" w:type="dxa"/>
            <w:noWrap/>
          </w:tcPr>
          <w:p w14:paraId="5B32142F" w14:textId="0E2181A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82,404 </w:t>
            </w:r>
          </w:p>
        </w:tc>
        <w:tc>
          <w:tcPr>
            <w:tcW w:w="1237" w:type="dxa"/>
          </w:tcPr>
          <w:p w14:paraId="2B3D308F" w14:textId="3678C86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97 </w:t>
            </w:r>
          </w:p>
        </w:tc>
        <w:tc>
          <w:tcPr>
            <w:tcW w:w="1236" w:type="dxa"/>
            <w:noWrap/>
          </w:tcPr>
          <w:p w14:paraId="657C9D7D" w14:textId="52ACE93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284 </w:t>
            </w:r>
          </w:p>
        </w:tc>
        <w:tc>
          <w:tcPr>
            <w:tcW w:w="1237" w:type="dxa"/>
            <w:noWrap/>
          </w:tcPr>
          <w:p w14:paraId="78B29F72" w14:textId="4E7CB07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84 </w:t>
            </w:r>
          </w:p>
        </w:tc>
        <w:tc>
          <w:tcPr>
            <w:tcW w:w="1236" w:type="dxa"/>
            <w:noWrap/>
          </w:tcPr>
          <w:p w14:paraId="779BCCD9" w14:textId="208B716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6,389 </w:t>
            </w:r>
          </w:p>
        </w:tc>
        <w:tc>
          <w:tcPr>
            <w:tcW w:w="1237" w:type="dxa"/>
            <w:noWrap/>
          </w:tcPr>
          <w:p w14:paraId="2F0EAB87" w14:textId="2089FC3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89,257 </w:t>
            </w:r>
          </w:p>
        </w:tc>
      </w:tr>
      <w:tr w:rsidR="00824F1A" w:rsidRPr="0034306F" w14:paraId="646AE475"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C96C2F0" w14:textId="7899643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Kyabram District Health Service</w:t>
            </w:r>
          </w:p>
        </w:tc>
        <w:tc>
          <w:tcPr>
            <w:tcW w:w="1236" w:type="dxa"/>
            <w:noWrap/>
          </w:tcPr>
          <w:p w14:paraId="4EC1476E" w14:textId="689CCF1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3,236 </w:t>
            </w:r>
          </w:p>
        </w:tc>
        <w:tc>
          <w:tcPr>
            <w:tcW w:w="1237" w:type="dxa"/>
          </w:tcPr>
          <w:p w14:paraId="67DE236C" w14:textId="62C1D01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 </w:t>
            </w:r>
          </w:p>
        </w:tc>
        <w:tc>
          <w:tcPr>
            <w:tcW w:w="1236" w:type="dxa"/>
            <w:noWrap/>
          </w:tcPr>
          <w:p w14:paraId="5001C59E" w14:textId="1CB4E00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F072100" w14:textId="70DD4B8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F89FEB3" w14:textId="691291D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BFD030C" w14:textId="54060F0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3,242 </w:t>
            </w:r>
          </w:p>
        </w:tc>
      </w:tr>
      <w:tr w:rsidR="009D4BF1" w:rsidRPr="0034306F" w14:paraId="522E12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7FA7D61" w14:textId="31F30FF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Maryborough District Health Service</w:t>
            </w:r>
          </w:p>
        </w:tc>
        <w:tc>
          <w:tcPr>
            <w:tcW w:w="1236" w:type="dxa"/>
            <w:noWrap/>
          </w:tcPr>
          <w:p w14:paraId="2FA89408" w14:textId="077C229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4,854 </w:t>
            </w:r>
          </w:p>
        </w:tc>
        <w:tc>
          <w:tcPr>
            <w:tcW w:w="1237" w:type="dxa"/>
          </w:tcPr>
          <w:p w14:paraId="7143CDAC" w14:textId="4046DB0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 </w:t>
            </w:r>
          </w:p>
        </w:tc>
        <w:tc>
          <w:tcPr>
            <w:tcW w:w="1236" w:type="dxa"/>
            <w:noWrap/>
          </w:tcPr>
          <w:p w14:paraId="5136265C" w14:textId="6187DA5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56A8066" w14:textId="2357273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01CC8EE4" w14:textId="68B4242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F927F65" w14:textId="6F318F8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4,857 </w:t>
            </w:r>
          </w:p>
        </w:tc>
      </w:tr>
      <w:tr w:rsidR="00824F1A" w:rsidRPr="0034306F" w14:paraId="7C365A7F"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709389C" w14:textId="5632935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Melbourne Health</w:t>
            </w:r>
          </w:p>
        </w:tc>
        <w:tc>
          <w:tcPr>
            <w:tcW w:w="1236" w:type="dxa"/>
            <w:noWrap/>
          </w:tcPr>
          <w:p w14:paraId="77CD9BF3" w14:textId="5B5C48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158,500 </w:t>
            </w:r>
          </w:p>
        </w:tc>
        <w:tc>
          <w:tcPr>
            <w:tcW w:w="1237" w:type="dxa"/>
          </w:tcPr>
          <w:p w14:paraId="25E4ACF8" w14:textId="7E522B6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85 </w:t>
            </w:r>
          </w:p>
        </w:tc>
        <w:tc>
          <w:tcPr>
            <w:tcW w:w="1236" w:type="dxa"/>
            <w:noWrap/>
          </w:tcPr>
          <w:p w14:paraId="50CC6AF4" w14:textId="3158BB2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6,533 </w:t>
            </w:r>
          </w:p>
        </w:tc>
        <w:tc>
          <w:tcPr>
            <w:tcW w:w="1237" w:type="dxa"/>
            <w:noWrap/>
          </w:tcPr>
          <w:p w14:paraId="4D2FE9B5" w14:textId="3411B1B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4225A124" w14:textId="25DCC4A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8,079 </w:t>
            </w:r>
          </w:p>
        </w:tc>
        <w:tc>
          <w:tcPr>
            <w:tcW w:w="1237" w:type="dxa"/>
            <w:noWrap/>
          </w:tcPr>
          <w:p w14:paraId="38A3BA7F" w14:textId="2171137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173,212 </w:t>
            </w:r>
          </w:p>
        </w:tc>
      </w:tr>
      <w:tr w:rsidR="009D4BF1" w:rsidRPr="0034306F" w14:paraId="02EBF2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B684668" w14:textId="03A1128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Mercy Hospitals Victoria Limited</w:t>
            </w:r>
          </w:p>
        </w:tc>
        <w:tc>
          <w:tcPr>
            <w:tcW w:w="1236" w:type="dxa"/>
            <w:noWrap/>
          </w:tcPr>
          <w:p w14:paraId="6A620481" w14:textId="0A0452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80,196 </w:t>
            </w:r>
          </w:p>
        </w:tc>
        <w:tc>
          <w:tcPr>
            <w:tcW w:w="1237" w:type="dxa"/>
          </w:tcPr>
          <w:p w14:paraId="4D53CB76" w14:textId="62E5D67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 </w:t>
            </w:r>
          </w:p>
        </w:tc>
        <w:tc>
          <w:tcPr>
            <w:tcW w:w="1236" w:type="dxa"/>
            <w:noWrap/>
          </w:tcPr>
          <w:p w14:paraId="22B15EB6" w14:textId="616B002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098B34BA" w14:textId="115A93A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56 </w:t>
            </w:r>
          </w:p>
        </w:tc>
        <w:tc>
          <w:tcPr>
            <w:tcW w:w="1236" w:type="dxa"/>
            <w:noWrap/>
          </w:tcPr>
          <w:p w14:paraId="3C72776C" w14:textId="5ADFC0A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6,773 </w:t>
            </w:r>
          </w:p>
        </w:tc>
        <w:tc>
          <w:tcPr>
            <w:tcW w:w="1237" w:type="dxa"/>
            <w:noWrap/>
          </w:tcPr>
          <w:p w14:paraId="0E5C3863" w14:textId="54EF26C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87,044 </w:t>
            </w:r>
          </w:p>
        </w:tc>
      </w:tr>
      <w:tr w:rsidR="00824F1A" w:rsidRPr="0034306F" w14:paraId="28597C11"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0CC7FD9" w14:textId="3EF49EF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Mildura Base Public Hospital</w:t>
            </w:r>
          </w:p>
        </w:tc>
        <w:tc>
          <w:tcPr>
            <w:tcW w:w="1236" w:type="dxa"/>
            <w:noWrap/>
          </w:tcPr>
          <w:p w14:paraId="30518858" w14:textId="75AF852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25,980 </w:t>
            </w:r>
          </w:p>
        </w:tc>
        <w:tc>
          <w:tcPr>
            <w:tcW w:w="1237" w:type="dxa"/>
          </w:tcPr>
          <w:p w14:paraId="42E860A6" w14:textId="6993C90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59 </w:t>
            </w:r>
          </w:p>
        </w:tc>
        <w:tc>
          <w:tcPr>
            <w:tcW w:w="1236" w:type="dxa"/>
            <w:noWrap/>
          </w:tcPr>
          <w:p w14:paraId="67D0A17C" w14:textId="6593599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78 </w:t>
            </w:r>
          </w:p>
        </w:tc>
        <w:tc>
          <w:tcPr>
            <w:tcW w:w="1237" w:type="dxa"/>
            <w:noWrap/>
          </w:tcPr>
          <w:p w14:paraId="49D00270" w14:textId="60E01BF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66 </w:t>
            </w:r>
          </w:p>
        </w:tc>
        <w:tc>
          <w:tcPr>
            <w:tcW w:w="1236" w:type="dxa"/>
            <w:noWrap/>
          </w:tcPr>
          <w:p w14:paraId="4BFA6E36" w14:textId="109CC79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2,479 </w:t>
            </w:r>
          </w:p>
        </w:tc>
        <w:tc>
          <w:tcPr>
            <w:tcW w:w="1237" w:type="dxa"/>
            <w:noWrap/>
          </w:tcPr>
          <w:p w14:paraId="6162DA31" w14:textId="69A1B9E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28,662 </w:t>
            </w:r>
          </w:p>
        </w:tc>
      </w:tr>
      <w:tr w:rsidR="009D4BF1" w:rsidRPr="0034306F" w14:paraId="3F5F13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636496C" w14:textId="298DF19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Monash Health</w:t>
            </w:r>
          </w:p>
        </w:tc>
        <w:tc>
          <w:tcPr>
            <w:tcW w:w="1236" w:type="dxa"/>
            <w:noWrap/>
          </w:tcPr>
          <w:p w14:paraId="0BAB8BC1" w14:textId="7C66C3A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352,016 </w:t>
            </w:r>
          </w:p>
        </w:tc>
        <w:tc>
          <w:tcPr>
            <w:tcW w:w="1237" w:type="dxa"/>
          </w:tcPr>
          <w:p w14:paraId="4F1D2495" w14:textId="0D6C3EC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151 </w:t>
            </w:r>
          </w:p>
        </w:tc>
        <w:tc>
          <w:tcPr>
            <w:tcW w:w="1236" w:type="dxa"/>
            <w:noWrap/>
          </w:tcPr>
          <w:p w14:paraId="2C114E2F" w14:textId="0CB1F83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522 </w:t>
            </w:r>
          </w:p>
        </w:tc>
        <w:tc>
          <w:tcPr>
            <w:tcW w:w="1237" w:type="dxa"/>
            <w:noWrap/>
          </w:tcPr>
          <w:p w14:paraId="2EF123B0" w14:textId="228D3E1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157 </w:t>
            </w:r>
          </w:p>
        </w:tc>
        <w:tc>
          <w:tcPr>
            <w:tcW w:w="1236" w:type="dxa"/>
            <w:noWrap/>
          </w:tcPr>
          <w:p w14:paraId="73F2DCC5" w14:textId="1F93AA7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22,805 </w:t>
            </w:r>
          </w:p>
        </w:tc>
        <w:tc>
          <w:tcPr>
            <w:tcW w:w="1237" w:type="dxa"/>
            <w:noWrap/>
          </w:tcPr>
          <w:p w14:paraId="470C567F" w14:textId="7F001E6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375,650 </w:t>
            </w:r>
          </w:p>
        </w:tc>
      </w:tr>
      <w:tr w:rsidR="00824F1A" w:rsidRPr="0034306F" w14:paraId="72CC029D"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D77A138" w14:textId="4CAE42B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Northeast Health Wangaratta</w:t>
            </w:r>
          </w:p>
        </w:tc>
        <w:tc>
          <w:tcPr>
            <w:tcW w:w="1236" w:type="dxa"/>
            <w:noWrap/>
          </w:tcPr>
          <w:p w14:paraId="3170BC88" w14:textId="429A461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27,621 </w:t>
            </w:r>
          </w:p>
        </w:tc>
        <w:tc>
          <w:tcPr>
            <w:tcW w:w="1237" w:type="dxa"/>
          </w:tcPr>
          <w:p w14:paraId="4CFD896B" w14:textId="337F5B3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91 </w:t>
            </w:r>
          </w:p>
        </w:tc>
        <w:tc>
          <w:tcPr>
            <w:tcW w:w="1236" w:type="dxa"/>
            <w:noWrap/>
          </w:tcPr>
          <w:p w14:paraId="358DA9CF" w14:textId="37DA05D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121 </w:t>
            </w:r>
          </w:p>
        </w:tc>
        <w:tc>
          <w:tcPr>
            <w:tcW w:w="1237" w:type="dxa"/>
            <w:noWrap/>
          </w:tcPr>
          <w:p w14:paraId="16B83F2C" w14:textId="421E2AC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56 </w:t>
            </w:r>
          </w:p>
        </w:tc>
        <w:tc>
          <w:tcPr>
            <w:tcW w:w="1236" w:type="dxa"/>
            <w:noWrap/>
          </w:tcPr>
          <w:p w14:paraId="355C2DB6"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2C5277D5" w14:textId="1A5BAD7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27,889 </w:t>
            </w:r>
          </w:p>
        </w:tc>
      </w:tr>
      <w:tr w:rsidR="009D4BF1" w:rsidRPr="0034306F" w14:paraId="1F7C2D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78D31E1" w14:textId="696C064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Northern Health</w:t>
            </w:r>
          </w:p>
        </w:tc>
        <w:tc>
          <w:tcPr>
            <w:tcW w:w="1236" w:type="dxa"/>
            <w:noWrap/>
          </w:tcPr>
          <w:p w14:paraId="1EBF4D7F" w14:textId="4A1AAFA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160,351 </w:t>
            </w:r>
          </w:p>
        </w:tc>
        <w:tc>
          <w:tcPr>
            <w:tcW w:w="1237" w:type="dxa"/>
          </w:tcPr>
          <w:p w14:paraId="2C0CC2ED" w14:textId="7CD0A7E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66 </w:t>
            </w:r>
          </w:p>
        </w:tc>
        <w:tc>
          <w:tcPr>
            <w:tcW w:w="1236" w:type="dxa"/>
            <w:noWrap/>
          </w:tcPr>
          <w:p w14:paraId="009EC403" w14:textId="6BC7134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167 </w:t>
            </w:r>
          </w:p>
        </w:tc>
        <w:tc>
          <w:tcPr>
            <w:tcW w:w="1237" w:type="dxa"/>
            <w:noWrap/>
          </w:tcPr>
          <w:p w14:paraId="65D24642" w14:textId="4F3B5F1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104 </w:t>
            </w:r>
          </w:p>
        </w:tc>
        <w:tc>
          <w:tcPr>
            <w:tcW w:w="1236" w:type="dxa"/>
            <w:noWrap/>
          </w:tcPr>
          <w:p w14:paraId="4EDE4165" w14:textId="33BBB62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14,234 </w:t>
            </w:r>
          </w:p>
        </w:tc>
        <w:tc>
          <w:tcPr>
            <w:tcW w:w="1237" w:type="dxa"/>
            <w:noWrap/>
          </w:tcPr>
          <w:p w14:paraId="3F7FA8D1" w14:textId="43486E0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174,922 </w:t>
            </w:r>
          </w:p>
        </w:tc>
      </w:tr>
      <w:tr w:rsidR="00824F1A" w:rsidRPr="0034306F" w14:paraId="7ADA66F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9F1E259" w14:textId="7C10015F"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Peninsula Health</w:t>
            </w:r>
          </w:p>
        </w:tc>
        <w:tc>
          <w:tcPr>
            <w:tcW w:w="1236" w:type="dxa"/>
            <w:noWrap/>
          </w:tcPr>
          <w:p w14:paraId="4F85649F" w14:textId="4CB1FDA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121,350 </w:t>
            </w:r>
          </w:p>
        </w:tc>
        <w:tc>
          <w:tcPr>
            <w:tcW w:w="1237" w:type="dxa"/>
          </w:tcPr>
          <w:p w14:paraId="4B71FE01" w14:textId="635CB3D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182 </w:t>
            </w:r>
          </w:p>
        </w:tc>
        <w:tc>
          <w:tcPr>
            <w:tcW w:w="1236" w:type="dxa"/>
            <w:noWrap/>
          </w:tcPr>
          <w:p w14:paraId="6F2A48D2" w14:textId="766C974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230 </w:t>
            </w:r>
          </w:p>
        </w:tc>
        <w:tc>
          <w:tcPr>
            <w:tcW w:w="1237" w:type="dxa"/>
            <w:noWrap/>
          </w:tcPr>
          <w:p w14:paraId="4438A609" w14:textId="3EF4338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295 </w:t>
            </w:r>
          </w:p>
        </w:tc>
        <w:tc>
          <w:tcPr>
            <w:tcW w:w="1236" w:type="dxa"/>
            <w:noWrap/>
          </w:tcPr>
          <w:p w14:paraId="4C4689F3" w14:textId="396A308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8,272 </w:t>
            </w:r>
          </w:p>
        </w:tc>
        <w:tc>
          <w:tcPr>
            <w:tcW w:w="1237" w:type="dxa"/>
            <w:noWrap/>
          </w:tcPr>
          <w:p w14:paraId="49271195" w14:textId="39D4FE3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130,329 </w:t>
            </w:r>
          </w:p>
        </w:tc>
      </w:tr>
      <w:tr w:rsidR="009D4BF1" w:rsidRPr="0034306F" w14:paraId="7EDDDBF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6EC006E" w14:textId="3361E59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Peter Mac</w:t>
            </w:r>
            <w:r w:rsidR="00C42D86">
              <w:rPr>
                <w:rFonts w:cs="Arial"/>
                <w:b w:val="0"/>
                <w:bCs w:val="0"/>
                <w:color w:val="000000"/>
                <w:sz w:val="16"/>
                <w:szCs w:val="16"/>
              </w:rPr>
              <w:t>C</w:t>
            </w:r>
            <w:r w:rsidRPr="00824F1A">
              <w:rPr>
                <w:rFonts w:cs="Arial"/>
                <w:b w:val="0"/>
                <w:bCs w:val="0"/>
                <w:color w:val="000000"/>
                <w:sz w:val="16"/>
                <w:szCs w:val="16"/>
              </w:rPr>
              <w:t>allum Cancer Institute</w:t>
            </w:r>
          </w:p>
        </w:tc>
        <w:tc>
          <w:tcPr>
            <w:tcW w:w="1236" w:type="dxa"/>
            <w:noWrap/>
          </w:tcPr>
          <w:p w14:paraId="16D94206" w14:textId="3B28726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43,601 </w:t>
            </w:r>
          </w:p>
        </w:tc>
        <w:tc>
          <w:tcPr>
            <w:tcW w:w="1237" w:type="dxa"/>
          </w:tcPr>
          <w:p w14:paraId="27C68D4A" w14:textId="19B9694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61 </w:t>
            </w:r>
          </w:p>
        </w:tc>
        <w:tc>
          <w:tcPr>
            <w:tcW w:w="1236" w:type="dxa"/>
            <w:noWrap/>
          </w:tcPr>
          <w:p w14:paraId="072710B3"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00B85B14"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3B8ABCA6"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473F07D" w14:textId="79099C4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43,662 </w:t>
            </w:r>
          </w:p>
        </w:tc>
      </w:tr>
      <w:tr w:rsidR="00824F1A" w:rsidRPr="0034306F" w14:paraId="56C76280"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04BF2BD" w14:textId="70C6C98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Portland District Health</w:t>
            </w:r>
          </w:p>
        </w:tc>
        <w:tc>
          <w:tcPr>
            <w:tcW w:w="1236" w:type="dxa"/>
            <w:noWrap/>
          </w:tcPr>
          <w:p w14:paraId="1CAC0112" w14:textId="00BDC3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6,145 </w:t>
            </w:r>
          </w:p>
        </w:tc>
        <w:tc>
          <w:tcPr>
            <w:tcW w:w="1237" w:type="dxa"/>
          </w:tcPr>
          <w:p w14:paraId="0DB1E32A" w14:textId="0B0613E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 </w:t>
            </w:r>
          </w:p>
        </w:tc>
        <w:tc>
          <w:tcPr>
            <w:tcW w:w="1236" w:type="dxa"/>
            <w:noWrap/>
          </w:tcPr>
          <w:p w14:paraId="7C646AA4" w14:textId="03369C2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335C121C" w14:textId="61104BB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6" w:type="dxa"/>
            <w:noWrap/>
          </w:tcPr>
          <w:p w14:paraId="6E2F91D0"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31F9CA01" w14:textId="49362DC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6,149 </w:t>
            </w:r>
          </w:p>
        </w:tc>
      </w:tr>
      <w:tr w:rsidR="009D4BF1" w:rsidRPr="0034306F" w14:paraId="0DD2FE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A1AB60C" w14:textId="0C3B02A1"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South West Healthcare</w:t>
            </w:r>
          </w:p>
        </w:tc>
        <w:tc>
          <w:tcPr>
            <w:tcW w:w="1236" w:type="dxa"/>
            <w:noWrap/>
          </w:tcPr>
          <w:p w14:paraId="2DC6B344" w14:textId="3E87D0A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29,157 </w:t>
            </w:r>
          </w:p>
        </w:tc>
        <w:tc>
          <w:tcPr>
            <w:tcW w:w="1237" w:type="dxa"/>
          </w:tcPr>
          <w:p w14:paraId="3AD8076D" w14:textId="7B5BDBC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62 </w:t>
            </w:r>
          </w:p>
        </w:tc>
        <w:tc>
          <w:tcPr>
            <w:tcW w:w="1236" w:type="dxa"/>
            <w:noWrap/>
          </w:tcPr>
          <w:p w14:paraId="0CA1C4A1" w14:textId="0E0B1D9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80 </w:t>
            </w:r>
          </w:p>
        </w:tc>
        <w:tc>
          <w:tcPr>
            <w:tcW w:w="1237" w:type="dxa"/>
            <w:noWrap/>
          </w:tcPr>
          <w:p w14:paraId="35011AC6" w14:textId="5B7BCC0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41 </w:t>
            </w:r>
          </w:p>
        </w:tc>
        <w:tc>
          <w:tcPr>
            <w:tcW w:w="1236" w:type="dxa"/>
            <w:noWrap/>
          </w:tcPr>
          <w:p w14:paraId="066CDFF2" w14:textId="374FFB8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3,259 </w:t>
            </w:r>
          </w:p>
        </w:tc>
        <w:tc>
          <w:tcPr>
            <w:tcW w:w="1237" w:type="dxa"/>
            <w:noWrap/>
          </w:tcPr>
          <w:p w14:paraId="19D7FB5E" w14:textId="1270ED4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32,599 </w:t>
            </w:r>
          </w:p>
        </w:tc>
      </w:tr>
      <w:tr w:rsidR="00824F1A" w:rsidRPr="0034306F" w14:paraId="751A9C96"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27359F7" w14:textId="08B3A9D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St Vincents Hospital Melbourne Limited</w:t>
            </w:r>
          </w:p>
        </w:tc>
        <w:tc>
          <w:tcPr>
            <w:tcW w:w="1236" w:type="dxa"/>
            <w:noWrap/>
          </w:tcPr>
          <w:p w14:paraId="4E4F5230" w14:textId="114B1C4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104,578 </w:t>
            </w:r>
          </w:p>
        </w:tc>
        <w:tc>
          <w:tcPr>
            <w:tcW w:w="1237" w:type="dxa"/>
          </w:tcPr>
          <w:p w14:paraId="5410E636" w14:textId="098889B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67 </w:t>
            </w:r>
          </w:p>
        </w:tc>
        <w:tc>
          <w:tcPr>
            <w:tcW w:w="1236" w:type="dxa"/>
            <w:noWrap/>
          </w:tcPr>
          <w:p w14:paraId="275C793D" w14:textId="5617F4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114 </w:t>
            </w:r>
          </w:p>
        </w:tc>
        <w:tc>
          <w:tcPr>
            <w:tcW w:w="1237" w:type="dxa"/>
            <w:noWrap/>
          </w:tcPr>
          <w:p w14:paraId="21A3E7E9" w14:textId="701021A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130 </w:t>
            </w:r>
          </w:p>
        </w:tc>
        <w:tc>
          <w:tcPr>
            <w:tcW w:w="1236" w:type="dxa"/>
            <w:noWrap/>
          </w:tcPr>
          <w:p w14:paraId="2804ABD0" w14:textId="35E7A56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6,826 </w:t>
            </w:r>
          </w:p>
        </w:tc>
        <w:tc>
          <w:tcPr>
            <w:tcW w:w="1237" w:type="dxa"/>
            <w:noWrap/>
          </w:tcPr>
          <w:p w14:paraId="5640200E" w14:textId="12C096E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111,715 </w:t>
            </w:r>
          </w:p>
        </w:tc>
      </w:tr>
      <w:tr w:rsidR="009D4BF1" w:rsidRPr="0034306F" w14:paraId="0902AF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F62F17" w14:textId="43660F7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Swan Hill District Health</w:t>
            </w:r>
          </w:p>
        </w:tc>
        <w:tc>
          <w:tcPr>
            <w:tcW w:w="1236" w:type="dxa"/>
            <w:noWrap/>
          </w:tcPr>
          <w:p w14:paraId="37793DED" w14:textId="016A619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8,537 </w:t>
            </w:r>
          </w:p>
        </w:tc>
        <w:tc>
          <w:tcPr>
            <w:tcW w:w="1237" w:type="dxa"/>
          </w:tcPr>
          <w:p w14:paraId="41498C42" w14:textId="692E4B0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21 </w:t>
            </w:r>
          </w:p>
        </w:tc>
        <w:tc>
          <w:tcPr>
            <w:tcW w:w="1236" w:type="dxa"/>
            <w:noWrap/>
          </w:tcPr>
          <w:p w14:paraId="3D968DAD" w14:textId="3001F4D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67 </w:t>
            </w:r>
          </w:p>
        </w:tc>
        <w:tc>
          <w:tcPr>
            <w:tcW w:w="1237" w:type="dxa"/>
            <w:noWrap/>
          </w:tcPr>
          <w:p w14:paraId="53C60D8C" w14:textId="561B77A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 </w:t>
            </w:r>
          </w:p>
        </w:tc>
        <w:tc>
          <w:tcPr>
            <w:tcW w:w="1236" w:type="dxa"/>
            <w:noWrap/>
          </w:tcPr>
          <w:p w14:paraId="70029CAE"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F41C3D6" w14:textId="76C9684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8,639 </w:t>
            </w:r>
          </w:p>
        </w:tc>
      </w:tr>
      <w:tr w:rsidR="00824F1A" w:rsidRPr="0034306F" w14:paraId="224FA715"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71B4064" w14:textId="729109D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The Royal </w:t>
            </w:r>
            <w:r w:rsidR="00207F55" w:rsidRPr="00824F1A">
              <w:rPr>
                <w:rFonts w:cs="Arial"/>
                <w:b w:val="0"/>
                <w:bCs w:val="0"/>
                <w:color w:val="000000"/>
                <w:sz w:val="16"/>
                <w:szCs w:val="16"/>
              </w:rPr>
              <w:t>Childr</w:t>
            </w:r>
            <w:r w:rsidR="00207F55" w:rsidRPr="00207F55">
              <w:rPr>
                <w:rFonts w:cs="Arial"/>
                <w:b w:val="0"/>
                <w:bCs w:val="0"/>
                <w:color w:val="000000"/>
                <w:sz w:val="16"/>
                <w:szCs w:val="16"/>
              </w:rPr>
              <w:t>en’s</w:t>
            </w:r>
            <w:r w:rsidRPr="00207F55">
              <w:rPr>
                <w:rFonts w:cs="Arial"/>
                <w:b w:val="0"/>
                <w:bCs w:val="0"/>
                <w:color w:val="000000"/>
                <w:sz w:val="16"/>
                <w:szCs w:val="16"/>
              </w:rPr>
              <w:t xml:space="preserve"> </w:t>
            </w:r>
            <w:r w:rsidRPr="00824F1A">
              <w:rPr>
                <w:rFonts w:cs="Arial"/>
                <w:b w:val="0"/>
                <w:bCs w:val="0"/>
                <w:color w:val="000000"/>
                <w:sz w:val="16"/>
                <w:szCs w:val="16"/>
              </w:rPr>
              <w:t>Hospital</w:t>
            </w:r>
          </w:p>
        </w:tc>
        <w:tc>
          <w:tcPr>
            <w:tcW w:w="1236" w:type="dxa"/>
            <w:noWrap/>
          </w:tcPr>
          <w:p w14:paraId="7B821869" w14:textId="27B2513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95,956 </w:t>
            </w:r>
          </w:p>
        </w:tc>
        <w:tc>
          <w:tcPr>
            <w:tcW w:w="1237" w:type="dxa"/>
          </w:tcPr>
          <w:p w14:paraId="48EF7D6A"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26AB1C5B" w14:textId="7EE3B5A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622 </w:t>
            </w:r>
          </w:p>
        </w:tc>
        <w:tc>
          <w:tcPr>
            <w:tcW w:w="1237" w:type="dxa"/>
            <w:noWrap/>
          </w:tcPr>
          <w:p w14:paraId="0D6BA887"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62CF1DF" w14:textId="00BBAF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3,667 </w:t>
            </w:r>
          </w:p>
        </w:tc>
        <w:tc>
          <w:tcPr>
            <w:tcW w:w="1237" w:type="dxa"/>
            <w:noWrap/>
          </w:tcPr>
          <w:p w14:paraId="3547E602" w14:textId="3B568B2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100,245 </w:t>
            </w:r>
          </w:p>
        </w:tc>
      </w:tr>
      <w:tr w:rsidR="009D4BF1" w:rsidRPr="0034306F" w14:paraId="5329EB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4C987A0" w14:textId="3607C4E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The Royal Victorian Eye and Ear Hospital</w:t>
            </w:r>
          </w:p>
        </w:tc>
        <w:tc>
          <w:tcPr>
            <w:tcW w:w="1236" w:type="dxa"/>
            <w:noWrap/>
          </w:tcPr>
          <w:p w14:paraId="2264EB67" w14:textId="02241C4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22,117 </w:t>
            </w:r>
          </w:p>
        </w:tc>
        <w:tc>
          <w:tcPr>
            <w:tcW w:w="1237" w:type="dxa"/>
          </w:tcPr>
          <w:p w14:paraId="14A7A5F0" w14:textId="3E5E74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12 </w:t>
            </w:r>
          </w:p>
        </w:tc>
        <w:tc>
          <w:tcPr>
            <w:tcW w:w="1236" w:type="dxa"/>
            <w:noWrap/>
          </w:tcPr>
          <w:p w14:paraId="7E95A1A7" w14:textId="48A6BF7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4D679015"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190F5EC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7DB2E5E1" w14:textId="400B241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22,130 </w:t>
            </w:r>
          </w:p>
        </w:tc>
      </w:tr>
      <w:tr w:rsidR="00824F1A" w:rsidRPr="0034306F" w14:paraId="32381C79"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A477263" w14:textId="0075FFE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The Royal </w:t>
            </w:r>
            <w:r w:rsidR="00207F55" w:rsidRPr="00824F1A">
              <w:rPr>
                <w:rFonts w:cs="Arial"/>
                <w:b w:val="0"/>
                <w:bCs w:val="0"/>
                <w:color w:val="000000"/>
                <w:sz w:val="16"/>
                <w:szCs w:val="16"/>
              </w:rPr>
              <w:t>Women</w:t>
            </w:r>
            <w:r w:rsidR="00207F55" w:rsidRPr="00207F55">
              <w:rPr>
                <w:rFonts w:cs="Arial"/>
                <w:b w:val="0"/>
                <w:bCs w:val="0"/>
                <w:color w:val="000000"/>
                <w:sz w:val="16"/>
                <w:szCs w:val="16"/>
              </w:rPr>
              <w:t>’s</w:t>
            </w:r>
            <w:r w:rsidRPr="00207F55">
              <w:rPr>
                <w:rFonts w:cs="Arial"/>
                <w:b w:val="0"/>
                <w:bCs w:val="0"/>
                <w:color w:val="000000"/>
                <w:sz w:val="16"/>
                <w:szCs w:val="16"/>
              </w:rPr>
              <w:t xml:space="preserve"> </w:t>
            </w:r>
            <w:r w:rsidRPr="00824F1A">
              <w:rPr>
                <w:rFonts w:cs="Arial"/>
                <w:b w:val="0"/>
                <w:bCs w:val="0"/>
                <w:color w:val="000000"/>
                <w:sz w:val="16"/>
                <w:szCs w:val="16"/>
              </w:rPr>
              <w:t>Hospital</w:t>
            </w:r>
          </w:p>
        </w:tc>
        <w:tc>
          <w:tcPr>
            <w:tcW w:w="1236" w:type="dxa"/>
            <w:noWrap/>
          </w:tcPr>
          <w:p w14:paraId="71FBF6CF" w14:textId="0674A8F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44,497 </w:t>
            </w:r>
          </w:p>
        </w:tc>
        <w:tc>
          <w:tcPr>
            <w:tcW w:w="1237" w:type="dxa"/>
          </w:tcPr>
          <w:p w14:paraId="6A3861E7"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1010BAC1" w14:textId="1733F54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CD93DCD"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6524CA72"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F7763AF" w14:textId="569AA1F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44,497 </w:t>
            </w:r>
          </w:p>
        </w:tc>
      </w:tr>
      <w:tr w:rsidR="009D4BF1" w:rsidRPr="0034306F" w14:paraId="306116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DA91703" w14:textId="6BCD5F89"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 Gippsland Healthcare Group</w:t>
            </w:r>
          </w:p>
        </w:tc>
        <w:tc>
          <w:tcPr>
            <w:tcW w:w="1236" w:type="dxa"/>
            <w:noWrap/>
          </w:tcPr>
          <w:p w14:paraId="4AE4ABC0" w14:textId="0544617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19,289 </w:t>
            </w:r>
          </w:p>
        </w:tc>
        <w:tc>
          <w:tcPr>
            <w:tcW w:w="1237" w:type="dxa"/>
          </w:tcPr>
          <w:p w14:paraId="419DC08A" w14:textId="2B5BD8D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 </w:t>
            </w:r>
          </w:p>
        </w:tc>
        <w:tc>
          <w:tcPr>
            <w:tcW w:w="1236" w:type="dxa"/>
            <w:noWrap/>
          </w:tcPr>
          <w:p w14:paraId="5BF0352A" w14:textId="7D99817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 </w:t>
            </w:r>
          </w:p>
        </w:tc>
        <w:tc>
          <w:tcPr>
            <w:tcW w:w="1237" w:type="dxa"/>
            <w:noWrap/>
          </w:tcPr>
          <w:p w14:paraId="29346D97" w14:textId="19BC23E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5B5D11D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C818892" w14:textId="1AA063D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19,311 </w:t>
            </w:r>
          </w:p>
        </w:tc>
      </w:tr>
      <w:tr w:rsidR="00824F1A" w:rsidRPr="0034306F" w14:paraId="4B2EA3C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7A3D903" w14:textId="33F7B0E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Western District Health Service</w:t>
            </w:r>
          </w:p>
        </w:tc>
        <w:tc>
          <w:tcPr>
            <w:tcW w:w="1236" w:type="dxa"/>
            <w:noWrap/>
          </w:tcPr>
          <w:p w14:paraId="03C8F8CC" w14:textId="1623119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9,918 </w:t>
            </w:r>
          </w:p>
        </w:tc>
        <w:tc>
          <w:tcPr>
            <w:tcW w:w="1237" w:type="dxa"/>
          </w:tcPr>
          <w:p w14:paraId="4FFD6022" w14:textId="5A658EB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37 </w:t>
            </w:r>
          </w:p>
        </w:tc>
        <w:tc>
          <w:tcPr>
            <w:tcW w:w="1236" w:type="dxa"/>
            <w:noWrap/>
          </w:tcPr>
          <w:p w14:paraId="465DD0C4" w14:textId="0520CE5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26 </w:t>
            </w:r>
          </w:p>
        </w:tc>
        <w:tc>
          <w:tcPr>
            <w:tcW w:w="1237" w:type="dxa"/>
            <w:noWrap/>
          </w:tcPr>
          <w:p w14:paraId="181ED5EF" w14:textId="56977FA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65 </w:t>
            </w:r>
          </w:p>
        </w:tc>
        <w:tc>
          <w:tcPr>
            <w:tcW w:w="1236" w:type="dxa"/>
            <w:noWrap/>
          </w:tcPr>
          <w:p w14:paraId="7201E66C"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DF1AAB4" w14:textId="0D08B9B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10,047 </w:t>
            </w:r>
          </w:p>
        </w:tc>
      </w:tr>
      <w:tr w:rsidR="009D4BF1" w:rsidRPr="0034306F" w14:paraId="58ED6C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0D0A71A" w14:textId="2E24A66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Western Health</w:t>
            </w:r>
          </w:p>
        </w:tc>
        <w:tc>
          <w:tcPr>
            <w:tcW w:w="1236" w:type="dxa"/>
            <w:noWrap/>
          </w:tcPr>
          <w:p w14:paraId="2FA744D2" w14:textId="22C9034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199,148 </w:t>
            </w:r>
          </w:p>
        </w:tc>
        <w:tc>
          <w:tcPr>
            <w:tcW w:w="1237" w:type="dxa"/>
          </w:tcPr>
          <w:p w14:paraId="3F0804DB" w14:textId="148FD9A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81 </w:t>
            </w:r>
          </w:p>
        </w:tc>
        <w:tc>
          <w:tcPr>
            <w:tcW w:w="1236" w:type="dxa"/>
            <w:noWrap/>
          </w:tcPr>
          <w:p w14:paraId="31AF13DC" w14:textId="6D9D456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239 </w:t>
            </w:r>
          </w:p>
        </w:tc>
        <w:tc>
          <w:tcPr>
            <w:tcW w:w="1237" w:type="dxa"/>
            <w:noWrap/>
          </w:tcPr>
          <w:p w14:paraId="2499B1A5" w14:textId="457CCF5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125 </w:t>
            </w:r>
          </w:p>
        </w:tc>
        <w:tc>
          <w:tcPr>
            <w:tcW w:w="1236" w:type="dxa"/>
            <w:noWrap/>
          </w:tcPr>
          <w:p w14:paraId="3740CECC" w14:textId="602C3DA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7,794 </w:t>
            </w:r>
          </w:p>
        </w:tc>
        <w:tc>
          <w:tcPr>
            <w:tcW w:w="1237" w:type="dxa"/>
            <w:noWrap/>
          </w:tcPr>
          <w:p w14:paraId="4C4A495E" w14:textId="1C46678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207,387 </w:t>
            </w:r>
          </w:p>
        </w:tc>
      </w:tr>
      <w:tr w:rsidR="00824F1A" w:rsidRPr="0034306F" w14:paraId="4A3CC357"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75AAED8" w14:textId="1BD9C85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Latrobe Regional Health</w:t>
            </w:r>
          </w:p>
        </w:tc>
        <w:tc>
          <w:tcPr>
            <w:tcW w:w="1236" w:type="dxa"/>
            <w:noWrap/>
          </w:tcPr>
          <w:p w14:paraId="5CF2616B" w14:textId="53FF0F9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50,322 </w:t>
            </w:r>
          </w:p>
        </w:tc>
        <w:tc>
          <w:tcPr>
            <w:tcW w:w="1237" w:type="dxa"/>
          </w:tcPr>
          <w:p w14:paraId="5990349D" w14:textId="7B061AB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111 </w:t>
            </w:r>
          </w:p>
        </w:tc>
        <w:tc>
          <w:tcPr>
            <w:tcW w:w="1236" w:type="dxa"/>
            <w:noWrap/>
          </w:tcPr>
          <w:p w14:paraId="0C3F56B6" w14:textId="343C29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153 </w:t>
            </w:r>
          </w:p>
        </w:tc>
        <w:tc>
          <w:tcPr>
            <w:tcW w:w="1237" w:type="dxa"/>
            <w:noWrap/>
          </w:tcPr>
          <w:p w14:paraId="74EE3844" w14:textId="0315300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70 </w:t>
            </w:r>
          </w:p>
        </w:tc>
        <w:tc>
          <w:tcPr>
            <w:tcW w:w="1236" w:type="dxa"/>
            <w:noWrap/>
          </w:tcPr>
          <w:p w14:paraId="71F172B9" w14:textId="5EDF19C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7,749 </w:t>
            </w:r>
          </w:p>
        </w:tc>
        <w:tc>
          <w:tcPr>
            <w:tcW w:w="1237" w:type="dxa"/>
            <w:noWrap/>
          </w:tcPr>
          <w:p w14:paraId="56CB244F" w14:textId="2FEE01A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58,405 </w:t>
            </w:r>
          </w:p>
        </w:tc>
      </w:tr>
      <w:tr w:rsidR="009D4BF1" w:rsidRPr="0034306F" w14:paraId="684272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1EB5E0" w14:textId="21E7A6C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Parkville Youth Mental Health and Wellbeing Service (Orygen)</w:t>
            </w:r>
          </w:p>
        </w:tc>
        <w:tc>
          <w:tcPr>
            <w:tcW w:w="1236" w:type="dxa"/>
            <w:noWrap/>
          </w:tcPr>
          <w:p w14:paraId="6D3420F9" w14:textId="58C334C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3,095 </w:t>
            </w:r>
          </w:p>
        </w:tc>
        <w:tc>
          <w:tcPr>
            <w:tcW w:w="1237" w:type="dxa"/>
          </w:tcPr>
          <w:p w14:paraId="03E1DF0E"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0B36D376"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15B124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2DD85741" w14:textId="53CC4B1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6,468 </w:t>
            </w:r>
          </w:p>
        </w:tc>
        <w:tc>
          <w:tcPr>
            <w:tcW w:w="1237" w:type="dxa"/>
            <w:noWrap/>
          </w:tcPr>
          <w:p w14:paraId="5F9813F4" w14:textId="5F6AD12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9,563 </w:t>
            </w:r>
          </w:p>
        </w:tc>
      </w:tr>
      <w:tr w:rsidR="00824F1A" w:rsidRPr="0034306F" w14:paraId="0CEDC1D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82D7473" w14:textId="3D4DE55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Grand Total</w:t>
            </w:r>
          </w:p>
        </w:tc>
        <w:tc>
          <w:tcPr>
            <w:tcW w:w="1236" w:type="dxa"/>
            <w:noWrap/>
          </w:tcPr>
          <w:p w14:paraId="62D95557" w14:textId="1FE5DC4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2,582,500 </w:t>
            </w:r>
          </w:p>
        </w:tc>
        <w:tc>
          <w:tcPr>
            <w:tcW w:w="1237" w:type="dxa"/>
          </w:tcPr>
          <w:p w14:paraId="46ABC438" w14:textId="5040118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2,332 </w:t>
            </w:r>
          </w:p>
        </w:tc>
        <w:tc>
          <w:tcPr>
            <w:tcW w:w="1236" w:type="dxa"/>
            <w:noWrap/>
          </w:tcPr>
          <w:p w14:paraId="46937B79" w14:textId="44ECD59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19,220 </w:t>
            </w:r>
          </w:p>
        </w:tc>
        <w:tc>
          <w:tcPr>
            <w:tcW w:w="1237" w:type="dxa"/>
            <w:noWrap/>
          </w:tcPr>
          <w:p w14:paraId="22F4B6B6" w14:textId="4CCBA7A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2,436 </w:t>
            </w:r>
          </w:p>
        </w:tc>
        <w:tc>
          <w:tcPr>
            <w:tcW w:w="1236" w:type="dxa"/>
            <w:noWrap/>
          </w:tcPr>
          <w:p w14:paraId="21123138" w14:textId="3BEB6D5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169,329 </w:t>
            </w:r>
          </w:p>
        </w:tc>
        <w:tc>
          <w:tcPr>
            <w:tcW w:w="1237" w:type="dxa"/>
            <w:noWrap/>
          </w:tcPr>
          <w:p w14:paraId="51F707A9" w14:textId="51CD600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2,775,817 </w:t>
            </w:r>
          </w:p>
        </w:tc>
      </w:tr>
      <w:bookmarkEnd w:id="2519"/>
    </w:tbl>
    <w:p w14:paraId="4C33149E" w14:textId="77777777" w:rsidR="005B699B" w:rsidRDefault="005B699B" w:rsidP="005B699B">
      <w:pPr>
        <w:spacing w:after="0" w:line="240" w:lineRule="auto"/>
        <w:rPr>
          <w:rFonts w:eastAsia="Times"/>
        </w:rPr>
      </w:pPr>
      <w:r>
        <w:br w:type="page"/>
      </w:r>
    </w:p>
    <w:p w14:paraId="3E45FB17" w14:textId="2AD7EAD4" w:rsidR="005F62CB" w:rsidRDefault="00EF6F4D" w:rsidP="005D7D2C">
      <w:pPr>
        <w:pStyle w:val="Heading2"/>
        <w:numPr>
          <w:ilvl w:val="1"/>
          <w:numId w:val="12"/>
        </w:numPr>
        <w:ind w:left="851" w:hanging="851"/>
      </w:pPr>
      <w:bookmarkStart w:id="2520" w:name="_Ref199321405"/>
      <w:bookmarkStart w:id="2521" w:name="_Ref199321472"/>
      <w:bookmarkStart w:id="2522" w:name="_Toc201148300"/>
      <w:bookmarkStart w:id="2523" w:name="_Ref143084241"/>
      <w:bookmarkStart w:id="2524" w:name="_Ref165637430"/>
      <w:bookmarkStart w:id="2525" w:name="_Toc165961872"/>
      <w:r>
        <w:t>Indicative NWAU adjustments for safety and quality</w:t>
      </w:r>
      <w:bookmarkEnd w:id="2520"/>
      <w:bookmarkEnd w:id="2521"/>
      <w:bookmarkEnd w:id="2522"/>
    </w:p>
    <w:p w14:paraId="5EAAD2BB" w14:textId="7024784F" w:rsidR="005B699B" w:rsidRDefault="005B699B" w:rsidP="004537E5">
      <w:pPr>
        <w:pStyle w:val="Heading3"/>
        <w:numPr>
          <w:ilvl w:val="2"/>
          <w:numId w:val="12"/>
        </w:numPr>
      </w:pPr>
      <w:r>
        <w:t>Indicative HAC base NWAU adjustment 202</w:t>
      </w:r>
      <w:r w:rsidR="000C0EF6">
        <w:t>4</w:t>
      </w:r>
      <w:r>
        <w:t>–2</w:t>
      </w:r>
      <w:r w:rsidR="000C0EF6">
        <w:t>5</w:t>
      </w:r>
      <w:r>
        <w:t xml:space="preserve"> for the purpose of </w:t>
      </w:r>
      <w:r w:rsidRPr="00295CB9">
        <w:t>calculating</w:t>
      </w:r>
      <w:r>
        <w:t xml:space="preserve"> annual growth in 202</w:t>
      </w:r>
      <w:r w:rsidR="000C0EF6">
        <w:t>5</w:t>
      </w:r>
      <w:r>
        <w:t>–2</w:t>
      </w:r>
      <w:bookmarkEnd w:id="2523"/>
      <w:bookmarkEnd w:id="2524"/>
      <w:bookmarkEnd w:id="2525"/>
      <w:r w:rsidR="000C0EF6">
        <w:t>6</w:t>
      </w:r>
    </w:p>
    <w:p w14:paraId="5A6327E6" w14:textId="607FD469" w:rsidR="005B699B" w:rsidRDefault="00462DC7" w:rsidP="00297FC9">
      <w:pPr>
        <w:pStyle w:val="Tablecaption"/>
      </w:pPr>
      <w:bookmarkStart w:id="2526" w:name="_Ref143084332"/>
      <w:bookmarkStart w:id="2527" w:name="_Ref165638725"/>
      <w:bookmarkStart w:id="2528" w:name="_Ref199321337"/>
      <w:bookmarkStart w:id="2529" w:name="_Toc201148597"/>
      <w:r w:rsidRPr="000C3C4F">
        <w:t xml:space="preserve">Table </w:t>
      </w:r>
      <w:r w:rsidR="00D72666">
        <w:t>2</w:t>
      </w:r>
      <w:r w:rsidR="000E0ED2">
        <w:t>.</w:t>
      </w:r>
      <w:r>
        <w:fldChar w:fldCharType="begin"/>
      </w:r>
      <w:r>
        <w:instrText>SEQ Table \* ARABIC \s 1</w:instrText>
      </w:r>
      <w:r>
        <w:fldChar w:fldCharType="separate"/>
      </w:r>
      <w:r w:rsidR="007D262B">
        <w:rPr>
          <w:noProof/>
        </w:rPr>
        <w:t>11</w:t>
      </w:r>
      <w:r>
        <w:fldChar w:fldCharType="end"/>
      </w:r>
      <w:bookmarkEnd w:id="2526"/>
      <w:r w:rsidRPr="000C3C4F">
        <w:t xml:space="preserve">: </w:t>
      </w:r>
      <w:r w:rsidR="005B699B" w:rsidRPr="000C3C4F">
        <w:t xml:space="preserve">Indicative </w:t>
      </w:r>
      <w:r w:rsidR="006C1873">
        <w:t>baseline</w:t>
      </w:r>
      <w:r w:rsidR="0068467E">
        <w:t xml:space="preserve"> </w:t>
      </w:r>
      <w:r w:rsidR="005B699B" w:rsidRPr="000C3C4F">
        <w:t>NWAU adjustment in 202</w:t>
      </w:r>
      <w:r w:rsidR="00F139E2">
        <w:t>5</w:t>
      </w:r>
      <w:r w:rsidR="005B699B" w:rsidRPr="000C3C4F">
        <w:t>–2</w:t>
      </w:r>
      <w:bookmarkEnd w:id="2527"/>
      <w:r w:rsidR="00F139E2">
        <w:t>6 for HAC</w:t>
      </w:r>
      <w:bookmarkEnd w:id="2528"/>
      <w:bookmarkEnd w:id="2529"/>
      <w:r w:rsidR="00051FFE">
        <w:t xml:space="preserve"> </w:t>
      </w:r>
    </w:p>
    <w:tbl>
      <w:tblPr>
        <w:tblStyle w:val="GridTable4-Accent1"/>
        <w:tblW w:w="0" w:type="auto"/>
        <w:tblLayout w:type="fixed"/>
        <w:tblLook w:val="04A0" w:firstRow="1" w:lastRow="0" w:firstColumn="1" w:lastColumn="0" w:noHBand="0" w:noVBand="1"/>
      </w:tblPr>
      <w:tblGrid>
        <w:gridCol w:w="3256"/>
        <w:gridCol w:w="2693"/>
        <w:gridCol w:w="2835"/>
      </w:tblGrid>
      <w:tr w:rsidR="005A5C14" w:rsidRPr="00077CF8" w14:paraId="3B234D42" w14:textId="77777777" w:rsidTr="00A31C1F">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256" w:type="dxa"/>
          </w:tcPr>
          <w:p w14:paraId="206E60E1" w14:textId="77777777" w:rsidR="005A5C14" w:rsidRPr="00257223" w:rsidRDefault="005A5C14" w:rsidP="00473B41">
            <w:pPr>
              <w:pStyle w:val="Tablecolhead8pt"/>
              <w:rPr>
                <w:b/>
                <w:bCs w:val="0"/>
                <w:color w:val="FFFFFF" w:themeColor="background1"/>
                <w:sz w:val="16"/>
              </w:rPr>
            </w:pPr>
            <w:r w:rsidRPr="00257223">
              <w:rPr>
                <w:b/>
                <w:bCs w:val="0"/>
                <w:color w:val="FFFFFF" w:themeColor="background1"/>
                <w:sz w:val="16"/>
              </w:rPr>
              <w:t xml:space="preserve">Health service </w:t>
            </w:r>
          </w:p>
        </w:tc>
        <w:tc>
          <w:tcPr>
            <w:tcW w:w="2693" w:type="dxa"/>
          </w:tcPr>
          <w:p w14:paraId="458761B1" w14:textId="7D6F13E1" w:rsidR="005A5C14" w:rsidRPr="00257223" w:rsidRDefault="005A5C14"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HAC NWAU value using NWAU24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c>
          <w:tcPr>
            <w:tcW w:w="2835" w:type="dxa"/>
          </w:tcPr>
          <w:p w14:paraId="75BBA7DA" w14:textId="14DB11F0" w:rsidR="005A5C14" w:rsidRPr="00257223" w:rsidRDefault="005A5C14"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HAC NWAU value using NWAU25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r>
      <w:tr w:rsidR="005A5C14" w:rsidRPr="00F1563C" w14:paraId="0A568F29"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tcPr>
          <w:p w14:paraId="5457A894" w14:textId="77777777" w:rsidR="005A5C14" w:rsidRPr="00AC68A2" w:rsidRDefault="005A5C14" w:rsidP="00545910">
            <w:pPr>
              <w:pStyle w:val="Tabletext8pt"/>
              <w:rPr>
                <w:rFonts w:eastAsia="Arial" w:cs="Arial"/>
                <w:b w:val="0"/>
                <w:sz w:val="16"/>
                <w:szCs w:val="16"/>
              </w:rPr>
            </w:pPr>
            <w:r w:rsidRPr="00AC68A2">
              <w:rPr>
                <w:b w:val="0"/>
                <w:sz w:val="16"/>
                <w:szCs w:val="16"/>
              </w:rPr>
              <w:t>Albury Wodonga Health</w:t>
            </w:r>
          </w:p>
        </w:tc>
        <w:tc>
          <w:tcPr>
            <w:tcW w:w="2693" w:type="dxa"/>
          </w:tcPr>
          <w:p w14:paraId="41EB1A2B"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44.0</w:t>
            </w:r>
          </w:p>
        </w:tc>
        <w:tc>
          <w:tcPr>
            <w:tcW w:w="2835" w:type="dxa"/>
          </w:tcPr>
          <w:p w14:paraId="7357CCB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36.5</w:t>
            </w:r>
          </w:p>
        </w:tc>
      </w:tr>
      <w:tr w:rsidR="005A5C14" w:rsidRPr="00F1563C" w14:paraId="0902F4A5"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5BECE5E" w14:textId="77777777" w:rsidR="005A5C14" w:rsidRPr="00AC68A2" w:rsidRDefault="005A5C14" w:rsidP="00545910">
            <w:pPr>
              <w:pStyle w:val="Tabletext8pt"/>
              <w:rPr>
                <w:rFonts w:eastAsia="Arial" w:cs="Arial"/>
                <w:b w:val="0"/>
                <w:sz w:val="16"/>
                <w:szCs w:val="16"/>
              </w:rPr>
            </w:pPr>
            <w:r w:rsidRPr="00AC68A2">
              <w:rPr>
                <w:b w:val="0"/>
                <w:sz w:val="16"/>
                <w:szCs w:val="16"/>
              </w:rPr>
              <w:t>Alfred Health</w:t>
            </w:r>
          </w:p>
        </w:tc>
        <w:tc>
          <w:tcPr>
            <w:tcW w:w="2693" w:type="dxa"/>
          </w:tcPr>
          <w:p w14:paraId="73FFC802"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2,533.9</w:t>
            </w:r>
          </w:p>
        </w:tc>
        <w:tc>
          <w:tcPr>
            <w:tcW w:w="2835" w:type="dxa"/>
          </w:tcPr>
          <w:p w14:paraId="36A8E91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2,506.5</w:t>
            </w:r>
          </w:p>
        </w:tc>
      </w:tr>
      <w:tr w:rsidR="005A5C14" w:rsidRPr="00F1563C" w14:paraId="4AED097E"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17016E3" w14:textId="77777777" w:rsidR="005A5C14" w:rsidRPr="00AC68A2" w:rsidRDefault="005A5C14" w:rsidP="00545910">
            <w:pPr>
              <w:pStyle w:val="Tabletext8pt"/>
              <w:rPr>
                <w:rFonts w:eastAsia="Arial" w:cs="Arial"/>
                <w:b w:val="0"/>
                <w:sz w:val="16"/>
                <w:szCs w:val="16"/>
              </w:rPr>
            </w:pPr>
            <w:r w:rsidRPr="00AC68A2">
              <w:rPr>
                <w:b w:val="0"/>
                <w:sz w:val="16"/>
                <w:szCs w:val="16"/>
              </w:rPr>
              <w:t>Austin Health</w:t>
            </w:r>
          </w:p>
        </w:tc>
        <w:tc>
          <w:tcPr>
            <w:tcW w:w="2693" w:type="dxa"/>
          </w:tcPr>
          <w:p w14:paraId="542ADE1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1,519.2</w:t>
            </w:r>
          </w:p>
        </w:tc>
        <w:tc>
          <w:tcPr>
            <w:tcW w:w="2835" w:type="dxa"/>
          </w:tcPr>
          <w:p w14:paraId="0B976AE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1,512.2</w:t>
            </w:r>
          </w:p>
        </w:tc>
      </w:tr>
      <w:tr w:rsidR="005A5C14" w:rsidRPr="00F1563C" w14:paraId="5D7A0692"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291FDFE" w14:textId="77777777" w:rsidR="005A5C14" w:rsidRPr="00AC68A2" w:rsidRDefault="005A5C14" w:rsidP="00545910">
            <w:pPr>
              <w:pStyle w:val="Tabletext8pt"/>
              <w:rPr>
                <w:rFonts w:eastAsia="Arial" w:cs="Arial"/>
                <w:b w:val="0"/>
                <w:sz w:val="16"/>
                <w:szCs w:val="16"/>
              </w:rPr>
            </w:pPr>
            <w:r w:rsidRPr="00AC68A2">
              <w:rPr>
                <w:b w:val="0"/>
                <w:sz w:val="16"/>
                <w:szCs w:val="16"/>
              </w:rPr>
              <w:t>Bairnsdale Regional Health Service</w:t>
            </w:r>
          </w:p>
        </w:tc>
        <w:tc>
          <w:tcPr>
            <w:tcW w:w="2693" w:type="dxa"/>
          </w:tcPr>
          <w:p w14:paraId="35C9BD3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77.2</w:t>
            </w:r>
          </w:p>
        </w:tc>
        <w:tc>
          <w:tcPr>
            <w:tcW w:w="2835" w:type="dxa"/>
          </w:tcPr>
          <w:p w14:paraId="176D76FA"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79.4</w:t>
            </w:r>
          </w:p>
        </w:tc>
      </w:tr>
      <w:tr w:rsidR="005A5C14" w:rsidRPr="00F1563C" w14:paraId="41584F42"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5B0042" w14:textId="77777777" w:rsidR="005A5C14" w:rsidRPr="00AC68A2" w:rsidRDefault="005A5C14" w:rsidP="00545910">
            <w:pPr>
              <w:pStyle w:val="Tabletext8pt"/>
              <w:rPr>
                <w:rFonts w:eastAsia="Arial" w:cs="Arial"/>
                <w:b w:val="0"/>
                <w:sz w:val="16"/>
                <w:szCs w:val="16"/>
              </w:rPr>
            </w:pPr>
            <w:r w:rsidRPr="00AC68A2">
              <w:rPr>
                <w:b w:val="0"/>
                <w:sz w:val="16"/>
                <w:szCs w:val="16"/>
              </w:rPr>
              <w:t>Barwon Health</w:t>
            </w:r>
          </w:p>
        </w:tc>
        <w:tc>
          <w:tcPr>
            <w:tcW w:w="2693" w:type="dxa"/>
          </w:tcPr>
          <w:p w14:paraId="1725A91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803.7</w:t>
            </w:r>
          </w:p>
        </w:tc>
        <w:tc>
          <w:tcPr>
            <w:tcW w:w="2835" w:type="dxa"/>
          </w:tcPr>
          <w:p w14:paraId="1AD3906C"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797.8</w:t>
            </w:r>
          </w:p>
        </w:tc>
      </w:tr>
      <w:tr w:rsidR="005A5C14" w:rsidRPr="00F1563C" w14:paraId="14E3369E"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3E57083" w14:textId="77777777" w:rsidR="005A5C14" w:rsidRPr="00AC68A2" w:rsidRDefault="005A5C14" w:rsidP="00545910">
            <w:pPr>
              <w:pStyle w:val="Tabletext8pt"/>
              <w:rPr>
                <w:rFonts w:eastAsia="Arial" w:cs="Arial"/>
                <w:b w:val="0"/>
                <w:sz w:val="16"/>
                <w:szCs w:val="16"/>
              </w:rPr>
            </w:pPr>
            <w:r w:rsidRPr="00AC68A2">
              <w:rPr>
                <w:b w:val="0"/>
                <w:sz w:val="16"/>
                <w:szCs w:val="16"/>
              </w:rPr>
              <w:t>Bass Coast Health</w:t>
            </w:r>
          </w:p>
        </w:tc>
        <w:tc>
          <w:tcPr>
            <w:tcW w:w="2693" w:type="dxa"/>
          </w:tcPr>
          <w:p w14:paraId="441A541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24.3</w:t>
            </w:r>
          </w:p>
        </w:tc>
        <w:tc>
          <w:tcPr>
            <w:tcW w:w="2835" w:type="dxa"/>
          </w:tcPr>
          <w:p w14:paraId="4119C68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25.4</w:t>
            </w:r>
          </w:p>
        </w:tc>
      </w:tr>
      <w:tr w:rsidR="005A5C14" w:rsidRPr="00F1563C" w14:paraId="6FA0BFA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BB2F6A1" w14:textId="77777777" w:rsidR="005A5C14" w:rsidRPr="00AC68A2" w:rsidRDefault="005A5C14" w:rsidP="00545910">
            <w:pPr>
              <w:pStyle w:val="Tabletext8pt"/>
              <w:rPr>
                <w:rFonts w:eastAsia="Arial" w:cs="Arial"/>
                <w:b w:val="0"/>
                <w:sz w:val="16"/>
                <w:szCs w:val="16"/>
              </w:rPr>
            </w:pPr>
            <w:r w:rsidRPr="00AC68A2">
              <w:rPr>
                <w:b w:val="0"/>
                <w:sz w:val="16"/>
                <w:szCs w:val="16"/>
              </w:rPr>
              <w:t>Benalla Health</w:t>
            </w:r>
          </w:p>
        </w:tc>
        <w:tc>
          <w:tcPr>
            <w:tcW w:w="2693" w:type="dxa"/>
          </w:tcPr>
          <w:p w14:paraId="4BAC774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5.3</w:t>
            </w:r>
          </w:p>
        </w:tc>
        <w:tc>
          <w:tcPr>
            <w:tcW w:w="2835" w:type="dxa"/>
          </w:tcPr>
          <w:p w14:paraId="32688AC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5.8</w:t>
            </w:r>
          </w:p>
        </w:tc>
      </w:tr>
      <w:tr w:rsidR="005A5C14" w:rsidRPr="00F1563C" w14:paraId="69D05221"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4E5F8FD" w14:textId="77777777" w:rsidR="005A5C14" w:rsidRPr="00AC68A2" w:rsidRDefault="005A5C14" w:rsidP="00545910">
            <w:pPr>
              <w:pStyle w:val="Tabletext8pt"/>
              <w:rPr>
                <w:rFonts w:eastAsia="Arial" w:cs="Arial"/>
                <w:b w:val="0"/>
                <w:sz w:val="16"/>
                <w:szCs w:val="16"/>
              </w:rPr>
            </w:pPr>
            <w:r w:rsidRPr="00AC68A2">
              <w:rPr>
                <w:b w:val="0"/>
                <w:sz w:val="16"/>
                <w:szCs w:val="16"/>
              </w:rPr>
              <w:t>Bendigo Health</w:t>
            </w:r>
          </w:p>
        </w:tc>
        <w:tc>
          <w:tcPr>
            <w:tcW w:w="2693" w:type="dxa"/>
          </w:tcPr>
          <w:p w14:paraId="058DAAC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291.7</w:t>
            </w:r>
          </w:p>
        </w:tc>
        <w:tc>
          <w:tcPr>
            <w:tcW w:w="2835" w:type="dxa"/>
          </w:tcPr>
          <w:p w14:paraId="26DC3B01"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298.5</w:t>
            </w:r>
          </w:p>
        </w:tc>
      </w:tr>
      <w:tr w:rsidR="005A5C14" w:rsidRPr="00F1563C" w14:paraId="34F978DA"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7EBA1BD" w14:textId="77777777" w:rsidR="005A5C14" w:rsidRPr="00AC68A2" w:rsidRDefault="005A5C14" w:rsidP="00545910">
            <w:pPr>
              <w:pStyle w:val="Tabletext8pt"/>
              <w:rPr>
                <w:rFonts w:eastAsia="Arial" w:cs="Arial"/>
                <w:b w:val="0"/>
                <w:sz w:val="16"/>
                <w:szCs w:val="16"/>
              </w:rPr>
            </w:pPr>
            <w:r w:rsidRPr="00AC68A2">
              <w:rPr>
                <w:b w:val="0"/>
                <w:sz w:val="16"/>
                <w:szCs w:val="16"/>
              </w:rPr>
              <w:t>Central Gippsland Health Service</w:t>
            </w:r>
          </w:p>
        </w:tc>
        <w:tc>
          <w:tcPr>
            <w:tcW w:w="2693" w:type="dxa"/>
          </w:tcPr>
          <w:p w14:paraId="25A8C32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37.0</w:t>
            </w:r>
          </w:p>
        </w:tc>
        <w:tc>
          <w:tcPr>
            <w:tcW w:w="2835" w:type="dxa"/>
          </w:tcPr>
          <w:p w14:paraId="5652790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37.7</w:t>
            </w:r>
          </w:p>
        </w:tc>
      </w:tr>
      <w:tr w:rsidR="005A5C14" w:rsidRPr="00F1563C" w14:paraId="28A28D7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19E1A56" w14:textId="77777777" w:rsidR="005A5C14" w:rsidRPr="00AC68A2" w:rsidRDefault="005A5C14" w:rsidP="00545910">
            <w:pPr>
              <w:pStyle w:val="Tabletext8pt"/>
              <w:rPr>
                <w:rFonts w:eastAsia="Arial" w:cs="Arial"/>
                <w:b w:val="0"/>
                <w:sz w:val="16"/>
                <w:szCs w:val="16"/>
              </w:rPr>
            </w:pPr>
            <w:r w:rsidRPr="00AC68A2">
              <w:rPr>
                <w:b w:val="0"/>
                <w:sz w:val="16"/>
                <w:szCs w:val="16"/>
              </w:rPr>
              <w:t>Colac Area Health</w:t>
            </w:r>
          </w:p>
        </w:tc>
        <w:tc>
          <w:tcPr>
            <w:tcW w:w="2693" w:type="dxa"/>
          </w:tcPr>
          <w:p w14:paraId="0965389A"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13.0</w:t>
            </w:r>
          </w:p>
        </w:tc>
        <w:tc>
          <w:tcPr>
            <w:tcW w:w="2835" w:type="dxa"/>
          </w:tcPr>
          <w:p w14:paraId="0B3919E1"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13.5</w:t>
            </w:r>
          </w:p>
        </w:tc>
      </w:tr>
      <w:tr w:rsidR="005A5C14" w:rsidRPr="00F1563C" w14:paraId="0E2FC4A8"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F1A58C2" w14:textId="77777777" w:rsidR="005A5C14" w:rsidRPr="00AC68A2" w:rsidRDefault="005A5C14" w:rsidP="00545910">
            <w:pPr>
              <w:pStyle w:val="Tabletext8pt"/>
              <w:rPr>
                <w:rFonts w:eastAsia="Arial" w:cs="Arial"/>
                <w:b w:val="0"/>
                <w:sz w:val="16"/>
                <w:szCs w:val="16"/>
              </w:rPr>
            </w:pPr>
            <w:r w:rsidRPr="00AC68A2">
              <w:rPr>
                <w:b w:val="0"/>
                <w:sz w:val="16"/>
                <w:szCs w:val="16"/>
              </w:rPr>
              <w:t>Dhelkaya Health</w:t>
            </w:r>
          </w:p>
        </w:tc>
        <w:tc>
          <w:tcPr>
            <w:tcW w:w="2693" w:type="dxa"/>
          </w:tcPr>
          <w:p w14:paraId="30CC09B5"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11.2</w:t>
            </w:r>
          </w:p>
        </w:tc>
        <w:tc>
          <w:tcPr>
            <w:tcW w:w="2835" w:type="dxa"/>
          </w:tcPr>
          <w:p w14:paraId="1E9D28B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12.1</w:t>
            </w:r>
          </w:p>
        </w:tc>
      </w:tr>
      <w:tr w:rsidR="005A5C14" w:rsidRPr="00F1563C" w14:paraId="3D92370B"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9982225" w14:textId="77777777" w:rsidR="005A5C14" w:rsidRPr="00AC68A2" w:rsidRDefault="005A5C14" w:rsidP="00545910">
            <w:pPr>
              <w:pStyle w:val="Tabletext8pt"/>
              <w:rPr>
                <w:rFonts w:eastAsia="Arial" w:cs="Arial"/>
                <w:b w:val="0"/>
                <w:sz w:val="16"/>
                <w:szCs w:val="16"/>
              </w:rPr>
            </w:pPr>
            <w:r w:rsidRPr="00AC68A2">
              <w:rPr>
                <w:b w:val="0"/>
                <w:sz w:val="16"/>
                <w:szCs w:val="16"/>
              </w:rPr>
              <w:t>East Grampians Health Service</w:t>
            </w:r>
          </w:p>
        </w:tc>
        <w:tc>
          <w:tcPr>
            <w:tcW w:w="2693" w:type="dxa"/>
          </w:tcPr>
          <w:p w14:paraId="3C62B95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w:t>
            </w:r>
          </w:p>
        </w:tc>
        <w:tc>
          <w:tcPr>
            <w:tcW w:w="2835" w:type="dxa"/>
          </w:tcPr>
          <w:p w14:paraId="326DE90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w:t>
            </w:r>
          </w:p>
        </w:tc>
      </w:tr>
      <w:tr w:rsidR="005A5C14" w:rsidRPr="00F1563C" w14:paraId="11E2EA14"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5677FD" w14:textId="77777777" w:rsidR="005A5C14" w:rsidRPr="00AC68A2" w:rsidRDefault="005A5C14" w:rsidP="00545910">
            <w:pPr>
              <w:pStyle w:val="Tabletext8pt"/>
              <w:rPr>
                <w:b w:val="0"/>
                <w:sz w:val="16"/>
                <w:szCs w:val="16"/>
              </w:rPr>
            </w:pPr>
            <w:r w:rsidRPr="00AC68A2">
              <w:rPr>
                <w:b w:val="0"/>
                <w:sz w:val="16"/>
                <w:szCs w:val="16"/>
              </w:rPr>
              <w:t>Eastern Health</w:t>
            </w:r>
          </w:p>
        </w:tc>
        <w:tc>
          <w:tcPr>
            <w:tcW w:w="2693" w:type="dxa"/>
          </w:tcPr>
          <w:p w14:paraId="6945FA5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1,095.3</w:t>
            </w:r>
          </w:p>
        </w:tc>
        <w:tc>
          <w:tcPr>
            <w:tcW w:w="2835" w:type="dxa"/>
          </w:tcPr>
          <w:p w14:paraId="3CA1450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1,115.7</w:t>
            </w:r>
          </w:p>
        </w:tc>
      </w:tr>
      <w:tr w:rsidR="005A5C14" w:rsidRPr="00F1563C" w14:paraId="4E9C9FF5"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93AB963" w14:textId="77777777" w:rsidR="005A5C14" w:rsidRPr="00AC68A2" w:rsidRDefault="005A5C14" w:rsidP="00545910">
            <w:pPr>
              <w:pStyle w:val="Tabletext8pt"/>
              <w:rPr>
                <w:b w:val="0"/>
                <w:sz w:val="16"/>
                <w:szCs w:val="16"/>
              </w:rPr>
            </w:pPr>
            <w:r w:rsidRPr="00AC68A2">
              <w:rPr>
                <w:b w:val="0"/>
                <w:sz w:val="16"/>
                <w:szCs w:val="16"/>
              </w:rPr>
              <w:t>Echuca Regional Health</w:t>
            </w:r>
          </w:p>
        </w:tc>
        <w:tc>
          <w:tcPr>
            <w:tcW w:w="2693" w:type="dxa"/>
          </w:tcPr>
          <w:p w14:paraId="6CE6E6A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36.1</w:t>
            </w:r>
          </w:p>
        </w:tc>
        <w:tc>
          <w:tcPr>
            <w:tcW w:w="2835" w:type="dxa"/>
          </w:tcPr>
          <w:p w14:paraId="712C6146"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39.4</w:t>
            </w:r>
          </w:p>
        </w:tc>
      </w:tr>
      <w:tr w:rsidR="005A5C14" w:rsidRPr="00F1563C" w14:paraId="7E40ABC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9B158A3" w14:textId="77777777" w:rsidR="005A5C14" w:rsidRPr="00AC68A2" w:rsidRDefault="005A5C14" w:rsidP="00545910">
            <w:pPr>
              <w:pStyle w:val="Tabletext8pt"/>
              <w:rPr>
                <w:b w:val="0"/>
                <w:sz w:val="16"/>
                <w:szCs w:val="16"/>
              </w:rPr>
            </w:pPr>
            <w:r w:rsidRPr="00AC68A2">
              <w:rPr>
                <w:b w:val="0"/>
                <w:sz w:val="16"/>
                <w:szCs w:val="16"/>
              </w:rPr>
              <w:t>Gippsland Southern Health Service</w:t>
            </w:r>
          </w:p>
        </w:tc>
        <w:tc>
          <w:tcPr>
            <w:tcW w:w="2693" w:type="dxa"/>
          </w:tcPr>
          <w:p w14:paraId="53A24ED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1.2</w:t>
            </w:r>
          </w:p>
        </w:tc>
        <w:tc>
          <w:tcPr>
            <w:tcW w:w="2835" w:type="dxa"/>
          </w:tcPr>
          <w:p w14:paraId="14B85279"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w:t>
            </w:r>
          </w:p>
        </w:tc>
      </w:tr>
      <w:tr w:rsidR="005A5C14" w:rsidRPr="00F1563C" w14:paraId="748D5B17"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20B81A9" w14:textId="77777777" w:rsidR="005A5C14" w:rsidRPr="00AC68A2" w:rsidRDefault="005A5C14" w:rsidP="00545910">
            <w:pPr>
              <w:pStyle w:val="Tabletext8pt"/>
              <w:rPr>
                <w:b w:val="0"/>
                <w:sz w:val="16"/>
                <w:szCs w:val="16"/>
              </w:rPr>
            </w:pPr>
            <w:r w:rsidRPr="00AC68A2">
              <w:rPr>
                <w:b w:val="0"/>
                <w:sz w:val="16"/>
                <w:szCs w:val="16"/>
              </w:rPr>
              <w:t>Goulburn Valley Health</w:t>
            </w:r>
          </w:p>
        </w:tc>
        <w:tc>
          <w:tcPr>
            <w:tcW w:w="2693" w:type="dxa"/>
          </w:tcPr>
          <w:p w14:paraId="5E79EE0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266.9</w:t>
            </w:r>
          </w:p>
        </w:tc>
        <w:tc>
          <w:tcPr>
            <w:tcW w:w="2835" w:type="dxa"/>
          </w:tcPr>
          <w:p w14:paraId="06AEA219"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216.5</w:t>
            </w:r>
          </w:p>
        </w:tc>
      </w:tr>
      <w:tr w:rsidR="005A5C14" w:rsidRPr="00F1563C" w14:paraId="68C36DE6"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DEC8288" w14:textId="77777777" w:rsidR="005A5C14" w:rsidRPr="00AC68A2" w:rsidRDefault="005A5C14" w:rsidP="00545910">
            <w:pPr>
              <w:pStyle w:val="Tabletext8pt"/>
              <w:rPr>
                <w:b w:val="0"/>
                <w:sz w:val="16"/>
                <w:szCs w:val="16"/>
              </w:rPr>
            </w:pPr>
            <w:r w:rsidRPr="00AC68A2">
              <w:rPr>
                <w:b w:val="0"/>
                <w:sz w:val="16"/>
                <w:szCs w:val="16"/>
              </w:rPr>
              <w:t>Grampians Health</w:t>
            </w:r>
          </w:p>
        </w:tc>
        <w:tc>
          <w:tcPr>
            <w:tcW w:w="2693" w:type="dxa"/>
          </w:tcPr>
          <w:p w14:paraId="25587AF1"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462.5</w:t>
            </w:r>
          </w:p>
        </w:tc>
        <w:tc>
          <w:tcPr>
            <w:tcW w:w="2835" w:type="dxa"/>
          </w:tcPr>
          <w:p w14:paraId="4E7139C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472.6</w:t>
            </w:r>
          </w:p>
        </w:tc>
      </w:tr>
      <w:tr w:rsidR="005A5C14" w:rsidRPr="00F1563C" w14:paraId="2103FA0C"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C5BF722" w14:textId="77777777" w:rsidR="005A5C14" w:rsidRPr="00AC68A2" w:rsidRDefault="005A5C14" w:rsidP="00545910">
            <w:pPr>
              <w:pStyle w:val="Tabletext8pt"/>
              <w:rPr>
                <w:b w:val="0"/>
                <w:sz w:val="16"/>
                <w:szCs w:val="16"/>
              </w:rPr>
            </w:pPr>
            <w:r w:rsidRPr="00AC68A2">
              <w:rPr>
                <w:b w:val="0"/>
                <w:sz w:val="16"/>
                <w:szCs w:val="16"/>
              </w:rPr>
              <w:t>Kyabram District Health Service</w:t>
            </w:r>
          </w:p>
        </w:tc>
        <w:tc>
          <w:tcPr>
            <w:tcW w:w="2693" w:type="dxa"/>
          </w:tcPr>
          <w:p w14:paraId="5F24A06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2.0</w:t>
            </w:r>
          </w:p>
        </w:tc>
        <w:tc>
          <w:tcPr>
            <w:tcW w:w="2835" w:type="dxa"/>
          </w:tcPr>
          <w:p w14:paraId="1B29789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w:t>
            </w:r>
          </w:p>
        </w:tc>
      </w:tr>
      <w:tr w:rsidR="005A5C14" w:rsidRPr="00F1563C" w14:paraId="12B867B2"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09C52E3" w14:textId="77777777" w:rsidR="005A5C14" w:rsidRPr="00AC68A2" w:rsidRDefault="005A5C14" w:rsidP="00545910">
            <w:pPr>
              <w:pStyle w:val="Tabletext8pt"/>
              <w:rPr>
                <w:b w:val="0"/>
                <w:sz w:val="16"/>
                <w:szCs w:val="16"/>
              </w:rPr>
            </w:pPr>
            <w:r w:rsidRPr="00AC68A2">
              <w:rPr>
                <w:b w:val="0"/>
                <w:sz w:val="16"/>
                <w:szCs w:val="16"/>
              </w:rPr>
              <w:t>Latrobe Regional Health</w:t>
            </w:r>
          </w:p>
        </w:tc>
        <w:tc>
          <w:tcPr>
            <w:tcW w:w="2693" w:type="dxa"/>
          </w:tcPr>
          <w:p w14:paraId="78248E9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295.2</w:t>
            </w:r>
          </w:p>
        </w:tc>
        <w:tc>
          <w:tcPr>
            <w:tcW w:w="2835" w:type="dxa"/>
          </w:tcPr>
          <w:p w14:paraId="2D7F965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299.5</w:t>
            </w:r>
          </w:p>
        </w:tc>
      </w:tr>
      <w:tr w:rsidR="005A5C14" w:rsidRPr="00F1563C" w14:paraId="66803A40"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76EDF72" w14:textId="77777777" w:rsidR="005A5C14" w:rsidRPr="00AC68A2" w:rsidRDefault="005A5C14" w:rsidP="00545910">
            <w:pPr>
              <w:pStyle w:val="Tabletext8pt"/>
              <w:rPr>
                <w:b w:val="0"/>
                <w:sz w:val="16"/>
                <w:szCs w:val="16"/>
              </w:rPr>
            </w:pPr>
            <w:r w:rsidRPr="00AC68A2">
              <w:rPr>
                <w:b w:val="0"/>
                <w:sz w:val="16"/>
                <w:szCs w:val="16"/>
              </w:rPr>
              <w:t>Maryborough District Health Service</w:t>
            </w:r>
          </w:p>
        </w:tc>
        <w:tc>
          <w:tcPr>
            <w:tcW w:w="2693" w:type="dxa"/>
          </w:tcPr>
          <w:p w14:paraId="037EF2B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8.2</w:t>
            </w:r>
          </w:p>
        </w:tc>
        <w:tc>
          <w:tcPr>
            <w:tcW w:w="2835" w:type="dxa"/>
          </w:tcPr>
          <w:p w14:paraId="3831B883"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8.2</w:t>
            </w:r>
          </w:p>
        </w:tc>
      </w:tr>
      <w:tr w:rsidR="005A5C14" w:rsidRPr="00F1563C" w14:paraId="324F0185"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047A016" w14:textId="77777777" w:rsidR="005A5C14" w:rsidRPr="00AC68A2" w:rsidRDefault="005A5C14" w:rsidP="00545910">
            <w:pPr>
              <w:pStyle w:val="Tabletext8pt"/>
              <w:rPr>
                <w:b w:val="0"/>
                <w:sz w:val="16"/>
                <w:szCs w:val="16"/>
              </w:rPr>
            </w:pPr>
            <w:r w:rsidRPr="00AC68A2">
              <w:rPr>
                <w:b w:val="0"/>
                <w:sz w:val="16"/>
                <w:szCs w:val="16"/>
              </w:rPr>
              <w:t>Melbourne Health</w:t>
            </w:r>
          </w:p>
        </w:tc>
        <w:tc>
          <w:tcPr>
            <w:tcW w:w="2693" w:type="dxa"/>
          </w:tcPr>
          <w:p w14:paraId="36D548FB"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1,345.0</w:t>
            </w:r>
          </w:p>
        </w:tc>
        <w:tc>
          <w:tcPr>
            <w:tcW w:w="2835" w:type="dxa"/>
          </w:tcPr>
          <w:p w14:paraId="2F5D889F"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1,391.6</w:t>
            </w:r>
          </w:p>
        </w:tc>
      </w:tr>
      <w:tr w:rsidR="005A5C14" w:rsidRPr="00F1563C" w14:paraId="0474708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BFA2947" w14:textId="77777777" w:rsidR="005A5C14" w:rsidRPr="00AC68A2" w:rsidRDefault="005A5C14" w:rsidP="00545910">
            <w:pPr>
              <w:pStyle w:val="Tabletext8pt"/>
              <w:rPr>
                <w:b w:val="0"/>
                <w:sz w:val="16"/>
                <w:szCs w:val="16"/>
              </w:rPr>
            </w:pPr>
            <w:r w:rsidRPr="00AC68A2">
              <w:rPr>
                <w:b w:val="0"/>
                <w:sz w:val="16"/>
                <w:szCs w:val="16"/>
              </w:rPr>
              <w:t>Mercy Hospitals Victoria Ltd</w:t>
            </w:r>
          </w:p>
        </w:tc>
        <w:tc>
          <w:tcPr>
            <w:tcW w:w="2693" w:type="dxa"/>
          </w:tcPr>
          <w:p w14:paraId="670E5A1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361.8</w:t>
            </w:r>
          </w:p>
        </w:tc>
        <w:tc>
          <w:tcPr>
            <w:tcW w:w="2835" w:type="dxa"/>
          </w:tcPr>
          <w:p w14:paraId="2CA3014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401.9</w:t>
            </w:r>
          </w:p>
        </w:tc>
      </w:tr>
      <w:tr w:rsidR="005A5C14" w:rsidRPr="00F1563C" w14:paraId="734ACF88"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20E01A7" w14:textId="77777777" w:rsidR="005A5C14" w:rsidRPr="00AC68A2" w:rsidRDefault="005A5C14" w:rsidP="00545910">
            <w:pPr>
              <w:pStyle w:val="Tabletext8pt"/>
              <w:rPr>
                <w:b w:val="0"/>
                <w:sz w:val="16"/>
                <w:szCs w:val="16"/>
              </w:rPr>
            </w:pPr>
            <w:r w:rsidRPr="00AC68A2">
              <w:rPr>
                <w:b w:val="0"/>
                <w:sz w:val="16"/>
                <w:szCs w:val="16"/>
              </w:rPr>
              <w:t>Mildura Base Public Hospital</w:t>
            </w:r>
          </w:p>
        </w:tc>
        <w:tc>
          <w:tcPr>
            <w:tcW w:w="2693" w:type="dxa"/>
          </w:tcPr>
          <w:p w14:paraId="6E621AE3"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145.6</w:t>
            </w:r>
          </w:p>
        </w:tc>
        <w:tc>
          <w:tcPr>
            <w:tcW w:w="2835" w:type="dxa"/>
          </w:tcPr>
          <w:p w14:paraId="44AE71A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147.0</w:t>
            </w:r>
          </w:p>
        </w:tc>
      </w:tr>
      <w:tr w:rsidR="005A5C14" w:rsidRPr="00F1563C" w14:paraId="088BD404"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80899A2" w14:textId="77777777" w:rsidR="005A5C14" w:rsidRPr="00AC68A2" w:rsidRDefault="005A5C14" w:rsidP="00545910">
            <w:pPr>
              <w:pStyle w:val="Tabletext8pt"/>
              <w:rPr>
                <w:b w:val="0"/>
                <w:sz w:val="16"/>
                <w:szCs w:val="16"/>
              </w:rPr>
            </w:pPr>
            <w:r w:rsidRPr="00AC68A2">
              <w:rPr>
                <w:b w:val="0"/>
                <w:sz w:val="16"/>
                <w:szCs w:val="16"/>
              </w:rPr>
              <w:t>Monash Health</w:t>
            </w:r>
          </w:p>
        </w:tc>
        <w:tc>
          <w:tcPr>
            <w:tcW w:w="2693" w:type="dxa"/>
          </w:tcPr>
          <w:p w14:paraId="1CFA8DD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2,214.4</w:t>
            </w:r>
          </w:p>
        </w:tc>
        <w:tc>
          <w:tcPr>
            <w:tcW w:w="2835" w:type="dxa"/>
          </w:tcPr>
          <w:p w14:paraId="531FDDC6"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2,102.0</w:t>
            </w:r>
          </w:p>
        </w:tc>
      </w:tr>
      <w:tr w:rsidR="005A5C14" w:rsidRPr="00F1563C" w14:paraId="5DC7243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751642F" w14:textId="77777777" w:rsidR="005A5C14" w:rsidRPr="00AC68A2" w:rsidRDefault="005A5C14" w:rsidP="00545910">
            <w:pPr>
              <w:pStyle w:val="Tabletext8pt"/>
              <w:rPr>
                <w:b w:val="0"/>
                <w:sz w:val="16"/>
                <w:szCs w:val="16"/>
              </w:rPr>
            </w:pPr>
            <w:r w:rsidRPr="00AC68A2">
              <w:rPr>
                <w:b w:val="0"/>
                <w:sz w:val="16"/>
                <w:szCs w:val="16"/>
              </w:rPr>
              <w:t>Northeast Health Wangaratta</w:t>
            </w:r>
          </w:p>
        </w:tc>
        <w:tc>
          <w:tcPr>
            <w:tcW w:w="2693" w:type="dxa"/>
          </w:tcPr>
          <w:p w14:paraId="087D4AE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134.7</w:t>
            </w:r>
          </w:p>
        </w:tc>
        <w:tc>
          <w:tcPr>
            <w:tcW w:w="2835" w:type="dxa"/>
          </w:tcPr>
          <w:p w14:paraId="49AF1BB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91.8</w:t>
            </w:r>
          </w:p>
        </w:tc>
      </w:tr>
      <w:tr w:rsidR="005A5C14" w:rsidRPr="00F1563C" w14:paraId="73B81F12"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BC5C2BA" w14:textId="77777777" w:rsidR="005A5C14" w:rsidRPr="00AC68A2" w:rsidRDefault="005A5C14" w:rsidP="00545910">
            <w:pPr>
              <w:pStyle w:val="Tabletext8pt"/>
              <w:rPr>
                <w:b w:val="0"/>
                <w:sz w:val="16"/>
                <w:szCs w:val="16"/>
              </w:rPr>
            </w:pPr>
            <w:r w:rsidRPr="00AC68A2">
              <w:rPr>
                <w:b w:val="0"/>
                <w:sz w:val="16"/>
                <w:szCs w:val="16"/>
              </w:rPr>
              <w:t>Northern Health</w:t>
            </w:r>
          </w:p>
        </w:tc>
        <w:tc>
          <w:tcPr>
            <w:tcW w:w="2693" w:type="dxa"/>
          </w:tcPr>
          <w:p w14:paraId="2CCC248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689.3</w:t>
            </w:r>
          </w:p>
        </w:tc>
        <w:tc>
          <w:tcPr>
            <w:tcW w:w="2835" w:type="dxa"/>
          </w:tcPr>
          <w:p w14:paraId="2EA10E8E"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675.9</w:t>
            </w:r>
          </w:p>
        </w:tc>
      </w:tr>
      <w:tr w:rsidR="005A5C14" w:rsidRPr="00F1563C" w14:paraId="183E4887"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98CEC4C" w14:textId="77777777" w:rsidR="005A5C14" w:rsidRPr="00AC68A2" w:rsidRDefault="005A5C14" w:rsidP="00545910">
            <w:pPr>
              <w:pStyle w:val="Tabletext8pt"/>
              <w:rPr>
                <w:b w:val="0"/>
                <w:sz w:val="16"/>
                <w:szCs w:val="16"/>
              </w:rPr>
            </w:pPr>
            <w:r w:rsidRPr="00AC68A2">
              <w:rPr>
                <w:b w:val="0"/>
                <w:sz w:val="16"/>
                <w:szCs w:val="16"/>
              </w:rPr>
              <w:t>Peninsula Health</w:t>
            </w:r>
          </w:p>
        </w:tc>
        <w:tc>
          <w:tcPr>
            <w:tcW w:w="2693" w:type="dxa"/>
          </w:tcPr>
          <w:p w14:paraId="2E521C11"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749.6</w:t>
            </w:r>
          </w:p>
        </w:tc>
        <w:tc>
          <w:tcPr>
            <w:tcW w:w="2835" w:type="dxa"/>
          </w:tcPr>
          <w:p w14:paraId="1F0B86C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759.7</w:t>
            </w:r>
          </w:p>
        </w:tc>
      </w:tr>
      <w:tr w:rsidR="005A5C14" w:rsidRPr="00F1563C" w14:paraId="7119DEBD"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8711A6B" w14:textId="77777777" w:rsidR="005A5C14" w:rsidRPr="00AC68A2" w:rsidRDefault="005A5C14" w:rsidP="00545910">
            <w:pPr>
              <w:pStyle w:val="Tabletext8pt"/>
              <w:rPr>
                <w:b w:val="0"/>
                <w:sz w:val="16"/>
                <w:szCs w:val="16"/>
              </w:rPr>
            </w:pPr>
            <w:r w:rsidRPr="00AC68A2">
              <w:rPr>
                <w:b w:val="0"/>
                <w:sz w:val="16"/>
                <w:szCs w:val="16"/>
              </w:rPr>
              <w:t>Peter MacCallum Cancer Institute</w:t>
            </w:r>
          </w:p>
        </w:tc>
        <w:tc>
          <w:tcPr>
            <w:tcW w:w="2693" w:type="dxa"/>
          </w:tcPr>
          <w:p w14:paraId="160F3744"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267.9</w:t>
            </w:r>
          </w:p>
        </w:tc>
        <w:tc>
          <w:tcPr>
            <w:tcW w:w="2835" w:type="dxa"/>
          </w:tcPr>
          <w:p w14:paraId="60C7EE9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223.1</w:t>
            </w:r>
          </w:p>
        </w:tc>
      </w:tr>
      <w:tr w:rsidR="005A5C14" w:rsidRPr="00F1563C" w14:paraId="4E1F9B35"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82F379" w14:textId="77777777" w:rsidR="005A5C14" w:rsidRPr="00AC68A2" w:rsidRDefault="005A5C14" w:rsidP="00545910">
            <w:pPr>
              <w:pStyle w:val="Tabletext8pt"/>
              <w:rPr>
                <w:b w:val="0"/>
                <w:sz w:val="16"/>
                <w:szCs w:val="16"/>
              </w:rPr>
            </w:pPr>
            <w:r w:rsidRPr="00AC68A2">
              <w:rPr>
                <w:b w:val="0"/>
                <w:sz w:val="16"/>
                <w:szCs w:val="16"/>
              </w:rPr>
              <w:t>Portland District Health</w:t>
            </w:r>
          </w:p>
        </w:tc>
        <w:tc>
          <w:tcPr>
            <w:tcW w:w="2693" w:type="dxa"/>
          </w:tcPr>
          <w:p w14:paraId="22C3115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26.9</w:t>
            </w:r>
          </w:p>
        </w:tc>
        <w:tc>
          <w:tcPr>
            <w:tcW w:w="2835" w:type="dxa"/>
          </w:tcPr>
          <w:p w14:paraId="307D3323"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27.0</w:t>
            </w:r>
          </w:p>
        </w:tc>
      </w:tr>
      <w:tr w:rsidR="005A5C14" w:rsidRPr="00F1563C" w14:paraId="29A6E83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9223C3" w14:textId="77777777" w:rsidR="005A5C14" w:rsidRPr="00AC68A2" w:rsidRDefault="005A5C14" w:rsidP="00545910">
            <w:pPr>
              <w:pStyle w:val="Tabletext8pt"/>
              <w:rPr>
                <w:b w:val="0"/>
                <w:sz w:val="16"/>
                <w:szCs w:val="16"/>
              </w:rPr>
            </w:pPr>
            <w:r w:rsidRPr="00AC68A2">
              <w:rPr>
                <w:b w:val="0"/>
                <w:sz w:val="16"/>
                <w:szCs w:val="16"/>
              </w:rPr>
              <w:t>Royal Children’s Hospital</w:t>
            </w:r>
          </w:p>
        </w:tc>
        <w:tc>
          <w:tcPr>
            <w:tcW w:w="2693" w:type="dxa"/>
          </w:tcPr>
          <w:p w14:paraId="5A72ABB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1,054.2</w:t>
            </w:r>
          </w:p>
        </w:tc>
        <w:tc>
          <w:tcPr>
            <w:tcW w:w="2835" w:type="dxa"/>
          </w:tcPr>
          <w:p w14:paraId="7C321D9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1,169.2</w:t>
            </w:r>
          </w:p>
        </w:tc>
      </w:tr>
      <w:tr w:rsidR="005A5C14" w:rsidRPr="00F1563C" w14:paraId="672C43A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327CAF9" w14:textId="01C82D79" w:rsidR="005A5C14" w:rsidRPr="00AC68A2" w:rsidRDefault="005A5C14" w:rsidP="00545910">
            <w:pPr>
              <w:pStyle w:val="Tabletext8pt"/>
              <w:rPr>
                <w:b w:val="0"/>
                <w:sz w:val="16"/>
                <w:szCs w:val="16"/>
              </w:rPr>
            </w:pPr>
            <w:r w:rsidRPr="00AC68A2">
              <w:rPr>
                <w:b w:val="0"/>
                <w:sz w:val="16"/>
                <w:szCs w:val="16"/>
              </w:rPr>
              <w:t xml:space="preserve">Royal Victorian Eye </w:t>
            </w:r>
            <w:r w:rsidR="00DC7E40" w:rsidRPr="00AC68A2">
              <w:rPr>
                <w:b w:val="0"/>
                <w:sz w:val="16"/>
                <w:szCs w:val="16"/>
              </w:rPr>
              <w:t xml:space="preserve">and </w:t>
            </w:r>
            <w:r w:rsidRPr="00AC68A2">
              <w:rPr>
                <w:b w:val="0"/>
                <w:sz w:val="16"/>
                <w:szCs w:val="16"/>
              </w:rPr>
              <w:t>Ear Hospital</w:t>
            </w:r>
          </w:p>
        </w:tc>
        <w:tc>
          <w:tcPr>
            <w:tcW w:w="2693" w:type="dxa"/>
          </w:tcPr>
          <w:p w14:paraId="28A2540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3.8</w:t>
            </w:r>
          </w:p>
        </w:tc>
        <w:tc>
          <w:tcPr>
            <w:tcW w:w="2835" w:type="dxa"/>
          </w:tcPr>
          <w:p w14:paraId="767E526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w:t>
            </w:r>
          </w:p>
        </w:tc>
      </w:tr>
      <w:tr w:rsidR="005A5C14" w:rsidRPr="00F1563C" w14:paraId="0D7B5E28"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82C892E" w14:textId="77777777" w:rsidR="005A5C14" w:rsidRPr="00AC68A2" w:rsidRDefault="005A5C14" w:rsidP="00545910">
            <w:pPr>
              <w:pStyle w:val="Tabletext8pt"/>
              <w:rPr>
                <w:b w:val="0"/>
                <w:sz w:val="16"/>
                <w:szCs w:val="16"/>
              </w:rPr>
            </w:pPr>
            <w:r w:rsidRPr="00AC68A2">
              <w:rPr>
                <w:b w:val="0"/>
                <w:sz w:val="16"/>
                <w:szCs w:val="16"/>
              </w:rPr>
              <w:t>Royal Women’s Hospital</w:t>
            </w:r>
          </w:p>
        </w:tc>
        <w:tc>
          <w:tcPr>
            <w:tcW w:w="2693" w:type="dxa"/>
          </w:tcPr>
          <w:p w14:paraId="4F977AE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109.6</w:t>
            </w:r>
          </w:p>
        </w:tc>
        <w:tc>
          <w:tcPr>
            <w:tcW w:w="2835" w:type="dxa"/>
          </w:tcPr>
          <w:p w14:paraId="0153F8C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130.3</w:t>
            </w:r>
          </w:p>
        </w:tc>
      </w:tr>
      <w:tr w:rsidR="005A5C14" w:rsidRPr="00F1563C" w14:paraId="15A72D8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0D7EE09" w14:textId="77777777" w:rsidR="005A5C14" w:rsidRPr="00AC68A2" w:rsidRDefault="005A5C14" w:rsidP="00545910">
            <w:pPr>
              <w:pStyle w:val="Tabletext8pt"/>
              <w:rPr>
                <w:b w:val="0"/>
                <w:sz w:val="16"/>
                <w:szCs w:val="16"/>
              </w:rPr>
            </w:pPr>
            <w:r w:rsidRPr="00AC68A2">
              <w:rPr>
                <w:b w:val="0"/>
                <w:sz w:val="16"/>
                <w:szCs w:val="16"/>
              </w:rPr>
              <w:t>South West Healthcare</w:t>
            </w:r>
          </w:p>
        </w:tc>
        <w:tc>
          <w:tcPr>
            <w:tcW w:w="2693" w:type="dxa"/>
          </w:tcPr>
          <w:p w14:paraId="06D3BBE2"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146.1</w:t>
            </w:r>
          </w:p>
        </w:tc>
        <w:tc>
          <w:tcPr>
            <w:tcW w:w="2835" w:type="dxa"/>
          </w:tcPr>
          <w:p w14:paraId="03DB786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147.9</w:t>
            </w:r>
          </w:p>
        </w:tc>
      </w:tr>
      <w:tr w:rsidR="005A5C14" w:rsidRPr="00F1563C" w14:paraId="470C3138"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98AAEFF" w14:textId="74B06167" w:rsidR="005A5C14" w:rsidRPr="00AC68A2" w:rsidRDefault="005A5C14" w:rsidP="00545910">
            <w:pPr>
              <w:pStyle w:val="Tabletext8pt"/>
              <w:rPr>
                <w:b w:val="0"/>
                <w:sz w:val="16"/>
                <w:szCs w:val="16"/>
              </w:rPr>
            </w:pPr>
            <w:r w:rsidRPr="00AC68A2">
              <w:rPr>
                <w:b w:val="0"/>
                <w:sz w:val="16"/>
                <w:szCs w:val="16"/>
              </w:rPr>
              <w:t>St Vincent</w:t>
            </w:r>
            <w:r w:rsidR="00DC7E40" w:rsidRPr="00AC68A2">
              <w:rPr>
                <w:b w:val="0"/>
                <w:sz w:val="16"/>
                <w:szCs w:val="16"/>
              </w:rPr>
              <w:t>’</w:t>
            </w:r>
            <w:r w:rsidRPr="00AC68A2">
              <w:rPr>
                <w:b w:val="0"/>
                <w:sz w:val="16"/>
                <w:szCs w:val="16"/>
              </w:rPr>
              <w:t>s Health</w:t>
            </w:r>
          </w:p>
        </w:tc>
        <w:tc>
          <w:tcPr>
            <w:tcW w:w="2693" w:type="dxa"/>
          </w:tcPr>
          <w:p w14:paraId="68683863"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927.7</w:t>
            </w:r>
          </w:p>
        </w:tc>
        <w:tc>
          <w:tcPr>
            <w:tcW w:w="2835" w:type="dxa"/>
          </w:tcPr>
          <w:p w14:paraId="0148204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927.2</w:t>
            </w:r>
          </w:p>
        </w:tc>
      </w:tr>
      <w:tr w:rsidR="005A5C14" w:rsidRPr="00F1563C" w14:paraId="717F3677"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9C905DD" w14:textId="77777777" w:rsidR="005A5C14" w:rsidRPr="00AC68A2" w:rsidRDefault="005A5C14" w:rsidP="00545910">
            <w:pPr>
              <w:pStyle w:val="Tabletext8pt"/>
              <w:rPr>
                <w:b w:val="0"/>
                <w:sz w:val="16"/>
                <w:szCs w:val="16"/>
              </w:rPr>
            </w:pPr>
            <w:r w:rsidRPr="00AC68A2">
              <w:rPr>
                <w:b w:val="0"/>
                <w:sz w:val="16"/>
                <w:szCs w:val="16"/>
              </w:rPr>
              <w:t>Swan Hill District Health</w:t>
            </w:r>
          </w:p>
        </w:tc>
        <w:tc>
          <w:tcPr>
            <w:tcW w:w="2693" w:type="dxa"/>
          </w:tcPr>
          <w:p w14:paraId="6FF2D06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7.7</w:t>
            </w:r>
          </w:p>
        </w:tc>
        <w:tc>
          <w:tcPr>
            <w:tcW w:w="2835" w:type="dxa"/>
          </w:tcPr>
          <w:p w14:paraId="513175C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9.6</w:t>
            </w:r>
          </w:p>
        </w:tc>
      </w:tr>
      <w:tr w:rsidR="005A5C14" w:rsidRPr="00F1563C" w14:paraId="619D2680"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8596CC4" w14:textId="77777777" w:rsidR="005A5C14" w:rsidRPr="00AC68A2" w:rsidRDefault="005A5C14" w:rsidP="00545910">
            <w:pPr>
              <w:pStyle w:val="Tabletext8pt"/>
              <w:rPr>
                <w:b w:val="0"/>
                <w:sz w:val="16"/>
                <w:szCs w:val="16"/>
              </w:rPr>
            </w:pPr>
            <w:r w:rsidRPr="00AC68A2">
              <w:rPr>
                <w:b w:val="0"/>
                <w:sz w:val="16"/>
                <w:szCs w:val="16"/>
              </w:rPr>
              <w:t>West Gippsland Healthcare Group</w:t>
            </w:r>
          </w:p>
        </w:tc>
        <w:tc>
          <w:tcPr>
            <w:tcW w:w="2693" w:type="dxa"/>
          </w:tcPr>
          <w:p w14:paraId="59AE66A8"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42.8</w:t>
            </w:r>
          </w:p>
        </w:tc>
        <w:tc>
          <w:tcPr>
            <w:tcW w:w="2835" w:type="dxa"/>
          </w:tcPr>
          <w:p w14:paraId="12A5118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41.6</w:t>
            </w:r>
          </w:p>
        </w:tc>
      </w:tr>
      <w:tr w:rsidR="005A5C14" w:rsidRPr="00F1563C" w14:paraId="701C48A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4DAF5E2" w14:textId="77777777" w:rsidR="005A5C14" w:rsidRPr="00AC68A2" w:rsidRDefault="005A5C14" w:rsidP="00545910">
            <w:pPr>
              <w:pStyle w:val="Tabletext8pt"/>
              <w:rPr>
                <w:b w:val="0"/>
                <w:sz w:val="16"/>
                <w:szCs w:val="16"/>
              </w:rPr>
            </w:pPr>
            <w:r w:rsidRPr="00AC68A2">
              <w:rPr>
                <w:b w:val="0"/>
                <w:sz w:val="16"/>
                <w:szCs w:val="16"/>
              </w:rPr>
              <w:t>Western District Health Service</w:t>
            </w:r>
          </w:p>
        </w:tc>
        <w:tc>
          <w:tcPr>
            <w:tcW w:w="2693" w:type="dxa"/>
          </w:tcPr>
          <w:p w14:paraId="3F17C2D5"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13.8</w:t>
            </w:r>
          </w:p>
        </w:tc>
        <w:tc>
          <w:tcPr>
            <w:tcW w:w="2835" w:type="dxa"/>
          </w:tcPr>
          <w:p w14:paraId="0D9A362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14.5</w:t>
            </w:r>
          </w:p>
        </w:tc>
      </w:tr>
      <w:tr w:rsidR="005A5C14" w:rsidRPr="00F1563C" w14:paraId="334FFC2C"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1C7B13" w14:textId="77777777" w:rsidR="005A5C14" w:rsidRPr="00AC68A2" w:rsidRDefault="005A5C14" w:rsidP="00545910">
            <w:pPr>
              <w:pStyle w:val="Tabletext8pt"/>
              <w:rPr>
                <w:b w:val="0"/>
                <w:sz w:val="16"/>
                <w:szCs w:val="16"/>
              </w:rPr>
            </w:pPr>
            <w:r w:rsidRPr="00AC68A2">
              <w:rPr>
                <w:b w:val="0"/>
                <w:sz w:val="16"/>
                <w:szCs w:val="16"/>
              </w:rPr>
              <w:t>Western Health</w:t>
            </w:r>
          </w:p>
        </w:tc>
        <w:tc>
          <w:tcPr>
            <w:tcW w:w="2693" w:type="dxa"/>
          </w:tcPr>
          <w:p w14:paraId="47AA4F29"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1,024.9</w:t>
            </w:r>
          </w:p>
        </w:tc>
        <w:tc>
          <w:tcPr>
            <w:tcW w:w="2835" w:type="dxa"/>
          </w:tcPr>
          <w:p w14:paraId="6BABA7C4"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1,046.5</w:t>
            </w:r>
          </w:p>
        </w:tc>
      </w:tr>
      <w:tr w:rsidR="005A5C14" w:rsidRPr="00F1563C" w14:paraId="11C91DB3"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E89E21A" w14:textId="77777777" w:rsidR="005A5C14" w:rsidRPr="00AC68A2" w:rsidRDefault="005A5C14" w:rsidP="00545910">
            <w:pPr>
              <w:pStyle w:val="Tabletext8pt"/>
              <w:rPr>
                <w:b w:val="0"/>
                <w:sz w:val="16"/>
                <w:szCs w:val="16"/>
              </w:rPr>
            </w:pPr>
            <w:r w:rsidRPr="00AC68A2">
              <w:rPr>
                <w:b w:val="0"/>
                <w:sz w:val="16"/>
                <w:szCs w:val="16"/>
              </w:rPr>
              <w:t>Total</w:t>
            </w:r>
          </w:p>
        </w:tc>
        <w:tc>
          <w:tcPr>
            <w:tcW w:w="2693" w:type="dxa"/>
          </w:tcPr>
          <w:p w14:paraId="2AB3C92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16,797.6</w:t>
            </w:r>
          </w:p>
        </w:tc>
        <w:tc>
          <w:tcPr>
            <w:tcW w:w="2835" w:type="dxa"/>
          </w:tcPr>
          <w:p w14:paraId="4E3992FF"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16,795.4</w:t>
            </w:r>
          </w:p>
        </w:tc>
      </w:tr>
    </w:tbl>
    <w:p w14:paraId="7DC275C2" w14:textId="4BC7F4DC" w:rsidR="004B2821" w:rsidRDefault="004B2821" w:rsidP="004537E5">
      <w:pPr>
        <w:pStyle w:val="Heading3"/>
        <w:numPr>
          <w:ilvl w:val="2"/>
          <w:numId w:val="12"/>
        </w:numPr>
      </w:pPr>
      <w:r>
        <w:t xml:space="preserve">Indicative </w:t>
      </w:r>
      <w:r w:rsidR="00D252AC">
        <w:t>AH</w:t>
      </w:r>
      <w:r>
        <w:t>R base NWAU adjustment 202</w:t>
      </w:r>
      <w:r w:rsidR="000C0EF6">
        <w:t>4</w:t>
      </w:r>
      <w:r>
        <w:t>–2</w:t>
      </w:r>
      <w:r w:rsidR="000C0EF6">
        <w:t>5</w:t>
      </w:r>
      <w:r>
        <w:t xml:space="preserve"> for the purpose of </w:t>
      </w:r>
      <w:r w:rsidRPr="00295CB9">
        <w:t>calculating</w:t>
      </w:r>
      <w:r>
        <w:t xml:space="preserve"> annual growth in 202</w:t>
      </w:r>
      <w:r w:rsidR="000C0EF6">
        <w:t>5</w:t>
      </w:r>
      <w:r>
        <w:t>–2</w:t>
      </w:r>
      <w:r w:rsidR="000C0EF6">
        <w:t>6</w:t>
      </w:r>
    </w:p>
    <w:p w14:paraId="4447FF47" w14:textId="2F333808" w:rsidR="00A00F44" w:rsidRDefault="00A00F44" w:rsidP="00A00F44">
      <w:pPr>
        <w:pStyle w:val="Tablecaption"/>
      </w:pPr>
      <w:bookmarkStart w:id="2530" w:name="_Toc201148598"/>
      <w:r w:rsidRPr="000C3C4F">
        <w:t xml:space="preserve">Table </w:t>
      </w:r>
      <w:r>
        <w:t>2.</w:t>
      </w:r>
      <w:r>
        <w:fldChar w:fldCharType="begin"/>
      </w:r>
      <w:r>
        <w:instrText>SEQ Table \* ARABIC \s 1</w:instrText>
      </w:r>
      <w:r>
        <w:fldChar w:fldCharType="separate"/>
      </w:r>
      <w:r w:rsidR="007D262B">
        <w:rPr>
          <w:noProof/>
        </w:rPr>
        <w:t>12</w:t>
      </w:r>
      <w:r>
        <w:fldChar w:fldCharType="end"/>
      </w:r>
      <w:r w:rsidRPr="000C3C4F">
        <w:t xml:space="preserve">: Indicative </w:t>
      </w:r>
      <w:r w:rsidR="00720665">
        <w:t xml:space="preserve">baseline </w:t>
      </w:r>
      <w:r w:rsidRPr="000C3C4F">
        <w:t>NWAU adjustment</w:t>
      </w:r>
      <w:r w:rsidR="00720665">
        <w:t xml:space="preserve"> in 2025–26</w:t>
      </w:r>
      <w:r w:rsidR="00051FFE">
        <w:t xml:space="preserve"> </w:t>
      </w:r>
      <w:r w:rsidR="00720665">
        <w:t>for AHR</w:t>
      </w:r>
      <w:bookmarkEnd w:id="2530"/>
    </w:p>
    <w:tbl>
      <w:tblPr>
        <w:tblStyle w:val="GridTable4-Accent1"/>
        <w:tblW w:w="8788" w:type="dxa"/>
        <w:tblLayout w:type="fixed"/>
        <w:tblLook w:val="04A0" w:firstRow="1" w:lastRow="0" w:firstColumn="1" w:lastColumn="0" w:noHBand="0" w:noVBand="1"/>
      </w:tblPr>
      <w:tblGrid>
        <w:gridCol w:w="3175"/>
        <w:gridCol w:w="2778"/>
        <w:gridCol w:w="2835"/>
      </w:tblGrid>
      <w:tr w:rsidR="00E93A6F" w:rsidRPr="00282C46" w14:paraId="12DDA899" w14:textId="77777777" w:rsidTr="00AF034B">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175" w:type="dxa"/>
          </w:tcPr>
          <w:p w14:paraId="06BD1C2C" w14:textId="77777777" w:rsidR="00E93A6F" w:rsidRPr="00257223" w:rsidRDefault="00E93A6F" w:rsidP="00473B41">
            <w:pPr>
              <w:pStyle w:val="Tablecolhead8pt"/>
              <w:rPr>
                <w:b/>
                <w:bCs w:val="0"/>
                <w:color w:val="FFFFFF" w:themeColor="background1"/>
                <w:sz w:val="16"/>
              </w:rPr>
            </w:pPr>
            <w:r w:rsidRPr="00257223">
              <w:rPr>
                <w:b/>
                <w:bCs w:val="0"/>
                <w:color w:val="FFFFFF" w:themeColor="background1"/>
                <w:sz w:val="16"/>
              </w:rPr>
              <w:t xml:space="preserve">Health service </w:t>
            </w:r>
          </w:p>
        </w:tc>
        <w:tc>
          <w:tcPr>
            <w:tcW w:w="2778" w:type="dxa"/>
          </w:tcPr>
          <w:p w14:paraId="1FEE6C73" w14:textId="4CCBB90E" w:rsidR="00E93A6F" w:rsidRPr="00257223" w:rsidRDefault="00E93A6F"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AHR NWAU value using NWAU24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 xml:space="preserve">25 activity  </w:t>
            </w:r>
          </w:p>
        </w:tc>
        <w:tc>
          <w:tcPr>
            <w:tcW w:w="2835" w:type="dxa"/>
          </w:tcPr>
          <w:p w14:paraId="18C32E8D" w14:textId="650A5EA0" w:rsidR="00E93A6F" w:rsidRPr="00257223" w:rsidRDefault="00E93A6F"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AHR NWAU value using NWAU25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r>
      <w:tr w:rsidR="00E93A6F" w:rsidRPr="00304B00" w14:paraId="76903C10" w14:textId="77777777" w:rsidTr="00AF0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dxa"/>
          </w:tcPr>
          <w:p w14:paraId="5C99B319"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Albury Wodonga Health</w:t>
            </w:r>
          </w:p>
        </w:tc>
        <w:tc>
          <w:tcPr>
            <w:tcW w:w="2778" w:type="dxa"/>
          </w:tcPr>
          <w:p w14:paraId="0F78A4C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23.2</w:t>
            </w:r>
          </w:p>
        </w:tc>
        <w:tc>
          <w:tcPr>
            <w:tcW w:w="2835" w:type="dxa"/>
          </w:tcPr>
          <w:p w14:paraId="2256CA0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27.0</w:t>
            </w:r>
          </w:p>
        </w:tc>
      </w:tr>
      <w:tr w:rsidR="00E93A6F" w:rsidRPr="00304B00" w14:paraId="04B19A3A"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65D1864"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Alfred Health</w:t>
            </w:r>
          </w:p>
        </w:tc>
        <w:tc>
          <w:tcPr>
            <w:tcW w:w="2778" w:type="dxa"/>
          </w:tcPr>
          <w:p w14:paraId="0C7D816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1,048.9</w:t>
            </w:r>
          </w:p>
        </w:tc>
        <w:tc>
          <w:tcPr>
            <w:tcW w:w="2835" w:type="dxa"/>
          </w:tcPr>
          <w:p w14:paraId="45DB2F4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955.7</w:t>
            </w:r>
          </w:p>
        </w:tc>
      </w:tr>
      <w:tr w:rsidR="00E93A6F" w:rsidRPr="00304B00" w14:paraId="4C284030"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C7657F9"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Austin Health</w:t>
            </w:r>
          </w:p>
        </w:tc>
        <w:tc>
          <w:tcPr>
            <w:tcW w:w="2778" w:type="dxa"/>
          </w:tcPr>
          <w:p w14:paraId="5319A81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799.1</w:t>
            </w:r>
          </w:p>
        </w:tc>
        <w:tc>
          <w:tcPr>
            <w:tcW w:w="2835" w:type="dxa"/>
          </w:tcPr>
          <w:p w14:paraId="1A51B8B9"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745.5</w:t>
            </w:r>
          </w:p>
        </w:tc>
      </w:tr>
      <w:tr w:rsidR="00E93A6F" w:rsidRPr="00304B00" w14:paraId="4884506E"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F334702"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Bairnsdale Regional Health Service</w:t>
            </w:r>
          </w:p>
        </w:tc>
        <w:tc>
          <w:tcPr>
            <w:tcW w:w="2778" w:type="dxa"/>
          </w:tcPr>
          <w:p w14:paraId="2D37DBD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140.4</w:t>
            </w:r>
          </w:p>
        </w:tc>
        <w:tc>
          <w:tcPr>
            <w:tcW w:w="2835" w:type="dxa"/>
          </w:tcPr>
          <w:p w14:paraId="52F97ED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132.7</w:t>
            </w:r>
          </w:p>
        </w:tc>
      </w:tr>
      <w:tr w:rsidR="00E93A6F" w:rsidRPr="00304B00" w14:paraId="2962C29D"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70E60A2"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Barwon Health</w:t>
            </w:r>
          </w:p>
        </w:tc>
        <w:tc>
          <w:tcPr>
            <w:tcW w:w="2778" w:type="dxa"/>
          </w:tcPr>
          <w:p w14:paraId="1D9DE412"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571.4</w:t>
            </w:r>
          </w:p>
        </w:tc>
        <w:tc>
          <w:tcPr>
            <w:tcW w:w="2835" w:type="dxa"/>
          </w:tcPr>
          <w:p w14:paraId="4D43496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536.1</w:t>
            </w:r>
          </w:p>
        </w:tc>
      </w:tr>
      <w:tr w:rsidR="00E93A6F" w:rsidRPr="00304B00" w14:paraId="2FCF2E88"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CD0D99A"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Bass Coast Health</w:t>
            </w:r>
          </w:p>
        </w:tc>
        <w:tc>
          <w:tcPr>
            <w:tcW w:w="2778" w:type="dxa"/>
          </w:tcPr>
          <w:p w14:paraId="0338B74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124.2</w:t>
            </w:r>
          </w:p>
        </w:tc>
        <w:tc>
          <w:tcPr>
            <w:tcW w:w="2835" w:type="dxa"/>
          </w:tcPr>
          <w:p w14:paraId="31DABE9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119.9</w:t>
            </w:r>
          </w:p>
        </w:tc>
      </w:tr>
      <w:tr w:rsidR="00E93A6F" w:rsidRPr="00304B00" w14:paraId="6316F456"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A38E94E"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Benalla Health</w:t>
            </w:r>
          </w:p>
        </w:tc>
        <w:tc>
          <w:tcPr>
            <w:tcW w:w="2778" w:type="dxa"/>
          </w:tcPr>
          <w:p w14:paraId="345B1D4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14.7</w:t>
            </w:r>
          </w:p>
        </w:tc>
        <w:tc>
          <w:tcPr>
            <w:tcW w:w="2835" w:type="dxa"/>
          </w:tcPr>
          <w:p w14:paraId="267EA1EE"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19.5</w:t>
            </w:r>
          </w:p>
        </w:tc>
      </w:tr>
      <w:tr w:rsidR="00E93A6F" w:rsidRPr="00304B00" w14:paraId="5510E5BA"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2A86F06"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Bendigo Health</w:t>
            </w:r>
          </w:p>
        </w:tc>
        <w:tc>
          <w:tcPr>
            <w:tcW w:w="2778" w:type="dxa"/>
          </w:tcPr>
          <w:p w14:paraId="12B7DC4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326.1</w:t>
            </w:r>
          </w:p>
        </w:tc>
        <w:tc>
          <w:tcPr>
            <w:tcW w:w="2835" w:type="dxa"/>
          </w:tcPr>
          <w:p w14:paraId="3289370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299.2</w:t>
            </w:r>
          </w:p>
        </w:tc>
      </w:tr>
      <w:tr w:rsidR="00E93A6F" w:rsidRPr="00304B00" w14:paraId="6B7B891B"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449F6C7"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Central Gippsland Health Service</w:t>
            </w:r>
          </w:p>
        </w:tc>
        <w:tc>
          <w:tcPr>
            <w:tcW w:w="2778" w:type="dxa"/>
          </w:tcPr>
          <w:p w14:paraId="248CDA7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82.1</w:t>
            </w:r>
          </w:p>
        </w:tc>
        <w:tc>
          <w:tcPr>
            <w:tcW w:w="2835" w:type="dxa"/>
          </w:tcPr>
          <w:p w14:paraId="4AA65E4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75.9</w:t>
            </w:r>
          </w:p>
        </w:tc>
      </w:tr>
      <w:tr w:rsidR="00E93A6F" w:rsidRPr="00304B00" w14:paraId="69F42333"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7D47BD4D"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Colac Area Health</w:t>
            </w:r>
          </w:p>
        </w:tc>
        <w:tc>
          <w:tcPr>
            <w:tcW w:w="2778" w:type="dxa"/>
          </w:tcPr>
          <w:p w14:paraId="443633C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56.0</w:t>
            </w:r>
          </w:p>
        </w:tc>
        <w:tc>
          <w:tcPr>
            <w:tcW w:w="2835" w:type="dxa"/>
          </w:tcPr>
          <w:p w14:paraId="6E6D160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44.4</w:t>
            </w:r>
          </w:p>
        </w:tc>
      </w:tr>
      <w:tr w:rsidR="00E93A6F" w:rsidRPr="00304B00" w14:paraId="78B87C2F"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5F74F24"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Dhelkaya Health</w:t>
            </w:r>
          </w:p>
        </w:tc>
        <w:tc>
          <w:tcPr>
            <w:tcW w:w="2778" w:type="dxa"/>
          </w:tcPr>
          <w:p w14:paraId="0BA3FC5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26.2</w:t>
            </w:r>
          </w:p>
        </w:tc>
        <w:tc>
          <w:tcPr>
            <w:tcW w:w="2835" w:type="dxa"/>
          </w:tcPr>
          <w:p w14:paraId="2D14241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25.2</w:t>
            </w:r>
          </w:p>
        </w:tc>
      </w:tr>
      <w:tr w:rsidR="00E93A6F" w:rsidRPr="00304B00" w14:paraId="390657B5"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8811960" w14:textId="77777777" w:rsidR="00E93A6F" w:rsidRPr="00AC68A2" w:rsidRDefault="00E93A6F" w:rsidP="00545910">
            <w:pPr>
              <w:pStyle w:val="Tabletext8pt"/>
              <w:rPr>
                <w:b w:val="0"/>
                <w:bCs w:val="0"/>
                <w:sz w:val="16"/>
                <w:szCs w:val="16"/>
              </w:rPr>
            </w:pPr>
            <w:r w:rsidRPr="00AC68A2">
              <w:rPr>
                <w:b w:val="0"/>
                <w:bCs w:val="0"/>
                <w:sz w:val="16"/>
                <w:szCs w:val="16"/>
              </w:rPr>
              <w:t>East Grampians Health Service</w:t>
            </w:r>
          </w:p>
        </w:tc>
        <w:tc>
          <w:tcPr>
            <w:tcW w:w="2778" w:type="dxa"/>
          </w:tcPr>
          <w:p w14:paraId="6BB74CE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18.0</w:t>
            </w:r>
          </w:p>
        </w:tc>
        <w:tc>
          <w:tcPr>
            <w:tcW w:w="2835" w:type="dxa"/>
          </w:tcPr>
          <w:p w14:paraId="720EB36D"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16.2</w:t>
            </w:r>
          </w:p>
        </w:tc>
      </w:tr>
      <w:tr w:rsidR="00E93A6F" w:rsidRPr="00304B00" w14:paraId="368FA82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35F7F04" w14:textId="77777777" w:rsidR="00E93A6F" w:rsidRPr="00AC68A2" w:rsidRDefault="00E93A6F" w:rsidP="00545910">
            <w:pPr>
              <w:pStyle w:val="Tabletext8pt"/>
              <w:rPr>
                <w:b w:val="0"/>
                <w:bCs w:val="0"/>
                <w:sz w:val="16"/>
                <w:szCs w:val="16"/>
              </w:rPr>
            </w:pPr>
            <w:r w:rsidRPr="00AC68A2">
              <w:rPr>
                <w:b w:val="0"/>
                <w:bCs w:val="0"/>
                <w:sz w:val="16"/>
                <w:szCs w:val="16"/>
              </w:rPr>
              <w:t>Eastern Health</w:t>
            </w:r>
          </w:p>
        </w:tc>
        <w:tc>
          <w:tcPr>
            <w:tcW w:w="2778" w:type="dxa"/>
          </w:tcPr>
          <w:p w14:paraId="4198822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991.3</w:t>
            </w:r>
          </w:p>
        </w:tc>
        <w:tc>
          <w:tcPr>
            <w:tcW w:w="2835" w:type="dxa"/>
          </w:tcPr>
          <w:p w14:paraId="12C54FB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861.6</w:t>
            </w:r>
          </w:p>
        </w:tc>
      </w:tr>
      <w:tr w:rsidR="00E93A6F" w:rsidRPr="00304B00" w14:paraId="11FFBC06"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0337C85" w14:textId="77777777" w:rsidR="00E93A6F" w:rsidRPr="00AC68A2" w:rsidRDefault="00E93A6F" w:rsidP="00545910">
            <w:pPr>
              <w:pStyle w:val="Tabletext8pt"/>
              <w:rPr>
                <w:b w:val="0"/>
                <w:bCs w:val="0"/>
                <w:sz w:val="16"/>
                <w:szCs w:val="16"/>
              </w:rPr>
            </w:pPr>
            <w:r w:rsidRPr="00AC68A2">
              <w:rPr>
                <w:b w:val="0"/>
                <w:bCs w:val="0"/>
                <w:sz w:val="16"/>
                <w:szCs w:val="16"/>
              </w:rPr>
              <w:t>Echuca Regional Health</w:t>
            </w:r>
          </w:p>
        </w:tc>
        <w:tc>
          <w:tcPr>
            <w:tcW w:w="2778" w:type="dxa"/>
          </w:tcPr>
          <w:p w14:paraId="123CE0A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119.4</w:t>
            </w:r>
          </w:p>
        </w:tc>
        <w:tc>
          <w:tcPr>
            <w:tcW w:w="2835" w:type="dxa"/>
          </w:tcPr>
          <w:p w14:paraId="4483DE9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113.9</w:t>
            </w:r>
          </w:p>
        </w:tc>
      </w:tr>
      <w:tr w:rsidR="00E93A6F" w:rsidRPr="00304B00" w14:paraId="437599F2"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ADCF23F" w14:textId="77777777" w:rsidR="00E93A6F" w:rsidRPr="00AC68A2" w:rsidRDefault="00E93A6F" w:rsidP="00545910">
            <w:pPr>
              <w:pStyle w:val="Tabletext8pt"/>
              <w:rPr>
                <w:b w:val="0"/>
                <w:bCs w:val="0"/>
                <w:sz w:val="16"/>
                <w:szCs w:val="16"/>
              </w:rPr>
            </w:pPr>
            <w:r w:rsidRPr="00AC68A2">
              <w:rPr>
                <w:b w:val="0"/>
                <w:bCs w:val="0"/>
                <w:sz w:val="16"/>
                <w:szCs w:val="16"/>
              </w:rPr>
              <w:t>Gippsland Southern Health Service</w:t>
            </w:r>
          </w:p>
        </w:tc>
        <w:tc>
          <w:tcPr>
            <w:tcW w:w="2778" w:type="dxa"/>
          </w:tcPr>
          <w:p w14:paraId="294619FA"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16.7</w:t>
            </w:r>
          </w:p>
        </w:tc>
        <w:tc>
          <w:tcPr>
            <w:tcW w:w="2835" w:type="dxa"/>
          </w:tcPr>
          <w:p w14:paraId="015F636A"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40.5</w:t>
            </w:r>
          </w:p>
        </w:tc>
      </w:tr>
      <w:tr w:rsidR="00E93A6F" w:rsidRPr="00304B00" w14:paraId="1F4CA08B"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19FBADA" w14:textId="77777777" w:rsidR="00E93A6F" w:rsidRPr="00AC68A2" w:rsidRDefault="00E93A6F" w:rsidP="00545910">
            <w:pPr>
              <w:pStyle w:val="Tabletext8pt"/>
              <w:rPr>
                <w:b w:val="0"/>
                <w:bCs w:val="0"/>
                <w:sz w:val="16"/>
                <w:szCs w:val="16"/>
              </w:rPr>
            </w:pPr>
            <w:r w:rsidRPr="00AC68A2">
              <w:rPr>
                <w:b w:val="0"/>
                <w:bCs w:val="0"/>
                <w:sz w:val="16"/>
                <w:szCs w:val="16"/>
              </w:rPr>
              <w:t>Goulburn Valley Health</w:t>
            </w:r>
          </w:p>
        </w:tc>
        <w:tc>
          <w:tcPr>
            <w:tcW w:w="2778" w:type="dxa"/>
          </w:tcPr>
          <w:p w14:paraId="37CFE548"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150.8</w:t>
            </w:r>
          </w:p>
        </w:tc>
        <w:tc>
          <w:tcPr>
            <w:tcW w:w="2835" w:type="dxa"/>
          </w:tcPr>
          <w:p w14:paraId="3D9BDBD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152.0</w:t>
            </w:r>
          </w:p>
        </w:tc>
      </w:tr>
      <w:tr w:rsidR="00E93A6F" w:rsidRPr="00304B00" w14:paraId="17B731B8"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9B7B023" w14:textId="77777777" w:rsidR="00E93A6F" w:rsidRPr="00AC68A2" w:rsidRDefault="00E93A6F" w:rsidP="00545910">
            <w:pPr>
              <w:pStyle w:val="Tabletext8pt"/>
              <w:rPr>
                <w:b w:val="0"/>
                <w:bCs w:val="0"/>
                <w:sz w:val="16"/>
                <w:szCs w:val="16"/>
              </w:rPr>
            </w:pPr>
            <w:r w:rsidRPr="00AC68A2">
              <w:rPr>
                <w:b w:val="0"/>
                <w:bCs w:val="0"/>
                <w:sz w:val="16"/>
                <w:szCs w:val="16"/>
              </w:rPr>
              <w:t>Grampians Health</w:t>
            </w:r>
          </w:p>
        </w:tc>
        <w:tc>
          <w:tcPr>
            <w:tcW w:w="2778" w:type="dxa"/>
          </w:tcPr>
          <w:p w14:paraId="76ED1F08"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317.3</w:t>
            </w:r>
          </w:p>
        </w:tc>
        <w:tc>
          <w:tcPr>
            <w:tcW w:w="2835" w:type="dxa"/>
          </w:tcPr>
          <w:p w14:paraId="01CC5A77"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293.6</w:t>
            </w:r>
          </w:p>
        </w:tc>
      </w:tr>
      <w:tr w:rsidR="00E93A6F" w:rsidRPr="00304B00" w14:paraId="01B617A0"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9FB12F2" w14:textId="77777777" w:rsidR="00E93A6F" w:rsidRPr="00AC68A2" w:rsidRDefault="00E93A6F" w:rsidP="00545910">
            <w:pPr>
              <w:pStyle w:val="Tabletext8pt"/>
              <w:rPr>
                <w:b w:val="0"/>
                <w:bCs w:val="0"/>
                <w:sz w:val="16"/>
                <w:szCs w:val="16"/>
              </w:rPr>
            </w:pPr>
            <w:r w:rsidRPr="00AC68A2">
              <w:rPr>
                <w:b w:val="0"/>
                <w:bCs w:val="0"/>
                <w:sz w:val="16"/>
                <w:szCs w:val="16"/>
              </w:rPr>
              <w:t>Kyabram District Health Service</w:t>
            </w:r>
          </w:p>
        </w:tc>
        <w:tc>
          <w:tcPr>
            <w:tcW w:w="2778" w:type="dxa"/>
          </w:tcPr>
          <w:p w14:paraId="6012BA1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29.1</w:t>
            </w:r>
          </w:p>
        </w:tc>
        <w:tc>
          <w:tcPr>
            <w:tcW w:w="2835" w:type="dxa"/>
          </w:tcPr>
          <w:p w14:paraId="497AA91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32.4</w:t>
            </w:r>
          </w:p>
        </w:tc>
      </w:tr>
      <w:tr w:rsidR="00E93A6F" w:rsidRPr="00304B00" w14:paraId="7785983B"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1B50C0C" w14:textId="77777777" w:rsidR="00E93A6F" w:rsidRPr="00AC68A2" w:rsidRDefault="00E93A6F" w:rsidP="00545910">
            <w:pPr>
              <w:pStyle w:val="Tabletext8pt"/>
              <w:rPr>
                <w:b w:val="0"/>
                <w:bCs w:val="0"/>
                <w:sz w:val="16"/>
                <w:szCs w:val="16"/>
              </w:rPr>
            </w:pPr>
            <w:r w:rsidRPr="00AC68A2">
              <w:rPr>
                <w:b w:val="0"/>
                <w:bCs w:val="0"/>
                <w:sz w:val="16"/>
                <w:szCs w:val="16"/>
              </w:rPr>
              <w:t>Latrobe Regional Health</w:t>
            </w:r>
          </w:p>
        </w:tc>
        <w:tc>
          <w:tcPr>
            <w:tcW w:w="2778" w:type="dxa"/>
          </w:tcPr>
          <w:p w14:paraId="599C07A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330.7</w:t>
            </w:r>
          </w:p>
        </w:tc>
        <w:tc>
          <w:tcPr>
            <w:tcW w:w="2835" w:type="dxa"/>
          </w:tcPr>
          <w:p w14:paraId="51DF1DC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319.7</w:t>
            </w:r>
          </w:p>
        </w:tc>
      </w:tr>
      <w:tr w:rsidR="00E93A6F" w:rsidRPr="00304B00" w14:paraId="61E4B6C7"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B2DF9D5" w14:textId="77777777" w:rsidR="00E93A6F" w:rsidRPr="00AC68A2" w:rsidRDefault="00E93A6F" w:rsidP="00545910">
            <w:pPr>
              <w:pStyle w:val="Tabletext8pt"/>
              <w:rPr>
                <w:b w:val="0"/>
                <w:bCs w:val="0"/>
                <w:sz w:val="16"/>
                <w:szCs w:val="16"/>
              </w:rPr>
            </w:pPr>
            <w:r w:rsidRPr="00AC68A2">
              <w:rPr>
                <w:b w:val="0"/>
                <w:bCs w:val="0"/>
                <w:sz w:val="16"/>
                <w:szCs w:val="16"/>
              </w:rPr>
              <w:t>Maryborough District Health Service</w:t>
            </w:r>
          </w:p>
        </w:tc>
        <w:tc>
          <w:tcPr>
            <w:tcW w:w="2778" w:type="dxa"/>
          </w:tcPr>
          <w:p w14:paraId="0DD6378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22.9</w:t>
            </w:r>
          </w:p>
        </w:tc>
        <w:tc>
          <w:tcPr>
            <w:tcW w:w="2835" w:type="dxa"/>
          </w:tcPr>
          <w:p w14:paraId="6E1CCCA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21.2</w:t>
            </w:r>
          </w:p>
        </w:tc>
      </w:tr>
      <w:tr w:rsidR="00E93A6F" w:rsidRPr="00304B00" w14:paraId="2885825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E44D779" w14:textId="77777777" w:rsidR="00E93A6F" w:rsidRPr="00AC68A2" w:rsidRDefault="00E93A6F" w:rsidP="00545910">
            <w:pPr>
              <w:pStyle w:val="Tabletext8pt"/>
              <w:rPr>
                <w:b w:val="0"/>
                <w:bCs w:val="0"/>
                <w:sz w:val="16"/>
                <w:szCs w:val="16"/>
              </w:rPr>
            </w:pPr>
            <w:r w:rsidRPr="00AC68A2">
              <w:rPr>
                <w:b w:val="0"/>
                <w:bCs w:val="0"/>
                <w:sz w:val="16"/>
                <w:szCs w:val="16"/>
              </w:rPr>
              <w:t>Melbourne Health</w:t>
            </w:r>
          </w:p>
        </w:tc>
        <w:tc>
          <w:tcPr>
            <w:tcW w:w="2778" w:type="dxa"/>
          </w:tcPr>
          <w:p w14:paraId="520AF50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850.0</w:t>
            </w:r>
          </w:p>
        </w:tc>
        <w:tc>
          <w:tcPr>
            <w:tcW w:w="2835" w:type="dxa"/>
          </w:tcPr>
          <w:p w14:paraId="0965FC1C"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758.0</w:t>
            </w:r>
          </w:p>
        </w:tc>
      </w:tr>
      <w:tr w:rsidR="00E93A6F" w:rsidRPr="00304B00" w14:paraId="43DB7C82"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4E6C224" w14:textId="77777777" w:rsidR="00E93A6F" w:rsidRPr="00AC68A2" w:rsidRDefault="00E93A6F" w:rsidP="00545910">
            <w:pPr>
              <w:pStyle w:val="Tabletext8pt"/>
              <w:rPr>
                <w:b w:val="0"/>
                <w:bCs w:val="0"/>
                <w:sz w:val="16"/>
                <w:szCs w:val="16"/>
              </w:rPr>
            </w:pPr>
            <w:r w:rsidRPr="00AC68A2">
              <w:rPr>
                <w:b w:val="0"/>
                <w:bCs w:val="0"/>
                <w:sz w:val="16"/>
                <w:szCs w:val="16"/>
              </w:rPr>
              <w:t>Mercy Hospitals Victoria Ltd</w:t>
            </w:r>
          </w:p>
        </w:tc>
        <w:tc>
          <w:tcPr>
            <w:tcW w:w="2778" w:type="dxa"/>
          </w:tcPr>
          <w:p w14:paraId="43B293D4"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161.0</w:t>
            </w:r>
          </w:p>
        </w:tc>
        <w:tc>
          <w:tcPr>
            <w:tcW w:w="2835" w:type="dxa"/>
          </w:tcPr>
          <w:p w14:paraId="34DE010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143.4</w:t>
            </w:r>
          </w:p>
        </w:tc>
      </w:tr>
      <w:tr w:rsidR="00E93A6F" w:rsidRPr="00304B00" w14:paraId="577D7ABD"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6445BD2" w14:textId="77777777" w:rsidR="00E93A6F" w:rsidRPr="00AC68A2" w:rsidRDefault="00E93A6F" w:rsidP="00545910">
            <w:pPr>
              <w:pStyle w:val="Tabletext8pt"/>
              <w:rPr>
                <w:b w:val="0"/>
                <w:bCs w:val="0"/>
                <w:sz w:val="16"/>
                <w:szCs w:val="16"/>
              </w:rPr>
            </w:pPr>
            <w:r w:rsidRPr="00AC68A2">
              <w:rPr>
                <w:b w:val="0"/>
                <w:bCs w:val="0"/>
                <w:sz w:val="16"/>
                <w:szCs w:val="16"/>
              </w:rPr>
              <w:t>Mildura Base Public Hospital</w:t>
            </w:r>
          </w:p>
        </w:tc>
        <w:tc>
          <w:tcPr>
            <w:tcW w:w="2778" w:type="dxa"/>
          </w:tcPr>
          <w:p w14:paraId="178363E7"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109.1</w:t>
            </w:r>
          </w:p>
        </w:tc>
        <w:tc>
          <w:tcPr>
            <w:tcW w:w="2835" w:type="dxa"/>
          </w:tcPr>
          <w:p w14:paraId="269C5BE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106.3</w:t>
            </w:r>
          </w:p>
        </w:tc>
      </w:tr>
      <w:tr w:rsidR="00E93A6F" w:rsidRPr="00304B00" w14:paraId="42B71A42"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3DA80C0" w14:textId="77777777" w:rsidR="00E93A6F" w:rsidRPr="00AC68A2" w:rsidRDefault="00E93A6F" w:rsidP="00545910">
            <w:pPr>
              <w:pStyle w:val="Tabletext8pt"/>
              <w:rPr>
                <w:b w:val="0"/>
                <w:bCs w:val="0"/>
                <w:sz w:val="16"/>
                <w:szCs w:val="16"/>
              </w:rPr>
            </w:pPr>
            <w:r w:rsidRPr="00AC68A2">
              <w:rPr>
                <w:b w:val="0"/>
                <w:bCs w:val="0"/>
                <w:sz w:val="16"/>
                <w:szCs w:val="16"/>
              </w:rPr>
              <w:t>Monash Health</w:t>
            </w:r>
          </w:p>
        </w:tc>
        <w:tc>
          <w:tcPr>
            <w:tcW w:w="2778" w:type="dxa"/>
          </w:tcPr>
          <w:p w14:paraId="708A024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1,633.3</w:t>
            </w:r>
          </w:p>
        </w:tc>
        <w:tc>
          <w:tcPr>
            <w:tcW w:w="2835" w:type="dxa"/>
          </w:tcPr>
          <w:p w14:paraId="7986C81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1,485.2</w:t>
            </w:r>
          </w:p>
        </w:tc>
      </w:tr>
      <w:tr w:rsidR="00E93A6F" w:rsidRPr="00304B00" w14:paraId="2DA9792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5773238" w14:textId="77777777" w:rsidR="00E93A6F" w:rsidRPr="00AC68A2" w:rsidRDefault="00E93A6F" w:rsidP="00545910">
            <w:pPr>
              <w:pStyle w:val="Tabletext8pt"/>
              <w:rPr>
                <w:b w:val="0"/>
                <w:bCs w:val="0"/>
                <w:sz w:val="16"/>
                <w:szCs w:val="16"/>
              </w:rPr>
            </w:pPr>
            <w:r w:rsidRPr="00AC68A2">
              <w:rPr>
                <w:b w:val="0"/>
                <w:bCs w:val="0"/>
                <w:sz w:val="16"/>
                <w:szCs w:val="16"/>
              </w:rPr>
              <w:t>Northeast Health Wangaratta</w:t>
            </w:r>
          </w:p>
        </w:tc>
        <w:tc>
          <w:tcPr>
            <w:tcW w:w="2778" w:type="dxa"/>
          </w:tcPr>
          <w:p w14:paraId="48CE327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92.1</w:t>
            </w:r>
          </w:p>
        </w:tc>
        <w:tc>
          <w:tcPr>
            <w:tcW w:w="2835" w:type="dxa"/>
          </w:tcPr>
          <w:p w14:paraId="2972A179"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88.9</w:t>
            </w:r>
          </w:p>
        </w:tc>
      </w:tr>
      <w:tr w:rsidR="00E93A6F" w:rsidRPr="00304B00" w14:paraId="57EE3617"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99A5B22" w14:textId="77777777" w:rsidR="00E93A6F" w:rsidRPr="00AC68A2" w:rsidRDefault="00E93A6F" w:rsidP="00545910">
            <w:pPr>
              <w:pStyle w:val="Tabletext8pt"/>
              <w:rPr>
                <w:b w:val="0"/>
                <w:bCs w:val="0"/>
                <w:sz w:val="16"/>
                <w:szCs w:val="16"/>
              </w:rPr>
            </w:pPr>
            <w:r w:rsidRPr="00AC68A2">
              <w:rPr>
                <w:b w:val="0"/>
                <w:bCs w:val="0"/>
                <w:sz w:val="16"/>
                <w:szCs w:val="16"/>
              </w:rPr>
              <w:t>Northern Health</w:t>
            </w:r>
          </w:p>
        </w:tc>
        <w:tc>
          <w:tcPr>
            <w:tcW w:w="2778" w:type="dxa"/>
          </w:tcPr>
          <w:p w14:paraId="11A71281"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802.6</w:t>
            </w:r>
          </w:p>
        </w:tc>
        <w:tc>
          <w:tcPr>
            <w:tcW w:w="2835" w:type="dxa"/>
          </w:tcPr>
          <w:p w14:paraId="517D8899"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736.8</w:t>
            </w:r>
          </w:p>
        </w:tc>
      </w:tr>
      <w:tr w:rsidR="00E93A6F" w:rsidRPr="00304B00" w14:paraId="504859B6"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89DE865" w14:textId="77777777" w:rsidR="00E93A6F" w:rsidRPr="00AC68A2" w:rsidRDefault="00E93A6F" w:rsidP="00545910">
            <w:pPr>
              <w:pStyle w:val="Tabletext8pt"/>
              <w:rPr>
                <w:b w:val="0"/>
                <w:bCs w:val="0"/>
                <w:sz w:val="16"/>
                <w:szCs w:val="16"/>
              </w:rPr>
            </w:pPr>
            <w:r w:rsidRPr="00AC68A2">
              <w:rPr>
                <w:b w:val="0"/>
                <w:bCs w:val="0"/>
                <w:sz w:val="16"/>
                <w:szCs w:val="16"/>
              </w:rPr>
              <w:t>Peninsula Health</w:t>
            </w:r>
          </w:p>
        </w:tc>
        <w:tc>
          <w:tcPr>
            <w:tcW w:w="2778" w:type="dxa"/>
          </w:tcPr>
          <w:p w14:paraId="0CE954F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840.1</w:t>
            </w:r>
          </w:p>
        </w:tc>
        <w:tc>
          <w:tcPr>
            <w:tcW w:w="2835" w:type="dxa"/>
          </w:tcPr>
          <w:p w14:paraId="6E6C6AC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735.2</w:t>
            </w:r>
          </w:p>
        </w:tc>
      </w:tr>
      <w:tr w:rsidR="00E93A6F" w:rsidRPr="00304B00" w14:paraId="3BB1B25B"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2A66EAB" w14:textId="77777777" w:rsidR="00E93A6F" w:rsidRPr="00AC68A2" w:rsidRDefault="00E93A6F" w:rsidP="00545910">
            <w:pPr>
              <w:pStyle w:val="Tabletext8pt"/>
              <w:rPr>
                <w:b w:val="0"/>
                <w:bCs w:val="0"/>
                <w:sz w:val="16"/>
                <w:szCs w:val="16"/>
              </w:rPr>
            </w:pPr>
            <w:r w:rsidRPr="00AC68A2">
              <w:rPr>
                <w:b w:val="0"/>
                <w:bCs w:val="0"/>
                <w:sz w:val="16"/>
                <w:szCs w:val="16"/>
              </w:rPr>
              <w:t>Peter MacCallum Cancer Institute</w:t>
            </w:r>
          </w:p>
        </w:tc>
        <w:tc>
          <w:tcPr>
            <w:tcW w:w="2778" w:type="dxa"/>
          </w:tcPr>
          <w:p w14:paraId="45F0378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29.5</w:t>
            </w:r>
          </w:p>
        </w:tc>
        <w:tc>
          <w:tcPr>
            <w:tcW w:w="2835" w:type="dxa"/>
          </w:tcPr>
          <w:p w14:paraId="2B8F836D"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4.1</w:t>
            </w:r>
          </w:p>
        </w:tc>
      </w:tr>
      <w:tr w:rsidR="00E93A6F" w:rsidRPr="00304B00" w14:paraId="78ECE93E"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B142B05" w14:textId="77777777" w:rsidR="00E93A6F" w:rsidRPr="00AC68A2" w:rsidRDefault="00E93A6F" w:rsidP="00545910">
            <w:pPr>
              <w:pStyle w:val="Tabletext8pt"/>
              <w:rPr>
                <w:b w:val="0"/>
                <w:bCs w:val="0"/>
                <w:sz w:val="16"/>
                <w:szCs w:val="16"/>
              </w:rPr>
            </w:pPr>
            <w:r w:rsidRPr="00AC68A2">
              <w:rPr>
                <w:b w:val="0"/>
                <w:bCs w:val="0"/>
                <w:sz w:val="16"/>
                <w:szCs w:val="16"/>
              </w:rPr>
              <w:t>Portland District Health</w:t>
            </w:r>
          </w:p>
        </w:tc>
        <w:tc>
          <w:tcPr>
            <w:tcW w:w="2778" w:type="dxa"/>
          </w:tcPr>
          <w:p w14:paraId="3FC3301D"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36.8</w:t>
            </w:r>
          </w:p>
        </w:tc>
        <w:tc>
          <w:tcPr>
            <w:tcW w:w="2835" w:type="dxa"/>
          </w:tcPr>
          <w:p w14:paraId="3E19A572"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30.6</w:t>
            </w:r>
          </w:p>
        </w:tc>
      </w:tr>
      <w:tr w:rsidR="00E93A6F" w:rsidRPr="00304B00" w14:paraId="608352F9"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3BCDFC4" w14:textId="330BC766" w:rsidR="00E93A6F" w:rsidRPr="00AC68A2" w:rsidRDefault="00E93A6F" w:rsidP="00545910">
            <w:pPr>
              <w:pStyle w:val="Tabletext8pt"/>
              <w:rPr>
                <w:b w:val="0"/>
                <w:bCs w:val="0"/>
                <w:sz w:val="16"/>
                <w:szCs w:val="16"/>
              </w:rPr>
            </w:pPr>
            <w:r w:rsidRPr="00AC68A2">
              <w:rPr>
                <w:b w:val="0"/>
                <w:bCs w:val="0"/>
                <w:sz w:val="16"/>
                <w:szCs w:val="16"/>
              </w:rPr>
              <w:t>Royal Children</w:t>
            </w:r>
            <w:r w:rsidR="004D14A2" w:rsidRPr="00AC68A2">
              <w:rPr>
                <w:b w:val="0"/>
                <w:bCs w:val="0"/>
                <w:sz w:val="16"/>
                <w:szCs w:val="16"/>
              </w:rPr>
              <w:t>’</w:t>
            </w:r>
            <w:r w:rsidRPr="00AC68A2">
              <w:rPr>
                <w:b w:val="0"/>
                <w:bCs w:val="0"/>
                <w:sz w:val="16"/>
                <w:szCs w:val="16"/>
              </w:rPr>
              <w:t>s Hospital</w:t>
            </w:r>
          </w:p>
        </w:tc>
        <w:tc>
          <w:tcPr>
            <w:tcW w:w="2778" w:type="dxa"/>
          </w:tcPr>
          <w:p w14:paraId="6FE13FF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346.7</w:t>
            </w:r>
          </w:p>
        </w:tc>
        <w:tc>
          <w:tcPr>
            <w:tcW w:w="2835" w:type="dxa"/>
          </w:tcPr>
          <w:p w14:paraId="2F5EBCF2"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331.5</w:t>
            </w:r>
          </w:p>
        </w:tc>
      </w:tr>
      <w:tr w:rsidR="00E93A6F" w:rsidRPr="00304B00" w14:paraId="1CCA8C18"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9130A1A" w14:textId="110BE0C3" w:rsidR="00E93A6F" w:rsidRPr="00AC68A2" w:rsidRDefault="00E93A6F" w:rsidP="00545910">
            <w:pPr>
              <w:pStyle w:val="Tabletext8pt"/>
              <w:rPr>
                <w:b w:val="0"/>
                <w:bCs w:val="0"/>
                <w:sz w:val="16"/>
                <w:szCs w:val="16"/>
              </w:rPr>
            </w:pPr>
            <w:r w:rsidRPr="00AC68A2">
              <w:rPr>
                <w:b w:val="0"/>
                <w:bCs w:val="0"/>
                <w:sz w:val="16"/>
                <w:szCs w:val="16"/>
              </w:rPr>
              <w:t xml:space="preserve">Royal Victorian Eye </w:t>
            </w:r>
            <w:r w:rsidR="00613560" w:rsidRPr="00AC68A2">
              <w:rPr>
                <w:b w:val="0"/>
                <w:bCs w:val="0"/>
                <w:sz w:val="16"/>
                <w:szCs w:val="16"/>
              </w:rPr>
              <w:t xml:space="preserve">and </w:t>
            </w:r>
            <w:r w:rsidRPr="00AC68A2">
              <w:rPr>
                <w:b w:val="0"/>
                <w:bCs w:val="0"/>
                <w:sz w:val="16"/>
                <w:szCs w:val="16"/>
              </w:rPr>
              <w:t>Ear Hospital</w:t>
            </w:r>
          </w:p>
        </w:tc>
        <w:tc>
          <w:tcPr>
            <w:tcW w:w="2778" w:type="dxa"/>
          </w:tcPr>
          <w:p w14:paraId="5A7753A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71.7</w:t>
            </w:r>
          </w:p>
        </w:tc>
        <w:tc>
          <w:tcPr>
            <w:tcW w:w="2835" w:type="dxa"/>
          </w:tcPr>
          <w:p w14:paraId="2ED0D6B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72.6</w:t>
            </w:r>
          </w:p>
        </w:tc>
      </w:tr>
      <w:tr w:rsidR="00E93A6F" w:rsidRPr="00304B00" w14:paraId="36B33C44"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16D2520" w14:textId="75AFB1E3" w:rsidR="00E93A6F" w:rsidRPr="00AC68A2" w:rsidRDefault="00E93A6F" w:rsidP="00545910">
            <w:pPr>
              <w:pStyle w:val="Tabletext8pt"/>
              <w:rPr>
                <w:b w:val="0"/>
                <w:bCs w:val="0"/>
                <w:sz w:val="16"/>
                <w:szCs w:val="16"/>
              </w:rPr>
            </w:pPr>
            <w:r w:rsidRPr="00AC68A2">
              <w:rPr>
                <w:b w:val="0"/>
                <w:bCs w:val="0"/>
                <w:sz w:val="16"/>
                <w:szCs w:val="16"/>
              </w:rPr>
              <w:t>Royal Women</w:t>
            </w:r>
            <w:r w:rsidR="004D14A2" w:rsidRPr="00AC68A2">
              <w:rPr>
                <w:b w:val="0"/>
                <w:bCs w:val="0"/>
                <w:sz w:val="16"/>
                <w:szCs w:val="16"/>
              </w:rPr>
              <w:t>’</w:t>
            </w:r>
            <w:r w:rsidRPr="00AC68A2">
              <w:rPr>
                <w:b w:val="0"/>
                <w:bCs w:val="0"/>
                <w:sz w:val="16"/>
                <w:szCs w:val="16"/>
              </w:rPr>
              <w:t>s Hospital</w:t>
            </w:r>
          </w:p>
        </w:tc>
        <w:tc>
          <w:tcPr>
            <w:tcW w:w="2778" w:type="dxa"/>
          </w:tcPr>
          <w:p w14:paraId="7335FD23"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17.8</w:t>
            </w:r>
          </w:p>
        </w:tc>
        <w:tc>
          <w:tcPr>
            <w:tcW w:w="2835" w:type="dxa"/>
          </w:tcPr>
          <w:p w14:paraId="793D109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20.6</w:t>
            </w:r>
          </w:p>
        </w:tc>
      </w:tr>
      <w:tr w:rsidR="00E93A6F" w:rsidRPr="00304B00" w14:paraId="601585D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51BBF78" w14:textId="77777777" w:rsidR="00E93A6F" w:rsidRPr="00AC68A2" w:rsidRDefault="00E93A6F" w:rsidP="00545910">
            <w:pPr>
              <w:pStyle w:val="Tabletext8pt"/>
              <w:rPr>
                <w:b w:val="0"/>
                <w:bCs w:val="0"/>
                <w:sz w:val="16"/>
                <w:szCs w:val="16"/>
              </w:rPr>
            </w:pPr>
            <w:r w:rsidRPr="00AC68A2">
              <w:rPr>
                <w:b w:val="0"/>
                <w:bCs w:val="0"/>
                <w:sz w:val="16"/>
                <w:szCs w:val="16"/>
              </w:rPr>
              <w:t>South West Healthcare</w:t>
            </w:r>
          </w:p>
        </w:tc>
        <w:tc>
          <w:tcPr>
            <w:tcW w:w="2778" w:type="dxa"/>
          </w:tcPr>
          <w:p w14:paraId="648D0C0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147.3</w:t>
            </w:r>
          </w:p>
        </w:tc>
        <w:tc>
          <w:tcPr>
            <w:tcW w:w="2835" w:type="dxa"/>
          </w:tcPr>
          <w:p w14:paraId="121238B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140.6</w:t>
            </w:r>
          </w:p>
        </w:tc>
      </w:tr>
      <w:tr w:rsidR="00E93A6F" w:rsidRPr="00304B00" w14:paraId="66119F7E"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4BD4587" w14:textId="3E551E1F" w:rsidR="00E93A6F" w:rsidRPr="00AC68A2" w:rsidRDefault="00E93A6F" w:rsidP="00545910">
            <w:pPr>
              <w:pStyle w:val="Tabletext8pt"/>
              <w:rPr>
                <w:b w:val="0"/>
                <w:bCs w:val="0"/>
                <w:sz w:val="16"/>
                <w:szCs w:val="16"/>
              </w:rPr>
            </w:pPr>
            <w:r w:rsidRPr="00AC68A2">
              <w:rPr>
                <w:b w:val="0"/>
                <w:bCs w:val="0"/>
                <w:sz w:val="16"/>
                <w:szCs w:val="16"/>
              </w:rPr>
              <w:t>St Vincent</w:t>
            </w:r>
            <w:r w:rsidR="00DC7E40" w:rsidRPr="00AC68A2">
              <w:rPr>
                <w:b w:val="0"/>
                <w:bCs w:val="0"/>
                <w:sz w:val="16"/>
                <w:szCs w:val="16"/>
              </w:rPr>
              <w:t>’</w:t>
            </w:r>
            <w:r w:rsidRPr="00AC68A2">
              <w:rPr>
                <w:b w:val="0"/>
                <w:bCs w:val="0"/>
                <w:sz w:val="16"/>
                <w:szCs w:val="16"/>
              </w:rPr>
              <w:t>s Health</w:t>
            </w:r>
          </w:p>
        </w:tc>
        <w:tc>
          <w:tcPr>
            <w:tcW w:w="2778" w:type="dxa"/>
          </w:tcPr>
          <w:p w14:paraId="5C212881"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386.3</w:t>
            </w:r>
          </w:p>
        </w:tc>
        <w:tc>
          <w:tcPr>
            <w:tcW w:w="2835" w:type="dxa"/>
          </w:tcPr>
          <w:p w14:paraId="7F1BBC3E"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348.6</w:t>
            </w:r>
          </w:p>
        </w:tc>
      </w:tr>
      <w:tr w:rsidR="00E93A6F" w:rsidRPr="00304B00" w14:paraId="3417A0C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D20801C" w14:textId="77777777" w:rsidR="00E93A6F" w:rsidRPr="00AC68A2" w:rsidRDefault="00E93A6F" w:rsidP="00545910">
            <w:pPr>
              <w:pStyle w:val="Tabletext8pt"/>
              <w:rPr>
                <w:b w:val="0"/>
                <w:bCs w:val="0"/>
                <w:sz w:val="16"/>
                <w:szCs w:val="16"/>
              </w:rPr>
            </w:pPr>
            <w:r w:rsidRPr="00AC68A2">
              <w:rPr>
                <w:b w:val="0"/>
                <w:bCs w:val="0"/>
                <w:sz w:val="16"/>
                <w:szCs w:val="16"/>
              </w:rPr>
              <w:t>Swan Hill District Health</w:t>
            </w:r>
          </w:p>
        </w:tc>
        <w:tc>
          <w:tcPr>
            <w:tcW w:w="2778" w:type="dxa"/>
          </w:tcPr>
          <w:p w14:paraId="72DF9C1E"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35.7</w:t>
            </w:r>
          </w:p>
        </w:tc>
        <w:tc>
          <w:tcPr>
            <w:tcW w:w="2835" w:type="dxa"/>
          </w:tcPr>
          <w:p w14:paraId="077524F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25.3</w:t>
            </w:r>
          </w:p>
        </w:tc>
      </w:tr>
      <w:tr w:rsidR="00E93A6F" w:rsidRPr="00304B00" w14:paraId="0C075D1F"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9808B21" w14:textId="77777777" w:rsidR="00E93A6F" w:rsidRPr="00AC68A2" w:rsidRDefault="00E93A6F" w:rsidP="00545910">
            <w:pPr>
              <w:pStyle w:val="Tabletext8pt"/>
              <w:rPr>
                <w:b w:val="0"/>
                <w:bCs w:val="0"/>
                <w:sz w:val="16"/>
                <w:szCs w:val="16"/>
              </w:rPr>
            </w:pPr>
            <w:r w:rsidRPr="00AC68A2">
              <w:rPr>
                <w:b w:val="0"/>
                <w:bCs w:val="0"/>
                <w:sz w:val="16"/>
                <w:szCs w:val="16"/>
              </w:rPr>
              <w:t>West Gippsland Healthcare Group</w:t>
            </w:r>
          </w:p>
        </w:tc>
        <w:tc>
          <w:tcPr>
            <w:tcW w:w="2778" w:type="dxa"/>
          </w:tcPr>
          <w:p w14:paraId="23661C6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111.4</w:t>
            </w:r>
          </w:p>
        </w:tc>
        <w:tc>
          <w:tcPr>
            <w:tcW w:w="2835" w:type="dxa"/>
          </w:tcPr>
          <w:p w14:paraId="1F5B48D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110.4</w:t>
            </w:r>
          </w:p>
        </w:tc>
      </w:tr>
      <w:tr w:rsidR="00E93A6F" w:rsidRPr="00304B00" w14:paraId="777F372F"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18C1407" w14:textId="77777777" w:rsidR="00E93A6F" w:rsidRPr="00AC68A2" w:rsidRDefault="00E93A6F" w:rsidP="00545910">
            <w:pPr>
              <w:pStyle w:val="Tabletext8pt"/>
              <w:rPr>
                <w:b w:val="0"/>
                <w:bCs w:val="0"/>
                <w:sz w:val="16"/>
                <w:szCs w:val="16"/>
              </w:rPr>
            </w:pPr>
            <w:r w:rsidRPr="00AC68A2">
              <w:rPr>
                <w:b w:val="0"/>
                <w:bCs w:val="0"/>
                <w:sz w:val="16"/>
                <w:szCs w:val="16"/>
              </w:rPr>
              <w:t>Western District Health Service</w:t>
            </w:r>
          </w:p>
        </w:tc>
        <w:tc>
          <w:tcPr>
            <w:tcW w:w="2778" w:type="dxa"/>
          </w:tcPr>
          <w:p w14:paraId="45E9190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b/>
                <w:bCs/>
                <w:sz w:val="16"/>
                <w:szCs w:val="16"/>
              </w:rPr>
            </w:pPr>
            <w:r w:rsidRPr="00257223">
              <w:rPr>
                <w:sz w:val="16"/>
                <w:szCs w:val="16"/>
              </w:rPr>
              <w:t>58.1</w:t>
            </w:r>
          </w:p>
        </w:tc>
        <w:tc>
          <w:tcPr>
            <w:tcW w:w="2835" w:type="dxa"/>
          </w:tcPr>
          <w:p w14:paraId="1A70E148"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b/>
                <w:bCs/>
                <w:color w:val="000000"/>
                <w:sz w:val="16"/>
                <w:szCs w:val="16"/>
              </w:rPr>
            </w:pPr>
            <w:r w:rsidRPr="00257223">
              <w:rPr>
                <w:sz w:val="16"/>
                <w:szCs w:val="16"/>
              </w:rPr>
              <w:t>54.4</w:t>
            </w:r>
          </w:p>
        </w:tc>
      </w:tr>
      <w:tr w:rsidR="00E93A6F" w:rsidRPr="00304B00" w14:paraId="0423A7FC"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674F078" w14:textId="77777777" w:rsidR="00E93A6F" w:rsidRPr="00AC68A2" w:rsidRDefault="00E93A6F" w:rsidP="00545910">
            <w:pPr>
              <w:pStyle w:val="Tabletext8pt"/>
              <w:rPr>
                <w:b w:val="0"/>
                <w:bCs w:val="0"/>
                <w:sz w:val="16"/>
                <w:szCs w:val="16"/>
              </w:rPr>
            </w:pPr>
            <w:r w:rsidRPr="00AC68A2">
              <w:rPr>
                <w:b w:val="0"/>
                <w:bCs w:val="0"/>
                <w:sz w:val="16"/>
                <w:szCs w:val="16"/>
              </w:rPr>
              <w:t>Western Health</w:t>
            </w:r>
          </w:p>
        </w:tc>
        <w:tc>
          <w:tcPr>
            <w:tcW w:w="2778" w:type="dxa"/>
          </w:tcPr>
          <w:p w14:paraId="2F3A291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b/>
                <w:bCs/>
                <w:sz w:val="16"/>
                <w:szCs w:val="16"/>
              </w:rPr>
            </w:pPr>
            <w:r w:rsidRPr="00257223">
              <w:rPr>
                <w:sz w:val="16"/>
                <w:szCs w:val="16"/>
              </w:rPr>
              <w:t>866.1</w:t>
            </w:r>
          </w:p>
        </w:tc>
        <w:tc>
          <w:tcPr>
            <w:tcW w:w="2835" w:type="dxa"/>
          </w:tcPr>
          <w:p w14:paraId="6547876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b/>
                <w:bCs/>
                <w:color w:val="000000"/>
                <w:sz w:val="16"/>
                <w:szCs w:val="16"/>
              </w:rPr>
            </w:pPr>
            <w:r w:rsidRPr="00257223">
              <w:rPr>
                <w:sz w:val="16"/>
                <w:szCs w:val="16"/>
              </w:rPr>
              <w:t>954.0</w:t>
            </w:r>
          </w:p>
        </w:tc>
      </w:tr>
      <w:tr w:rsidR="00E93A6F" w:rsidRPr="00304B00" w14:paraId="0E28099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6F02F48" w14:textId="77777777" w:rsidR="00E93A6F" w:rsidRPr="00803A24" w:rsidRDefault="00E93A6F" w:rsidP="00545910">
            <w:pPr>
              <w:pStyle w:val="Tabletext8pt"/>
              <w:rPr>
                <w:b w:val="0"/>
                <w:bCs w:val="0"/>
                <w:sz w:val="16"/>
                <w:szCs w:val="16"/>
              </w:rPr>
            </w:pPr>
            <w:r w:rsidRPr="00803A24">
              <w:rPr>
                <w:b w:val="0"/>
                <w:bCs w:val="0"/>
                <w:sz w:val="16"/>
                <w:szCs w:val="16"/>
              </w:rPr>
              <w:t>Total</w:t>
            </w:r>
          </w:p>
        </w:tc>
        <w:tc>
          <w:tcPr>
            <w:tcW w:w="2778" w:type="dxa"/>
          </w:tcPr>
          <w:p w14:paraId="2752DAF6" w14:textId="77777777" w:rsidR="00E93A6F" w:rsidRPr="00803A24"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03A24">
              <w:rPr>
                <w:sz w:val="16"/>
                <w:szCs w:val="16"/>
              </w:rPr>
              <w:t>12,021.5</w:t>
            </w:r>
          </w:p>
        </w:tc>
        <w:tc>
          <w:tcPr>
            <w:tcW w:w="2835" w:type="dxa"/>
          </w:tcPr>
          <w:p w14:paraId="30A6E83C" w14:textId="77777777" w:rsidR="00E93A6F" w:rsidRPr="00803A24"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03A24">
              <w:rPr>
                <w:sz w:val="16"/>
                <w:szCs w:val="16"/>
              </w:rPr>
              <w:t>11,167.6</w:t>
            </w:r>
          </w:p>
        </w:tc>
      </w:tr>
    </w:tbl>
    <w:p w14:paraId="767DE765" w14:textId="77777777" w:rsidR="005B699B" w:rsidRPr="00E00C4E" w:rsidRDefault="005B699B" w:rsidP="00824FFC">
      <w:pPr>
        <w:pStyle w:val="Body"/>
      </w:pPr>
      <w:r w:rsidRPr="00E00C4E">
        <w:br w:type="page"/>
      </w:r>
    </w:p>
    <w:p w14:paraId="57230B1F" w14:textId="60894A81" w:rsidR="005B699B" w:rsidRDefault="005B699B" w:rsidP="005D7D2C">
      <w:pPr>
        <w:pStyle w:val="Heading2"/>
        <w:numPr>
          <w:ilvl w:val="1"/>
          <w:numId w:val="12"/>
        </w:numPr>
        <w:ind w:left="851" w:hanging="851"/>
      </w:pPr>
      <w:bookmarkStart w:id="2531" w:name="_Toc12780667"/>
      <w:bookmarkStart w:id="2532" w:name="_Toc14172308"/>
      <w:bookmarkStart w:id="2533" w:name="_Toc33703982"/>
      <w:bookmarkStart w:id="2534" w:name="_Toc55381170"/>
      <w:bookmarkStart w:id="2535" w:name="_Toc100263376"/>
      <w:bookmarkStart w:id="2536" w:name="_Toc165961873"/>
      <w:bookmarkStart w:id="2537" w:name="_Toc201148301"/>
      <w:r w:rsidRPr="00295CB9">
        <w:t>Victorian</w:t>
      </w:r>
      <w:r>
        <w:t xml:space="preserve"> small rural health service activity targets </w:t>
      </w:r>
      <w:bookmarkEnd w:id="2531"/>
      <w:bookmarkEnd w:id="2532"/>
      <w:bookmarkEnd w:id="2533"/>
      <w:bookmarkEnd w:id="2534"/>
      <w:bookmarkEnd w:id="2535"/>
      <w:r>
        <w:t>202</w:t>
      </w:r>
      <w:r w:rsidR="000C0EF6">
        <w:t>5</w:t>
      </w:r>
      <w:r>
        <w:t>–2</w:t>
      </w:r>
      <w:bookmarkEnd w:id="2536"/>
      <w:r w:rsidR="000C0EF6">
        <w:t>6</w:t>
      </w:r>
      <w:bookmarkEnd w:id="2537"/>
    </w:p>
    <w:p w14:paraId="0F3B1360" w14:textId="77777777" w:rsidR="00541C64" w:rsidRPr="00541C64" w:rsidRDefault="00541C64" w:rsidP="00473B41">
      <w:pPr>
        <w:pStyle w:val="Tablefigurenote9pt"/>
      </w:pPr>
      <w:r w:rsidRPr="00DC7E40">
        <w:t>Notes</w:t>
      </w:r>
    </w:p>
    <w:p w14:paraId="68630D88" w14:textId="3E68F766" w:rsidR="00541C64" w:rsidRDefault="00541C64" w:rsidP="00473B41">
      <w:pPr>
        <w:pStyle w:val="Tablebullet9pt"/>
      </w:pPr>
      <w:r w:rsidRPr="00C64FDC">
        <w:t xml:space="preserve">Recall is not applied on notional NWAU targets for small rural health services. </w:t>
      </w:r>
    </w:p>
    <w:p w14:paraId="7A325CC4" w14:textId="7ACC952E" w:rsidR="00A06CA4" w:rsidRPr="00C64FDC" w:rsidRDefault="00A06CA4" w:rsidP="00A06CA4">
      <w:pPr>
        <w:pStyle w:val="Tablebullet9pt"/>
      </w:pPr>
      <w:r w:rsidRPr="00A06CA4">
        <w:t>Draft information pending finalisation of SOPs</w:t>
      </w:r>
      <w:r>
        <w:t>.</w:t>
      </w:r>
    </w:p>
    <w:p w14:paraId="66E25278" w14:textId="0F291705" w:rsidR="005B699B" w:rsidRDefault="00462DC7" w:rsidP="00297FC9">
      <w:pPr>
        <w:pStyle w:val="Tablecaption"/>
      </w:pPr>
      <w:bookmarkStart w:id="2538" w:name="_Ref199253051"/>
      <w:bookmarkStart w:id="2539" w:name="_Toc201148599"/>
      <w:r>
        <w:t xml:space="preserve">Table </w:t>
      </w:r>
      <w:r w:rsidR="00D72666">
        <w:t>2</w:t>
      </w:r>
      <w:r w:rsidR="000E0ED2">
        <w:t>.</w:t>
      </w:r>
      <w:r>
        <w:fldChar w:fldCharType="begin"/>
      </w:r>
      <w:r>
        <w:instrText>SEQ Table \* ARABIC \s 1</w:instrText>
      </w:r>
      <w:r>
        <w:fldChar w:fldCharType="separate"/>
      </w:r>
      <w:r w:rsidR="007D262B">
        <w:rPr>
          <w:noProof/>
        </w:rPr>
        <w:t>13</w:t>
      </w:r>
      <w:r>
        <w:fldChar w:fldCharType="end"/>
      </w:r>
      <w:r>
        <w:t xml:space="preserve">: </w:t>
      </w:r>
      <w:r w:rsidR="005B699B">
        <w:t xml:space="preserve">Victorian small rural </w:t>
      </w:r>
      <w:r w:rsidR="005B699B" w:rsidRPr="00A030E3">
        <w:t>health</w:t>
      </w:r>
      <w:r w:rsidR="005B699B">
        <w:t xml:space="preserve"> service activity targets 202</w:t>
      </w:r>
      <w:r w:rsidR="000C0EF6">
        <w:t>5</w:t>
      </w:r>
      <w:r w:rsidR="005B699B">
        <w:t>–2</w:t>
      </w:r>
      <w:r w:rsidR="000C0EF6">
        <w:t>6</w:t>
      </w:r>
      <w:bookmarkEnd w:id="2538"/>
      <w:bookmarkEnd w:id="2539"/>
    </w:p>
    <w:tbl>
      <w:tblPr>
        <w:tblStyle w:val="GridTable4-Accent1"/>
        <w:tblW w:w="9067" w:type="dxa"/>
        <w:tblLayout w:type="fixed"/>
        <w:tblLook w:val="04A0" w:firstRow="1" w:lastRow="0" w:firstColumn="1" w:lastColumn="0" w:noHBand="0" w:noVBand="1"/>
      </w:tblPr>
      <w:tblGrid>
        <w:gridCol w:w="3000"/>
        <w:gridCol w:w="1516"/>
        <w:gridCol w:w="1517"/>
        <w:gridCol w:w="1517"/>
        <w:gridCol w:w="1517"/>
      </w:tblGrid>
      <w:tr w:rsidR="00566A11" w:rsidRPr="0010255F" w14:paraId="05BAF07B" w14:textId="77777777" w:rsidTr="00A31C1F">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3000" w:type="dxa"/>
            <w:noWrap/>
            <w:hideMark/>
          </w:tcPr>
          <w:p w14:paraId="14AD3286" w14:textId="0402EAA0" w:rsidR="00566A11" w:rsidRPr="00257223" w:rsidRDefault="00566A11"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service</w:t>
            </w:r>
          </w:p>
        </w:tc>
        <w:tc>
          <w:tcPr>
            <w:tcW w:w="1516" w:type="dxa"/>
            <w:hideMark/>
          </w:tcPr>
          <w:p w14:paraId="5377ED82"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 admitted DVA</w:t>
            </w:r>
          </w:p>
        </w:tc>
        <w:tc>
          <w:tcPr>
            <w:tcW w:w="1517" w:type="dxa"/>
            <w:hideMark/>
          </w:tcPr>
          <w:p w14:paraId="3ADF8239"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 admitted TAC</w:t>
            </w:r>
          </w:p>
        </w:tc>
        <w:tc>
          <w:tcPr>
            <w:tcW w:w="1517" w:type="dxa"/>
          </w:tcPr>
          <w:p w14:paraId="621E6640" w14:textId="20E34219" w:rsidR="00566A11" w:rsidRPr="00257223" w:rsidRDefault="00E5798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w:t>
            </w:r>
            <w:r w:rsidR="00123C2F" w:rsidRPr="00257223">
              <w:rPr>
                <w:b/>
                <w:bCs w:val="0"/>
                <w:color w:val="FFFFFF" w:themeColor="background1"/>
                <w:sz w:val="16"/>
              </w:rPr>
              <w:t xml:space="preserve"> Renal</w:t>
            </w:r>
            <w:r w:rsidR="00566A11" w:rsidRPr="00257223">
              <w:rPr>
                <w:b/>
                <w:bCs w:val="0"/>
                <w:color w:val="FFFFFF" w:themeColor="background1"/>
                <w:sz w:val="16"/>
              </w:rPr>
              <w:t xml:space="preserve"> </w:t>
            </w:r>
          </w:p>
        </w:tc>
        <w:tc>
          <w:tcPr>
            <w:tcW w:w="1517" w:type="dxa"/>
            <w:hideMark/>
          </w:tcPr>
          <w:p w14:paraId="5730C9CF"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w:t>
            </w:r>
          </w:p>
        </w:tc>
      </w:tr>
      <w:tr w:rsidR="00FB1014" w:rsidRPr="0010255F" w14:paraId="584E5710"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6FA84FD5" w14:textId="0FD6AE8B"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Alexandra District Health</w:t>
            </w:r>
          </w:p>
        </w:tc>
        <w:tc>
          <w:tcPr>
            <w:tcW w:w="1516" w:type="dxa"/>
            <w:noWrap/>
            <w:vAlign w:val="center"/>
          </w:tcPr>
          <w:p w14:paraId="270BA494" w14:textId="39F2C33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04B58189" w14:textId="5FC0460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996090E" w14:textId="2B9CA77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543A369F" w14:textId="4CB47EB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r>
      <w:tr w:rsidR="00FB1014" w:rsidRPr="0010255F" w14:paraId="774E61EA"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06EF0D4" w14:textId="436E67A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Alpine Health</w:t>
            </w:r>
          </w:p>
        </w:tc>
        <w:tc>
          <w:tcPr>
            <w:tcW w:w="1516" w:type="dxa"/>
            <w:noWrap/>
            <w:vAlign w:val="center"/>
          </w:tcPr>
          <w:p w14:paraId="4B19E40F" w14:textId="7D8B79C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3B4EF4A2" w14:textId="6E4BB7A9"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0247FA53" w14:textId="54EB705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40</w:t>
            </w:r>
          </w:p>
        </w:tc>
        <w:tc>
          <w:tcPr>
            <w:tcW w:w="1517" w:type="dxa"/>
            <w:noWrap/>
            <w:vAlign w:val="center"/>
          </w:tcPr>
          <w:p w14:paraId="5F270742" w14:textId="6742E28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41</w:t>
            </w:r>
          </w:p>
        </w:tc>
      </w:tr>
      <w:tr w:rsidR="00FB1014" w:rsidRPr="0010255F" w14:paraId="65021FA3"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50F4047" w14:textId="0BF90BB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Beechworth Health Service</w:t>
            </w:r>
          </w:p>
        </w:tc>
        <w:tc>
          <w:tcPr>
            <w:tcW w:w="1516" w:type="dxa"/>
            <w:noWrap/>
            <w:vAlign w:val="center"/>
          </w:tcPr>
          <w:p w14:paraId="0521976C" w14:textId="6C44426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74BAC37A" w14:textId="69D1B9EA"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45CCDD0E" w14:textId="0273028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1E7AB86E" w14:textId="7022C6EA"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r>
      <w:tr w:rsidR="00FB1014" w:rsidRPr="0010255F" w14:paraId="1AE48C51"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D849B97" w14:textId="0135F327"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Casterton Memorial Hospital</w:t>
            </w:r>
          </w:p>
        </w:tc>
        <w:tc>
          <w:tcPr>
            <w:tcW w:w="1516" w:type="dxa"/>
            <w:noWrap/>
            <w:vAlign w:val="center"/>
          </w:tcPr>
          <w:p w14:paraId="0351AE80" w14:textId="5DAF827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FA01247" w14:textId="2DD6390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2C5A0B32" w14:textId="36ADD64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34D9998D" w14:textId="4602CDF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6C0165DD"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CE7CDF3" w14:textId="74A46AF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Central Highlands Rural Health</w:t>
            </w:r>
          </w:p>
        </w:tc>
        <w:tc>
          <w:tcPr>
            <w:tcW w:w="1516" w:type="dxa"/>
            <w:noWrap/>
            <w:vAlign w:val="center"/>
          </w:tcPr>
          <w:p w14:paraId="73D4CAE6" w14:textId="62A7CD8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w:t>
            </w:r>
          </w:p>
        </w:tc>
        <w:tc>
          <w:tcPr>
            <w:tcW w:w="1517" w:type="dxa"/>
            <w:noWrap/>
            <w:vAlign w:val="center"/>
          </w:tcPr>
          <w:p w14:paraId="4578E1C6" w14:textId="0E566E0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FD96596" w14:textId="3475F35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107</w:t>
            </w:r>
          </w:p>
        </w:tc>
        <w:tc>
          <w:tcPr>
            <w:tcW w:w="1517" w:type="dxa"/>
            <w:noWrap/>
            <w:vAlign w:val="center"/>
          </w:tcPr>
          <w:p w14:paraId="73ADC23C" w14:textId="2C05620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114</w:t>
            </w:r>
          </w:p>
        </w:tc>
      </w:tr>
      <w:tr w:rsidR="00FB1014" w:rsidRPr="0010255F" w14:paraId="3A53AD71"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CADC90C" w14:textId="658F0920"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Cohuna District Hospital</w:t>
            </w:r>
          </w:p>
        </w:tc>
        <w:tc>
          <w:tcPr>
            <w:tcW w:w="1516" w:type="dxa"/>
            <w:noWrap/>
            <w:vAlign w:val="center"/>
          </w:tcPr>
          <w:p w14:paraId="02068B48" w14:textId="3B5DF54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501A0C4B" w14:textId="24C8BE8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724F45C3" w14:textId="12100F9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25</w:t>
            </w:r>
          </w:p>
        </w:tc>
        <w:tc>
          <w:tcPr>
            <w:tcW w:w="1517" w:type="dxa"/>
            <w:noWrap/>
            <w:vAlign w:val="center"/>
          </w:tcPr>
          <w:p w14:paraId="181A0C39" w14:textId="0D31E52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35</w:t>
            </w:r>
          </w:p>
        </w:tc>
      </w:tr>
      <w:tr w:rsidR="00FB1014" w:rsidRPr="0010255F" w14:paraId="6CF5A6D3"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7318D83" w14:textId="4E2FBFF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Corryong Health</w:t>
            </w:r>
          </w:p>
        </w:tc>
        <w:tc>
          <w:tcPr>
            <w:tcW w:w="1516" w:type="dxa"/>
            <w:noWrap/>
            <w:vAlign w:val="center"/>
          </w:tcPr>
          <w:p w14:paraId="030E9CAE" w14:textId="18E50BB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629D7AA1" w14:textId="25FEB41C"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vAlign w:val="center"/>
          </w:tcPr>
          <w:p w14:paraId="3ED8A95E" w14:textId="3750671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29</w:t>
            </w:r>
          </w:p>
        </w:tc>
        <w:tc>
          <w:tcPr>
            <w:tcW w:w="1517" w:type="dxa"/>
            <w:noWrap/>
            <w:vAlign w:val="center"/>
          </w:tcPr>
          <w:p w14:paraId="2B97787A" w14:textId="228FE42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34</w:t>
            </w:r>
          </w:p>
        </w:tc>
      </w:tr>
      <w:tr w:rsidR="00FB1014" w:rsidRPr="0010255F" w14:paraId="4F79BE58"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270DE9EF" w14:textId="05307D3F"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East Wimmera Health Service</w:t>
            </w:r>
          </w:p>
        </w:tc>
        <w:tc>
          <w:tcPr>
            <w:tcW w:w="1516" w:type="dxa"/>
            <w:noWrap/>
            <w:vAlign w:val="center"/>
          </w:tcPr>
          <w:p w14:paraId="5BD44446" w14:textId="590631C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94C1216" w14:textId="1B2D89B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DF476A9" w14:textId="5B2CD93C"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23</w:t>
            </w:r>
          </w:p>
        </w:tc>
        <w:tc>
          <w:tcPr>
            <w:tcW w:w="1517" w:type="dxa"/>
            <w:noWrap/>
            <w:vAlign w:val="center"/>
          </w:tcPr>
          <w:p w14:paraId="2B5DFB2D" w14:textId="6296C1EA"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23</w:t>
            </w:r>
          </w:p>
        </w:tc>
      </w:tr>
      <w:tr w:rsidR="00FB1014" w:rsidRPr="0010255F" w14:paraId="60F0C9A7"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C881D60" w14:textId="4C9A162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Great Ocean Road Health</w:t>
            </w:r>
          </w:p>
        </w:tc>
        <w:tc>
          <w:tcPr>
            <w:tcW w:w="1516" w:type="dxa"/>
            <w:noWrap/>
            <w:vAlign w:val="center"/>
          </w:tcPr>
          <w:p w14:paraId="5CDB9276" w14:textId="7400AD53"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6E8EA79C" w14:textId="687C694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BC8A263" w14:textId="10FFEC5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c>
          <w:tcPr>
            <w:tcW w:w="1517" w:type="dxa"/>
            <w:noWrap/>
            <w:vAlign w:val="center"/>
          </w:tcPr>
          <w:p w14:paraId="12DDC58F" w14:textId="451BC19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r>
      <w:tr w:rsidR="00FB1014" w:rsidRPr="0010255F" w14:paraId="2A9E686D"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074E92F" w14:textId="54DDB556"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Heathcote Health</w:t>
            </w:r>
          </w:p>
        </w:tc>
        <w:tc>
          <w:tcPr>
            <w:tcW w:w="1516" w:type="dxa"/>
            <w:noWrap/>
            <w:vAlign w:val="center"/>
          </w:tcPr>
          <w:p w14:paraId="7022578F" w14:textId="5882800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w:t>
            </w:r>
          </w:p>
        </w:tc>
        <w:tc>
          <w:tcPr>
            <w:tcW w:w="1517" w:type="dxa"/>
            <w:noWrap/>
            <w:vAlign w:val="center"/>
          </w:tcPr>
          <w:p w14:paraId="7085FE96" w14:textId="4441A6F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09217080" w14:textId="672D010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E29F4B9" w14:textId="5930CD8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w:t>
            </w:r>
          </w:p>
        </w:tc>
      </w:tr>
      <w:tr w:rsidR="00FB1014" w:rsidRPr="0010255F" w14:paraId="72735404"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A18E3F5" w14:textId="40493F4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Heywood Rural Health</w:t>
            </w:r>
          </w:p>
        </w:tc>
        <w:tc>
          <w:tcPr>
            <w:tcW w:w="1516" w:type="dxa"/>
            <w:noWrap/>
            <w:vAlign w:val="center"/>
          </w:tcPr>
          <w:p w14:paraId="47EDF6FC" w14:textId="550D906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c>
          <w:tcPr>
            <w:tcW w:w="1517" w:type="dxa"/>
            <w:noWrap/>
            <w:vAlign w:val="center"/>
          </w:tcPr>
          <w:p w14:paraId="0F28F83E" w14:textId="25AF49D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EAD5E3D" w14:textId="3BB1AD4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64E9A532" w14:textId="1406EC5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r>
      <w:tr w:rsidR="00FB1014" w:rsidRPr="0010255F" w14:paraId="7176276A"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D6B0A06" w14:textId="68A49021"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Inglewood and Districts Health Service</w:t>
            </w:r>
          </w:p>
        </w:tc>
        <w:tc>
          <w:tcPr>
            <w:tcW w:w="1516" w:type="dxa"/>
            <w:noWrap/>
            <w:vAlign w:val="center"/>
          </w:tcPr>
          <w:p w14:paraId="1E6C69AA" w14:textId="0C3A1E6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401E5E4C" w14:textId="50B09D7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5201275" w14:textId="386C295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1660261" w14:textId="6285FA9C"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r>
      <w:tr w:rsidR="00FB1014" w:rsidRPr="0010255F" w14:paraId="6B99AEA8"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CD3082A" w14:textId="48EC0DA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Kerang District Health</w:t>
            </w:r>
          </w:p>
        </w:tc>
        <w:tc>
          <w:tcPr>
            <w:tcW w:w="1516" w:type="dxa"/>
            <w:noWrap/>
            <w:vAlign w:val="center"/>
          </w:tcPr>
          <w:p w14:paraId="26ED1A70" w14:textId="22D3ED53"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711BF2BB" w14:textId="0758B15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012CD321" w14:textId="45B3497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0DB4C942" w14:textId="37444B1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r>
      <w:tr w:rsidR="00FB1014" w:rsidRPr="0010255F" w14:paraId="4EFF88A6"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1CE6064" w14:textId="5201853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Mansfield District Hospital</w:t>
            </w:r>
          </w:p>
        </w:tc>
        <w:tc>
          <w:tcPr>
            <w:tcW w:w="1516" w:type="dxa"/>
            <w:noWrap/>
            <w:vAlign w:val="center"/>
          </w:tcPr>
          <w:p w14:paraId="65548B75" w14:textId="1F5FD92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9</w:t>
            </w:r>
          </w:p>
        </w:tc>
        <w:tc>
          <w:tcPr>
            <w:tcW w:w="1517" w:type="dxa"/>
            <w:noWrap/>
            <w:vAlign w:val="center"/>
          </w:tcPr>
          <w:p w14:paraId="7776EB02" w14:textId="2295A85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A645A13" w14:textId="2F50F35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48</w:t>
            </w:r>
          </w:p>
        </w:tc>
        <w:tc>
          <w:tcPr>
            <w:tcW w:w="1517" w:type="dxa"/>
            <w:noWrap/>
            <w:vAlign w:val="center"/>
          </w:tcPr>
          <w:p w14:paraId="541F474F" w14:textId="4F94C2F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57</w:t>
            </w:r>
          </w:p>
        </w:tc>
      </w:tr>
      <w:tr w:rsidR="00FB1014" w:rsidRPr="0010255F" w14:paraId="410793C1"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C2A382C" w14:textId="1909A1C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Moyne Health Services</w:t>
            </w:r>
          </w:p>
        </w:tc>
        <w:tc>
          <w:tcPr>
            <w:tcW w:w="1516" w:type="dxa"/>
            <w:noWrap/>
            <w:vAlign w:val="center"/>
          </w:tcPr>
          <w:p w14:paraId="3AB9D118" w14:textId="219033C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c>
          <w:tcPr>
            <w:tcW w:w="1517" w:type="dxa"/>
            <w:noWrap/>
            <w:vAlign w:val="center"/>
          </w:tcPr>
          <w:p w14:paraId="059748C9" w14:textId="0F87F65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A89BB9B" w14:textId="7BE8080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1E4E6864" w14:textId="341EFCA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r>
      <w:tr w:rsidR="00FB1014" w:rsidRPr="0010255F" w14:paraId="406D7EDE"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ABC1B45" w14:textId="23CFAF0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NCN Health</w:t>
            </w:r>
          </w:p>
        </w:tc>
        <w:tc>
          <w:tcPr>
            <w:tcW w:w="1516" w:type="dxa"/>
            <w:noWrap/>
            <w:vAlign w:val="center"/>
          </w:tcPr>
          <w:p w14:paraId="7D6EFCD4" w14:textId="717B160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22</w:t>
            </w:r>
          </w:p>
        </w:tc>
        <w:tc>
          <w:tcPr>
            <w:tcW w:w="1517" w:type="dxa"/>
            <w:noWrap/>
            <w:vAlign w:val="center"/>
          </w:tcPr>
          <w:p w14:paraId="25E65E42" w14:textId="6267B75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521B67FD" w14:textId="38CFE0E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464782B0" w14:textId="0DDC1E4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22</w:t>
            </w:r>
          </w:p>
        </w:tc>
      </w:tr>
      <w:tr w:rsidR="00FB1014" w:rsidRPr="0010255F" w14:paraId="46F71D8A"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3A8D7D3" w14:textId="5082225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Orbost Regional Health</w:t>
            </w:r>
          </w:p>
        </w:tc>
        <w:tc>
          <w:tcPr>
            <w:tcW w:w="1516" w:type="dxa"/>
            <w:noWrap/>
            <w:vAlign w:val="center"/>
          </w:tcPr>
          <w:p w14:paraId="3F6C96F0" w14:textId="2A55DCE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43E7547F" w14:textId="3FF27FF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1CF0EDA1" w14:textId="4470DD2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87</w:t>
            </w:r>
          </w:p>
        </w:tc>
        <w:tc>
          <w:tcPr>
            <w:tcW w:w="1517" w:type="dxa"/>
            <w:noWrap/>
            <w:vAlign w:val="center"/>
          </w:tcPr>
          <w:p w14:paraId="7716F663" w14:textId="38E1119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87</w:t>
            </w:r>
          </w:p>
        </w:tc>
      </w:tr>
      <w:tr w:rsidR="00FB1014" w:rsidRPr="0010255F" w14:paraId="689CA4B4"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1350E6D" w14:textId="2D6B8679"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Robinvale District Health Services</w:t>
            </w:r>
          </w:p>
        </w:tc>
        <w:tc>
          <w:tcPr>
            <w:tcW w:w="1516" w:type="dxa"/>
            <w:noWrap/>
            <w:vAlign w:val="center"/>
          </w:tcPr>
          <w:p w14:paraId="3B773687" w14:textId="3B096F5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773A518" w14:textId="5524195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216280F4" w14:textId="715C436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176</w:t>
            </w:r>
          </w:p>
        </w:tc>
        <w:tc>
          <w:tcPr>
            <w:tcW w:w="1517" w:type="dxa"/>
            <w:noWrap/>
            <w:vAlign w:val="center"/>
          </w:tcPr>
          <w:p w14:paraId="18BEBE71" w14:textId="7B9278B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176</w:t>
            </w:r>
          </w:p>
        </w:tc>
      </w:tr>
      <w:tr w:rsidR="00FB1014" w:rsidRPr="0010255F" w14:paraId="490DE58D"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C677B4F" w14:textId="3D2D1A0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Rural Northwest Health</w:t>
            </w:r>
          </w:p>
        </w:tc>
        <w:tc>
          <w:tcPr>
            <w:tcW w:w="1516" w:type="dxa"/>
            <w:noWrap/>
            <w:vAlign w:val="center"/>
          </w:tcPr>
          <w:p w14:paraId="08F27173" w14:textId="064B946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w:t>
            </w:r>
          </w:p>
        </w:tc>
        <w:tc>
          <w:tcPr>
            <w:tcW w:w="1517" w:type="dxa"/>
            <w:noWrap/>
            <w:vAlign w:val="center"/>
          </w:tcPr>
          <w:p w14:paraId="57F703E5" w14:textId="64EE27E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54190039" w14:textId="0482DA5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2889C9C2" w14:textId="209A39D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w:t>
            </w:r>
          </w:p>
        </w:tc>
      </w:tr>
      <w:tr w:rsidR="00FB1014" w:rsidRPr="0010255F" w14:paraId="7FE2FACB"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52C3667" w14:textId="57A9F31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Seymour Health</w:t>
            </w:r>
          </w:p>
        </w:tc>
        <w:tc>
          <w:tcPr>
            <w:tcW w:w="1516" w:type="dxa"/>
            <w:noWrap/>
            <w:vAlign w:val="center"/>
          </w:tcPr>
          <w:p w14:paraId="7C2FE1A2" w14:textId="2DDF176A"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9</w:t>
            </w:r>
          </w:p>
        </w:tc>
        <w:tc>
          <w:tcPr>
            <w:tcW w:w="1517" w:type="dxa"/>
            <w:noWrap/>
            <w:vAlign w:val="center"/>
          </w:tcPr>
          <w:p w14:paraId="53F00A59" w14:textId="601F1BB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149F3FB8" w14:textId="62920C7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168</w:t>
            </w:r>
          </w:p>
        </w:tc>
        <w:tc>
          <w:tcPr>
            <w:tcW w:w="1517" w:type="dxa"/>
            <w:noWrap/>
            <w:vAlign w:val="center"/>
          </w:tcPr>
          <w:p w14:paraId="6BD5B08D" w14:textId="17F5B5C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177</w:t>
            </w:r>
          </w:p>
        </w:tc>
      </w:tr>
      <w:tr w:rsidR="00FB1014" w:rsidRPr="0010255F" w14:paraId="2D55B785"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1BC3B67" w14:textId="484A9C9B"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South Gippsland Hospital</w:t>
            </w:r>
          </w:p>
        </w:tc>
        <w:tc>
          <w:tcPr>
            <w:tcW w:w="1516" w:type="dxa"/>
            <w:noWrap/>
            <w:vAlign w:val="center"/>
          </w:tcPr>
          <w:p w14:paraId="6D3FA96B" w14:textId="7166CAE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c>
          <w:tcPr>
            <w:tcW w:w="1517" w:type="dxa"/>
            <w:noWrap/>
            <w:vAlign w:val="center"/>
          </w:tcPr>
          <w:p w14:paraId="3E536741" w14:textId="1F7DB35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47C35D1" w14:textId="5E843E7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29BF5CBE" w14:textId="5D53091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r>
      <w:tr w:rsidR="00FB1014" w:rsidRPr="0010255F" w14:paraId="6B25ACB0"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C6E42A1" w14:textId="5591894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Terang and Mortlake Health Service</w:t>
            </w:r>
          </w:p>
        </w:tc>
        <w:tc>
          <w:tcPr>
            <w:tcW w:w="1516" w:type="dxa"/>
            <w:noWrap/>
            <w:vAlign w:val="center"/>
          </w:tcPr>
          <w:p w14:paraId="3CFF081C" w14:textId="4B4C70A3"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1EE6EA0C" w14:textId="497E5FC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3D40769A" w14:textId="312D08C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DF856C5" w14:textId="1FA670F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3CFF010F"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F5ED626" w14:textId="4F47754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West Wimmera Health Service</w:t>
            </w:r>
          </w:p>
        </w:tc>
        <w:tc>
          <w:tcPr>
            <w:tcW w:w="1516" w:type="dxa"/>
            <w:noWrap/>
            <w:vAlign w:val="center"/>
          </w:tcPr>
          <w:p w14:paraId="144A2D2D" w14:textId="036A6F8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7CB3C1C1" w14:textId="3455019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61655CB8" w14:textId="27B6128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4EE186D9" w14:textId="5A5A617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7AD2AD19"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DD86834" w14:textId="585A842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Yarram and District Health Service</w:t>
            </w:r>
          </w:p>
        </w:tc>
        <w:tc>
          <w:tcPr>
            <w:tcW w:w="1516" w:type="dxa"/>
            <w:noWrap/>
            <w:vAlign w:val="center"/>
          </w:tcPr>
          <w:p w14:paraId="12225EDF" w14:textId="238D79A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4B9E4B88" w14:textId="3C29FB0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15C7DEE4" w14:textId="6256E39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55</w:t>
            </w:r>
          </w:p>
        </w:tc>
        <w:tc>
          <w:tcPr>
            <w:tcW w:w="1517" w:type="dxa"/>
            <w:noWrap/>
            <w:vAlign w:val="center"/>
          </w:tcPr>
          <w:p w14:paraId="15C67DBE" w14:textId="3A65167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60</w:t>
            </w:r>
          </w:p>
        </w:tc>
      </w:tr>
      <w:tr w:rsidR="00FB1014" w:rsidRPr="0010255F" w14:paraId="5A17A3DC" w14:textId="77777777" w:rsidTr="00FB101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7F47986E" w14:textId="531B45B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Yarrawonga Health</w:t>
            </w:r>
          </w:p>
        </w:tc>
        <w:tc>
          <w:tcPr>
            <w:tcW w:w="1516" w:type="dxa"/>
            <w:noWrap/>
            <w:vAlign w:val="center"/>
          </w:tcPr>
          <w:p w14:paraId="78AFBA01" w14:textId="584F6F8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087FB6EC" w14:textId="3190363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0AF3BB8B" w14:textId="4EAFA55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133</w:t>
            </w:r>
          </w:p>
        </w:tc>
        <w:tc>
          <w:tcPr>
            <w:tcW w:w="1517" w:type="dxa"/>
            <w:noWrap/>
            <w:vAlign w:val="center"/>
          </w:tcPr>
          <w:p w14:paraId="5C8449FF" w14:textId="4366B6A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138</w:t>
            </w:r>
          </w:p>
        </w:tc>
      </w:tr>
      <w:tr w:rsidR="00FB1014" w:rsidRPr="0010255F" w14:paraId="5185DEF7"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7F62229" w14:textId="5678DE8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Yea and District Memorial Hospital</w:t>
            </w:r>
          </w:p>
        </w:tc>
        <w:tc>
          <w:tcPr>
            <w:tcW w:w="1516" w:type="dxa"/>
            <w:noWrap/>
            <w:vAlign w:val="center"/>
          </w:tcPr>
          <w:p w14:paraId="188966AC" w14:textId="75FEE3E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6A349DE9" w14:textId="047C29A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FDE0095" w14:textId="59D1ACC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6951CFC" w14:textId="2FF2C90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r>
      <w:tr w:rsidR="00FB1014" w:rsidRPr="0010255F" w14:paraId="19B1924E"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7C78778" w14:textId="10181586"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Grand Total</w:t>
            </w:r>
          </w:p>
        </w:tc>
        <w:tc>
          <w:tcPr>
            <w:tcW w:w="1516" w:type="dxa"/>
            <w:noWrap/>
            <w:vAlign w:val="center"/>
          </w:tcPr>
          <w:p w14:paraId="5CA4C2FC" w14:textId="06FE7DB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142</w:t>
            </w:r>
          </w:p>
        </w:tc>
        <w:tc>
          <w:tcPr>
            <w:tcW w:w="1517" w:type="dxa"/>
            <w:noWrap/>
            <w:vAlign w:val="center"/>
          </w:tcPr>
          <w:p w14:paraId="37D926D2" w14:textId="6C2891C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vAlign w:val="center"/>
          </w:tcPr>
          <w:p w14:paraId="58BC8043" w14:textId="6B6CFB5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915</w:t>
            </w:r>
          </w:p>
        </w:tc>
        <w:tc>
          <w:tcPr>
            <w:tcW w:w="1517" w:type="dxa"/>
            <w:noWrap/>
            <w:vAlign w:val="center"/>
          </w:tcPr>
          <w:p w14:paraId="14123615" w14:textId="4EF2610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1,058</w:t>
            </w:r>
          </w:p>
        </w:tc>
      </w:tr>
    </w:tbl>
    <w:p w14:paraId="5D4E87E7" w14:textId="20EAB7C8" w:rsidR="005D472A" w:rsidRDefault="005D472A" w:rsidP="0040572E">
      <w:pPr>
        <w:pStyle w:val="Body"/>
      </w:pPr>
    </w:p>
    <w:p w14:paraId="54135D12" w14:textId="77777777" w:rsidR="005D472A" w:rsidRDefault="005D472A">
      <w:pPr>
        <w:spacing w:after="0" w:line="240" w:lineRule="auto"/>
        <w:rPr>
          <w:rFonts w:eastAsia="Times"/>
        </w:rPr>
      </w:pPr>
      <w:r>
        <w:br w:type="page"/>
      </w:r>
    </w:p>
    <w:p w14:paraId="28C07F89" w14:textId="3C9447CF" w:rsidR="005B699B" w:rsidRDefault="005B699B" w:rsidP="005D7D2C">
      <w:pPr>
        <w:pStyle w:val="Heading2"/>
        <w:numPr>
          <w:ilvl w:val="1"/>
          <w:numId w:val="12"/>
        </w:numPr>
        <w:ind w:left="851" w:hanging="851"/>
      </w:pPr>
      <w:bookmarkStart w:id="2540" w:name="_Toc144905684"/>
      <w:bookmarkStart w:id="2541" w:name="_Toc144905685"/>
      <w:bookmarkStart w:id="2542" w:name="_Toc144905687"/>
      <w:bookmarkStart w:id="2543" w:name="_Toc144905688"/>
      <w:bookmarkStart w:id="2544" w:name="_Toc12780669"/>
      <w:bookmarkStart w:id="2545" w:name="_Toc14172310"/>
      <w:bookmarkStart w:id="2546" w:name="_Toc33703984"/>
      <w:bookmarkStart w:id="2547" w:name="_Toc55381172"/>
      <w:bookmarkStart w:id="2548" w:name="_Toc100263377"/>
      <w:bookmarkStart w:id="2549" w:name="_Toc165961874"/>
      <w:bookmarkStart w:id="2550" w:name="_Toc201148302"/>
      <w:bookmarkStart w:id="2551" w:name="_Hlk78967372"/>
      <w:bookmarkEnd w:id="2540"/>
      <w:bookmarkEnd w:id="2541"/>
      <w:bookmarkEnd w:id="2542"/>
      <w:bookmarkEnd w:id="2543"/>
      <w:r>
        <w:t xml:space="preserve">Non-admitted </w:t>
      </w:r>
      <w:r w:rsidRPr="00295CB9">
        <w:t>radiotherapy</w:t>
      </w:r>
      <w:r>
        <w:t xml:space="preserve"> activity (WAU) targets </w:t>
      </w:r>
      <w:bookmarkEnd w:id="2544"/>
      <w:bookmarkEnd w:id="2545"/>
      <w:bookmarkEnd w:id="2546"/>
      <w:bookmarkEnd w:id="2547"/>
      <w:bookmarkEnd w:id="2548"/>
      <w:r>
        <w:t>202</w:t>
      </w:r>
      <w:r w:rsidR="000C0EF6">
        <w:t>5</w:t>
      </w:r>
      <w:r>
        <w:t>–2</w:t>
      </w:r>
      <w:bookmarkEnd w:id="2549"/>
      <w:r w:rsidR="000C0EF6">
        <w:t>6</w:t>
      </w:r>
      <w:bookmarkEnd w:id="2550"/>
    </w:p>
    <w:p w14:paraId="270D536B" w14:textId="6285A2CC" w:rsidR="00A06CA4" w:rsidRPr="00A06CA4" w:rsidRDefault="00A06CA4" w:rsidP="00A06CA4">
      <w:pPr>
        <w:pStyle w:val="Body"/>
        <w:rPr>
          <w:sz w:val="18"/>
          <w:szCs w:val="18"/>
        </w:rPr>
      </w:pPr>
      <w:r w:rsidRPr="00A06CA4">
        <w:rPr>
          <w:sz w:val="18"/>
          <w:szCs w:val="18"/>
        </w:rPr>
        <w:t>Notes:</w:t>
      </w:r>
    </w:p>
    <w:p w14:paraId="5144C013" w14:textId="6D348742" w:rsidR="00A06CA4" w:rsidRPr="00A06CA4" w:rsidRDefault="00A06CA4" w:rsidP="00A06CA4">
      <w:pPr>
        <w:pStyle w:val="Tablebullet9pt"/>
      </w:pPr>
      <w:r w:rsidRPr="00A06CA4">
        <w:t>Draft information pending finalisation of SOPs</w:t>
      </w:r>
      <w:r>
        <w:t>.</w:t>
      </w:r>
    </w:p>
    <w:p w14:paraId="7BE983B5" w14:textId="7D4A74FC" w:rsidR="005B699B" w:rsidRPr="00D55128" w:rsidRDefault="00462DC7" w:rsidP="00297FC9">
      <w:pPr>
        <w:pStyle w:val="Tablecaption"/>
      </w:pPr>
      <w:bookmarkStart w:id="2552" w:name="_Toc12534179"/>
      <w:bookmarkStart w:id="2553" w:name="_Toc12780572"/>
      <w:bookmarkStart w:id="2554" w:name="_Toc14194828"/>
      <w:bookmarkStart w:id="2555" w:name="_Toc33704009"/>
      <w:bookmarkStart w:id="2556" w:name="_Toc109894138"/>
      <w:bookmarkStart w:id="2557" w:name="_Toc201148600"/>
      <w:r w:rsidRPr="00454AA1">
        <w:t xml:space="preserve">Table </w:t>
      </w:r>
      <w:r w:rsidR="00D72666">
        <w:t>2</w:t>
      </w:r>
      <w:r w:rsidR="000E0ED2">
        <w:t>.</w:t>
      </w:r>
      <w:r>
        <w:fldChar w:fldCharType="begin"/>
      </w:r>
      <w:r>
        <w:instrText>SEQ Table \* ARABIC \s 1</w:instrText>
      </w:r>
      <w:r>
        <w:fldChar w:fldCharType="separate"/>
      </w:r>
      <w:r w:rsidR="007D262B">
        <w:rPr>
          <w:noProof/>
        </w:rPr>
        <w:t>14</w:t>
      </w:r>
      <w:r>
        <w:fldChar w:fldCharType="end"/>
      </w:r>
      <w:r w:rsidRPr="00454AA1">
        <w:t xml:space="preserve">: </w:t>
      </w:r>
      <w:r w:rsidR="005B699B" w:rsidRPr="00454AA1">
        <w:t xml:space="preserve">Non-admitted radiotherapy activity targets </w:t>
      </w:r>
      <w:bookmarkEnd w:id="2552"/>
      <w:bookmarkEnd w:id="2553"/>
      <w:bookmarkEnd w:id="2554"/>
      <w:bookmarkEnd w:id="2555"/>
      <w:bookmarkEnd w:id="2556"/>
      <w:r w:rsidR="005B699B" w:rsidRPr="00454AA1">
        <w:t>202</w:t>
      </w:r>
      <w:r w:rsidR="000C0EF6">
        <w:t>5</w:t>
      </w:r>
      <w:r w:rsidR="005B699B" w:rsidRPr="00454AA1">
        <w:t>–2</w:t>
      </w:r>
      <w:r w:rsidR="000C0EF6">
        <w:t>6</w:t>
      </w:r>
      <w:bookmarkEnd w:id="2557"/>
      <w:r w:rsidR="00503A8E">
        <w:t xml:space="preserve"> </w:t>
      </w:r>
    </w:p>
    <w:tbl>
      <w:tblPr>
        <w:tblStyle w:val="GridTable4-Accent1"/>
        <w:tblW w:w="6180" w:type="dxa"/>
        <w:tblLook w:val="04A0" w:firstRow="1" w:lastRow="0" w:firstColumn="1" w:lastColumn="0" w:noHBand="0" w:noVBand="1"/>
      </w:tblPr>
      <w:tblGrid>
        <w:gridCol w:w="2778"/>
        <w:gridCol w:w="3402"/>
      </w:tblGrid>
      <w:tr w:rsidR="00703741" w:rsidRPr="00FC5FEB" w14:paraId="32501D41" w14:textId="77777777" w:rsidTr="002572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78" w:type="dxa"/>
            <w:noWrap/>
            <w:hideMark/>
          </w:tcPr>
          <w:p w14:paraId="60F72A12" w14:textId="7EEFB2F8" w:rsidR="00703741" w:rsidRPr="00257223" w:rsidRDefault="00703741"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w:t>
            </w:r>
            <w:r w:rsidRPr="00257223">
              <w:rPr>
                <w:b/>
                <w:bCs w:val="0"/>
                <w:color w:val="FFFFFF" w:themeColor="background1"/>
                <w:sz w:val="16"/>
              </w:rPr>
              <w:t>ervice</w:t>
            </w:r>
          </w:p>
        </w:tc>
        <w:tc>
          <w:tcPr>
            <w:tcW w:w="3402" w:type="dxa"/>
            <w:hideMark/>
          </w:tcPr>
          <w:p w14:paraId="0515D9C5" w14:textId="77777777" w:rsidR="00703741" w:rsidRPr="00257223" w:rsidRDefault="0070374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Radiotherapy base variable WAU</w:t>
            </w:r>
          </w:p>
        </w:tc>
      </w:tr>
      <w:tr w:rsidR="000F5769" w:rsidRPr="00FC5FEB" w14:paraId="114AB2FB"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467F136A" w14:textId="77777777" w:rsidR="000F5769" w:rsidRPr="00AC68A2" w:rsidRDefault="000F5769" w:rsidP="000F5769">
            <w:pPr>
              <w:pStyle w:val="Tabletext8pt"/>
              <w:rPr>
                <w:b w:val="0"/>
                <w:bCs w:val="0"/>
                <w:sz w:val="16"/>
                <w:szCs w:val="16"/>
              </w:rPr>
            </w:pPr>
            <w:r w:rsidRPr="00AC68A2">
              <w:rPr>
                <w:b w:val="0"/>
                <w:bCs w:val="0"/>
                <w:sz w:val="16"/>
                <w:szCs w:val="16"/>
              </w:rPr>
              <w:t>Alfred Health</w:t>
            </w:r>
          </w:p>
        </w:tc>
        <w:tc>
          <w:tcPr>
            <w:tcW w:w="3402" w:type="dxa"/>
            <w:noWrap/>
          </w:tcPr>
          <w:p w14:paraId="1418AA51" w14:textId="3D4F009A"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70250">
              <w:t>78,193</w:t>
            </w:r>
          </w:p>
        </w:tc>
      </w:tr>
      <w:tr w:rsidR="000F5769" w:rsidRPr="00FC5FEB" w14:paraId="4A38B6C0"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9C0FA95" w14:textId="77777777" w:rsidR="000F5769" w:rsidRPr="00AC68A2" w:rsidRDefault="000F5769" w:rsidP="000F5769">
            <w:pPr>
              <w:pStyle w:val="Tabletext8pt"/>
              <w:rPr>
                <w:b w:val="0"/>
                <w:bCs w:val="0"/>
                <w:sz w:val="16"/>
                <w:szCs w:val="16"/>
              </w:rPr>
            </w:pPr>
            <w:r w:rsidRPr="00AC68A2">
              <w:rPr>
                <w:b w:val="0"/>
                <w:bCs w:val="0"/>
                <w:sz w:val="16"/>
                <w:szCs w:val="16"/>
              </w:rPr>
              <w:t>Austin Health</w:t>
            </w:r>
          </w:p>
        </w:tc>
        <w:tc>
          <w:tcPr>
            <w:tcW w:w="3402" w:type="dxa"/>
            <w:noWrap/>
          </w:tcPr>
          <w:p w14:paraId="7B5A1731" w14:textId="1AD6EEB0" w:rsidR="000F5769" w:rsidRPr="00257223" w:rsidRDefault="000F5769" w:rsidP="000F57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70250">
              <w:t>87,303</w:t>
            </w:r>
          </w:p>
        </w:tc>
      </w:tr>
      <w:tr w:rsidR="000F5769" w:rsidRPr="00FC5FEB" w14:paraId="3E2296A6"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CC7B8A4" w14:textId="77777777" w:rsidR="000F5769" w:rsidRPr="00AC68A2" w:rsidRDefault="000F5769" w:rsidP="000F5769">
            <w:pPr>
              <w:pStyle w:val="Tabletext8pt"/>
              <w:rPr>
                <w:b w:val="0"/>
                <w:bCs w:val="0"/>
                <w:sz w:val="16"/>
                <w:szCs w:val="16"/>
              </w:rPr>
            </w:pPr>
            <w:r w:rsidRPr="00AC68A2">
              <w:rPr>
                <w:b w:val="0"/>
                <w:bCs w:val="0"/>
                <w:sz w:val="16"/>
                <w:szCs w:val="16"/>
              </w:rPr>
              <w:t>Barwon Health</w:t>
            </w:r>
          </w:p>
        </w:tc>
        <w:tc>
          <w:tcPr>
            <w:tcW w:w="3402" w:type="dxa"/>
            <w:noWrap/>
          </w:tcPr>
          <w:p w14:paraId="15036411" w14:textId="428F8824"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70250">
              <w:t>43,224</w:t>
            </w:r>
          </w:p>
        </w:tc>
      </w:tr>
      <w:tr w:rsidR="000F5769" w:rsidRPr="00FC5FEB" w14:paraId="1AC61DFA"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4FFA3A2B" w14:textId="4CB1D2CC" w:rsidR="000F5769" w:rsidRPr="00AC68A2" w:rsidRDefault="000F5769" w:rsidP="000F5769">
            <w:pPr>
              <w:pStyle w:val="Tabletext8pt"/>
              <w:rPr>
                <w:b w:val="0"/>
                <w:bCs w:val="0"/>
                <w:sz w:val="16"/>
                <w:szCs w:val="16"/>
              </w:rPr>
            </w:pPr>
            <w:r w:rsidRPr="00AC68A2">
              <w:rPr>
                <w:b w:val="0"/>
                <w:bCs w:val="0"/>
                <w:sz w:val="16"/>
                <w:szCs w:val="16"/>
              </w:rPr>
              <w:t>Peter MacCallum Cancer Institute</w:t>
            </w:r>
          </w:p>
        </w:tc>
        <w:tc>
          <w:tcPr>
            <w:tcW w:w="3402" w:type="dxa"/>
            <w:noWrap/>
          </w:tcPr>
          <w:p w14:paraId="4D96519F" w14:textId="17669B62" w:rsidR="000F5769" w:rsidRPr="00257223" w:rsidRDefault="000F5769" w:rsidP="000F57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70250">
              <w:t>317,393</w:t>
            </w:r>
          </w:p>
        </w:tc>
      </w:tr>
      <w:tr w:rsidR="000F5769" w:rsidRPr="00FC5FEB" w14:paraId="5A2C29BB"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3D78B1CC" w14:textId="77777777" w:rsidR="000F5769" w:rsidRPr="00AC68A2" w:rsidRDefault="000F5769" w:rsidP="000F5769">
            <w:pPr>
              <w:pStyle w:val="Tabletext8pt"/>
              <w:rPr>
                <w:b w:val="0"/>
                <w:bCs w:val="0"/>
                <w:sz w:val="16"/>
                <w:szCs w:val="16"/>
              </w:rPr>
            </w:pPr>
            <w:r w:rsidRPr="00AC68A2">
              <w:rPr>
                <w:b w:val="0"/>
                <w:bCs w:val="0"/>
                <w:sz w:val="16"/>
                <w:szCs w:val="16"/>
              </w:rPr>
              <w:t>Total</w:t>
            </w:r>
          </w:p>
        </w:tc>
        <w:tc>
          <w:tcPr>
            <w:tcW w:w="3402" w:type="dxa"/>
            <w:noWrap/>
          </w:tcPr>
          <w:p w14:paraId="5A49BEDE" w14:textId="5663AAF5"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670250">
              <w:t>526,114</w:t>
            </w:r>
          </w:p>
        </w:tc>
      </w:tr>
    </w:tbl>
    <w:p w14:paraId="582BE0AB" w14:textId="77777777" w:rsidR="005B699B" w:rsidRPr="00454AA1" w:rsidRDefault="005B699B" w:rsidP="005B699B">
      <w:pPr>
        <w:pStyle w:val="Body"/>
      </w:pPr>
    </w:p>
    <w:p w14:paraId="2656F037" w14:textId="16D9C493" w:rsidR="005B699B" w:rsidRDefault="00462DC7" w:rsidP="00297FC9">
      <w:pPr>
        <w:pStyle w:val="Tablecaption"/>
      </w:pPr>
      <w:bookmarkStart w:id="2558" w:name="_Toc12780573"/>
      <w:bookmarkStart w:id="2559" w:name="_Toc14194829"/>
      <w:bookmarkStart w:id="2560" w:name="_Toc33704010"/>
      <w:bookmarkStart w:id="2561" w:name="_Toc109894139"/>
      <w:bookmarkStart w:id="2562" w:name="_Toc201148601"/>
      <w:r w:rsidRPr="00454AA1">
        <w:t xml:space="preserve">Table </w:t>
      </w:r>
      <w:r w:rsidR="00D72666">
        <w:t>2</w:t>
      </w:r>
      <w:r w:rsidR="000E0ED2">
        <w:t>.</w:t>
      </w:r>
      <w:r>
        <w:fldChar w:fldCharType="begin"/>
      </w:r>
      <w:r>
        <w:instrText>SEQ Table \* ARABIC \s 1</w:instrText>
      </w:r>
      <w:r>
        <w:fldChar w:fldCharType="separate"/>
      </w:r>
      <w:r w:rsidR="007D262B">
        <w:rPr>
          <w:noProof/>
        </w:rPr>
        <w:t>15</w:t>
      </w:r>
      <w:r>
        <w:fldChar w:fldCharType="end"/>
      </w:r>
      <w:r w:rsidRPr="00454AA1">
        <w:t xml:space="preserve">: </w:t>
      </w:r>
      <w:r w:rsidR="005B699B" w:rsidRPr="00454AA1">
        <w:t>Shared care radiotherapy activity targets 202</w:t>
      </w:r>
      <w:r w:rsidR="000C0EF6">
        <w:t>5</w:t>
      </w:r>
      <w:r w:rsidR="005B699B" w:rsidRPr="00454AA1">
        <w:t>–2</w:t>
      </w:r>
      <w:bookmarkStart w:id="2563" w:name="_Toc12780670"/>
      <w:bookmarkStart w:id="2564" w:name="_Toc14172311"/>
      <w:bookmarkStart w:id="2565" w:name="_Toc33703985"/>
      <w:bookmarkStart w:id="2566" w:name="_Toc55381173"/>
      <w:bookmarkEnd w:id="2551"/>
      <w:bookmarkEnd w:id="2558"/>
      <w:bookmarkEnd w:id="2559"/>
      <w:bookmarkEnd w:id="2560"/>
      <w:bookmarkEnd w:id="2561"/>
      <w:r w:rsidR="000C0EF6">
        <w:t>6</w:t>
      </w:r>
      <w:bookmarkEnd w:id="2562"/>
      <w:r w:rsidR="00503A8E">
        <w:t xml:space="preserve"> </w:t>
      </w:r>
    </w:p>
    <w:tbl>
      <w:tblPr>
        <w:tblStyle w:val="GridTable4-Accent1"/>
        <w:tblW w:w="6180" w:type="dxa"/>
        <w:tblLook w:val="04A0" w:firstRow="1" w:lastRow="0" w:firstColumn="1" w:lastColumn="0" w:noHBand="0" w:noVBand="1"/>
      </w:tblPr>
      <w:tblGrid>
        <w:gridCol w:w="2778"/>
        <w:gridCol w:w="3402"/>
      </w:tblGrid>
      <w:tr w:rsidR="003964C7" w:rsidRPr="00FC5FEB" w14:paraId="395E5853" w14:textId="77777777" w:rsidTr="002572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78" w:type="dxa"/>
            <w:noWrap/>
            <w:hideMark/>
          </w:tcPr>
          <w:p w14:paraId="5B86FAC1" w14:textId="5CF0BBF1" w:rsidR="003964C7" w:rsidRPr="00257223" w:rsidRDefault="003964C7"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w:t>
            </w:r>
            <w:r w:rsidRPr="00257223">
              <w:rPr>
                <w:b/>
                <w:bCs w:val="0"/>
                <w:color w:val="FFFFFF" w:themeColor="background1"/>
                <w:sz w:val="16"/>
              </w:rPr>
              <w:t>ervice</w:t>
            </w:r>
          </w:p>
        </w:tc>
        <w:tc>
          <w:tcPr>
            <w:tcW w:w="3402" w:type="dxa"/>
            <w:hideMark/>
          </w:tcPr>
          <w:p w14:paraId="644EAD61" w14:textId="77777777" w:rsidR="003964C7" w:rsidRPr="00257223" w:rsidRDefault="003964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Radiotherapy non-admitted shared care</w:t>
            </w:r>
          </w:p>
        </w:tc>
      </w:tr>
      <w:tr w:rsidR="006B3589" w:rsidRPr="00FC5FEB" w14:paraId="63D22495"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36F4C2E" w14:textId="77777777" w:rsidR="006B3589" w:rsidRPr="00AC68A2" w:rsidRDefault="006B3589" w:rsidP="006B3589">
            <w:pPr>
              <w:pStyle w:val="Tabletext8pt"/>
              <w:rPr>
                <w:b w:val="0"/>
                <w:bCs w:val="0"/>
                <w:sz w:val="16"/>
                <w:szCs w:val="16"/>
              </w:rPr>
            </w:pPr>
            <w:r w:rsidRPr="00AC68A2">
              <w:rPr>
                <w:b w:val="0"/>
                <w:bCs w:val="0"/>
                <w:sz w:val="16"/>
                <w:szCs w:val="16"/>
              </w:rPr>
              <w:t>Monash Health</w:t>
            </w:r>
          </w:p>
        </w:tc>
        <w:tc>
          <w:tcPr>
            <w:tcW w:w="3402" w:type="dxa"/>
            <w:noWrap/>
          </w:tcPr>
          <w:p w14:paraId="0FCA6D5C" w14:textId="6ADB2533"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241DB">
              <w:t>173</w:t>
            </w:r>
          </w:p>
        </w:tc>
      </w:tr>
      <w:tr w:rsidR="006B3589" w:rsidRPr="00FC5FEB" w14:paraId="4562C0D6"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0FD250E2" w14:textId="77777777" w:rsidR="006B3589" w:rsidRPr="00AC68A2" w:rsidRDefault="006B3589" w:rsidP="006B3589">
            <w:pPr>
              <w:pStyle w:val="Tabletext8pt"/>
              <w:rPr>
                <w:b w:val="0"/>
                <w:bCs w:val="0"/>
                <w:sz w:val="16"/>
                <w:szCs w:val="16"/>
              </w:rPr>
            </w:pPr>
            <w:r w:rsidRPr="00AC68A2">
              <w:rPr>
                <w:b w:val="0"/>
                <w:bCs w:val="0"/>
                <w:sz w:val="16"/>
                <w:szCs w:val="16"/>
              </w:rPr>
              <w:t>Northern Health</w:t>
            </w:r>
          </w:p>
        </w:tc>
        <w:tc>
          <w:tcPr>
            <w:tcW w:w="3402" w:type="dxa"/>
            <w:noWrap/>
          </w:tcPr>
          <w:p w14:paraId="12759F08" w14:textId="742F1188" w:rsidR="006B3589" w:rsidRPr="00257223" w:rsidRDefault="006B3589" w:rsidP="006B358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241DB">
              <w:t>229</w:t>
            </w:r>
          </w:p>
        </w:tc>
      </w:tr>
      <w:tr w:rsidR="006B3589" w:rsidRPr="00FC5FEB" w14:paraId="01832A22"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88C9DCB" w14:textId="77777777" w:rsidR="006B3589" w:rsidRPr="00AC68A2" w:rsidRDefault="006B3589" w:rsidP="006B3589">
            <w:pPr>
              <w:pStyle w:val="Tabletext8pt"/>
              <w:rPr>
                <w:b w:val="0"/>
                <w:bCs w:val="0"/>
                <w:sz w:val="16"/>
                <w:szCs w:val="16"/>
              </w:rPr>
            </w:pPr>
            <w:r w:rsidRPr="00AC68A2">
              <w:rPr>
                <w:b w:val="0"/>
                <w:bCs w:val="0"/>
                <w:sz w:val="16"/>
                <w:szCs w:val="16"/>
              </w:rPr>
              <w:t>Peninsula Health</w:t>
            </w:r>
          </w:p>
        </w:tc>
        <w:tc>
          <w:tcPr>
            <w:tcW w:w="3402" w:type="dxa"/>
            <w:noWrap/>
          </w:tcPr>
          <w:p w14:paraId="458E5C99" w14:textId="4CC07FEC"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241DB">
              <w:t>180</w:t>
            </w:r>
          </w:p>
        </w:tc>
      </w:tr>
      <w:tr w:rsidR="006B3589" w:rsidRPr="00FC5FEB" w14:paraId="36F6CF12"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1FF417F2" w14:textId="77777777" w:rsidR="006B3589" w:rsidRPr="00AC68A2" w:rsidRDefault="006B3589" w:rsidP="006B3589">
            <w:pPr>
              <w:pStyle w:val="Tabletext8pt"/>
              <w:rPr>
                <w:b w:val="0"/>
                <w:bCs w:val="0"/>
                <w:sz w:val="16"/>
                <w:szCs w:val="16"/>
              </w:rPr>
            </w:pPr>
            <w:r w:rsidRPr="00AC68A2">
              <w:rPr>
                <w:b w:val="0"/>
                <w:bCs w:val="0"/>
                <w:sz w:val="16"/>
                <w:szCs w:val="16"/>
              </w:rPr>
              <w:t>Western Health</w:t>
            </w:r>
          </w:p>
        </w:tc>
        <w:tc>
          <w:tcPr>
            <w:tcW w:w="3402" w:type="dxa"/>
            <w:noWrap/>
          </w:tcPr>
          <w:p w14:paraId="72475E3A" w14:textId="0FF861C5" w:rsidR="006B3589" w:rsidRPr="00257223" w:rsidRDefault="006B3589" w:rsidP="006B358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241DB">
              <w:t>17</w:t>
            </w:r>
          </w:p>
        </w:tc>
      </w:tr>
      <w:tr w:rsidR="006B3589" w:rsidRPr="00FC5FEB" w14:paraId="05DF06B7"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3572A84D" w14:textId="77777777" w:rsidR="006B3589" w:rsidRPr="00AC68A2" w:rsidRDefault="006B3589" w:rsidP="006B3589">
            <w:pPr>
              <w:pStyle w:val="Tabletext8pt"/>
              <w:rPr>
                <w:b w:val="0"/>
                <w:bCs w:val="0"/>
                <w:sz w:val="16"/>
                <w:szCs w:val="16"/>
              </w:rPr>
            </w:pPr>
            <w:r w:rsidRPr="00AC68A2">
              <w:rPr>
                <w:b w:val="0"/>
                <w:bCs w:val="0"/>
                <w:sz w:val="16"/>
                <w:szCs w:val="16"/>
              </w:rPr>
              <w:t>Total</w:t>
            </w:r>
          </w:p>
        </w:tc>
        <w:tc>
          <w:tcPr>
            <w:tcW w:w="3402" w:type="dxa"/>
            <w:noWrap/>
          </w:tcPr>
          <w:p w14:paraId="0AAF65BF" w14:textId="46CB7EA9"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F241DB">
              <w:t>599</w:t>
            </w:r>
          </w:p>
        </w:tc>
      </w:tr>
    </w:tbl>
    <w:p w14:paraId="704A3DA0" w14:textId="77777777" w:rsidR="005B699B" w:rsidRDefault="005B699B" w:rsidP="005B699B">
      <w:pPr>
        <w:pStyle w:val="Body"/>
      </w:pPr>
    </w:p>
    <w:bookmarkEnd w:id="2563"/>
    <w:bookmarkEnd w:id="2564"/>
    <w:bookmarkEnd w:id="2565"/>
    <w:bookmarkEnd w:id="2566"/>
    <w:p w14:paraId="7172B9A0" w14:textId="77777777" w:rsidR="005B699B" w:rsidRPr="00DC7E40" w:rsidRDefault="005B699B" w:rsidP="00473B41">
      <w:pPr>
        <w:pStyle w:val="Body"/>
      </w:pPr>
      <w:r>
        <w:br w:type="page"/>
      </w:r>
    </w:p>
    <w:p w14:paraId="59481733" w14:textId="500F1812" w:rsidR="005B699B" w:rsidRPr="005A088D" w:rsidRDefault="005B699B" w:rsidP="005D7D2C">
      <w:pPr>
        <w:pStyle w:val="Heading2"/>
        <w:numPr>
          <w:ilvl w:val="1"/>
          <w:numId w:val="12"/>
        </w:numPr>
        <w:ind w:left="851" w:hanging="851"/>
      </w:pPr>
      <w:bookmarkStart w:id="2567" w:name="_Toc12780671"/>
      <w:bookmarkStart w:id="2568" w:name="_Toc14172312"/>
      <w:bookmarkStart w:id="2569" w:name="_Toc33703986"/>
      <w:bookmarkStart w:id="2570" w:name="_Toc55381174"/>
      <w:bookmarkStart w:id="2571" w:name="_Toc100263379"/>
      <w:bookmarkStart w:id="2572" w:name="_Toc165961875"/>
      <w:bookmarkStart w:id="2573" w:name="_Toc201148303"/>
      <w:r>
        <w:t xml:space="preserve">Transition Care Program </w:t>
      </w:r>
      <w:bookmarkEnd w:id="2567"/>
      <w:bookmarkEnd w:id="2568"/>
      <w:bookmarkEnd w:id="2569"/>
      <w:bookmarkEnd w:id="2570"/>
      <w:bookmarkEnd w:id="2571"/>
      <w:r w:rsidRPr="000A1079">
        <w:t>targets</w:t>
      </w:r>
      <w:r>
        <w:t xml:space="preserve"> 202</w:t>
      </w:r>
      <w:r w:rsidR="000C0EF6">
        <w:t>5</w:t>
      </w:r>
      <w:r>
        <w:t>–2</w:t>
      </w:r>
      <w:bookmarkEnd w:id="2572"/>
      <w:r w:rsidR="000C0EF6">
        <w:t>6</w:t>
      </w:r>
      <w:bookmarkEnd w:id="2573"/>
    </w:p>
    <w:p w14:paraId="3DAEE4E8" w14:textId="7BA33F14" w:rsidR="005B699B" w:rsidRDefault="00462DC7" w:rsidP="00297FC9">
      <w:pPr>
        <w:pStyle w:val="Tablecaption"/>
      </w:pPr>
      <w:bookmarkStart w:id="2574" w:name="_Toc201148602"/>
      <w:r>
        <w:t xml:space="preserve">Table </w:t>
      </w:r>
      <w:r w:rsidR="00D72666">
        <w:t>2</w:t>
      </w:r>
      <w:r w:rsidR="000E0ED2">
        <w:t>.</w:t>
      </w:r>
      <w:r>
        <w:fldChar w:fldCharType="begin"/>
      </w:r>
      <w:r>
        <w:instrText>SEQ Table \* ARABIC \s 1</w:instrText>
      </w:r>
      <w:r>
        <w:fldChar w:fldCharType="separate"/>
      </w:r>
      <w:r w:rsidR="007D262B">
        <w:rPr>
          <w:noProof/>
        </w:rPr>
        <w:t>16</w:t>
      </w:r>
      <w:r>
        <w:fldChar w:fldCharType="end"/>
      </w:r>
      <w:r>
        <w:t>:</w:t>
      </w:r>
      <w:r w:rsidRPr="00F826D9">
        <w:t xml:space="preserve"> </w:t>
      </w:r>
      <w:r w:rsidR="005B699B" w:rsidRPr="005A088D">
        <w:t>Transition Care Program targets 202</w:t>
      </w:r>
      <w:r w:rsidR="000C0EF6">
        <w:t>5</w:t>
      </w:r>
      <w:r w:rsidR="005B699B" w:rsidRPr="005A088D">
        <w:t>–2</w:t>
      </w:r>
      <w:r w:rsidR="000C0EF6">
        <w:t>6</w:t>
      </w:r>
      <w:bookmarkEnd w:id="2574"/>
    </w:p>
    <w:p w14:paraId="6C6D077A" w14:textId="6E187023" w:rsidR="00A06CA4" w:rsidRPr="00A06CA4" w:rsidRDefault="00A06CA4" w:rsidP="00A06CA4">
      <w:pPr>
        <w:pStyle w:val="Body"/>
        <w:rPr>
          <w:sz w:val="18"/>
          <w:szCs w:val="18"/>
        </w:rPr>
      </w:pPr>
      <w:r w:rsidRPr="00A06CA4">
        <w:rPr>
          <w:sz w:val="18"/>
          <w:szCs w:val="18"/>
        </w:rPr>
        <w:t>Notes:</w:t>
      </w:r>
    </w:p>
    <w:p w14:paraId="0949D207" w14:textId="22FC2A92" w:rsidR="00A06CA4" w:rsidRPr="00A06CA4" w:rsidRDefault="00A06CA4" w:rsidP="00A06CA4">
      <w:pPr>
        <w:pStyle w:val="Tablebullet9pt"/>
      </w:pPr>
      <w:r w:rsidRPr="00A06CA4">
        <w:t>Draft information pending finalisation of SOPs</w:t>
      </w:r>
      <w:r>
        <w:t>.</w:t>
      </w:r>
    </w:p>
    <w:p w14:paraId="4CBEDB1E" w14:textId="0F0DFE3A" w:rsidR="00DC7E40" w:rsidRPr="00DC7E40" w:rsidRDefault="00DC7E40" w:rsidP="00473B41">
      <w:pPr>
        <w:pStyle w:val="Body"/>
      </w:pPr>
      <w:r>
        <w:t>Metropolitan TCP Services</w:t>
      </w:r>
    </w:p>
    <w:tbl>
      <w:tblPr>
        <w:tblStyle w:val="GridTable4-Accent1"/>
        <w:tblW w:w="0" w:type="auto"/>
        <w:tblLook w:val="04A0" w:firstRow="1" w:lastRow="0" w:firstColumn="1" w:lastColumn="0" w:noHBand="0" w:noVBand="1"/>
      </w:tblPr>
      <w:tblGrid>
        <w:gridCol w:w="2830"/>
        <w:gridCol w:w="2127"/>
        <w:gridCol w:w="2126"/>
        <w:gridCol w:w="1933"/>
      </w:tblGrid>
      <w:tr w:rsidR="00A31C1F" w:rsidRPr="00A31C1F" w14:paraId="4A4444D5" w14:textId="77777777" w:rsidTr="00A31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0D87591" w14:textId="77777777" w:rsidR="00907F03" w:rsidRPr="00257223" w:rsidRDefault="00907F03" w:rsidP="00473B41">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3B232387"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p w14:paraId="4E16C297"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c>
          <w:tcPr>
            <w:tcW w:w="2126" w:type="dxa"/>
          </w:tcPr>
          <w:p w14:paraId="5A33FECF"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p w14:paraId="17C330E1"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c>
          <w:tcPr>
            <w:tcW w:w="1933" w:type="dxa"/>
          </w:tcPr>
          <w:p w14:paraId="3636EDDF"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p w14:paraId="74505E73"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r>
      <w:tr w:rsidR="00907F03" w:rsidRPr="00D733CD" w14:paraId="23A34917"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873269" w14:textId="77777777" w:rsidR="00907F03" w:rsidRPr="00AC68A2" w:rsidRDefault="00907F03" w:rsidP="00473B41">
            <w:pPr>
              <w:pStyle w:val="Tabletext8pt"/>
              <w:rPr>
                <w:b w:val="0"/>
                <w:bCs w:val="0"/>
                <w:sz w:val="16"/>
                <w:szCs w:val="16"/>
              </w:rPr>
            </w:pPr>
            <w:r w:rsidRPr="00AC68A2">
              <w:rPr>
                <w:b w:val="0"/>
                <w:bCs w:val="0"/>
                <w:sz w:val="16"/>
                <w:szCs w:val="16"/>
              </w:rPr>
              <w:t>Alfred Health</w:t>
            </w:r>
          </w:p>
        </w:tc>
        <w:tc>
          <w:tcPr>
            <w:tcW w:w="2127" w:type="dxa"/>
          </w:tcPr>
          <w:p w14:paraId="7EA5A77A"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21,900</w:t>
            </w:r>
          </w:p>
        </w:tc>
        <w:tc>
          <w:tcPr>
            <w:tcW w:w="2126" w:type="dxa"/>
          </w:tcPr>
          <w:p w14:paraId="34170282"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10,220</w:t>
            </w:r>
          </w:p>
        </w:tc>
        <w:tc>
          <w:tcPr>
            <w:tcW w:w="1933" w:type="dxa"/>
          </w:tcPr>
          <w:p w14:paraId="71C8138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32,120</w:t>
            </w:r>
          </w:p>
        </w:tc>
      </w:tr>
      <w:tr w:rsidR="00907F03" w:rsidRPr="00D733CD" w14:paraId="1A8E08EA"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4A37BFD0" w14:textId="77777777" w:rsidR="00907F03" w:rsidRPr="00AC68A2" w:rsidRDefault="00907F03" w:rsidP="00473B41">
            <w:pPr>
              <w:pStyle w:val="Tabletext8pt"/>
              <w:rPr>
                <w:b w:val="0"/>
                <w:bCs w:val="0"/>
                <w:sz w:val="16"/>
                <w:szCs w:val="16"/>
              </w:rPr>
            </w:pPr>
            <w:r w:rsidRPr="00AC68A2">
              <w:rPr>
                <w:b w:val="0"/>
                <w:bCs w:val="0"/>
                <w:sz w:val="16"/>
                <w:szCs w:val="16"/>
              </w:rPr>
              <w:t>Austin Health</w:t>
            </w:r>
          </w:p>
        </w:tc>
        <w:tc>
          <w:tcPr>
            <w:tcW w:w="2127" w:type="dxa"/>
          </w:tcPr>
          <w:p w14:paraId="57C65AD7"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7,643</w:t>
            </w:r>
          </w:p>
        </w:tc>
        <w:tc>
          <w:tcPr>
            <w:tcW w:w="2126" w:type="dxa"/>
          </w:tcPr>
          <w:p w14:paraId="6F97C07F"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11,317</w:t>
            </w:r>
          </w:p>
        </w:tc>
        <w:tc>
          <w:tcPr>
            <w:tcW w:w="1933" w:type="dxa"/>
          </w:tcPr>
          <w:p w14:paraId="2BC0B28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18,960</w:t>
            </w:r>
          </w:p>
        </w:tc>
      </w:tr>
      <w:tr w:rsidR="00907F03" w:rsidRPr="00D733CD" w14:paraId="1509DBCC"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F8B600" w14:textId="77777777" w:rsidR="00907F03" w:rsidRPr="00AC68A2" w:rsidRDefault="00907F03" w:rsidP="00473B41">
            <w:pPr>
              <w:pStyle w:val="Tabletext8pt"/>
              <w:rPr>
                <w:b w:val="0"/>
                <w:bCs w:val="0"/>
                <w:sz w:val="16"/>
                <w:szCs w:val="16"/>
              </w:rPr>
            </w:pPr>
            <w:r w:rsidRPr="00AC68A2">
              <w:rPr>
                <w:b w:val="0"/>
                <w:bCs w:val="0"/>
                <w:sz w:val="16"/>
                <w:szCs w:val="16"/>
              </w:rPr>
              <w:t>Eastern Health</w:t>
            </w:r>
          </w:p>
        </w:tc>
        <w:tc>
          <w:tcPr>
            <w:tcW w:w="2127" w:type="dxa"/>
          </w:tcPr>
          <w:p w14:paraId="416AF24B"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23,749</w:t>
            </w:r>
          </w:p>
        </w:tc>
        <w:tc>
          <w:tcPr>
            <w:tcW w:w="2126" w:type="dxa"/>
          </w:tcPr>
          <w:p w14:paraId="3EDE0E59"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10,533</w:t>
            </w:r>
          </w:p>
        </w:tc>
        <w:tc>
          <w:tcPr>
            <w:tcW w:w="1933" w:type="dxa"/>
          </w:tcPr>
          <w:p w14:paraId="67D943C5"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34,281</w:t>
            </w:r>
          </w:p>
        </w:tc>
      </w:tr>
      <w:tr w:rsidR="00907F03" w:rsidRPr="00D733CD" w14:paraId="7B529DBF"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3641E4EC" w14:textId="77777777" w:rsidR="00907F03" w:rsidRPr="00AC68A2" w:rsidRDefault="00907F03" w:rsidP="00473B41">
            <w:pPr>
              <w:pStyle w:val="Tabletext8pt"/>
              <w:rPr>
                <w:b w:val="0"/>
                <w:bCs w:val="0"/>
                <w:sz w:val="16"/>
                <w:szCs w:val="16"/>
              </w:rPr>
            </w:pPr>
            <w:r w:rsidRPr="00AC68A2">
              <w:rPr>
                <w:b w:val="0"/>
                <w:bCs w:val="0"/>
                <w:sz w:val="16"/>
                <w:szCs w:val="16"/>
              </w:rPr>
              <w:t>Melbourne Health</w:t>
            </w:r>
          </w:p>
        </w:tc>
        <w:tc>
          <w:tcPr>
            <w:tcW w:w="2127" w:type="dxa"/>
          </w:tcPr>
          <w:p w14:paraId="18F7F3F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8,373</w:t>
            </w:r>
          </w:p>
        </w:tc>
        <w:tc>
          <w:tcPr>
            <w:tcW w:w="2126" w:type="dxa"/>
          </w:tcPr>
          <w:p w14:paraId="7B5760CF"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14,652</w:t>
            </w:r>
          </w:p>
        </w:tc>
        <w:tc>
          <w:tcPr>
            <w:tcW w:w="1933" w:type="dxa"/>
          </w:tcPr>
          <w:p w14:paraId="6229DEBB"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23,026</w:t>
            </w:r>
          </w:p>
        </w:tc>
      </w:tr>
      <w:tr w:rsidR="00907F03" w:rsidRPr="00D733CD" w14:paraId="5BFF77C6"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7AA538" w14:textId="77777777" w:rsidR="00907F03" w:rsidRPr="00AC68A2" w:rsidRDefault="00907F03" w:rsidP="00473B41">
            <w:pPr>
              <w:pStyle w:val="Tabletext8pt"/>
              <w:rPr>
                <w:b w:val="0"/>
                <w:bCs w:val="0"/>
                <w:sz w:val="16"/>
                <w:szCs w:val="16"/>
              </w:rPr>
            </w:pPr>
            <w:r w:rsidRPr="00AC68A2">
              <w:rPr>
                <w:b w:val="0"/>
                <w:bCs w:val="0"/>
                <w:sz w:val="16"/>
                <w:szCs w:val="16"/>
              </w:rPr>
              <w:t>Mercy Hospitals Victoria Limited</w:t>
            </w:r>
          </w:p>
        </w:tc>
        <w:tc>
          <w:tcPr>
            <w:tcW w:w="2127" w:type="dxa"/>
          </w:tcPr>
          <w:p w14:paraId="1B212080"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2,186</w:t>
            </w:r>
          </w:p>
        </w:tc>
        <w:tc>
          <w:tcPr>
            <w:tcW w:w="2126" w:type="dxa"/>
          </w:tcPr>
          <w:p w14:paraId="60E88918"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1,464</w:t>
            </w:r>
          </w:p>
        </w:tc>
        <w:tc>
          <w:tcPr>
            <w:tcW w:w="1933" w:type="dxa"/>
          </w:tcPr>
          <w:p w14:paraId="53E03935"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3,651</w:t>
            </w:r>
          </w:p>
        </w:tc>
      </w:tr>
      <w:tr w:rsidR="00907F03" w:rsidRPr="00D733CD" w14:paraId="4B7FDC43"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2A2D8BE" w14:textId="77777777" w:rsidR="00907F03" w:rsidRPr="00AC68A2" w:rsidRDefault="00907F03" w:rsidP="00473B41">
            <w:pPr>
              <w:pStyle w:val="Tabletext8pt"/>
              <w:rPr>
                <w:b w:val="0"/>
                <w:bCs w:val="0"/>
                <w:sz w:val="16"/>
                <w:szCs w:val="16"/>
              </w:rPr>
            </w:pPr>
            <w:r w:rsidRPr="00AC68A2">
              <w:rPr>
                <w:b w:val="0"/>
                <w:bCs w:val="0"/>
                <w:sz w:val="16"/>
                <w:szCs w:val="16"/>
              </w:rPr>
              <w:t>Monash Health</w:t>
            </w:r>
          </w:p>
        </w:tc>
        <w:tc>
          <w:tcPr>
            <w:tcW w:w="2127" w:type="dxa"/>
          </w:tcPr>
          <w:p w14:paraId="6C61EDDA"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17,491</w:t>
            </w:r>
          </w:p>
        </w:tc>
        <w:tc>
          <w:tcPr>
            <w:tcW w:w="2126" w:type="dxa"/>
          </w:tcPr>
          <w:p w14:paraId="03EEB5B7"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12,837</w:t>
            </w:r>
          </w:p>
        </w:tc>
        <w:tc>
          <w:tcPr>
            <w:tcW w:w="1933" w:type="dxa"/>
          </w:tcPr>
          <w:p w14:paraId="77BDE825"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30,329</w:t>
            </w:r>
          </w:p>
        </w:tc>
      </w:tr>
      <w:tr w:rsidR="00907F03" w:rsidRPr="00D733CD" w14:paraId="77EA4608"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31C3E5" w14:textId="77777777" w:rsidR="00907F03" w:rsidRPr="00AC68A2" w:rsidRDefault="00907F03" w:rsidP="00473B41">
            <w:pPr>
              <w:pStyle w:val="Tabletext8pt"/>
              <w:rPr>
                <w:b w:val="0"/>
                <w:bCs w:val="0"/>
                <w:sz w:val="16"/>
                <w:szCs w:val="16"/>
              </w:rPr>
            </w:pPr>
            <w:r w:rsidRPr="00AC68A2">
              <w:rPr>
                <w:b w:val="0"/>
                <w:bCs w:val="0"/>
                <w:sz w:val="16"/>
                <w:szCs w:val="16"/>
              </w:rPr>
              <w:t>Northern Health</w:t>
            </w:r>
          </w:p>
        </w:tc>
        <w:tc>
          <w:tcPr>
            <w:tcW w:w="2127" w:type="dxa"/>
          </w:tcPr>
          <w:p w14:paraId="2734DB98"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9,451</w:t>
            </w:r>
          </w:p>
        </w:tc>
        <w:tc>
          <w:tcPr>
            <w:tcW w:w="2126" w:type="dxa"/>
          </w:tcPr>
          <w:p w14:paraId="31D920ED"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15,743</w:t>
            </w:r>
          </w:p>
        </w:tc>
        <w:tc>
          <w:tcPr>
            <w:tcW w:w="1933" w:type="dxa"/>
          </w:tcPr>
          <w:p w14:paraId="71D0F23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25,194</w:t>
            </w:r>
          </w:p>
        </w:tc>
      </w:tr>
      <w:tr w:rsidR="00907F03" w:rsidRPr="00D733CD" w14:paraId="436E256B"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18D9784" w14:textId="77777777" w:rsidR="00907F03" w:rsidRPr="00AC68A2" w:rsidRDefault="00907F03" w:rsidP="00473B41">
            <w:pPr>
              <w:pStyle w:val="Tabletext8pt"/>
              <w:rPr>
                <w:b w:val="0"/>
                <w:bCs w:val="0"/>
                <w:sz w:val="16"/>
                <w:szCs w:val="16"/>
              </w:rPr>
            </w:pPr>
            <w:r w:rsidRPr="00AC68A2">
              <w:rPr>
                <w:b w:val="0"/>
                <w:bCs w:val="0"/>
                <w:sz w:val="16"/>
                <w:szCs w:val="16"/>
              </w:rPr>
              <w:t>Peninsula Health</w:t>
            </w:r>
          </w:p>
        </w:tc>
        <w:tc>
          <w:tcPr>
            <w:tcW w:w="2127" w:type="dxa"/>
          </w:tcPr>
          <w:p w14:paraId="5FFA917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0</w:t>
            </w:r>
          </w:p>
        </w:tc>
        <w:tc>
          <w:tcPr>
            <w:tcW w:w="2126" w:type="dxa"/>
          </w:tcPr>
          <w:p w14:paraId="2AABA5CD"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27,647</w:t>
            </w:r>
          </w:p>
        </w:tc>
        <w:tc>
          <w:tcPr>
            <w:tcW w:w="1933" w:type="dxa"/>
          </w:tcPr>
          <w:p w14:paraId="160470F5"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27,647</w:t>
            </w:r>
          </w:p>
        </w:tc>
      </w:tr>
      <w:tr w:rsidR="00907F03" w:rsidRPr="00D733CD" w14:paraId="18EF5F1C"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9E5F79" w14:textId="77777777" w:rsidR="00907F03" w:rsidRPr="00AC68A2" w:rsidRDefault="00907F03" w:rsidP="00473B41">
            <w:pPr>
              <w:pStyle w:val="Tabletext8pt"/>
              <w:rPr>
                <w:b w:val="0"/>
                <w:bCs w:val="0"/>
                <w:sz w:val="16"/>
                <w:szCs w:val="16"/>
              </w:rPr>
            </w:pPr>
            <w:r w:rsidRPr="00AC68A2">
              <w:rPr>
                <w:b w:val="0"/>
                <w:bCs w:val="0"/>
                <w:sz w:val="16"/>
                <w:szCs w:val="16"/>
              </w:rPr>
              <w:t>St Vincents Hospital Melbourne Limited</w:t>
            </w:r>
          </w:p>
        </w:tc>
        <w:tc>
          <w:tcPr>
            <w:tcW w:w="2127" w:type="dxa"/>
          </w:tcPr>
          <w:p w14:paraId="1DC18A7D"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9,472</w:t>
            </w:r>
          </w:p>
        </w:tc>
        <w:tc>
          <w:tcPr>
            <w:tcW w:w="2126" w:type="dxa"/>
          </w:tcPr>
          <w:p w14:paraId="24EA95A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16,459</w:t>
            </w:r>
          </w:p>
        </w:tc>
        <w:tc>
          <w:tcPr>
            <w:tcW w:w="1933" w:type="dxa"/>
          </w:tcPr>
          <w:p w14:paraId="567D1DDC"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25,931</w:t>
            </w:r>
          </w:p>
        </w:tc>
      </w:tr>
      <w:tr w:rsidR="00907F03" w:rsidRPr="00D733CD" w14:paraId="544F581B"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32207503" w14:textId="77777777" w:rsidR="00907F03" w:rsidRPr="00AC68A2" w:rsidRDefault="00907F03" w:rsidP="00473B41">
            <w:pPr>
              <w:pStyle w:val="Tabletext8pt"/>
              <w:rPr>
                <w:b w:val="0"/>
                <w:bCs w:val="0"/>
                <w:sz w:val="16"/>
                <w:szCs w:val="16"/>
              </w:rPr>
            </w:pPr>
            <w:r w:rsidRPr="00AC68A2">
              <w:rPr>
                <w:b w:val="0"/>
                <w:bCs w:val="0"/>
                <w:sz w:val="16"/>
                <w:szCs w:val="16"/>
              </w:rPr>
              <w:t>Western Health</w:t>
            </w:r>
          </w:p>
        </w:tc>
        <w:tc>
          <w:tcPr>
            <w:tcW w:w="2127" w:type="dxa"/>
          </w:tcPr>
          <w:p w14:paraId="2235C4A4"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10,943</w:t>
            </w:r>
          </w:p>
        </w:tc>
        <w:tc>
          <w:tcPr>
            <w:tcW w:w="2126" w:type="dxa"/>
          </w:tcPr>
          <w:p w14:paraId="03C5852C"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14,255</w:t>
            </w:r>
          </w:p>
        </w:tc>
        <w:tc>
          <w:tcPr>
            <w:tcW w:w="1933" w:type="dxa"/>
          </w:tcPr>
          <w:p w14:paraId="4B92A84C"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25,198</w:t>
            </w:r>
          </w:p>
        </w:tc>
      </w:tr>
      <w:tr w:rsidR="00C55CD4" w:rsidRPr="00D733CD" w14:paraId="6EAAE470"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9A06AE" w14:textId="13DE9082" w:rsidR="00C55CD4" w:rsidRPr="00C55CD4" w:rsidRDefault="00C55CD4" w:rsidP="00C55CD4">
            <w:pPr>
              <w:pStyle w:val="Tabletext8pt"/>
              <w:rPr>
                <w:b w:val="0"/>
                <w:bCs w:val="0"/>
                <w:sz w:val="16"/>
                <w:szCs w:val="16"/>
              </w:rPr>
            </w:pPr>
            <w:r w:rsidRPr="00C55CD4">
              <w:rPr>
                <w:b w:val="0"/>
                <w:bCs w:val="0"/>
                <w:sz w:val="16"/>
                <w:szCs w:val="16"/>
              </w:rPr>
              <w:t>Total</w:t>
            </w:r>
          </w:p>
        </w:tc>
        <w:tc>
          <w:tcPr>
            <w:tcW w:w="2127" w:type="dxa"/>
          </w:tcPr>
          <w:p w14:paraId="3EFF3054" w14:textId="38C5CFD8"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111,208</w:t>
            </w:r>
          </w:p>
        </w:tc>
        <w:tc>
          <w:tcPr>
            <w:tcW w:w="2126" w:type="dxa"/>
          </w:tcPr>
          <w:p w14:paraId="5EEDEEAA" w14:textId="17C36AB6"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135,127</w:t>
            </w:r>
          </w:p>
        </w:tc>
        <w:tc>
          <w:tcPr>
            <w:tcW w:w="1933" w:type="dxa"/>
          </w:tcPr>
          <w:p w14:paraId="68E9DC07" w14:textId="3EE18868"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246,337</w:t>
            </w:r>
          </w:p>
        </w:tc>
      </w:tr>
    </w:tbl>
    <w:p w14:paraId="1D3E43BD" w14:textId="702D8093" w:rsidR="00907F03" w:rsidRDefault="00DC7E40" w:rsidP="00473B41">
      <w:pPr>
        <w:pStyle w:val="Bodyafterfiguretable"/>
      </w:pPr>
      <w:r w:rsidRPr="00D733CD">
        <w:t xml:space="preserve">Regional TCP </w:t>
      </w:r>
      <w:r w:rsidRPr="00DC7E40">
        <w:t>Health</w:t>
      </w:r>
      <w:r w:rsidRPr="00D733CD">
        <w:t xml:space="preserve"> Services</w:t>
      </w:r>
    </w:p>
    <w:tbl>
      <w:tblPr>
        <w:tblStyle w:val="GridTable4-Accent1"/>
        <w:tblW w:w="0" w:type="auto"/>
        <w:tblLook w:val="04A0" w:firstRow="1" w:lastRow="0" w:firstColumn="1" w:lastColumn="0" w:noHBand="0" w:noVBand="1"/>
      </w:tblPr>
      <w:tblGrid>
        <w:gridCol w:w="2830"/>
        <w:gridCol w:w="2127"/>
        <w:gridCol w:w="2126"/>
        <w:gridCol w:w="1933"/>
      </w:tblGrid>
      <w:tr w:rsidR="00DC7E40" w:rsidRPr="00D733CD" w14:paraId="23E45C31" w14:textId="77777777" w:rsidTr="00A31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A3C1B93" w14:textId="77777777" w:rsidR="00DC7E40" w:rsidRPr="00257223" w:rsidRDefault="00DC7E40" w:rsidP="00473B41">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2EFA9FC2"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p w14:paraId="5FCFA8A5"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c>
          <w:tcPr>
            <w:tcW w:w="2126" w:type="dxa"/>
          </w:tcPr>
          <w:p w14:paraId="3C85B39C"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p w14:paraId="70483033"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c>
          <w:tcPr>
            <w:tcW w:w="1933" w:type="dxa"/>
          </w:tcPr>
          <w:p w14:paraId="1C6E0E23"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p w14:paraId="45212710"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r>
      <w:tr w:rsidR="00DC7E40" w:rsidRPr="00D733CD" w14:paraId="258EE4AB"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B1934E" w14:textId="77777777" w:rsidR="00DC7E40" w:rsidRPr="00AC68A2" w:rsidRDefault="00DC7E40" w:rsidP="00473B41">
            <w:pPr>
              <w:pStyle w:val="Tabletext8pt"/>
              <w:rPr>
                <w:b w:val="0"/>
                <w:bCs w:val="0"/>
                <w:sz w:val="16"/>
                <w:szCs w:val="16"/>
              </w:rPr>
            </w:pPr>
            <w:r w:rsidRPr="00AC68A2">
              <w:rPr>
                <w:b w:val="0"/>
                <w:bCs w:val="0"/>
                <w:sz w:val="16"/>
                <w:szCs w:val="16"/>
              </w:rPr>
              <w:t>Barwon Health</w:t>
            </w:r>
          </w:p>
        </w:tc>
        <w:tc>
          <w:tcPr>
            <w:tcW w:w="2127" w:type="dxa"/>
          </w:tcPr>
          <w:p w14:paraId="596CC019"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12,398</w:t>
            </w:r>
          </w:p>
        </w:tc>
        <w:tc>
          <w:tcPr>
            <w:tcW w:w="2126" w:type="dxa"/>
          </w:tcPr>
          <w:p w14:paraId="3C1251BA"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7,302</w:t>
            </w:r>
          </w:p>
        </w:tc>
        <w:tc>
          <w:tcPr>
            <w:tcW w:w="1933" w:type="dxa"/>
          </w:tcPr>
          <w:p w14:paraId="25D633D3"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19,700</w:t>
            </w:r>
          </w:p>
        </w:tc>
      </w:tr>
      <w:tr w:rsidR="00DC7E40" w:rsidRPr="00D733CD" w14:paraId="7B47DE09"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5E744BE" w14:textId="77777777" w:rsidR="00DC7E40" w:rsidRPr="00AC68A2" w:rsidRDefault="00DC7E40" w:rsidP="00473B41">
            <w:pPr>
              <w:pStyle w:val="Tabletext8pt"/>
              <w:rPr>
                <w:b w:val="0"/>
                <w:bCs w:val="0"/>
                <w:sz w:val="16"/>
                <w:szCs w:val="16"/>
              </w:rPr>
            </w:pPr>
            <w:r w:rsidRPr="00AC68A2">
              <w:rPr>
                <w:b w:val="0"/>
                <w:bCs w:val="0"/>
                <w:sz w:val="16"/>
                <w:szCs w:val="16"/>
              </w:rPr>
              <w:t>Bendigo Health</w:t>
            </w:r>
          </w:p>
        </w:tc>
        <w:tc>
          <w:tcPr>
            <w:tcW w:w="2127" w:type="dxa"/>
          </w:tcPr>
          <w:p w14:paraId="444517F2"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18,220</w:t>
            </w:r>
          </w:p>
        </w:tc>
        <w:tc>
          <w:tcPr>
            <w:tcW w:w="2126" w:type="dxa"/>
          </w:tcPr>
          <w:p w14:paraId="29B4808C"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12,814</w:t>
            </w:r>
          </w:p>
        </w:tc>
        <w:tc>
          <w:tcPr>
            <w:tcW w:w="1933" w:type="dxa"/>
          </w:tcPr>
          <w:p w14:paraId="0CB44857"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31,034</w:t>
            </w:r>
          </w:p>
        </w:tc>
      </w:tr>
      <w:tr w:rsidR="00DC7E40" w:rsidRPr="00D733CD" w14:paraId="3EDFE451"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1DF476" w14:textId="77777777" w:rsidR="00DC7E40" w:rsidRPr="00AC68A2" w:rsidRDefault="00DC7E40" w:rsidP="00473B41">
            <w:pPr>
              <w:pStyle w:val="Tabletext8pt"/>
              <w:rPr>
                <w:b w:val="0"/>
                <w:bCs w:val="0"/>
                <w:sz w:val="16"/>
                <w:szCs w:val="16"/>
              </w:rPr>
            </w:pPr>
            <w:r w:rsidRPr="00AC68A2">
              <w:rPr>
                <w:b w:val="0"/>
                <w:bCs w:val="0"/>
                <w:sz w:val="16"/>
                <w:szCs w:val="16"/>
              </w:rPr>
              <w:t>Goulburn Valley Health</w:t>
            </w:r>
          </w:p>
        </w:tc>
        <w:tc>
          <w:tcPr>
            <w:tcW w:w="2127" w:type="dxa"/>
          </w:tcPr>
          <w:p w14:paraId="0B3809A5"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13,824</w:t>
            </w:r>
          </w:p>
        </w:tc>
        <w:tc>
          <w:tcPr>
            <w:tcW w:w="2126" w:type="dxa"/>
          </w:tcPr>
          <w:p w14:paraId="7FD6A9F2"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14,252</w:t>
            </w:r>
          </w:p>
        </w:tc>
        <w:tc>
          <w:tcPr>
            <w:tcW w:w="1933" w:type="dxa"/>
          </w:tcPr>
          <w:p w14:paraId="6942B328"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28,076</w:t>
            </w:r>
          </w:p>
        </w:tc>
      </w:tr>
      <w:tr w:rsidR="00DC7E40" w:rsidRPr="00D733CD" w14:paraId="1696C3C8"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2E46C8A6" w14:textId="77777777" w:rsidR="00DC7E40" w:rsidRPr="00AC68A2" w:rsidRDefault="00DC7E40" w:rsidP="00473B41">
            <w:pPr>
              <w:pStyle w:val="Tabletext8pt"/>
              <w:rPr>
                <w:b w:val="0"/>
                <w:bCs w:val="0"/>
                <w:sz w:val="16"/>
                <w:szCs w:val="16"/>
              </w:rPr>
            </w:pPr>
            <w:r w:rsidRPr="00AC68A2">
              <w:rPr>
                <w:b w:val="0"/>
                <w:bCs w:val="0"/>
                <w:sz w:val="16"/>
                <w:szCs w:val="16"/>
              </w:rPr>
              <w:t>Grampians Health</w:t>
            </w:r>
          </w:p>
        </w:tc>
        <w:tc>
          <w:tcPr>
            <w:tcW w:w="2127" w:type="dxa"/>
          </w:tcPr>
          <w:p w14:paraId="6C8C5E3F"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13,847</w:t>
            </w:r>
          </w:p>
        </w:tc>
        <w:tc>
          <w:tcPr>
            <w:tcW w:w="2126" w:type="dxa"/>
          </w:tcPr>
          <w:p w14:paraId="60087DD6"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9,153</w:t>
            </w:r>
          </w:p>
        </w:tc>
        <w:tc>
          <w:tcPr>
            <w:tcW w:w="1933" w:type="dxa"/>
          </w:tcPr>
          <w:p w14:paraId="40D06A9C"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23,000</w:t>
            </w:r>
          </w:p>
        </w:tc>
      </w:tr>
      <w:tr w:rsidR="00DC7E40" w:rsidRPr="00D733CD" w14:paraId="4C220835"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0E192B8" w14:textId="77777777" w:rsidR="00DC7E40" w:rsidRPr="00AC68A2" w:rsidRDefault="00DC7E40" w:rsidP="00473B41">
            <w:pPr>
              <w:pStyle w:val="Tabletext8pt"/>
              <w:rPr>
                <w:b w:val="0"/>
                <w:bCs w:val="0"/>
                <w:sz w:val="16"/>
                <w:szCs w:val="16"/>
              </w:rPr>
            </w:pPr>
            <w:r w:rsidRPr="00AC68A2">
              <w:rPr>
                <w:b w:val="0"/>
                <w:bCs w:val="0"/>
                <w:sz w:val="16"/>
                <w:szCs w:val="16"/>
              </w:rPr>
              <w:t>Latrobe Regional Health</w:t>
            </w:r>
          </w:p>
        </w:tc>
        <w:tc>
          <w:tcPr>
            <w:tcW w:w="2127" w:type="dxa"/>
          </w:tcPr>
          <w:p w14:paraId="58C6661F"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9,095</w:t>
            </w:r>
          </w:p>
        </w:tc>
        <w:tc>
          <w:tcPr>
            <w:tcW w:w="2126" w:type="dxa"/>
          </w:tcPr>
          <w:p w14:paraId="4E48A5D4"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7,668</w:t>
            </w:r>
          </w:p>
        </w:tc>
        <w:tc>
          <w:tcPr>
            <w:tcW w:w="1933" w:type="dxa"/>
          </w:tcPr>
          <w:p w14:paraId="540E8570"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16,764</w:t>
            </w:r>
          </w:p>
        </w:tc>
      </w:tr>
      <w:tr w:rsidR="00DC7E40" w:rsidRPr="00D733CD" w14:paraId="22A3AF3D"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50A1B005" w14:textId="77777777" w:rsidR="00DC7E40" w:rsidRPr="00AC68A2" w:rsidRDefault="00DC7E40" w:rsidP="00473B41">
            <w:pPr>
              <w:pStyle w:val="Tabletext8pt"/>
              <w:rPr>
                <w:b w:val="0"/>
                <w:bCs w:val="0"/>
                <w:sz w:val="16"/>
                <w:szCs w:val="16"/>
              </w:rPr>
            </w:pPr>
            <w:r w:rsidRPr="00AC68A2">
              <w:rPr>
                <w:b w:val="0"/>
                <w:bCs w:val="0"/>
                <w:sz w:val="16"/>
                <w:szCs w:val="16"/>
              </w:rPr>
              <w:t>Mildura Base Public Hospital</w:t>
            </w:r>
          </w:p>
        </w:tc>
        <w:tc>
          <w:tcPr>
            <w:tcW w:w="2127" w:type="dxa"/>
          </w:tcPr>
          <w:p w14:paraId="65EA96B1"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2,981</w:t>
            </w:r>
          </w:p>
        </w:tc>
        <w:tc>
          <w:tcPr>
            <w:tcW w:w="2126" w:type="dxa"/>
          </w:tcPr>
          <w:p w14:paraId="73A3ED33"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3,570</w:t>
            </w:r>
          </w:p>
        </w:tc>
        <w:tc>
          <w:tcPr>
            <w:tcW w:w="1933" w:type="dxa"/>
          </w:tcPr>
          <w:p w14:paraId="72CFA2C1"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6,551</w:t>
            </w:r>
          </w:p>
        </w:tc>
      </w:tr>
      <w:tr w:rsidR="00DC7E40" w:rsidRPr="00D733CD" w14:paraId="7C44622D"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C868B00" w14:textId="77777777" w:rsidR="00DC7E40" w:rsidRPr="00AC68A2" w:rsidRDefault="00DC7E40" w:rsidP="00473B41">
            <w:pPr>
              <w:pStyle w:val="Tabletext8pt"/>
              <w:rPr>
                <w:b w:val="0"/>
                <w:bCs w:val="0"/>
                <w:sz w:val="16"/>
                <w:szCs w:val="16"/>
              </w:rPr>
            </w:pPr>
            <w:r w:rsidRPr="00AC68A2">
              <w:rPr>
                <w:b w:val="0"/>
                <w:bCs w:val="0"/>
                <w:sz w:val="16"/>
                <w:szCs w:val="16"/>
              </w:rPr>
              <w:t>South West Healthcare</w:t>
            </w:r>
          </w:p>
        </w:tc>
        <w:tc>
          <w:tcPr>
            <w:tcW w:w="2127" w:type="dxa"/>
          </w:tcPr>
          <w:p w14:paraId="508F8904"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3,645</w:t>
            </w:r>
          </w:p>
        </w:tc>
        <w:tc>
          <w:tcPr>
            <w:tcW w:w="2126" w:type="dxa"/>
          </w:tcPr>
          <w:p w14:paraId="2D884E9F"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3,663</w:t>
            </w:r>
          </w:p>
        </w:tc>
        <w:tc>
          <w:tcPr>
            <w:tcW w:w="1933" w:type="dxa"/>
          </w:tcPr>
          <w:p w14:paraId="613D0061"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7,309</w:t>
            </w:r>
          </w:p>
        </w:tc>
      </w:tr>
      <w:tr w:rsidR="00DC7E40" w:rsidRPr="00D733CD" w14:paraId="283B3BA5"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6677497D" w14:textId="77777777" w:rsidR="00DC7E40" w:rsidRPr="00AC68A2" w:rsidRDefault="00DC7E40" w:rsidP="00473B41">
            <w:pPr>
              <w:pStyle w:val="Tabletext8pt"/>
              <w:rPr>
                <w:b w:val="0"/>
                <w:bCs w:val="0"/>
                <w:sz w:val="16"/>
                <w:szCs w:val="16"/>
              </w:rPr>
            </w:pPr>
            <w:r w:rsidRPr="00AC68A2">
              <w:rPr>
                <w:b w:val="0"/>
                <w:bCs w:val="0"/>
                <w:sz w:val="16"/>
                <w:szCs w:val="16"/>
              </w:rPr>
              <w:t>Western District Health Service</w:t>
            </w:r>
          </w:p>
        </w:tc>
        <w:tc>
          <w:tcPr>
            <w:tcW w:w="2127" w:type="dxa"/>
          </w:tcPr>
          <w:p w14:paraId="094B24E5"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1,094</w:t>
            </w:r>
          </w:p>
        </w:tc>
        <w:tc>
          <w:tcPr>
            <w:tcW w:w="2126" w:type="dxa"/>
          </w:tcPr>
          <w:p w14:paraId="22D3088F"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1,468</w:t>
            </w:r>
          </w:p>
        </w:tc>
        <w:tc>
          <w:tcPr>
            <w:tcW w:w="1933" w:type="dxa"/>
          </w:tcPr>
          <w:p w14:paraId="14FC259A"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2,562</w:t>
            </w:r>
          </w:p>
        </w:tc>
      </w:tr>
      <w:tr w:rsidR="00A72780" w:rsidRPr="00D733CD" w14:paraId="20612B19" w14:textId="77777777" w:rsidTr="00A72780">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30" w:type="dxa"/>
          </w:tcPr>
          <w:p w14:paraId="43045E03" w14:textId="6EE4C4DA" w:rsidR="00A72780" w:rsidRPr="00A72780" w:rsidRDefault="00A72780" w:rsidP="00A72780">
            <w:pPr>
              <w:pStyle w:val="Tabletext8pt"/>
              <w:rPr>
                <w:b w:val="0"/>
                <w:bCs w:val="0"/>
                <w:sz w:val="16"/>
                <w:szCs w:val="16"/>
              </w:rPr>
            </w:pPr>
            <w:r w:rsidRPr="00A72780">
              <w:rPr>
                <w:b w:val="0"/>
                <w:bCs w:val="0"/>
                <w:sz w:val="16"/>
                <w:szCs w:val="16"/>
              </w:rPr>
              <w:t>Total</w:t>
            </w:r>
          </w:p>
        </w:tc>
        <w:tc>
          <w:tcPr>
            <w:tcW w:w="2127" w:type="dxa"/>
          </w:tcPr>
          <w:p w14:paraId="19977F12" w14:textId="206CC7EF"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75,104</w:t>
            </w:r>
          </w:p>
        </w:tc>
        <w:tc>
          <w:tcPr>
            <w:tcW w:w="2126" w:type="dxa"/>
          </w:tcPr>
          <w:p w14:paraId="63F2912E" w14:textId="083EEEB3"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59,890</w:t>
            </w:r>
          </w:p>
        </w:tc>
        <w:tc>
          <w:tcPr>
            <w:tcW w:w="1933" w:type="dxa"/>
          </w:tcPr>
          <w:p w14:paraId="6BB88207" w14:textId="7157F874"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134,996</w:t>
            </w:r>
          </w:p>
        </w:tc>
      </w:tr>
    </w:tbl>
    <w:p w14:paraId="36F969AD" w14:textId="5329EF75" w:rsidR="00257223" w:rsidRDefault="00257223" w:rsidP="00257223">
      <w:pPr>
        <w:pStyle w:val="Bodyafterfiguretable"/>
      </w:pPr>
      <w:r>
        <w:t>Combined total</w:t>
      </w:r>
    </w:p>
    <w:tbl>
      <w:tblPr>
        <w:tblStyle w:val="GridTable4-Accent1"/>
        <w:tblW w:w="0" w:type="auto"/>
        <w:tblLook w:val="04A0" w:firstRow="1" w:lastRow="0" w:firstColumn="1" w:lastColumn="0" w:noHBand="0" w:noVBand="1"/>
      </w:tblPr>
      <w:tblGrid>
        <w:gridCol w:w="2830"/>
        <w:gridCol w:w="2127"/>
        <w:gridCol w:w="2126"/>
        <w:gridCol w:w="1933"/>
      </w:tblGrid>
      <w:tr w:rsidR="00257223" w:rsidRPr="00257223" w14:paraId="4D827F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4B5D0EC" w14:textId="77777777" w:rsidR="00257223" w:rsidRPr="00257223" w:rsidRDefault="00257223">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11DEDB8B" w14:textId="31E49CF5"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tc>
        <w:tc>
          <w:tcPr>
            <w:tcW w:w="2126" w:type="dxa"/>
          </w:tcPr>
          <w:p w14:paraId="647DA6DA" w14:textId="2CC43C23"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tc>
        <w:tc>
          <w:tcPr>
            <w:tcW w:w="1933" w:type="dxa"/>
          </w:tcPr>
          <w:p w14:paraId="43D7EBEB" w14:textId="4CEA3238"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tc>
      </w:tr>
      <w:tr w:rsidR="00257223" w:rsidRPr="00257223" w14:paraId="0F003802" w14:textId="77777777" w:rsidTr="0025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5BB1A6" w14:textId="77777777" w:rsidR="00257223" w:rsidRPr="00A72780" w:rsidRDefault="00257223">
            <w:pPr>
              <w:pStyle w:val="Tabletext8pt"/>
              <w:rPr>
                <w:b w:val="0"/>
                <w:bCs w:val="0"/>
                <w:sz w:val="16"/>
                <w:szCs w:val="16"/>
              </w:rPr>
            </w:pPr>
            <w:r w:rsidRPr="00A72780">
              <w:rPr>
                <w:b w:val="0"/>
                <w:bCs w:val="0"/>
                <w:sz w:val="16"/>
                <w:szCs w:val="16"/>
              </w:rPr>
              <w:t>Total</w:t>
            </w:r>
            <w:r w:rsidRPr="00A72780">
              <w:rPr>
                <w:rStyle w:val="eop"/>
                <w:rFonts w:ascii="Aptos" w:eastAsia="MS Gothic" w:hAnsi="Aptos" w:cs="Segoe UI"/>
                <w:b w:val="0"/>
                <w:bCs w:val="0"/>
                <w:color w:val="000000"/>
                <w:sz w:val="16"/>
                <w:szCs w:val="16"/>
              </w:rPr>
              <w:t> </w:t>
            </w:r>
          </w:p>
        </w:tc>
        <w:tc>
          <w:tcPr>
            <w:tcW w:w="2127" w:type="dxa"/>
          </w:tcPr>
          <w:p w14:paraId="2CBB1F0C"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186,314 </w:t>
            </w:r>
          </w:p>
        </w:tc>
        <w:tc>
          <w:tcPr>
            <w:tcW w:w="2126" w:type="dxa"/>
          </w:tcPr>
          <w:p w14:paraId="21A2DEDC"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195,018 </w:t>
            </w:r>
          </w:p>
        </w:tc>
        <w:tc>
          <w:tcPr>
            <w:tcW w:w="1933" w:type="dxa"/>
          </w:tcPr>
          <w:p w14:paraId="004C6D0D"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381,332 </w:t>
            </w:r>
          </w:p>
        </w:tc>
      </w:tr>
    </w:tbl>
    <w:p w14:paraId="16EE31A0" w14:textId="77777777" w:rsidR="005B699B" w:rsidRPr="00A00881" w:rsidRDefault="005B699B" w:rsidP="00473B41">
      <w:pPr>
        <w:pStyle w:val="Body"/>
      </w:pPr>
      <w:bookmarkStart w:id="2575" w:name="_Toc144905692"/>
      <w:bookmarkStart w:id="2576" w:name="_Toc144905693"/>
      <w:bookmarkStart w:id="2577" w:name="_Toc144905694"/>
      <w:bookmarkStart w:id="2578" w:name="_Toc144905695"/>
      <w:bookmarkStart w:id="2579" w:name="_Toc144905696"/>
      <w:bookmarkStart w:id="2580" w:name="_Toc144905697"/>
      <w:bookmarkStart w:id="2581" w:name="_Toc483748272"/>
      <w:bookmarkStart w:id="2582" w:name="_Toc483748591"/>
      <w:bookmarkStart w:id="2583" w:name="_Toc483748115"/>
      <w:bookmarkStart w:id="2584" w:name="_Toc483748274"/>
      <w:bookmarkStart w:id="2585" w:name="_Toc483748593"/>
      <w:bookmarkStart w:id="2586" w:name="_Toc12780675"/>
      <w:bookmarkStart w:id="2587" w:name="_Toc14172316"/>
      <w:bookmarkStart w:id="2588" w:name="_Toc33703990"/>
      <w:bookmarkStart w:id="2589" w:name="_Toc55381178"/>
      <w:bookmarkStart w:id="2590" w:name="_Toc100263382"/>
      <w:bookmarkEnd w:id="2575"/>
      <w:bookmarkEnd w:id="2576"/>
      <w:bookmarkEnd w:id="2577"/>
      <w:bookmarkEnd w:id="2578"/>
      <w:bookmarkEnd w:id="2579"/>
      <w:bookmarkEnd w:id="2580"/>
      <w:bookmarkEnd w:id="2581"/>
      <w:bookmarkEnd w:id="2582"/>
      <w:bookmarkEnd w:id="2583"/>
      <w:bookmarkEnd w:id="2584"/>
      <w:bookmarkEnd w:id="2585"/>
      <w:r>
        <w:br w:type="page"/>
      </w:r>
    </w:p>
    <w:p w14:paraId="4AF29786" w14:textId="77777777" w:rsidR="005B699B" w:rsidRDefault="005B699B" w:rsidP="005D7D2C">
      <w:pPr>
        <w:pStyle w:val="Heading2"/>
        <w:numPr>
          <w:ilvl w:val="1"/>
          <w:numId w:val="12"/>
        </w:numPr>
        <w:ind w:left="851" w:hanging="851"/>
      </w:pPr>
      <w:bookmarkStart w:id="2591" w:name="_Toc164262696"/>
      <w:bookmarkStart w:id="2592" w:name="_Toc164263031"/>
      <w:bookmarkStart w:id="2593" w:name="_Toc164262697"/>
      <w:bookmarkStart w:id="2594" w:name="_Toc164263032"/>
      <w:bookmarkStart w:id="2595" w:name="_Toc164262698"/>
      <w:bookmarkStart w:id="2596" w:name="_Toc164263033"/>
      <w:bookmarkStart w:id="2597" w:name="_Toc164262699"/>
      <w:bookmarkStart w:id="2598" w:name="_Toc164263034"/>
      <w:bookmarkStart w:id="2599" w:name="_Toc164262739"/>
      <w:bookmarkStart w:id="2600" w:name="_Toc164263074"/>
      <w:bookmarkStart w:id="2601" w:name="_Toc165961876"/>
      <w:bookmarkStart w:id="2602" w:name="_Toc201148304"/>
      <w:bookmarkStart w:id="2603" w:name="_Toc12780676"/>
      <w:bookmarkStart w:id="2604" w:name="_Toc14172317"/>
      <w:bookmarkStart w:id="2605" w:name="_Toc33703991"/>
      <w:bookmarkStart w:id="2606" w:name="_Toc55381179"/>
      <w:bookmarkStart w:id="2607" w:name="_Toc100263383"/>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r w:rsidRPr="23E5A96B">
        <w:t>Non-admitted episode targets – community palliative care</w:t>
      </w:r>
      <w:bookmarkEnd w:id="2601"/>
      <w:bookmarkEnd w:id="2602"/>
    </w:p>
    <w:p w14:paraId="1A9661DF" w14:textId="334A080C" w:rsidR="00A06CA4" w:rsidRPr="00A06CA4" w:rsidRDefault="00A06CA4" w:rsidP="00A06CA4">
      <w:pPr>
        <w:pStyle w:val="Body"/>
        <w:rPr>
          <w:sz w:val="18"/>
          <w:szCs w:val="18"/>
        </w:rPr>
      </w:pPr>
      <w:r w:rsidRPr="00A06CA4">
        <w:rPr>
          <w:sz w:val="18"/>
          <w:szCs w:val="18"/>
        </w:rPr>
        <w:t>Notes:</w:t>
      </w:r>
    </w:p>
    <w:p w14:paraId="7D6B664B" w14:textId="42F2654B" w:rsidR="00A06CA4" w:rsidRPr="00A06CA4" w:rsidRDefault="00A06CA4" w:rsidP="00A06CA4">
      <w:pPr>
        <w:pStyle w:val="Tablebullet9pt"/>
      </w:pPr>
      <w:r w:rsidRPr="00A06CA4">
        <w:t>Draft information pending finalisation of SOPs</w:t>
      </w:r>
      <w:r>
        <w:t>.</w:t>
      </w:r>
    </w:p>
    <w:p w14:paraId="57ABC5B2" w14:textId="7A4CBC57" w:rsidR="005B699B" w:rsidRDefault="00462DC7" w:rsidP="00297FC9">
      <w:pPr>
        <w:pStyle w:val="Tablecaption"/>
      </w:pPr>
      <w:bookmarkStart w:id="2608" w:name="_Toc201148603"/>
      <w:r w:rsidRPr="005C6B6F">
        <w:t xml:space="preserve">Table </w:t>
      </w:r>
      <w:r w:rsidR="00D72666">
        <w:t>2</w:t>
      </w:r>
      <w:r w:rsidR="000E0ED2">
        <w:t>.</w:t>
      </w:r>
      <w:r>
        <w:fldChar w:fldCharType="begin"/>
      </w:r>
      <w:r>
        <w:instrText>SEQ Table \* ARABIC \s 1</w:instrText>
      </w:r>
      <w:r>
        <w:fldChar w:fldCharType="separate"/>
      </w:r>
      <w:r w:rsidR="007D262B">
        <w:rPr>
          <w:noProof/>
        </w:rPr>
        <w:t>17</w:t>
      </w:r>
      <w:r>
        <w:fldChar w:fldCharType="end"/>
      </w:r>
      <w:r w:rsidRPr="005C6B6F">
        <w:t xml:space="preserve">: </w:t>
      </w:r>
      <w:r w:rsidR="005B699B" w:rsidRPr="005C6B6F">
        <w:t>Community palliative care – new episodes for distinct clients 202</w:t>
      </w:r>
      <w:r w:rsidR="000C0EF6">
        <w:t>5</w:t>
      </w:r>
      <w:r w:rsidR="005B699B" w:rsidRPr="005C6B6F">
        <w:t>–2</w:t>
      </w:r>
      <w:r w:rsidR="000C0EF6">
        <w:t>6</w:t>
      </w:r>
      <w:bookmarkEnd w:id="2608"/>
      <w:r w:rsidR="00D25520">
        <w:t xml:space="preserve"> </w:t>
      </w:r>
    </w:p>
    <w:tbl>
      <w:tblPr>
        <w:tblStyle w:val="GridTable4-Accent1"/>
        <w:tblW w:w="5977" w:type="dxa"/>
        <w:tblLayout w:type="fixed"/>
        <w:tblLook w:val="04A0" w:firstRow="1" w:lastRow="0" w:firstColumn="1" w:lastColumn="0" w:noHBand="0" w:noVBand="1"/>
      </w:tblPr>
      <w:tblGrid>
        <w:gridCol w:w="3572"/>
        <w:gridCol w:w="2405"/>
      </w:tblGrid>
      <w:tr w:rsidR="00CE4D62" w14:paraId="7F040155" w14:textId="77777777" w:rsidTr="51801724">
        <w:trPr>
          <w:cnfStyle w:val="100000000000" w:firstRow="1" w:lastRow="0" w:firstColumn="0" w:lastColumn="0" w:oddVBand="0" w:evenVBand="0" w:oddHBand="0"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2567885" w14:textId="77777777" w:rsidR="00F40BF7" w:rsidRPr="00257223" w:rsidRDefault="00F40BF7" w:rsidP="00473B41">
            <w:pPr>
              <w:pStyle w:val="Tablecolhead8pt"/>
              <w:rPr>
                <w:b/>
                <w:bCs w:val="0"/>
                <w:color w:val="FFFFFF" w:themeColor="background1"/>
                <w:sz w:val="16"/>
              </w:rPr>
            </w:pPr>
            <w:r w:rsidRPr="00257223">
              <w:rPr>
                <w:b/>
                <w:bCs w:val="0"/>
                <w:color w:val="FFFFFF" w:themeColor="background1"/>
                <w:sz w:val="16"/>
              </w:rPr>
              <w:t>Health service / organisation</w:t>
            </w:r>
          </w:p>
        </w:tc>
        <w:tc>
          <w:tcPr>
            <w:tcW w:w="2405" w:type="dxa"/>
            <w:noWrap/>
            <w:hideMark/>
          </w:tcPr>
          <w:p w14:paraId="7A5A8DEF" w14:textId="77777777" w:rsidR="00F40BF7" w:rsidRPr="00257223" w:rsidRDefault="00F40BF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Annual target</w:t>
            </w:r>
          </w:p>
        </w:tc>
      </w:tr>
      <w:tr w:rsidR="00CE4D62" w14:paraId="0090D7FB"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7B40F4A" w14:textId="77777777" w:rsidR="00F40BF7" w:rsidRPr="00AC68A2" w:rsidRDefault="00F40BF7" w:rsidP="00A00881">
            <w:pPr>
              <w:pStyle w:val="Tabletext8pt"/>
              <w:rPr>
                <w:b w:val="0"/>
                <w:bCs w:val="0"/>
                <w:sz w:val="16"/>
                <w:szCs w:val="16"/>
              </w:rPr>
            </w:pPr>
            <w:r w:rsidRPr="00AC68A2">
              <w:rPr>
                <w:b w:val="0"/>
                <w:bCs w:val="0"/>
                <w:sz w:val="16"/>
                <w:szCs w:val="16"/>
              </w:rPr>
              <w:t>Albury Wodonga Health</w:t>
            </w:r>
          </w:p>
        </w:tc>
        <w:tc>
          <w:tcPr>
            <w:tcW w:w="2405" w:type="dxa"/>
            <w:noWrap/>
          </w:tcPr>
          <w:p w14:paraId="31BB7C00"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222</w:t>
            </w:r>
          </w:p>
        </w:tc>
      </w:tr>
      <w:tr w:rsidR="00CE4D62" w14:paraId="2EA0C6C1"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FBA72B4" w14:textId="77777777" w:rsidR="00F40BF7" w:rsidRPr="00AC68A2" w:rsidRDefault="00F40BF7" w:rsidP="00A00881">
            <w:pPr>
              <w:pStyle w:val="Tabletext8pt"/>
              <w:rPr>
                <w:b w:val="0"/>
                <w:bCs w:val="0"/>
                <w:sz w:val="16"/>
                <w:szCs w:val="16"/>
              </w:rPr>
            </w:pPr>
            <w:r w:rsidRPr="00AC68A2">
              <w:rPr>
                <w:b w:val="0"/>
                <w:bCs w:val="0"/>
                <w:sz w:val="16"/>
                <w:szCs w:val="16"/>
              </w:rPr>
              <w:t>Bairnsdale Regional Health Service</w:t>
            </w:r>
          </w:p>
        </w:tc>
        <w:tc>
          <w:tcPr>
            <w:tcW w:w="2405" w:type="dxa"/>
            <w:noWrap/>
          </w:tcPr>
          <w:p w14:paraId="3ECF37E9"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73</w:t>
            </w:r>
          </w:p>
        </w:tc>
      </w:tr>
      <w:tr w:rsidR="00CE4D62" w14:paraId="38083CB1"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8F59D2C" w14:textId="77777777" w:rsidR="00F40BF7" w:rsidRPr="00AC68A2" w:rsidRDefault="00F40BF7" w:rsidP="00A00881">
            <w:pPr>
              <w:pStyle w:val="Tabletext8pt"/>
              <w:rPr>
                <w:b w:val="0"/>
                <w:bCs w:val="0"/>
                <w:sz w:val="16"/>
                <w:szCs w:val="16"/>
              </w:rPr>
            </w:pPr>
            <w:r w:rsidRPr="00AC68A2">
              <w:rPr>
                <w:b w:val="0"/>
                <w:bCs w:val="0"/>
                <w:sz w:val="16"/>
                <w:szCs w:val="16"/>
              </w:rPr>
              <w:t>Ballarat Hospice Care</w:t>
            </w:r>
          </w:p>
        </w:tc>
        <w:tc>
          <w:tcPr>
            <w:tcW w:w="2405" w:type="dxa"/>
            <w:noWrap/>
          </w:tcPr>
          <w:p w14:paraId="319B90A1"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343</w:t>
            </w:r>
          </w:p>
        </w:tc>
      </w:tr>
      <w:tr w:rsidR="00CE4D62" w14:paraId="43634A56"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F0D21BA" w14:textId="77777777" w:rsidR="00F40BF7" w:rsidRPr="00AC68A2" w:rsidRDefault="00F40BF7" w:rsidP="00A00881">
            <w:pPr>
              <w:pStyle w:val="Tabletext8pt"/>
              <w:rPr>
                <w:b w:val="0"/>
                <w:bCs w:val="0"/>
                <w:sz w:val="16"/>
                <w:szCs w:val="16"/>
              </w:rPr>
            </w:pPr>
            <w:r w:rsidRPr="00AC68A2">
              <w:rPr>
                <w:b w:val="0"/>
                <w:bCs w:val="0"/>
                <w:sz w:val="16"/>
                <w:szCs w:val="16"/>
              </w:rPr>
              <w:t>Banksia Palliative Care Service</w:t>
            </w:r>
          </w:p>
        </w:tc>
        <w:tc>
          <w:tcPr>
            <w:tcW w:w="2405" w:type="dxa"/>
            <w:noWrap/>
          </w:tcPr>
          <w:p w14:paraId="25D3A4B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1,050</w:t>
            </w:r>
          </w:p>
        </w:tc>
      </w:tr>
      <w:tr w:rsidR="00CE4D62" w14:paraId="6DE9EE56"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327AC1E" w14:textId="77777777" w:rsidR="00F40BF7" w:rsidRPr="00AC68A2" w:rsidRDefault="00F40BF7" w:rsidP="00A00881">
            <w:pPr>
              <w:pStyle w:val="Tabletext8pt"/>
              <w:rPr>
                <w:b w:val="0"/>
                <w:bCs w:val="0"/>
                <w:sz w:val="16"/>
                <w:szCs w:val="16"/>
              </w:rPr>
            </w:pPr>
            <w:r w:rsidRPr="00AC68A2">
              <w:rPr>
                <w:b w:val="0"/>
                <w:bCs w:val="0"/>
                <w:sz w:val="16"/>
                <w:szCs w:val="16"/>
              </w:rPr>
              <w:t>Barwon Health</w:t>
            </w:r>
          </w:p>
        </w:tc>
        <w:tc>
          <w:tcPr>
            <w:tcW w:w="2405" w:type="dxa"/>
            <w:noWrap/>
          </w:tcPr>
          <w:p w14:paraId="3402E3CD"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578</w:t>
            </w:r>
          </w:p>
        </w:tc>
      </w:tr>
      <w:tr w:rsidR="00CE4D62" w14:paraId="1CAAE0E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269424B" w14:textId="77777777" w:rsidR="00F40BF7" w:rsidRPr="00AC68A2" w:rsidRDefault="00F40BF7" w:rsidP="00A00881">
            <w:pPr>
              <w:pStyle w:val="Tabletext8pt"/>
              <w:rPr>
                <w:b w:val="0"/>
                <w:bCs w:val="0"/>
                <w:sz w:val="16"/>
                <w:szCs w:val="16"/>
              </w:rPr>
            </w:pPr>
            <w:r w:rsidRPr="00AC68A2">
              <w:rPr>
                <w:b w:val="0"/>
                <w:bCs w:val="0"/>
                <w:sz w:val="16"/>
                <w:szCs w:val="16"/>
              </w:rPr>
              <w:t>Bass Coast Health</w:t>
            </w:r>
          </w:p>
        </w:tc>
        <w:tc>
          <w:tcPr>
            <w:tcW w:w="2405" w:type="dxa"/>
            <w:noWrap/>
          </w:tcPr>
          <w:p w14:paraId="5B210432"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115</w:t>
            </w:r>
          </w:p>
        </w:tc>
      </w:tr>
      <w:tr w:rsidR="00CE4D62" w14:paraId="1DE26832"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2830FF4" w14:textId="77777777" w:rsidR="00F40BF7" w:rsidRPr="00AC68A2" w:rsidRDefault="00F40BF7" w:rsidP="00A00881">
            <w:pPr>
              <w:pStyle w:val="Tabletext8pt"/>
              <w:rPr>
                <w:b w:val="0"/>
                <w:bCs w:val="0"/>
                <w:sz w:val="16"/>
                <w:szCs w:val="16"/>
              </w:rPr>
            </w:pPr>
            <w:r w:rsidRPr="00AC68A2">
              <w:rPr>
                <w:b w:val="0"/>
                <w:bCs w:val="0"/>
                <w:sz w:val="16"/>
                <w:szCs w:val="16"/>
              </w:rPr>
              <w:t>Bellarine Community Health Service</w:t>
            </w:r>
          </w:p>
        </w:tc>
        <w:tc>
          <w:tcPr>
            <w:tcW w:w="2405" w:type="dxa"/>
            <w:noWrap/>
          </w:tcPr>
          <w:p w14:paraId="5907DE27"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137</w:t>
            </w:r>
          </w:p>
        </w:tc>
      </w:tr>
      <w:tr w:rsidR="00CE4D62" w14:paraId="2A642F7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11C3FA78" w14:textId="77777777" w:rsidR="00F40BF7" w:rsidRPr="00AC68A2" w:rsidRDefault="00F40BF7" w:rsidP="00A00881">
            <w:pPr>
              <w:pStyle w:val="Tabletext8pt"/>
              <w:rPr>
                <w:b w:val="0"/>
                <w:bCs w:val="0"/>
                <w:sz w:val="16"/>
                <w:szCs w:val="16"/>
              </w:rPr>
            </w:pPr>
            <w:r w:rsidRPr="00AC68A2">
              <w:rPr>
                <w:b w:val="0"/>
                <w:bCs w:val="0"/>
                <w:sz w:val="16"/>
                <w:szCs w:val="16"/>
              </w:rPr>
              <w:t>Benalla and District Memorial Hospital</w:t>
            </w:r>
          </w:p>
        </w:tc>
        <w:tc>
          <w:tcPr>
            <w:tcW w:w="2405" w:type="dxa"/>
            <w:noWrap/>
          </w:tcPr>
          <w:p w14:paraId="266C78D4"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131</w:t>
            </w:r>
          </w:p>
        </w:tc>
      </w:tr>
      <w:tr w:rsidR="00CE4D62" w14:paraId="28FB61C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07CAE08" w14:textId="77777777" w:rsidR="00F40BF7" w:rsidRPr="00AC68A2" w:rsidRDefault="00F40BF7" w:rsidP="00A00881">
            <w:pPr>
              <w:pStyle w:val="Tabletext8pt"/>
              <w:rPr>
                <w:b w:val="0"/>
                <w:bCs w:val="0"/>
                <w:sz w:val="16"/>
                <w:szCs w:val="16"/>
              </w:rPr>
            </w:pPr>
            <w:r w:rsidRPr="00AC68A2">
              <w:rPr>
                <w:b w:val="0"/>
                <w:bCs w:val="0"/>
                <w:sz w:val="16"/>
                <w:szCs w:val="16"/>
              </w:rPr>
              <w:t>Bendigo Health</w:t>
            </w:r>
          </w:p>
        </w:tc>
        <w:tc>
          <w:tcPr>
            <w:tcW w:w="2405" w:type="dxa"/>
            <w:noWrap/>
          </w:tcPr>
          <w:p w14:paraId="2A2D5AA6"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339</w:t>
            </w:r>
          </w:p>
        </w:tc>
      </w:tr>
      <w:tr w:rsidR="00CE4D62" w14:paraId="26EF0458"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EE3EAF6" w14:textId="77777777" w:rsidR="00F40BF7" w:rsidRPr="00AC68A2" w:rsidRDefault="00F40BF7" w:rsidP="00A00881">
            <w:pPr>
              <w:pStyle w:val="Tabletext8pt"/>
              <w:rPr>
                <w:b w:val="0"/>
                <w:bCs w:val="0"/>
                <w:sz w:val="16"/>
                <w:szCs w:val="16"/>
              </w:rPr>
            </w:pPr>
            <w:r w:rsidRPr="00AC68A2">
              <w:rPr>
                <w:b w:val="0"/>
                <w:bCs w:val="0"/>
                <w:sz w:val="16"/>
                <w:szCs w:val="16"/>
              </w:rPr>
              <w:t>Calvary Health Care Bethlehem</w:t>
            </w:r>
          </w:p>
        </w:tc>
        <w:tc>
          <w:tcPr>
            <w:tcW w:w="2405" w:type="dxa"/>
            <w:noWrap/>
          </w:tcPr>
          <w:p w14:paraId="18B9B204"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1,250</w:t>
            </w:r>
          </w:p>
        </w:tc>
      </w:tr>
      <w:tr w:rsidR="00CE4D62" w14:paraId="4648128B"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3A8662FC" w14:textId="77777777" w:rsidR="00F40BF7" w:rsidRPr="00AC68A2" w:rsidRDefault="00F40BF7" w:rsidP="00A00881">
            <w:pPr>
              <w:pStyle w:val="Tabletext8pt"/>
              <w:rPr>
                <w:b w:val="0"/>
                <w:bCs w:val="0"/>
                <w:sz w:val="16"/>
                <w:szCs w:val="16"/>
              </w:rPr>
            </w:pPr>
            <w:r w:rsidRPr="00AC68A2">
              <w:rPr>
                <w:b w:val="0"/>
                <w:bCs w:val="0"/>
                <w:sz w:val="16"/>
                <w:szCs w:val="16"/>
              </w:rPr>
              <w:t>Central Gippsland Health Service</w:t>
            </w:r>
          </w:p>
        </w:tc>
        <w:tc>
          <w:tcPr>
            <w:tcW w:w="2405" w:type="dxa"/>
            <w:noWrap/>
          </w:tcPr>
          <w:p w14:paraId="50902E2B"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133</w:t>
            </w:r>
          </w:p>
        </w:tc>
      </w:tr>
      <w:tr w:rsidR="00CE4D62" w14:paraId="22F2E123"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5FC400D" w14:textId="77777777" w:rsidR="00F40BF7" w:rsidRPr="00AC68A2" w:rsidRDefault="00F40BF7" w:rsidP="00A00881">
            <w:pPr>
              <w:pStyle w:val="Tabletext8pt"/>
              <w:rPr>
                <w:b w:val="0"/>
                <w:bCs w:val="0"/>
                <w:sz w:val="16"/>
                <w:szCs w:val="16"/>
              </w:rPr>
            </w:pPr>
            <w:r w:rsidRPr="00AC68A2">
              <w:rPr>
                <w:b w:val="0"/>
                <w:bCs w:val="0"/>
                <w:sz w:val="16"/>
                <w:szCs w:val="16"/>
              </w:rPr>
              <w:t>Colac Area Health</w:t>
            </w:r>
          </w:p>
        </w:tc>
        <w:tc>
          <w:tcPr>
            <w:tcW w:w="2405" w:type="dxa"/>
            <w:noWrap/>
          </w:tcPr>
          <w:p w14:paraId="49321F9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77</w:t>
            </w:r>
          </w:p>
        </w:tc>
      </w:tr>
      <w:tr w:rsidR="00CE4D62" w14:paraId="72D42FFC"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tcPr>
          <w:p w14:paraId="5AB3CA2A" w14:textId="77777777" w:rsidR="00F40BF7" w:rsidRPr="00AC68A2" w:rsidRDefault="00F40BF7" w:rsidP="00A00881">
            <w:pPr>
              <w:pStyle w:val="Tabletext8pt"/>
              <w:rPr>
                <w:b w:val="0"/>
                <w:bCs w:val="0"/>
                <w:sz w:val="16"/>
                <w:szCs w:val="16"/>
              </w:rPr>
            </w:pPr>
            <w:r w:rsidRPr="00AC68A2">
              <w:rPr>
                <w:b w:val="0"/>
                <w:bCs w:val="0"/>
                <w:sz w:val="16"/>
                <w:szCs w:val="16"/>
              </w:rPr>
              <w:t xml:space="preserve">Dhelkaya Health </w:t>
            </w:r>
          </w:p>
        </w:tc>
        <w:tc>
          <w:tcPr>
            <w:tcW w:w="2405" w:type="dxa"/>
            <w:noWrap/>
          </w:tcPr>
          <w:p w14:paraId="3E5F8DEA"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55</w:t>
            </w:r>
          </w:p>
        </w:tc>
      </w:tr>
      <w:tr w:rsidR="00CE4D62" w14:paraId="1E7937B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141B88D" w14:textId="77777777" w:rsidR="00F40BF7" w:rsidRPr="00AC68A2" w:rsidRDefault="00F40BF7" w:rsidP="00A00881">
            <w:pPr>
              <w:pStyle w:val="Tabletext8pt"/>
              <w:rPr>
                <w:b w:val="0"/>
                <w:bCs w:val="0"/>
                <w:sz w:val="16"/>
                <w:szCs w:val="16"/>
              </w:rPr>
            </w:pPr>
            <w:r w:rsidRPr="00AC68A2">
              <w:rPr>
                <w:b w:val="0"/>
                <w:bCs w:val="0"/>
                <w:sz w:val="16"/>
                <w:szCs w:val="16"/>
              </w:rPr>
              <w:t>East Grampians Health Service</w:t>
            </w:r>
          </w:p>
        </w:tc>
        <w:tc>
          <w:tcPr>
            <w:tcW w:w="2405" w:type="dxa"/>
            <w:noWrap/>
          </w:tcPr>
          <w:p w14:paraId="6151E98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w:t>
            </w:r>
          </w:p>
        </w:tc>
      </w:tr>
      <w:tr w:rsidR="00CE4D62" w14:paraId="2E897176"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B5A2BA3" w14:textId="77777777" w:rsidR="00F40BF7" w:rsidRPr="00AC68A2" w:rsidRDefault="00F40BF7" w:rsidP="00A00881">
            <w:pPr>
              <w:pStyle w:val="Tabletext8pt"/>
              <w:rPr>
                <w:b w:val="0"/>
                <w:bCs w:val="0"/>
                <w:sz w:val="16"/>
                <w:szCs w:val="16"/>
              </w:rPr>
            </w:pPr>
            <w:r w:rsidRPr="00AC68A2">
              <w:rPr>
                <w:b w:val="0"/>
                <w:bCs w:val="0"/>
                <w:sz w:val="16"/>
                <w:szCs w:val="16"/>
              </w:rPr>
              <w:t>Eastern Palliative Care Association</w:t>
            </w:r>
          </w:p>
        </w:tc>
        <w:tc>
          <w:tcPr>
            <w:tcW w:w="2405" w:type="dxa"/>
            <w:noWrap/>
          </w:tcPr>
          <w:p w14:paraId="3D48D7BE" w14:textId="3196B899" w:rsidR="00F40BF7" w:rsidRPr="00257223" w:rsidRDefault="66C748D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51801724">
              <w:rPr>
                <w:sz w:val="16"/>
                <w:szCs w:val="16"/>
              </w:rPr>
              <w:t>2,60</w:t>
            </w:r>
            <w:r w:rsidR="49AE6E6B" w:rsidRPr="51801724">
              <w:rPr>
                <w:sz w:val="16"/>
                <w:szCs w:val="16"/>
              </w:rPr>
              <w:t>9</w:t>
            </w:r>
          </w:p>
        </w:tc>
      </w:tr>
      <w:tr w:rsidR="00CE4D62" w14:paraId="242712A7"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9D282BF" w14:textId="77777777" w:rsidR="00F40BF7" w:rsidRPr="00AC68A2" w:rsidRDefault="00F40BF7" w:rsidP="00A00881">
            <w:pPr>
              <w:pStyle w:val="Tabletext8pt"/>
              <w:rPr>
                <w:b w:val="0"/>
                <w:bCs w:val="0"/>
                <w:sz w:val="16"/>
                <w:szCs w:val="16"/>
              </w:rPr>
            </w:pPr>
            <w:r w:rsidRPr="00AC68A2">
              <w:rPr>
                <w:b w:val="0"/>
                <w:bCs w:val="0"/>
                <w:sz w:val="16"/>
                <w:szCs w:val="16"/>
              </w:rPr>
              <w:t>Echuca Regional Health</w:t>
            </w:r>
          </w:p>
        </w:tc>
        <w:tc>
          <w:tcPr>
            <w:tcW w:w="2405" w:type="dxa"/>
            <w:noWrap/>
          </w:tcPr>
          <w:p w14:paraId="4BEED325"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144</w:t>
            </w:r>
          </w:p>
        </w:tc>
      </w:tr>
      <w:tr w:rsidR="00CE4D62" w14:paraId="24375A3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A034CD7" w14:textId="77777777" w:rsidR="00F40BF7" w:rsidRPr="00AC68A2" w:rsidRDefault="00F40BF7" w:rsidP="00A00881">
            <w:pPr>
              <w:pStyle w:val="Tabletext8pt"/>
              <w:rPr>
                <w:b w:val="0"/>
                <w:bCs w:val="0"/>
                <w:sz w:val="16"/>
                <w:szCs w:val="16"/>
              </w:rPr>
            </w:pPr>
            <w:r w:rsidRPr="00AC68A2">
              <w:rPr>
                <w:b w:val="0"/>
                <w:bCs w:val="0"/>
                <w:sz w:val="16"/>
                <w:szCs w:val="16"/>
              </w:rPr>
              <w:t>Gippsland Lakes Community Health</w:t>
            </w:r>
          </w:p>
        </w:tc>
        <w:tc>
          <w:tcPr>
            <w:tcW w:w="2405" w:type="dxa"/>
            <w:noWrap/>
          </w:tcPr>
          <w:p w14:paraId="3BA7821D"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153</w:t>
            </w:r>
          </w:p>
        </w:tc>
      </w:tr>
      <w:tr w:rsidR="00CE4D62" w14:paraId="0CE9887C"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A8DCFD7" w14:textId="77777777" w:rsidR="00F40BF7" w:rsidRPr="00AC68A2" w:rsidRDefault="00F40BF7" w:rsidP="00A00881">
            <w:pPr>
              <w:pStyle w:val="Tabletext8pt"/>
              <w:rPr>
                <w:b w:val="0"/>
                <w:bCs w:val="0"/>
                <w:sz w:val="16"/>
                <w:szCs w:val="16"/>
              </w:rPr>
            </w:pPr>
            <w:r w:rsidRPr="00AC68A2">
              <w:rPr>
                <w:b w:val="0"/>
                <w:bCs w:val="0"/>
                <w:sz w:val="16"/>
                <w:szCs w:val="16"/>
              </w:rPr>
              <w:t>Gippsland Southern Health Service</w:t>
            </w:r>
          </w:p>
        </w:tc>
        <w:tc>
          <w:tcPr>
            <w:tcW w:w="2405" w:type="dxa"/>
            <w:noWrap/>
          </w:tcPr>
          <w:p w14:paraId="2D6B6AB6"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85</w:t>
            </w:r>
          </w:p>
        </w:tc>
      </w:tr>
      <w:tr w:rsidR="00CE4D62" w14:paraId="34D9488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625B1A5" w14:textId="77777777" w:rsidR="00F40BF7" w:rsidRPr="00AC68A2" w:rsidRDefault="00F40BF7" w:rsidP="00A00881">
            <w:pPr>
              <w:pStyle w:val="Tabletext8pt"/>
              <w:rPr>
                <w:b w:val="0"/>
                <w:bCs w:val="0"/>
                <w:sz w:val="16"/>
                <w:szCs w:val="16"/>
              </w:rPr>
            </w:pPr>
            <w:r w:rsidRPr="00AC68A2">
              <w:rPr>
                <w:b w:val="0"/>
                <w:bCs w:val="0"/>
                <w:sz w:val="16"/>
                <w:szCs w:val="16"/>
              </w:rPr>
              <w:t>Goulburn Valley Hospice Care Service</w:t>
            </w:r>
          </w:p>
        </w:tc>
        <w:tc>
          <w:tcPr>
            <w:tcW w:w="2405" w:type="dxa"/>
            <w:noWrap/>
          </w:tcPr>
          <w:p w14:paraId="1F1CF46A"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260</w:t>
            </w:r>
          </w:p>
        </w:tc>
      </w:tr>
      <w:tr w:rsidR="00CE4D62" w14:paraId="2E4104DC"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EBFF122" w14:textId="77777777" w:rsidR="00F40BF7" w:rsidRPr="00AC68A2" w:rsidRDefault="00F40BF7" w:rsidP="00A00881">
            <w:pPr>
              <w:pStyle w:val="Tabletext8pt"/>
              <w:rPr>
                <w:b w:val="0"/>
                <w:bCs w:val="0"/>
                <w:sz w:val="16"/>
                <w:szCs w:val="16"/>
              </w:rPr>
            </w:pPr>
            <w:r w:rsidRPr="00AC68A2">
              <w:rPr>
                <w:b w:val="0"/>
                <w:bCs w:val="0"/>
                <w:sz w:val="16"/>
                <w:szCs w:val="16"/>
              </w:rPr>
              <w:t xml:space="preserve">Grampians Health </w:t>
            </w:r>
          </w:p>
        </w:tc>
        <w:tc>
          <w:tcPr>
            <w:tcW w:w="2405" w:type="dxa"/>
            <w:noWrap/>
          </w:tcPr>
          <w:p w14:paraId="74925E85"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185</w:t>
            </w:r>
          </w:p>
        </w:tc>
      </w:tr>
      <w:tr w:rsidR="00CE4D62" w14:paraId="6658E399" w14:textId="77777777" w:rsidTr="51801724">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F643F2C" w14:textId="77777777" w:rsidR="00F40BF7" w:rsidRPr="00AC68A2" w:rsidRDefault="00F40BF7" w:rsidP="00A00881">
            <w:pPr>
              <w:pStyle w:val="Tabletext8pt"/>
              <w:rPr>
                <w:b w:val="0"/>
                <w:bCs w:val="0"/>
                <w:sz w:val="16"/>
                <w:szCs w:val="16"/>
              </w:rPr>
            </w:pPr>
            <w:r w:rsidRPr="00AC68A2">
              <w:rPr>
                <w:b w:val="0"/>
                <w:bCs w:val="0"/>
                <w:sz w:val="16"/>
                <w:szCs w:val="16"/>
              </w:rPr>
              <w:t>Kyneton District Health (Central Highlands)</w:t>
            </w:r>
          </w:p>
        </w:tc>
        <w:tc>
          <w:tcPr>
            <w:tcW w:w="2405" w:type="dxa"/>
            <w:noWrap/>
          </w:tcPr>
          <w:p w14:paraId="13D826E5"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155</w:t>
            </w:r>
          </w:p>
        </w:tc>
      </w:tr>
      <w:tr w:rsidR="00CE4D62" w14:paraId="4ACEBED7"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B205E90" w14:textId="77777777" w:rsidR="00F40BF7" w:rsidRPr="00AC68A2" w:rsidRDefault="00F40BF7" w:rsidP="00A00881">
            <w:pPr>
              <w:pStyle w:val="Tabletext8pt"/>
              <w:rPr>
                <w:b w:val="0"/>
                <w:bCs w:val="0"/>
                <w:sz w:val="16"/>
                <w:szCs w:val="16"/>
              </w:rPr>
            </w:pPr>
            <w:r w:rsidRPr="00AC68A2">
              <w:rPr>
                <w:b w:val="0"/>
                <w:bCs w:val="0"/>
                <w:sz w:val="16"/>
                <w:szCs w:val="16"/>
              </w:rPr>
              <w:t>Latrobe Community Health Service</w:t>
            </w:r>
          </w:p>
        </w:tc>
        <w:tc>
          <w:tcPr>
            <w:tcW w:w="2405" w:type="dxa"/>
            <w:noWrap/>
          </w:tcPr>
          <w:p w14:paraId="23D8AF6D"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190</w:t>
            </w:r>
          </w:p>
        </w:tc>
      </w:tr>
      <w:tr w:rsidR="00CE4D62" w14:paraId="381F7E21"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87C1A90" w14:textId="77777777" w:rsidR="00F40BF7" w:rsidRPr="00AC68A2" w:rsidRDefault="00F40BF7" w:rsidP="00A00881">
            <w:pPr>
              <w:pStyle w:val="Tabletext8pt"/>
              <w:rPr>
                <w:b w:val="0"/>
                <w:bCs w:val="0"/>
                <w:sz w:val="16"/>
                <w:szCs w:val="16"/>
              </w:rPr>
            </w:pPr>
            <w:r w:rsidRPr="00AC68A2">
              <w:rPr>
                <w:b w:val="0"/>
                <w:bCs w:val="0"/>
                <w:sz w:val="16"/>
                <w:szCs w:val="16"/>
              </w:rPr>
              <w:t>Maryborough District Health Service</w:t>
            </w:r>
          </w:p>
        </w:tc>
        <w:tc>
          <w:tcPr>
            <w:tcW w:w="2405" w:type="dxa"/>
            <w:noWrap/>
          </w:tcPr>
          <w:p w14:paraId="4C140C0F"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44</w:t>
            </w:r>
          </w:p>
        </w:tc>
      </w:tr>
      <w:tr w:rsidR="00CE4D62" w14:paraId="2B974DF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B369A4C" w14:textId="77777777" w:rsidR="00F40BF7" w:rsidRPr="00AC68A2" w:rsidRDefault="00F40BF7" w:rsidP="00A00881">
            <w:pPr>
              <w:pStyle w:val="Tabletext8pt"/>
              <w:rPr>
                <w:b w:val="0"/>
                <w:bCs w:val="0"/>
                <w:sz w:val="16"/>
                <w:szCs w:val="16"/>
              </w:rPr>
            </w:pPr>
            <w:r w:rsidRPr="00AC68A2">
              <w:rPr>
                <w:b w:val="0"/>
                <w:bCs w:val="0"/>
                <w:sz w:val="16"/>
                <w:szCs w:val="16"/>
              </w:rPr>
              <w:t>Melbourne City Mission</w:t>
            </w:r>
          </w:p>
        </w:tc>
        <w:tc>
          <w:tcPr>
            <w:tcW w:w="2405" w:type="dxa"/>
            <w:noWrap/>
          </w:tcPr>
          <w:p w14:paraId="68CA1512"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1,625</w:t>
            </w:r>
          </w:p>
        </w:tc>
      </w:tr>
      <w:tr w:rsidR="00CE4D62" w14:paraId="59342EB2"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6971BA7" w14:textId="77777777" w:rsidR="00F40BF7" w:rsidRPr="00AC68A2" w:rsidRDefault="00F40BF7" w:rsidP="00A00881">
            <w:pPr>
              <w:pStyle w:val="Tabletext8pt"/>
              <w:rPr>
                <w:b w:val="0"/>
                <w:bCs w:val="0"/>
                <w:sz w:val="16"/>
                <w:szCs w:val="16"/>
              </w:rPr>
            </w:pPr>
            <w:r w:rsidRPr="00AC68A2">
              <w:rPr>
                <w:b w:val="0"/>
                <w:bCs w:val="0"/>
                <w:sz w:val="16"/>
                <w:szCs w:val="16"/>
              </w:rPr>
              <w:t>Mercy Palliative Care</w:t>
            </w:r>
          </w:p>
        </w:tc>
        <w:tc>
          <w:tcPr>
            <w:tcW w:w="2405" w:type="dxa"/>
            <w:noWrap/>
          </w:tcPr>
          <w:p w14:paraId="4E0CB979"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2,110</w:t>
            </w:r>
          </w:p>
        </w:tc>
      </w:tr>
      <w:tr w:rsidR="00CE4D62" w14:paraId="461CC9E8"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1F05767" w14:textId="77777777" w:rsidR="00F40BF7" w:rsidRPr="00AC68A2" w:rsidRDefault="00F40BF7" w:rsidP="00A00881">
            <w:pPr>
              <w:pStyle w:val="Tabletext8pt"/>
              <w:rPr>
                <w:b w:val="0"/>
                <w:bCs w:val="0"/>
                <w:sz w:val="16"/>
                <w:szCs w:val="16"/>
              </w:rPr>
            </w:pPr>
            <w:r w:rsidRPr="00AC68A2">
              <w:rPr>
                <w:b w:val="0"/>
                <w:bCs w:val="0"/>
                <w:sz w:val="16"/>
                <w:szCs w:val="16"/>
              </w:rPr>
              <w:t>North East Health Wangaratta</w:t>
            </w:r>
          </w:p>
        </w:tc>
        <w:tc>
          <w:tcPr>
            <w:tcW w:w="2405" w:type="dxa"/>
            <w:noWrap/>
          </w:tcPr>
          <w:p w14:paraId="3C55E41C"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211</w:t>
            </w:r>
          </w:p>
        </w:tc>
      </w:tr>
      <w:tr w:rsidR="00CE4D62" w14:paraId="3D4887D8"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97AAAE9" w14:textId="77777777" w:rsidR="00F40BF7" w:rsidRPr="00AC68A2" w:rsidRDefault="00F40BF7" w:rsidP="00A00881">
            <w:pPr>
              <w:pStyle w:val="Tabletext8pt"/>
              <w:rPr>
                <w:b w:val="0"/>
                <w:bCs w:val="0"/>
                <w:sz w:val="16"/>
                <w:szCs w:val="16"/>
              </w:rPr>
            </w:pPr>
            <w:r w:rsidRPr="00AC68A2">
              <w:rPr>
                <w:b w:val="0"/>
                <w:bCs w:val="0"/>
                <w:sz w:val="16"/>
                <w:szCs w:val="16"/>
              </w:rPr>
              <w:t>NCN Health</w:t>
            </w:r>
          </w:p>
        </w:tc>
        <w:tc>
          <w:tcPr>
            <w:tcW w:w="2405" w:type="dxa"/>
            <w:noWrap/>
          </w:tcPr>
          <w:p w14:paraId="51FBA07C"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116</w:t>
            </w:r>
          </w:p>
        </w:tc>
      </w:tr>
      <w:tr w:rsidR="00CE4D62" w14:paraId="6B4CEAF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290384C" w14:textId="77777777" w:rsidR="00F40BF7" w:rsidRPr="00AC68A2" w:rsidRDefault="00F40BF7" w:rsidP="00A00881">
            <w:pPr>
              <w:pStyle w:val="Tabletext8pt"/>
              <w:rPr>
                <w:b w:val="0"/>
                <w:bCs w:val="0"/>
                <w:sz w:val="16"/>
                <w:szCs w:val="16"/>
              </w:rPr>
            </w:pPr>
            <w:r w:rsidRPr="00AC68A2">
              <w:rPr>
                <w:b w:val="0"/>
                <w:bCs w:val="0"/>
                <w:sz w:val="16"/>
                <w:szCs w:val="16"/>
              </w:rPr>
              <w:t xml:space="preserve">Peninsula Home Hospice </w:t>
            </w:r>
          </w:p>
        </w:tc>
        <w:tc>
          <w:tcPr>
            <w:tcW w:w="2405" w:type="dxa"/>
            <w:noWrap/>
          </w:tcPr>
          <w:p w14:paraId="11CC7263"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780</w:t>
            </w:r>
          </w:p>
        </w:tc>
      </w:tr>
      <w:tr w:rsidR="00CE4D62" w14:paraId="0A54BDC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0DF3657" w14:textId="77777777" w:rsidR="00F40BF7" w:rsidRPr="00AC68A2" w:rsidRDefault="00F40BF7" w:rsidP="00A00881">
            <w:pPr>
              <w:pStyle w:val="Tabletext8pt"/>
              <w:rPr>
                <w:b w:val="0"/>
                <w:bCs w:val="0"/>
                <w:sz w:val="16"/>
                <w:szCs w:val="16"/>
              </w:rPr>
            </w:pPr>
            <w:r w:rsidRPr="00AC68A2">
              <w:rPr>
                <w:b w:val="0"/>
                <w:bCs w:val="0"/>
                <w:sz w:val="16"/>
                <w:szCs w:val="16"/>
              </w:rPr>
              <w:t>Portland and District Hospital</w:t>
            </w:r>
          </w:p>
        </w:tc>
        <w:tc>
          <w:tcPr>
            <w:tcW w:w="2405" w:type="dxa"/>
            <w:noWrap/>
          </w:tcPr>
          <w:p w14:paraId="0E346008"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52</w:t>
            </w:r>
          </w:p>
        </w:tc>
      </w:tr>
      <w:tr w:rsidR="00CE4D62" w14:paraId="0388227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000E9A5" w14:textId="77777777" w:rsidR="00F40BF7" w:rsidRPr="00AC68A2" w:rsidRDefault="00F40BF7" w:rsidP="00A00881">
            <w:pPr>
              <w:pStyle w:val="Tabletext8pt"/>
              <w:rPr>
                <w:b w:val="0"/>
                <w:bCs w:val="0"/>
                <w:sz w:val="16"/>
                <w:szCs w:val="16"/>
              </w:rPr>
            </w:pPr>
            <w:r w:rsidRPr="00AC68A2">
              <w:rPr>
                <w:b w:val="0"/>
                <w:bCs w:val="0"/>
                <w:sz w:val="16"/>
                <w:szCs w:val="16"/>
              </w:rPr>
              <w:t>Seymour Health</w:t>
            </w:r>
          </w:p>
        </w:tc>
        <w:tc>
          <w:tcPr>
            <w:tcW w:w="2405" w:type="dxa"/>
            <w:noWrap/>
          </w:tcPr>
          <w:p w14:paraId="6E10548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181</w:t>
            </w:r>
          </w:p>
        </w:tc>
      </w:tr>
      <w:tr w:rsidR="00CE4D62" w14:paraId="071F6630"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189E7A69" w14:textId="77777777" w:rsidR="00F40BF7" w:rsidRPr="00AC68A2" w:rsidRDefault="00F40BF7" w:rsidP="00A00881">
            <w:pPr>
              <w:pStyle w:val="Tabletext8pt"/>
              <w:rPr>
                <w:b w:val="0"/>
                <w:bCs w:val="0"/>
                <w:sz w:val="16"/>
                <w:szCs w:val="16"/>
              </w:rPr>
            </w:pPr>
            <w:r w:rsidRPr="00AC68A2">
              <w:rPr>
                <w:b w:val="0"/>
                <w:bCs w:val="0"/>
                <w:sz w:val="16"/>
                <w:szCs w:val="16"/>
              </w:rPr>
              <w:t>Palliative Care South East</w:t>
            </w:r>
          </w:p>
        </w:tc>
        <w:tc>
          <w:tcPr>
            <w:tcW w:w="2405" w:type="dxa"/>
            <w:noWrap/>
          </w:tcPr>
          <w:p w14:paraId="12CABF73"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1,125</w:t>
            </w:r>
          </w:p>
        </w:tc>
      </w:tr>
      <w:tr w:rsidR="00CE4D62" w14:paraId="36EAF4CE"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A9FF6E2" w14:textId="77777777" w:rsidR="00F40BF7" w:rsidRPr="00AC68A2" w:rsidRDefault="00F40BF7" w:rsidP="00A00881">
            <w:pPr>
              <w:pStyle w:val="Tabletext8pt"/>
              <w:rPr>
                <w:b w:val="0"/>
                <w:bCs w:val="0"/>
                <w:sz w:val="16"/>
                <w:szCs w:val="16"/>
              </w:rPr>
            </w:pPr>
            <w:r w:rsidRPr="00AC68A2">
              <w:rPr>
                <w:b w:val="0"/>
                <w:bCs w:val="0"/>
                <w:sz w:val="16"/>
                <w:szCs w:val="16"/>
              </w:rPr>
              <w:t>Southwest Health Care</w:t>
            </w:r>
          </w:p>
        </w:tc>
        <w:tc>
          <w:tcPr>
            <w:tcW w:w="2405" w:type="dxa"/>
            <w:noWrap/>
          </w:tcPr>
          <w:p w14:paraId="45CF25D3"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251</w:t>
            </w:r>
          </w:p>
        </w:tc>
      </w:tr>
      <w:tr w:rsidR="00CE4D62" w14:paraId="3C0B89A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EBE64EA" w14:textId="77777777" w:rsidR="00F40BF7" w:rsidRPr="00AC68A2" w:rsidRDefault="00F40BF7" w:rsidP="00A00881">
            <w:pPr>
              <w:pStyle w:val="Tabletext8pt"/>
              <w:rPr>
                <w:b w:val="0"/>
                <w:bCs w:val="0"/>
                <w:sz w:val="16"/>
                <w:szCs w:val="16"/>
              </w:rPr>
            </w:pPr>
            <w:r w:rsidRPr="00AC68A2">
              <w:rPr>
                <w:b w:val="0"/>
                <w:bCs w:val="0"/>
                <w:sz w:val="16"/>
                <w:szCs w:val="16"/>
              </w:rPr>
              <w:t>Sunraysia Community Health Services</w:t>
            </w:r>
          </w:p>
        </w:tc>
        <w:tc>
          <w:tcPr>
            <w:tcW w:w="2405" w:type="dxa"/>
            <w:noWrap/>
          </w:tcPr>
          <w:p w14:paraId="19325C4C"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191</w:t>
            </w:r>
          </w:p>
        </w:tc>
      </w:tr>
      <w:tr w:rsidR="00CE4D62" w14:paraId="362D8CE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1ADA949" w14:textId="77777777" w:rsidR="00F40BF7" w:rsidRPr="00AC68A2" w:rsidRDefault="00F40BF7" w:rsidP="00A00881">
            <w:pPr>
              <w:pStyle w:val="Tabletext8pt"/>
              <w:rPr>
                <w:b w:val="0"/>
                <w:bCs w:val="0"/>
                <w:sz w:val="16"/>
                <w:szCs w:val="16"/>
              </w:rPr>
            </w:pPr>
            <w:r w:rsidRPr="00AC68A2">
              <w:rPr>
                <w:b w:val="0"/>
                <w:bCs w:val="0"/>
                <w:sz w:val="16"/>
                <w:szCs w:val="16"/>
              </w:rPr>
              <w:t>Swan Hill District Health</w:t>
            </w:r>
          </w:p>
        </w:tc>
        <w:tc>
          <w:tcPr>
            <w:tcW w:w="2405" w:type="dxa"/>
            <w:noWrap/>
          </w:tcPr>
          <w:p w14:paraId="1E441D87"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108</w:t>
            </w:r>
          </w:p>
        </w:tc>
      </w:tr>
      <w:tr w:rsidR="00CE4D62" w14:paraId="5504C2FC"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C823622" w14:textId="77777777" w:rsidR="00F40BF7" w:rsidRPr="00AC68A2" w:rsidRDefault="00F40BF7" w:rsidP="00A00881">
            <w:pPr>
              <w:pStyle w:val="Tabletext8pt"/>
              <w:rPr>
                <w:b w:val="0"/>
                <w:bCs w:val="0"/>
                <w:sz w:val="16"/>
                <w:szCs w:val="16"/>
              </w:rPr>
            </w:pPr>
            <w:r w:rsidRPr="00AC68A2">
              <w:rPr>
                <w:b w:val="0"/>
                <w:bCs w:val="0"/>
                <w:sz w:val="16"/>
                <w:szCs w:val="16"/>
              </w:rPr>
              <w:t xml:space="preserve">West Gippsland Healthcare Group </w:t>
            </w:r>
          </w:p>
        </w:tc>
        <w:tc>
          <w:tcPr>
            <w:tcW w:w="2405" w:type="dxa"/>
            <w:noWrap/>
          </w:tcPr>
          <w:p w14:paraId="7A637823"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141</w:t>
            </w:r>
          </w:p>
        </w:tc>
      </w:tr>
      <w:tr w:rsidR="00CE4D62" w14:paraId="6FD91A2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32B92985" w14:textId="77777777" w:rsidR="00F40BF7" w:rsidRPr="00AC68A2" w:rsidRDefault="00F40BF7" w:rsidP="00A00881">
            <w:pPr>
              <w:pStyle w:val="Tabletext8pt"/>
              <w:rPr>
                <w:b w:val="0"/>
                <w:bCs w:val="0"/>
                <w:sz w:val="16"/>
                <w:szCs w:val="16"/>
              </w:rPr>
            </w:pPr>
            <w:r w:rsidRPr="00AC68A2">
              <w:rPr>
                <w:b w:val="0"/>
                <w:bCs w:val="0"/>
                <w:sz w:val="16"/>
                <w:szCs w:val="16"/>
              </w:rPr>
              <w:t>Western District Health Service</w:t>
            </w:r>
          </w:p>
        </w:tc>
        <w:tc>
          <w:tcPr>
            <w:tcW w:w="2405" w:type="dxa"/>
            <w:noWrap/>
          </w:tcPr>
          <w:p w14:paraId="047AA35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72</w:t>
            </w:r>
          </w:p>
        </w:tc>
      </w:tr>
      <w:tr w:rsidR="00CE4D62" w14:paraId="38DE4ED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6CCD99A" w14:textId="77777777" w:rsidR="00F40BF7" w:rsidRPr="00AC68A2" w:rsidRDefault="00F40BF7" w:rsidP="00A00881">
            <w:pPr>
              <w:pStyle w:val="Tabletext8pt"/>
              <w:rPr>
                <w:b w:val="0"/>
                <w:bCs w:val="0"/>
                <w:sz w:val="16"/>
                <w:szCs w:val="16"/>
              </w:rPr>
            </w:pPr>
            <w:r w:rsidRPr="00AC68A2">
              <w:rPr>
                <w:b w:val="0"/>
                <w:bCs w:val="0"/>
                <w:sz w:val="16"/>
                <w:szCs w:val="16"/>
              </w:rPr>
              <w:t xml:space="preserve">Western Health </w:t>
            </w:r>
          </w:p>
        </w:tc>
        <w:tc>
          <w:tcPr>
            <w:tcW w:w="2405" w:type="dxa"/>
            <w:noWrap/>
          </w:tcPr>
          <w:p w14:paraId="2BC4D2F8"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83</w:t>
            </w:r>
          </w:p>
        </w:tc>
      </w:tr>
      <w:tr w:rsidR="00CE4D62" w14:paraId="36F83BB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38319F2" w14:textId="77777777" w:rsidR="00F40BF7" w:rsidRPr="00AC68A2" w:rsidRDefault="00F40BF7" w:rsidP="00A00881">
            <w:pPr>
              <w:pStyle w:val="Tabletext8pt"/>
              <w:rPr>
                <w:b w:val="0"/>
                <w:bCs w:val="0"/>
                <w:sz w:val="16"/>
                <w:szCs w:val="16"/>
              </w:rPr>
            </w:pPr>
            <w:r w:rsidRPr="00AC68A2">
              <w:rPr>
                <w:b w:val="0"/>
                <w:bCs w:val="0"/>
                <w:sz w:val="16"/>
                <w:szCs w:val="16"/>
              </w:rPr>
              <w:t>Yarram and District Health Service</w:t>
            </w:r>
          </w:p>
        </w:tc>
        <w:tc>
          <w:tcPr>
            <w:tcW w:w="2405" w:type="dxa"/>
            <w:noWrap/>
          </w:tcPr>
          <w:p w14:paraId="1787273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17</w:t>
            </w:r>
          </w:p>
        </w:tc>
      </w:tr>
      <w:tr w:rsidR="00CE4D62" w14:paraId="0EFED698"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C17303F" w14:textId="70AA3D79" w:rsidR="00F40BF7" w:rsidRPr="00AC68A2" w:rsidRDefault="00F40BF7" w:rsidP="00A00881">
            <w:pPr>
              <w:pStyle w:val="Tabletext8pt"/>
              <w:rPr>
                <w:b w:val="0"/>
                <w:bCs w:val="0"/>
                <w:sz w:val="16"/>
                <w:szCs w:val="16"/>
              </w:rPr>
            </w:pPr>
            <w:r w:rsidRPr="00AC68A2">
              <w:rPr>
                <w:b w:val="0"/>
                <w:bCs w:val="0"/>
                <w:sz w:val="16"/>
                <w:szCs w:val="16"/>
              </w:rPr>
              <w:t>Total</w:t>
            </w:r>
          </w:p>
        </w:tc>
        <w:tc>
          <w:tcPr>
            <w:tcW w:w="2405" w:type="dxa"/>
            <w:noWrap/>
          </w:tcPr>
          <w:p w14:paraId="50A2C225" w14:textId="77777777" w:rsidR="00F40BF7" w:rsidRPr="000A41CF"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0A41CF">
              <w:rPr>
                <w:sz w:val="16"/>
                <w:szCs w:val="16"/>
              </w:rPr>
              <w:t>15,500</w:t>
            </w:r>
          </w:p>
        </w:tc>
      </w:tr>
    </w:tbl>
    <w:p w14:paraId="15034819" w14:textId="77777777" w:rsidR="00F40BF7" w:rsidRDefault="00F40BF7" w:rsidP="00F40BF7">
      <w:pPr>
        <w:pStyle w:val="Body"/>
      </w:pPr>
    </w:p>
    <w:p w14:paraId="6ABD6F89" w14:textId="65CA85BC" w:rsidR="005B699B" w:rsidRDefault="005B699B" w:rsidP="005D7D2C">
      <w:pPr>
        <w:pStyle w:val="Heading2"/>
        <w:numPr>
          <w:ilvl w:val="1"/>
          <w:numId w:val="12"/>
        </w:numPr>
        <w:ind w:left="851" w:hanging="851"/>
      </w:pPr>
      <w:bookmarkStart w:id="2609" w:name="_Toc199184946"/>
      <w:bookmarkStart w:id="2610" w:name="_Toc199184947"/>
      <w:bookmarkStart w:id="2611" w:name="_Toc165961877"/>
      <w:bookmarkStart w:id="2612" w:name="_Toc201148305"/>
      <w:bookmarkEnd w:id="2609"/>
      <w:bookmarkEnd w:id="2610"/>
      <w:r>
        <w:t xml:space="preserve">Nationally </w:t>
      </w:r>
      <w:r w:rsidRPr="000A1079">
        <w:t>Funded</w:t>
      </w:r>
      <w:r>
        <w:t xml:space="preserve"> Centres Program </w:t>
      </w:r>
      <w:bookmarkEnd w:id="2603"/>
      <w:bookmarkEnd w:id="2604"/>
      <w:bookmarkEnd w:id="2605"/>
      <w:bookmarkEnd w:id="2606"/>
      <w:bookmarkEnd w:id="2607"/>
      <w:r>
        <w:t>202</w:t>
      </w:r>
      <w:r w:rsidR="000C0EF6">
        <w:t>5</w:t>
      </w:r>
      <w:r>
        <w:t>–2</w:t>
      </w:r>
      <w:bookmarkEnd w:id="2611"/>
      <w:r w:rsidR="000C0EF6">
        <w:t>6</w:t>
      </w:r>
      <w:bookmarkEnd w:id="2612"/>
    </w:p>
    <w:p w14:paraId="4B854FF7" w14:textId="54D678FD" w:rsidR="00A00881" w:rsidRPr="00A00881" w:rsidRDefault="00A00881" w:rsidP="00473B41">
      <w:pPr>
        <w:pStyle w:val="Tablefigurenote9pt"/>
      </w:pPr>
      <w:r>
        <w:t>Note:</w:t>
      </w:r>
    </w:p>
    <w:p w14:paraId="5EE55812" w14:textId="407E6213" w:rsidR="001C3080" w:rsidRPr="00F6003A" w:rsidRDefault="001C3080" w:rsidP="00473B41">
      <w:pPr>
        <w:pStyle w:val="Tablebullet9pt"/>
      </w:pPr>
      <w:r>
        <w:t>Targets are s</w:t>
      </w:r>
      <w:r w:rsidRPr="00F6003A">
        <w:t xml:space="preserve">ubject to approval by the </w:t>
      </w:r>
      <w:r>
        <w:t>Health Chief Executives Forum</w:t>
      </w:r>
      <w:r w:rsidRPr="00F6003A">
        <w:t>.</w:t>
      </w:r>
    </w:p>
    <w:p w14:paraId="1F708102" w14:textId="77777777" w:rsidR="001C3080" w:rsidRDefault="001C3080" w:rsidP="00473B41">
      <w:pPr>
        <w:pStyle w:val="Tablebullet9pt"/>
      </w:pPr>
      <w:r w:rsidRPr="00F6003A">
        <w:t xml:space="preserve">Prices are subject to approval by the </w:t>
      </w:r>
      <w:r>
        <w:t>Health Chief Executives Forum</w:t>
      </w:r>
      <w:r w:rsidRPr="00F6003A">
        <w:t>.</w:t>
      </w:r>
    </w:p>
    <w:p w14:paraId="54FA72ED" w14:textId="77777777" w:rsidR="00EF3650" w:rsidRDefault="00EF3650" w:rsidP="00473B41">
      <w:pPr>
        <w:pStyle w:val="Tablebullet9pt"/>
      </w:pPr>
      <w:r>
        <w:t>Paediatric liver transplantation – 55% for The Royal Children’s Hospital and 45% for Austin Health.</w:t>
      </w:r>
    </w:p>
    <w:p w14:paraId="2717D919" w14:textId="218CE827" w:rsidR="00EF3650" w:rsidRDefault="00EF3650" w:rsidP="00473B41">
      <w:pPr>
        <w:pStyle w:val="Tablebullet9pt"/>
      </w:pPr>
      <w:r>
        <w:t>Paediatric lung/heart-lung transplantation – 97%</w:t>
      </w:r>
      <w:r w:rsidRPr="00306589">
        <w:t xml:space="preserve"> for Alfred Health and </w:t>
      </w:r>
      <w:r>
        <w:t>3% for Royal Children’s Hospital.</w:t>
      </w:r>
    </w:p>
    <w:p w14:paraId="632BB302" w14:textId="622EFDBF" w:rsidR="00A06CA4" w:rsidRDefault="00A06CA4" w:rsidP="00A06CA4">
      <w:pPr>
        <w:pStyle w:val="Tablebullet9pt"/>
      </w:pPr>
      <w:r w:rsidRPr="00A06CA4">
        <w:t>Draft information pending finalisation of SOPs</w:t>
      </w:r>
      <w:r>
        <w:t>.</w:t>
      </w:r>
    </w:p>
    <w:p w14:paraId="6C39FC57" w14:textId="529BAB5F" w:rsidR="00C91A80" w:rsidRPr="0016481A" w:rsidRDefault="00EF3650" w:rsidP="0016481A">
      <w:pPr>
        <w:pStyle w:val="Tablecaption"/>
        <w:rPr>
          <w:color w:val="FF0000"/>
        </w:rPr>
      </w:pPr>
      <w:bookmarkStart w:id="2613" w:name="_Toc201148604"/>
      <w:r>
        <w:t>Table 2.</w:t>
      </w:r>
      <w:r>
        <w:fldChar w:fldCharType="begin"/>
      </w:r>
      <w:r>
        <w:instrText>SEQ Table \* ARABIC \s 1</w:instrText>
      </w:r>
      <w:r>
        <w:fldChar w:fldCharType="separate"/>
      </w:r>
      <w:r w:rsidR="007D262B">
        <w:rPr>
          <w:noProof/>
        </w:rPr>
        <w:t>18</w:t>
      </w:r>
      <w:r>
        <w:fldChar w:fldCharType="end"/>
      </w:r>
      <w:r>
        <w:t>:</w:t>
      </w:r>
      <w:r w:rsidRPr="00742C12">
        <w:t xml:space="preserve"> </w:t>
      </w:r>
      <w:r w:rsidRPr="00271AC6">
        <w:t xml:space="preserve">Nationally Funded </w:t>
      </w:r>
      <w:r w:rsidRPr="00A030E3">
        <w:t>Centres</w:t>
      </w:r>
      <w:r w:rsidRPr="00271AC6">
        <w:t xml:space="preserve"> </w:t>
      </w:r>
      <w:r>
        <w:t>P</w:t>
      </w:r>
      <w:r w:rsidRPr="00271AC6">
        <w:t xml:space="preserve">rogram </w:t>
      </w:r>
      <w:r w:rsidRPr="00A65006">
        <w:t>targets 202</w:t>
      </w:r>
      <w:r w:rsidR="000C0EF6">
        <w:t>5</w:t>
      </w:r>
      <w:r w:rsidRPr="00A65006">
        <w:t>–2</w:t>
      </w:r>
      <w:r w:rsidR="000C0EF6">
        <w:t>6</w:t>
      </w:r>
      <w:bookmarkEnd w:id="2613"/>
      <w:r>
        <w:t xml:space="preserve"> </w:t>
      </w:r>
    </w:p>
    <w:tbl>
      <w:tblPr>
        <w:tblStyle w:val="GridTable4-Accent1"/>
        <w:tblW w:w="9067" w:type="dxa"/>
        <w:tblLayout w:type="fixed"/>
        <w:tblLook w:val="04A0" w:firstRow="1" w:lastRow="0" w:firstColumn="1" w:lastColumn="0" w:noHBand="0" w:noVBand="1"/>
      </w:tblPr>
      <w:tblGrid>
        <w:gridCol w:w="3022"/>
        <w:gridCol w:w="3022"/>
        <w:gridCol w:w="3023"/>
      </w:tblGrid>
      <w:tr w:rsidR="00C4478F" w:rsidRPr="00932E84" w14:paraId="67334A88" w14:textId="77777777" w:rsidTr="00A31C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vAlign w:val="center"/>
            <w:hideMark/>
          </w:tcPr>
          <w:p w14:paraId="38EDC68A" w14:textId="77777777" w:rsidR="00C4478F" w:rsidRPr="00257223" w:rsidRDefault="00C4478F" w:rsidP="00A31C1F">
            <w:pPr>
              <w:spacing w:after="0" w:line="240" w:lineRule="auto"/>
              <w:rPr>
                <w:rFonts w:cs="Arial"/>
                <w:b w:val="0"/>
                <w:bCs w:val="0"/>
                <w:sz w:val="16"/>
                <w:szCs w:val="16"/>
                <w:lang w:eastAsia="en-AU"/>
              </w:rPr>
            </w:pPr>
            <w:r w:rsidRPr="00257223">
              <w:rPr>
                <w:rFonts w:cs="Arial"/>
                <w:sz w:val="16"/>
                <w:szCs w:val="16"/>
                <w:lang w:eastAsia="en-AU"/>
              </w:rPr>
              <w:t>Price name</w:t>
            </w:r>
          </w:p>
        </w:tc>
        <w:tc>
          <w:tcPr>
            <w:tcW w:w="3022" w:type="dxa"/>
            <w:noWrap/>
            <w:vAlign w:val="center"/>
            <w:hideMark/>
          </w:tcPr>
          <w:p w14:paraId="14E67321" w14:textId="77777777" w:rsidR="00C4478F" w:rsidRPr="00257223" w:rsidRDefault="00C4478F" w:rsidP="00A31C1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en-AU"/>
              </w:rPr>
            </w:pPr>
            <w:r w:rsidRPr="00257223">
              <w:rPr>
                <w:rFonts w:cs="Arial"/>
                <w:sz w:val="16"/>
                <w:szCs w:val="16"/>
                <w:lang w:eastAsia="en-AU"/>
              </w:rPr>
              <w:t>Health service</w:t>
            </w:r>
          </w:p>
        </w:tc>
        <w:tc>
          <w:tcPr>
            <w:tcW w:w="3023" w:type="dxa"/>
            <w:noWrap/>
            <w:vAlign w:val="center"/>
            <w:hideMark/>
          </w:tcPr>
          <w:p w14:paraId="67DB680B" w14:textId="77777777" w:rsidR="00C4478F" w:rsidRPr="00257223" w:rsidRDefault="00C4478F" w:rsidP="00A31C1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en-AU"/>
              </w:rPr>
            </w:pPr>
            <w:r w:rsidRPr="00257223">
              <w:rPr>
                <w:rFonts w:cs="Arial"/>
                <w:sz w:val="16"/>
                <w:szCs w:val="16"/>
                <w:lang w:eastAsia="en-AU"/>
              </w:rPr>
              <w:t>Annual target</w:t>
            </w:r>
          </w:p>
        </w:tc>
      </w:tr>
      <w:tr w:rsidR="009A7CB2" w:rsidRPr="00932E84" w14:paraId="677757B1"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35BF29C2" w14:textId="77777777" w:rsidR="009A7CB2" w:rsidRPr="00AC68A2" w:rsidRDefault="009A7CB2" w:rsidP="009A7CB2">
            <w:pPr>
              <w:pStyle w:val="Tabletext8pt"/>
              <w:rPr>
                <w:b w:val="0"/>
                <w:bCs w:val="0"/>
                <w:sz w:val="16"/>
                <w:szCs w:val="16"/>
              </w:rPr>
            </w:pPr>
            <w:r w:rsidRPr="00AC68A2">
              <w:rPr>
                <w:b w:val="0"/>
                <w:bCs w:val="0"/>
                <w:sz w:val="16"/>
                <w:szCs w:val="16"/>
              </w:rPr>
              <w:t>NFC islet cell transplantation</w:t>
            </w:r>
          </w:p>
        </w:tc>
        <w:tc>
          <w:tcPr>
            <w:tcW w:w="3022" w:type="dxa"/>
            <w:noWrap/>
            <w:hideMark/>
          </w:tcPr>
          <w:p w14:paraId="01B1D5F7" w14:textId="66AA4B26"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St Vincents Hospital Melbourne Limited</w:t>
            </w:r>
          </w:p>
        </w:tc>
        <w:tc>
          <w:tcPr>
            <w:tcW w:w="3023" w:type="dxa"/>
            <w:noWrap/>
          </w:tcPr>
          <w:p w14:paraId="1E6A1A15" w14:textId="38155E71"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6 </w:t>
            </w:r>
          </w:p>
        </w:tc>
      </w:tr>
      <w:tr w:rsidR="009A7CB2" w:rsidRPr="00932E84" w14:paraId="5EE200FB"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686C1DC1" w14:textId="77777777" w:rsidR="009A7CB2" w:rsidRPr="00AC68A2" w:rsidRDefault="009A7CB2" w:rsidP="009A7CB2">
            <w:pPr>
              <w:pStyle w:val="Tabletext8pt"/>
              <w:rPr>
                <w:b w:val="0"/>
                <w:bCs w:val="0"/>
                <w:sz w:val="16"/>
                <w:szCs w:val="16"/>
              </w:rPr>
            </w:pPr>
            <w:r w:rsidRPr="00AC68A2">
              <w:rPr>
                <w:b w:val="0"/>
                <w:bCs w:val="0"/>
                <w:sz w:val="16"/>
                <w:szCs w:val="16"/>
              </w:rPr>
              <w:t>NFC paediatric heart no VAD</w:t>
            </w:r>
          </w:p>
        </w:tc>
        <w:tc>
          <w:tcPr>
            <w:tcW w:w="3022" w:type="dxa"/>
            <w:noWrap/>
            <w:hideMark/>
          </w:tcPr>
          <w:p w14:paraId="16BE6A01" w14:textId="59EDC9FC"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21F569A1" w14:textId="50B27FF3"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5 </w:t>
            </w:r>
          </w:p>
        </w:tc>
      </w:tr>
      <w:tr w:rsidR="009A7CB2" w:rsidRPr="00932E84" w14:paraId="0995F5D6"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1F4C7F91" w14:textId="77777777" w:rsidR="009A7CB2" w:rsidRPr="00AC68A2" w:rsidRDefault="009A7CB2" w:rsidP="009A7CB2">
            <w:pPr>
              <w:pStyle w:val="Tabletext8pt"/>
              <w:rPr>
                <w:b w:val="0"/>
                <w:bCs w:val="0"/>
                <w:sz w:val="16"/>
                <w:szCs w:val="16"/>
              </w:rPr>
            </w:pPr>
            <w:r w:rsidRPr="00AC68A2">
              <w:rPr>
                <w:b w:val="0"/>
                <w:bCs w:val="0"/>
                <w:sz w:val="16"/>
                <w:szCs w:val="16"/>
              </w:rPr>
              <w:t>NFC paediatric heart VAD</w:t>
            </w:r>
          </w:p>
        </w:tc>
        <w:tc>
          <w:tcPr>
            <w:tcW w:w="3022" w:type="dxa"/>
            <w:noWrap/>
            <w:hideMark/>
          </w:tcPr>
          <w:p w14:paraId="54C6A41C" w14:textId="5CEF8169"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6392961E" w14:textId="31E370F7"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9 </w:t>
            </w:r>
          </w:p>
        </w:tc>
      </w:tr>
      <w:tr w:rsidR="009A7CB2" w:rsidRPr="00932E84" w14:paraId="69EBCC21"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5904CCA9" w14:textId="77777777" w:rsidR="009A7CB2" w:rsidRPr="00AC68A2" w:rsidRDefault="009A7CB2" w:rsidP="009A7CB2">
            <w:pPr>
              <w:pStyle w:val="Tabletext8pt"/>
              <w:rPr>
                <w:b w:val="0"/>
                <w:bCs w:val="0"/>
                <w:sz w:val="16"/>
                <w:szCs w:val="16"/>
              </w:rPr>
            </w:pPr>
            <w:r w:rsidRPr="00AC68A2">
              <w:rPr>
                <w:b w:val="0"/>
                <w:bCs w:val="0"/>
                <w:sz w:val="16"/>
                <w:szCs w:val="16"/>
              </w:rPr>
              <w:t>NFC paediatric lung transplantation</w:t>
            </w:r>
          </w:p>
        </w:tc>
        <w:tc>
          <w:tcPr>
            <w:tcW w:w="3022" w:type="dxa"/>
            <w:noWrap/>
            <w:hideMark/>
          </w:tcPr>
          <w:p w14:paraId="282C58E5" w14:textId="7777777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Alfred Health</w:t>
            </w:r>
          </w:p>
        </w:tc>
        <w:tc>
          <w:tcPr>
            <w:tcW w:w="3023" w:type="dxa"/>
            <w:noWrap/>
          </w:tcPr>
          <w:p w14:paraId="485B1970" w14:textId="09595FD1"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4 </w:t>
            </w:r>
          </w:p>
        </w:tc>
      </w:tr>
      <w:tr w:rsidR="009A7CB2" w:rsidRPr="00932E84" w14:paraId="6BC3CF62"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16030427" w14:textId="77777777" w:rsidR="009A7CB2" w:rsidRPr="00AC68A2" w:rsidRDefault="009A7CB2" w:rsidP="009A7CB2">
            <w:pPr>
              <w:pStyle w:val="Tabletext8pt"/>
              <w:rPr>
                <w:b w:val="0"/>
                <w:bCs w:val="0"/>
                <w:sz w:val="16"/>
                <w:szCs w:val="16"/>
              </w:rPr>
            </w:pPr>
            <w:r w:rsidRPr="00AC68A2">
              <w:rPr>
                <w:b w:val="0"/>
                <w:bCs w:val="0"/>
                <w:sz w:val="16"/>
                <w:szCs w:val="16"/>
              </w:rPr>
              <w:t>NFC paediatric lung transplantation</w:t>
            </w:r>
          </w:p>
        </w:tc>
        <w:tc>
          <w:tcPr>
            <w:tcW w:w="3022" w:type="dxa"/>
            <w:noWrap/>
            <w:hideMark/>
          </w:tcPr>
          <w:p w14:paraId="0CC310CE" w14:textId="353AD028"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32687100" w14:textId="36C7A1D9"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0 </w:t>
            </w:r>
          </w:p>
        </w:tc>
      </w:tr>
      <w:tr w:rsidR="009A7CB2" w:rsidRPr="00932E84" w14:paraId="2F235C9F"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51F7E041" w14:textId="77777777" w:rsidR="009A7CB2" w:rsidRPr="00AC68A2" w:rsidRDefault="009A7CB2" w:rsidP="009A7CB2">
            <w:pPr>
              <w:pStyle w:val="Tabletext8pt"/>
              <w:rPr>
                <w:b w:val="0"/>
                <w:bCs w:val="0"/>
                <w:sz w:val="16"/>
                <w:szCs w:val="16"/>
              </w:rPr>
            </w:pPr>
            <w:r w:rsidRPr="00AC68A2">
              <w:rPr>
                <w:b w:val="0"/>
                <w:bCs w:val="0"/>
                <w:sz w:val="16"/>
                <w:szCs w:val="16"/>
              </w:rPr>
              <w:t>NFC pancreas transplants</w:t>
            </w:r>
          </w:p>
        </w:tc>
        <w:tc>
          <w:tcPr>
            <w:tcW w:w="3022" w:type="dxa"/>
            <w:noWrap/>
            <w:hideMark/>
          </w:tcPr>
          <w:p w14:paraId="2D630EFB" w14:textId="7777777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Monash Health</w:t>
            </w:r>
          </w:p>
        </w:tc>
        <w:tc>
          <w:tcPr>
            <w:tcW w:w="3023" w:type="dxa"/>
            <w:noWrap/>
          </w:tcPr>
          <w:p w14:paraId="4C428634" w14:textId="3A07E8F8"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15 </w:t>
            </w:r>
          </w:p>
        </w:tc>
      </w:tr>
      <w:tr w:rsidR="009A7CB2" w:rsidRPr="00932E84" w14:paraId="7A4602F1"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7AA51088" w14:textId="77777777" w:rsidR="009A7CB2" w:rsidRPr="00AC68A2" w:rsidRDefault="009A7CB2" w:rsidP="009A7CB2">
            <w:pPr>
              <w:pStyle w:val="Tabletext8pt"/>
              <w:rPr>
                <w:b w:val="0"/>
                <w:bCs w:val="0"/>
                <w:sz w:val="16"/>
                <w:szCs w:val="16"/>
              </w:rPr>
            </w:pPr>
            <w:r w:rsidRPr="00AC68A2">
              <w:rPr>
                <w:b w:val="0"/>
                <w:bCs w:val="0"/>
                <w:sz w:val="16"/>
                <w:szCs w:val="16"/>
              </w:rPr>
              <w:t>NFC transplants paediatric liver</w:t>
            </w:r>
          </w:p>
        </w:tc>
        <w:tc>
          <w:tcPr>
            <w:tcW w:w="3022" w:type="dxa"/>
            <w:noWrap/>
            <w:hideMark/>
          </w:tcPr>
          <w:p w14:paraId="29782A44" w14:textId="77777777"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Austin Health</w:t>
            </w:r>
          </w:p>
        </w:tc>
        <w:tc>
          <w:tcPr>
            <w:tcW w:w="3023" w:type="dxa"/>
            <w:noWrap/>
          </w:tcPr>
          <w:p w14:paraId="01FA4C19" w14:textId="645F831E"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5 </w:t>
            </w:r>
          </w:p>
        </w:tc>
      </w:tr>
      <w:tr w:rsidR="009A7CB2" w:rsidRPr="00932E84" w14:paraId="5FD330A1"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6AEBC9AB" w14:textId="77777777" w:rsidR="009A7CB2" w:rsidRPr="00AC68A2" w:rsidRDefault="009A7CB2" w:rsidP="009A7CB2">
            <w:pPr>
              <w:pStyle w:val="Tabletext8pt"/>
              <w:rPr>
                <w:b w:val="0"/>
                <w:bCs w:val="0"/>
                <w:sz w:val="16"/>
                <w:szCs w:val="16"/>
              </w:rPr>
            </w:pPr>
            <w:r w:rsidRPr="00AC68A2">
              <w:rPr>
                <w:b w:val="0"/>
                <w:bCs w:val="0"/>
                <w:sz w:val="16"/>
                <w:szCs w:val="16"/>
              </w:rPr>
              <w:t>NFC transplants paediatric liver</w:t>
            </w:r>
          </w:p>
        </w:tc>
        <w:tc>
          <w:tcPr>
            <w:tcW w:w="3022" w:type="dxa"/>
            <w:noWrap/>
            <w:hideMark/>
          </w:tcPr>
          <w:p w14:paraId="72A48819" w14:textId="4F886E5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Royal Children’s Hospital</w:t>
            </w:r>
          </w:p>
        </w:tc>
        <w:tc>
          <w:tcPr>
            <w:tcW w:w="3023" w:type="dxa"/>
            <w:noWrap/>
          </w:tcPr>
          <w:p w14:paraId="2D062556" w14:textId="1881FA8D"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5 </w:t>
            </w:r>
          </w:p>
        </w:tc>
      </w:tr>
      <w:tr w:rsidR="009A7CB2" w:rsidRPr="00932E84" w14:paraId="6E5A95AB"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tcPr>
          <w:p w14:paraId="4A12E43A" w14:textId="746ECF9E" w:rsidR="009A7CB2" w:rsidRPr="00AC68A2" w:rsidRDefault="009A7CB2" w:rsidP="009A7CB2">
            <w:pPr>
              <w:pStyle w:val="Tabletext8pt"/>
              <w:rPr>
                <w:b w:val="0"/>
                <w:bCs w:val="0"/>
                <w:sz w:val="16"/>
                <w:szCs w:val="16"/>
              </w:rPr>
            </w:pPr>
            <w:r w:rsidRPr="00AC68A2">
              <w:rPr>
                <w:b w:val="0"/>
                <w:bCs w:val="0"/>
                <w:sz w:val="16"/>
                <w:szCs w:val="16"/>
              </w:rPr>
              <w:t>Total</w:t>
            </w:r>
          </w:p>
        </w:tc>
        <w:tc>
          <w:tcPr>
            <w:tcW w:w="3022" w:type="dxa"/>
            <w:noWrap/>
          </w:tcPr>
          <w:p w14:paraId="51CA58D7" w14:textId="77777777"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p>
        </w:tc>
        <w:tc>
          <w:tcPr>
            <w:tcW w:w="3023" w:type="dxa"/>
            <w:noWrap/>
          </w:tcPr>
          <w:p w14:paraId="5ABF0CCA" w14:textId="3868D198"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49 </w:t>
            </w:r>
          </w:p>
        </w:tc>
      </w:tr>
      <w:bookmarkEnd w:id="2352"/>
    </w:tbl>
    <w:p w14:paraId="5610B4FB" w14:textId="77777777" w:rsidR="005B699B" w:rsidRPr="00285665" w:rsidRDefault="005B699B" w:rsidP="005B699B">
      <w:pPr>
        <w:pStyle w:val="Body"/>
      </w:pPr>
    </w:p>
    <w:p w14:paraId="54437504" w14:textId="77777777" w:rsidR="00B66719" w:rsidRDefault="00B66719" w:rsidP="00B66719">
      <w:pPr>
        <w:pStyle w:val="Heading3"/>
        <w:numPr>
          <w:ilvl w:val="0"/>
          <w:numId w:val="0"/>
        </w:numPr>
        <w:ind w:left="1134"/>
        <w:sectPr w:rsidR="00B66719" w:rsidSect="005B699B">
          <w:headerReference w:type="even" r:id="rId87"/>
          <w:headerReference w:type="default" r:id="rId88"/>
          <w:footerReference w:type="even" r:id="rId89"/>
          <w:footerReference w:type="default" r:id="rId90"/>
          <w:headerReference w:type="first" r:id="rId91"/>
          <w:footerReference w:type="first" r:id="rId92"/>
          <w:pgSz w:w="11906" w:h="16838" w:code="9"/>
          <w:pgMar w:top="1134" w:right="1304" w:bottom="964" w:left="1304" w:header="624" w:footer="567" w:gutter="0"/>
          <w:cols w:space="340"/>
          <w:docGrid w:linePitch="360"/>
        </w:sectPr>
      </w:pPr>
      <w:bookmarkStart w:id="2614" w:name="_Toc12780677"/>
      <w:bookmarkStart w:id="2615" w:name="_Toc14172318"/>
      <w:bookmarkStart w:id="2616" w:name="_Toc33703992"/>
      <w:bookmarkStart w:id="2617" w:name="_Toc55381180"/>
    </w:p>
    <w:p w14:paraId="2DB80ABC" w14:textId="0D4DEEC3" w:rsidR="005B699B" w:rsidRDefault="005B699B" w:rsidP="005D7D2C">
      <w:pPr>
        <w:pStyle w:val="Heading2"/>
        <w:numPr>
          <w:ilvl w:val="1"/>
          <w:numId w:val="12"/>
        </w:numPr>
        <w:ind w:left="851" w:hanging="851"/>
      </w:pPr>
      <w:bookmarkStart w:id="2618" w:name="_Toc100263384"/>
      <w:bookmarkStart w:id="2619" w:name="_Toc165961878"/>
      <w:bookmarkStart w:id="2620" w:name="_Toc201148306"/>
      <w:r>
        <w:t xml:space="preserve">Mental health acute, non-acute, </w:t>
      </w:r>
      <w:r w:rsidRPr="000A1079">
        <w:t>subacute</w:t>
      </w:r>
      <w:r>
        <w:t xml:space="preserve">, and residential </w:t>
      </w:r>
      <w:r w:rsidR="00B555FB">
        <w:t xml:space="preserve">operational </w:t>
      </w:r>
      <w:r w:rsidRPr="00617A77">
        <w:t>beds</w:t>
      </w:r>
      <w:r>
        <w:t xml:space="preserve"> </w:t>
      </w:r>
      <w:bookmarkEnd w:id="2614"/>
      <w:bookmarkEnd w:id="2615"/>
      <w:bookmarkEnd w:id="2616"/>
      <w:bookmarkEnd w:id="2617"/>
      <w:bookmarkEnd w:id="2618"/>
      <w:r>
        <w:t>202</w:t>
      </w:r>
      <w:r w:rsidR="000C0EF6">
        <w:t>5</w:t>
      </w:r>
      <w:r>
        <w:t>–2</w:t>
      </w:r>
      <w:bookmarkEnd w:id="2619"/>
      <w:r w:rsidR="000C0EF6">
        <w:t>6</w:t>
      </w:r>
      <w:bookmarkEnd w:id="2620"/>
    </w:p>
    <w:p w14:paraId="68051230" w14:textId="4FEA627F" w:rsidR="00216560" w:rsidRPr="00216560" w:rsidRDefault="00216560" w:rsidP="00E0118B">
      <w:pPr>
        <w:pStyle w:val="Body"/>
        <w:spacing w:after="0"/>
        <w:rPr>
          <w:sz w:val="18"/>
          <w:szCs w:val="18"/>
        </w:rPr>
      </w:pPr>
      <w:r w:rsidRPr="00216560">
        <w:rPr>
          <w:sz w:val="18"/>
          <w:szCs w:val="18"/>
        </w:rPr>
        <w:t>Note:</w:t>
      </w:r>
    </w:p>
    <w:p w14:paraId="1749261C" w14:textId="659FFF97" w:rsidR="00216560" w:rsidRPr="00E0118B" w:rsidRDefault="00216560" w:rsidP="00E0118B">
      <w:pPr>
        <w:pStyle w:val="Bullet1"/>
        <w:spacing w:after="0"/>
        <w:rPr>
          <w:sz w:val="18"/>
          <w:szCs w:val="18"/>
        </w:rPr>
      </w:pPr>
      <w:r w:rsidRPr="00E0118B">
        <w:rPr>
          <w:sz w:val="18"/>
          <w:szCs w:val="18"/>
        </w:rPr>
        <w:t>Draft information pending finalisation of SOPs.</w:t>
      </w:r>
    </w:p>
    <w:p w14:paraId="57C4AFFE" w14:textId="3F1F7F40" w:rsidR="0085584F" w:rsidRDefault="0085584F" w:rsidP="00E0118B">
      <w:pPr>
        <w:pStyle w:val="Tablecaption"/>
      </w:pPr>
      <w:bookmarkStart w:id="2621" w:name="_Toc201148605"/>
      <w:r w:rsidRPr="00540C26">
        <w:t>Table</w:t>
      </w:r>
      <w:r w:rsidR="009179FE" w:rsidRPr="00540C26">
        <w:t xml:space="preserve"> </w:t>
      </w:r>
      <w:r w:rsidR="009C471B" w:rsidRPr="00540C26">
        <w:t>2.</w:t>
      </w:r>
      <w:r w:rsidR="009C471B" w:rsidRPr="00540C26">
        <w:fldChar w:fldCharType="begin"/>
      </w:r>
      <w:r w:rsidR="009C471B" w:rsidRPr="00540C26">
        <w:instrText>SEQ Table \* ARABIC \s 1</w:instrText>
      </w:r>
      <w:r w:rsidR="009C471B" w:rsidRPr="00540C26">
        <w:fldChar w:fldCharType="separate"/>
      </w:r>
      <w:r w:rsidR="00FA3B42" w:rsidRPr="00540C26">
        <w:rPr>
          <w:noProof/>
        </w:rPr>
        <w:t>19</w:t>
      </w:r>
      <w:r w:rsidR="009C471B" w:rsidRPr="00540C26">
        <w:fldChar w:fldCharType="end"/>
      </w:r>
      <w:r w:rsidR="009179FE" w:rsidRPr="00540C26">
        <w:fldChar w:fldCharType="begin"/>
      </w:r>
      <w:r w:rsidR="009179FE" w:rsidRPr="00540C26">
        <w:instrText>SEQ Table \* ARABIC \s 1</w:instrText>
      </w:r>
      <w:r w:rsidR="009179FE" w:rsidRPr="00540C26">
        <w:fldChar w:fldCharType="separate"/>
      </w:r>
      <w:r w:rsidR="009179FE" w:rsidRPr="00540C26">
        <w:fldChar w:fldCharType="end"/>
      </w:r>
      <w:r w:rsidRPr="00540C26">
        <w:t>: Mental health acute operational beds 2025–26</w:t>
      </w:r>
      <w:r w:rsidRPr="00540C26">
        <w:rPr>
          <w:rStyle w:val="FootnoteReference"/>
        </w:rPr>
        <w:footnoteReference w:id="20"/>
      </w:r>
      <w:bookmarkEnd w:id="2621"/>
      <w:r w:rsidRPr="002354F2">
        <w:t xml:space="preserve">Metropolitan and regional </w:t>
      </w:r>
    </w:p>
    <w:tbl>
      <w:tblPr>
        <w:tblStyle w:val="GridTable4-Accent1"/>
        <w:tblW w:w="9085" w:type="dxa"/>
        <w:jc w:val="center"/>
        <w:tblLook w:val="04A0" w:firstRow="1" w:lastRow="0" w:firstColumn="1" w:lastColumn="0" w:noHBand="0" w:noVBand="1"/>
      </w:tblPr>
      <w:tblGrid>
        <w:gridCol w:w="2853"/>
        <w:gridCol w:w="1232"/>
        <w:gridCol w:w="1232"/>
        <w:gridCol w:w="1232"/>
        <w:gridCol w:w="1232"/>
        <w:gridCol w:w="1304"/>
      </w:tblGrid>
      <w:tr w:rsidR="009D4BF1" w:rsidRPr="009179FE" w14:paraId="33287291" w14:textId="77777777" w:rsidTr="0057615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21FD5842" w14:textId="77777777" w:rsidR="00023185" w:rsidRPr="005D7D2C" w:rsidRDefault="00023185">
            <w:pPr>
              <w:pStyle w:val="Tablecolhead"/>
              <w:rPr>
                <w:b/>
                <w:bCs w:val="0"/>
                <w:color w:val="FFFFFF" w:themeColor="background1"/>
                <w:sz w:val="16"/>
                <w:szCs w:val="16"/>
                <w:lang w:eastAsia="en-AU"/>
              </w:rPr>
            </w:pPr>
            <w:r w:rsidRPr="005D7D2C">
              <w:rPr>
                <w:b/>
                <w:bCs w:val="0"/>
                <w:color w:val="FFFFFF" w:themeColor="background1"/>
                <w:sz w:val="16"/>
                <w:szCs w:val="16"/>
                <w:lang w:eastAsia="en-AU"/>
              </w:rPr>
              <w:t>Health service</w:t>
            </w:r>
          </w:p>
        </w:tc>
        <w:tc>
          <w:tcPr>
            <w:tcW w:w="1232" w:type="dxa"/>
          </w:tcPr>
          <w:p w14:paraId="7092717C" w14:textId="41E88A02" w:rsidR="00023185" w:rsidRPr="00EB2542" w:rsidRDefault="00EB2542">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32" w:type="dxa"/>
          </w:tcPr>
          <w:p w14:paraId="3D189EE1" w14:textId="7A26C255" w:rsidR="00023185" w:rsidRPr="00EB2542" w:rsidRDefault="00EB2542">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32" w:type="dxa"/>
          </w:tcPr>
          <w:p w14:paraId="273530FE" w14:textId="6B074733" w:rsidR="00023185" w:rsidRPr="00402FB7" w:rsidRDefault="00402FB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32" w:type="dxa"/>
          </w:tcPr>
          <w:p w14:paraId="1DB47D67" w14:textId="5879A399" w:rsidR="00023185" w:rsidRPr="00402FB7" w:rsidRDefault="00402FB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304" w:type="dxa"/>
          </w:tcPr>
          <w:p w14:paraId="0F2FADBA" w14:textId="0139D23B" w:rsidR="00023185" w:rsidRPr="009179FE" w:rsidRDefault="00023185">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b/>
                <w:color w:val="FFFFFF" w:themeColor="background1"/>
                <w:sz w:val="16"/>
                <w:szCs w:val="16"/>
              </w:rPr>
              <w:t xml:space="preserve">Mental health </w:t>
            </w:r>
            <w:r w:rsidR="00B555FB">
              <w:rPr>
                <w:b/>
                <w:color w:val="FFFFFF" w:themeColor="background1"/>
                <w:sz w:val="16"/>
                <w:szCs w:val="16"/>
              </w:rPr>
              <w:t xml:space="preserve">operational </w:t>
            </w:r>
            <w:r w:rsidRPr="009179FE">
              <w:rPr>
                <w:b/>
                <w:color w:val="FFFFFF" w:themeColor="background1"/>
                <w:sz w:val="16"/>
                <w:szCs w:val="16"/>
              </w:rPr>
              <w:t xml:space="preserve"> beds – acute</w:t>
            </w:r>
          </w:p>
        </w:tc>
      </w:tr>
      <w:tr w:rsidR="009D4BF1" w:rsidRPr="009179FE" w14:paraId="2733F97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31BFEEC8"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Albury Wodonga Health</w:t>
            </w:r>
          </w:p>
        </w:tc>
        <w:tc>
          <w:tcPr>
            <w:tcW w:w="1232" w:type="dxa"/>
            <w:vAlign w:val="bottom"/>
          </w:tcPr>
          <w:p w14:paraId="2F11097E" w14:textId="368F12FB"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3BA5E9FC" w14:textId="29D8061F"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2" w:type="dxa"/>
            <w:vAlign w:val="bottom"/>
          </w:tcPr>
          <w:p w14:paraId="4C16FD9D" w14:textId="5F6F8C0E"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0EBBF92E" w14:textId="555CE92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B383AC9" w14:textId="45D81C21"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20</w:t>
            </w:r>
          </w:p>
        </w:tc>
      </w:tr>
      <w:tr w:rsidR="00EC31C7" w:rsidRPr="009179FE" w14:paraId="08D8A2DC"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0FF6899A"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Alfred Health</w:t>
            </w:r>
          </w:p>
        </w:tc>
        <w:tc>
          <w:tcPr>
            <w:tcW w:w="1232" w:type="dxa"/>
            <w:vAlign w:val="bottom"/>
          </w:tcPr>
          <w:p w14:paraId="657BE86F" w14:textId="68693E8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16</w:t>
            </w:r>
          </w:p>
        </w:tc>
        <w:tc>
          <w:tcPr>
            <w:tcW w:w="1232" w:type="dxa"/>
            <w:vAlign w:val="bottom"/>
          </w:tcPr>
          <w:p w14:paraId="5D90E49B" w14:textId="288FC3B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68</w:t>
            </w:r>
          </w:p>
        </w:tc>
        <w:tc>
          <w:tcPr>
            <w:tcW w:w="1232" w:type="dxa"/>
            <w:vAlign w:val="bottom"/>
          </w:tcPr>
          <w:p w14:paraId="13906C2B" w14:textId="2E53153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15</w:t>
            </w:r>
          </w:p>
        </w:tc>
        <w:tc>
          <w:tcPr>
            <w:tcW w:w="1232" w:type="dxa"/>
            <w:vAlign w:val="bottom"/>
          </w:tcPr>
          <w:p w14:paraId="044F1392" w14:textId="44610C5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000988FB" w14:textId="6890566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99</w:t>
            </w:r>
            <w:r w:rsidRPr="00540C26">
              <w:rPr>
                <w:rStyle w:val="FootnoteReference"/>
                <w:sz w:val="16"/>
                <w:szCs w:val="16"/>
              </w:rPr>
              <w:footnoteReference w:id="21"/>
            </w:r>
          </w:p>
        </w:tc>
      </w:tr>
      <w:tr w:rsidR="009D4BF1" w:rsidRPr="009179FE" w14:paraId="34449462"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9EC82B3"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Austin Health</w:t>
            </w:r>
          </w:p>
        </w:tc>
        <w:tc>
          <w:tcPr>
            <w:tcW w:w="1232" w:type="dxa"/>
            <w:vAlign w:val="bottom"/>
          </w:tcPr>
          <w:p w14:paraId="02BDA1C4" w14:textId="031C0BB2" w:rsidR="00EC31C7" w:rsidRPr="00540C26" w:rsidRDefault="008A2D25"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52</w:t>
            </w:r>
          </w:p>
        </w:tc>
        <w:tc>
          <w:tcPr>
            <w:tcW w:w="1232" w:type="dxa"/>
            <w:vAlign w:val="bottom"/>
          </w:tcPr>
          <w:p w14:paraId="3FF39260" w14:textId="0D838374"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19</w:t>
            </w:r>
          </w:p>
        </w:tc>
        <w:tc>
          <w:tcPr>
            <w:tcW w:w="1232" w:type="dxa"/>
            <w:vAlign w:val="bottom"/>
          </w:tcPr>
          <w:p w14:paraId="267FA917" w14:textId="0956B4F0"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232" w:type="dxa"/>
            <w:vAlign w:val="bottom"/>
          </w:tcPr>
          <w:p w14:paraId="63DA57D9" w14:textId="5E680CB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23</w:t>
            </w:r>
          </w:p>
        </w:tc>
        <w:tc>
          <w:tcPr>
            <w:tcW w:w="1304" w:type="dxa"/>
          </w:tcPr>
          <w:p w14:paraId="015EFE0B" w14:textId="509AB942" w:rsidR="00EC31C7" w:rsidRPr="00540C26" w:rsidRDefault="008A2D25"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94</w:t>
            </w:r>
          </w:p>
        </w:tc>
      </w:tr>
      <w:tr w:rsidR="00EC31C7" w:rsidRPr="009179FE" w14:paraId="2E70BF24"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5FD49C5"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Barwon Health</w:t>
            </w:r>
          </w:p>
        </w:tc>
        <w:tc>
          <w:tcPr>
            <w:tcW w:w="1232" w:type="dxa"/>
            <w:vAlign w:val="bottom"/>
          </w:tcPr>
          <w:p w14:paraId="1ECAE38C" w14:textId="58BCA4C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9</w:t>
            </w:r>
          </w:p>
        </w:tc>
        <w:tc>
          <w:tcPr>
            <w:tcW w:w="1232" w:type="dxa"/>
            <w:vAlign w:val="bottom"/>
          </w:tcPr>
          <w:p w14:paraId="688837EA" w14:textId="580AD13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32</w:t>
            </w:r>
          </w:p>
        </w:tc>
        <w:tc>
          <w:tcPr>
            <w:tcW w:w="1232" w:type="dxa"/>
            <w:vAlign w:val="bottom"/>
          </w:tcPr>
          <w:p w14:paraId="3D68DB75" w14:textId="32082FA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16</w:t>
            </w:r>
          </w:p>
        </w:tc>
        <w:tc>
          <w:tcPr>
            <w:tcW w:w="1232" w:type="dxa"/>
            <w:vAlign w:val="bottom"/>
          </w:tcPr>
          <w:p w14:paraId="51D68D15" w14:textId="7F18CDE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2103EB90" w14:textId="3BA8B28D"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57</w:t>
            </w:r>
          </w:p>
        </w:tc>
      </w:tr>
      <w:tr w:rsidR="009D4BF1" w:rsidRPr="009179FE" w14:paraId="610E1F71"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36619B06"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Bendigo Health Care Group</w:t>
            </w:r>
          </w:p>
        </w:tc>
        <w:tc>
          <w:tcPr>
            <w:tcW w:w="1232" w:type="dxa"/>
            <w:vAlign w:val="bottom"/>
          </w:tcPr>
          <w:p w14:paraId="1011076C" w14:textId="759F94D1"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78567E6A" w14:textId="061D12D6"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35</w:t>
            </w:r>
          </w:p>
        </w:tc>
        <w:tc>
          <w:tcPr>
            <w:tcW w:w="1232" w:type="dxa"/>
            <w:vAlign w:val="bottom"/>
          </w:tcPr>
          <w:p w14:paraId="432DE6C8" w14:textId="2468476D"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20</w:t>
            </w:r>
          </w:p>
        </w:tc>
        <w:tc>
          <w:tcPr>
            <w:tcW w:w="1232" w:type="dxa"/>
            <w:vAlign w:val="bottom"/>
          </w:tcPr>
          <w:p w14:paraId="2DED4AAF" w14:textId="4F88F67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598511F1" w14:textId="4D1EB40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60</w:t>
            </w:r>
          </w:p>
        </w:tc>
      </w:tr>
      <w:tr w:rsidR="00EC31C7" w:rsidRPr="009179FE" w14:paraId="1CA16440"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5D92A88"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Eastern Health</w:t>
            </w:r>
          </w:p>
        </w:tc>
        <w:tc>
          <w:tcPr>
            <w:tcW w:w="1232" w:type="dxa"/>
            <w:vAlign w:val="bottom"/>
          </w:tcPr>
          <w:p w14:paraId="7B2A1F75" w14:textId="5464133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4</w:t>
            </w:r>
          </w:p>
        </w:tc>
        <w:tc>
          <w:tcPr>
            <w:tcW w:w="1232" w:type="dxa"/>
            <w:vAlign w:val="bottom"/>
          </w:tcPr>
          <w:p w14:paraId="1A05C6D7" w14:textId="1E41F29C"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84</w:t>
            </w:r>
          </w:p>
        </w:tc>
        <w:tc>
          <w:tcPr>
            <w:tcW w:w="1232" w:type="dxa"/>
            <w:vAlign w:val="bottom"/>
          </w:tcPr>
          <w:p w14:paraId="1E80AB1D" w14:textId="6305050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30</w:t>
            </w:r>
          </w:p>
        </w:tc>
        <w:tc>
          <w:tcPr>
            <w:tcW w:w="1232" w:type="dxa"/>
            <w:vAlign w:val="bottom"/>
          </w:tcPr>
          <w:p w14:paraId="5FBED42E" w14:textId="529F3D9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12</w:t>
            </w:r>
          </w:p>
        </w:tc>
        <w:tc>
          <w:tcPr>
            <w:tcW w:w="1304" w:type="dxa"/>
          </w:tcPr>
          <w:p w14:paraId="2741A69C" w14:textId="11E3805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130</w:t>
            </w:r>
          </w:p>
        </w:tc>
      </w:tr>
      <w:tr w:rsidR="009D4BF1" w:rsidRPr="009179FE" w14:paraId="03AC9C19"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68F99DA"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Goulburn Valley Health</w:t>
            </w:r>
          </w:p>
        </w:tc>
        <w:tc>
          <w:tcPr>
            <w:tcW w:w="1232" w:type="dxa"/>
            <w:vAlign w:val="bottom"/>
          </w:tcPr>
          <w:p w14:paraId="54E761E3" w14:textId="420A34A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3</w:t>
            </w:r>
          </w:p>
        </w:tc>
        <w:tc>
          <w:tcPr>
            <w:tcW w:w="1232" w:type="dxa"/>
            <w:vAlign w:val="bottom"/>
          </w:tcPr>
          <w:p w14:paraId="4BA32964" w14:textId="1C92B500"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17</w:t>
            </w:r>
          </w:p>
        </w:tc>
        <w:tc>
          <w:tcPr>
            <w:tcW w:w="1232" w:type="dxa"/>
            <w:vAlign w:val="bottom"/>
          </w:tcPr>
          <w:p w14:paraId="52B1720D" w14:textId="43367BAB"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228ED340" w14:textId="1C333194"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7E0E3FA5" w14:textId="679A3923"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25</w:t>
            </w:r>
          </w:p>
        </w:tc>
      </w:tr>
      <w:tr w:rsidR="00EC31C7" w:rsidRPr="009179FE" w14:paraId="44EA3C60"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0FED2801"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Grampians Health</w:t>
            </w:r>
          </w:p>
        </w:tc>
        <w:tc>
          <w:tcPr>
            <w:tcW w:w="1232" w:type="dxa"/>
            <w:vAlign w:val="bottom"/>
          </w:tcPr>
          <w:p w14:paraId="3F5824C0" w14:textId="7301C82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3386A6A1" w14:textId="2668E57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23</w:t>
            </w:r>
          </w:p>
        </w:tc>
        <w:tc>
          <w:tcPr>
            <w:tcW w:w="1232" w:type="dxa"/>
            <w:vAlign w:val="bottom"/>
          </w:tcPr>
          <w:p w14:paraId="57A6F1C2" w14:textId="21373FB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10</w:t>
            </w:r>
          </w:p>
        </w:tc>
        <w:tc>
          <w:tcPr>
            <w:tcW w:w="1232" w:type="dxa"/>
            <w:vAlign w:val="bottom"/>
          </w:tcPr>
          <w:p w14:paraId="0C1E31AD" w14:textId="5F9478F7"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18245554" w14:textId="223FFEC9"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38</w:t>
            </w:r>
          </w:p>
        </w:tc>
      </w:tr>
      <w:tr w:rsidR="009D4BF1" w:rsidRPr="009179FE" w14:paraId="74D9319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91B05F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Latrobe Regional Health</w:t>
            </w:r>
          </w:p>
        </w:tc>
        <w:tc>
          <w:tcPr>
            <w:tcW w:w="1232" w:type="dxa"/>
            <w:vAlign w:val="bottom"/>
          </w:tcPr>
          <w:p w14:paraId="4F3D2323" w14:textId="5DF196FC"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7779E521" w14:textId="183A3A09"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29</w:t>
            </w:r>
          </w:p>
        </w:tc>
        <w:tc>
          <w:tcPr>
            <w:tcW w:w="1232" w:type="dxa"/>
            <w:vAlign w:val="bottom"/>
          </w:tcPr>
          <w:p w14:paraId="2499BB54" w14:textId="0CD121BF"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0B3EF33D" w14:textId="4E0851E3"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w:t>
            </w:r>
          </w:p>
        </w:tc>
        <w:tc>
          <w:tcPr>
            <w:tcW w:w="1304" w:type="dxa"/>
          </w:tcPr>
          <w:p w14:paraId="4CBFCAF0" w14:textId="0EBD324A"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46</w:t>
            </w:r>
          </w:p>
        </w:tc>
      </w:tr>
      <w:tr w:rsidR="00EC31C7" w:rsidRPr="009179FE" w14:paraId="72669EC1"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B50C7AC"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Melbourne Health</w:t>
            </w:r>
          </w:p>
        </w:tc>
        <w:tc>
          <w:tcPr>
            <w:tcW w:w="1232" w:type="dxa"/>
            <w:vAlign w:val="bottom"/>
          </w:tcPr>
          <w:p w14:paraId="078801AF" w14:textId="303A3F7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14</w:t>
            </w:r>
          </w:p>
        </w:tc>
        <w:tc>
          <w:tcPr>
            <w:tcW w:w="1232" w:type="dxa"/>
            <w:vAlign w:val="bottom"/>
          </w:tcPr>
          <w:p w14:paraId="07B548EE" w14:textId="45A19571"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43</w:t>
            </w:r>
          </w:p>
        </w:tc>
        <w:tc>
          <w:tcPr>
            <w:tcW w:w="1232" w:type="dxa"/>
            <w:vAlign w:val="bottom"/>
          </w:tcPr>
          <w:p w14:paraId="45BAE297" w14:textId="62EEE86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191E3346" w14:textId="0256241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7508EC85" w14:textId="43AB2E5B"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57</w:t>
            </w:r>
          </w:p>
        </w:tc>
      </w:tr>
      <w:tr w:rsidR="009D4BF1" w:rsidRPr="009179FE" w14:paraId="65C7FC03"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5E5367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Mercy Health</w:t>
            </w:r>
          </w:p>
        </w:tc>
        <w:tc>
          <w:tcPr>
            <w:tcW w:w="1232" w:type="dxa"/>
            <w:vAlign w:val="bottom"/>
          </w:tcPr>
          <w:p w14:paraId="78D45FC6" w14:textId="3DB33F1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066B2372" w14:textId="2087A901"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50</w:t>
            </w:r>
          </w:p>
        </w:tc>
        <w:tc>
          <w:tcPr>
            <w:tcW w:w="1232" w:type="dxa"/>
            <w:vAlign w:val="bottom"/>
          </w:tcPr>
          <w:p w14:paraId="59C689C4" w14:textId="0F6B4177"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95A9B64" w14:textId="20BB2B41"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5666F49" w14:textId="37977B1B"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60</w:t>
            </w:r>
          </w:p>
        </w:tc>
      </w:tr>
      <w:tr w:rsidR="00EC31C7" w:rsidRPr="009179FE" w14:paraId="7132442A"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41BFDA5"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Monash Health</w:t>
            </w:r>
          </w:p>
        </w:tc>
        <w:tc>
          <w:tcPr>
            <w:tcW w:w="1232" w:type="dxa"/>
            <w:vAlign w:val="bottom"/>
          </w:tcPr>
          <w:p w14:paraId="1C558A19" w14:textId="477718DB"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189FA173" w14:textId="3F0164E6"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105</w:t>
            </w:r>
          </w:p>
        </w:tc>
        <w:tc>
          <w:tcPr>
            <w:tcW w:w="1232" w:type="dxa"/>
            <w:vAlign w:val="bottom"/>
          </w:tcPr>
          <w:p w14:paraId="29F39879" w14:textId="33888F2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40</w:t>
            </w:r>
          </w:p>
        </w:tc>
        <w:tc>
          <w:tcPr>
            <w:tcW w:w="1232" w:type="dxa"/>
            <w:vAlign w:val="bottom"/>
          </w:tcPr>
          <w:p w14:paraId="41622B6E" w14:textId="18E82BC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23</w:t>
            </w:r>
          </w:p>
        </w:tc>
        <w:tc>
          <w:tcPr>
            <w:tcW w:w="1304" w:type="dxa"/>
          </w:tcPr>
          <w:p w14:paraId="00DE74C4" w14:textId="7EBA0516"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178</w:t>
            </w:r>
          </w:p>
        </w:tc>
      </w:tr>
      <w:tr w:rsidR="009D4BF1" w:rsidRPr="009179FE" w14:paraId="53AD4D94"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306DEB9B"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Northern Health</w:t>
            </w:r>
          </w:p>
        </w:tc>
        <w:tc>
          <w:tcPr>
            <w:tcW w:w="1232" w:type="dxa"/>
            <w:vAlign w:val="bottom"/>
          </w:tcPr>
          <w:p w14:paraId="24D2D3EA" w14:textId="1DE420A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718754D" w14:textId="53C5525A"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105</w:t>
            </w:r>
          </w:p>
        </w:tc>
        <w:tc>
          <w:tcPr>
            <w:tcW w:w="1232" w:type="dxa"/>
            <w:vAlign w:val="bottom"/>
          </w:tcPr>
          <w:p w14:paraId="1C2D7E37" w14:textId="53F51C90"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34</w:t>
            </w:r>
          </w:p>
        </w:tc>
        <w:tc>
          <w:tcPr>
            <w:tcW w:w="1232" w:type="dxa"/>
            <w:vAlign w:val="bottom"/>
          </w:tcPr>
          <w:p w14:paraId="59196AD4" w14:textId="7D55A04B"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03F4715A" w14:textId="0D06CDFF"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139</w:t>
            </w:r>
          </w:p>
        </w:tc>
      </w:tr>
      <w:tr w:rsidR="00EC31C7" w:rsidRPr="009179FE" w14:paraId="1DE669DE"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3A861656"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 xml:space="preserve">Parkville Youth Mental Health and Wellbeing Service </w:t>
            </w:r>
          </w:p>
        </w:tc>
        <w:tc>
          <w:tcPr>
            <w:tcW w:w="1232" w:type="dxa"/>
            <w:vAlign w:val="bottom"/>
          </w:tcPr>
          <w:p w14:paraId="30512846" w14:textId="58F3513C"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3482C38C" w14:textId="09804B88"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4DB775B" w14:textId="19DE66FE"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69C58B74" w14:textId="0421D5CD"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22</w:t>
            </w:r>
          </w:p>
        </w:tc>
        <w:tc>
          <w:tcPr>
            <w:tcW w:w="1304" w:type="dxa"/>
          </w:tcPr>
          <w:p w14:paraId="4513A67A" w14:textId="49B6180D"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eastAsia="Arial"/>
                <w:sz w:val="16"/>
                <w:szCs w:val="16"/>
              </w:rPr>
            </w:pPr>
            <w:r w:rsidRPr="009179FE">
              <w:rPr>
                <w:sz w:val="16"/>
                <w:szCs w:val="16"/>
              </w:rPr>
              <w:t>32</w:t>
            </w:r>
          </w:p>
        </w:tc>
      </w:tr>
      <w:tr w:rsidR="009D4BF1" w:rsidRPr="009179FE" w14:paraId="17E64B17"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0A132363" w14:textId="07A69261" w:rsidR="00EC31C7" w:rsidRPr="00AC68A2" w:rsidRDefault="00EC31C7" w:rsidP="00EC31C7">
            <w:pPr>
              <w:pStyle w:val="Tabletext"/>
              <w:rPr>
                <w:b w:val="0"/>
                <w:bCs w:val="0"/>
                <w:sz w:val="16"/>
                <w:szCs w:val="16"/>
                <w:lang w:eastAsia="en-AU"/>
              </w:rPr>
            </w:pPr>
            <w:r w:rsidRPr="00AC68A2">
              <w:rPr>
                <w:b w:val="0"/>
                <w:bCs w:val="0"/>
                <w:sz w:val="16"/>
                <w:szCs w:val="16"/>
                <w:lang w:eastAsia="en-AU"/>
              </w:rPr>
              <w:t>Royal Children’s Hospital</w:t>
            </w:r>
          </w:p>
        </w:tc>
        <w:tc>
          <w:tcPr>
            <w:tcW w:w="1232" w:type="dxa"/>
            <w:vAlign w:val="bottom"/>
          </w:tcPr>
          <w:p w14:paraId="1B414012" w14:textId="2113BD71"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3143A15F" w14:textId="0D5752B9"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0A928126" w14:textId="6A0D3F4C"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317134CB" w14:textId="19423A60"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16</w:t>
            </w:r>
          </w:p>
        </w:tc>
        <w:tc>
          <w:tcPr>
            <w:tcW w:w="1304" w:type="dxa"/>
          </w:tcPr>
          <w:p w14:paraId="5F032D1B" w14:textId="1C4A4B36"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16</w:t>
            </w:r>
          </w:p>
        </w:tc>
      </w:tr>
      <w:tr w:rsidR="00EC31C7" w:rsidRPr="009179FE" w14:paraId="3C0E235E"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2B78316E"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Peninsula Health</w:t>
            </w:r>
          </w:p>
        </w:tc>
        <w:tc>
          <w:tcPr>
            <w:tcW w:w="1232" w:type="dxa"/>
            <w:vAlign w:val="bottom"/>
          </w:tcPr>
          <w:p w14:paraId="15AA1281" w14:textId="1CC640B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6</w:t>
            </w:r>
          </w:p>
        </w:tc>
        <w:tc>
          <w:tcPr>
            <w:tcW w:w="1232" w:type="dxa"/>
            <w:vAlign w:val="bottom"/>
          </w:tcPr>
          <w:p w14:paraId="3894A080" w14:textId="7CAD0C55"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29</w:t>
            </w:r>
          </w:p>
        </w:tc>
        <w:tc>
          <w:tcPr>
            <w:tcW w:w="1232" w:type="dxa"/>
            <w:vAlign w:val="bottom"/>
          </w:tcPr>
          <w:p w14:paraId="6249BE3E" w14:textId="15BF1C02"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2" w:type="dxa"/>
            <w:vAlign w:val="bottom"/>
          </w:tcPr>
          <w:p w14:paraId="2EB8DE36" w14:textId="5FA22768"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3D0D2340" w14:textId="68B62511"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50</w:t>
            </w:r>
          </w:p>
        </w:tc>
      </w:tr>
      <w:tr w:rsidR="009D4BF1" w:rsidRPr="009179FE" w14:paraId="679F58D5"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ECF4A3A"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St Vincent’s Hospital</w:t>
            </w:r>
          </w:p>
        </w:tc>
        <w:tc>
          <w:tcPr>
            <w:tcW w:w="1232" w:type="dxa"/>
            <w:vAlign w:val="bottom"/>
          </w:tcPr>
          <w:p w14:paraId="68D06702" w14:textId="6ACEA0D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1E0C9BAF" w14:textId="13FD2CB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39</w:t>
            </w:r>
          </w:p>
        </w:tc>
        <w:tc>
          <w:tcPr>
            <w:tcW w:w="1232" w:type="dxa"/>
            <w:vAlign w:val="bottom"/>
          </w:tcPr>
          <w:p w14:paraId="0888FEF8" w14:textId="72A8ABB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c>
          <w:tcPr>
            <w:tcW w:w="1232" w:type="dxa"/>
            <w:vAlign w:val="bottom"/>
          </w:tcPr>
          <w:p w14:paraId="24EF8A89" w14:textId="4BD05968"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15F7F32" w14:textId="0554E55B"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64</w:t>
            </w:r>
          </w:p>
        </w:tc>
      </w:tr>
      <w:tr w:rsidR="00EC31C7" w:rsidRPr="009179FE" w14:paraId="7CEAC44A"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vAlign w:val="center"/>
          </w:tcPr>
          <w:p w14:paraId="000E6B48" w14:textId="79A895E8" w:rsidR="00EC31C7" w:rsidRPr="00AC68A2" w:rsidRDefault="00EC31C7" w:rsidP="00EC31C7">
            <w:pPr>
              <w:pStyle w:val="Tabletext"/>
              <w:rPr>
                <w:b w:val="0"/>
                <w:bCs w:val="0"/>
                <w:sz w:val="16"/>
                <w:szCs w:val="16"/>
                <w:lang w:eastAsia="en-AU"/>
              </w:rPr>
            </w:pPr>
            <w:r w:rsidRPr="00B009CB">
              <w:rPr>
                <w:b w:val="0"/>
                <w:bCs w:val="0"/>
                <w:sz w:val="16"/>
                <w:szCs w:val="16"/>
                <w:lang w:eastAsia="en-AU"/>
              </w:rPr>
              <w:t>Victorian Institute of Forensic Mental Health</w:t>
            </w:r>
          </w:p>
        </w:tc>
        <w:tc>
          <w:tcPr>
            <w:tcW w:w="1232" w:type="dxa"/>
            <w:vAlign w:val="center"/>
          </w:tcPr>
          <w:p w14:paraId="4436475A" w14:textId="1302C107"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54</w:t>
            </w:r>
          </w:p>
        </w:tc>
        <w:tc>
          <w:tcPr>
            <w:tcW w:w="1232" w:type="dxa"/>
            <w:vAlign w:val="center"/>
          </w:tcPr>
          <w:p w14:paraId="715C2940" w14:textId="6BB3DFA4"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232" w:type="dxa"/>
            <w:vAlign w:val="center"/>
          </w:tcPr>
          <w:p w14:paraId="77A776C1" w14:textId="6E9775F6"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232" w:type="dxa"/>
            <w:vAlign w:val="center"/>
          </w:tcPr>
          <w:p w14:paraId="6E83C9B7" w14:textId="4395410C"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304" w:type="dxa"/>
            <w:vAlign w:val="center"/>
          </w:tcPr>
          <w:p w14:paraId="50DE5835" w14:textId="3948B3DC"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w:t>
            </w:r>
          </w:p>
        </w:tc>
      </w:tr>
      <w:tr w:rsidR="009D4BF1" w:rsidRPr="009179FE" w14:paraId="02478E2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671FE20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 xml:space="preserve">Western Health </w:t>
            </w:r>
          </w:p>
        </w:tc>
        <w:tc>
          <w:tcPr>
            <w:tcW w:w="1232" w:type="dxa"/>
            <w:vAlign w:val="bottom"/>
          </w:tcPr>
          <w:p w14:paraId="489A0FE4" w14:textId="4FED4BBD"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59607C9C" w14:textId="5D7F7E7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68</w:t>
            </w:r>
          </w:p>
        </w:tc>
        <w:tc>
          <w:tcPr>
            <w:tcW w:w="1232" w:type="dxa"/>
            <w:vAlign w:val="bottom"/>
          </w:tcPr>
          <w:p w14:paraId="1F3454FA" w14:textId="7F231E73"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c>
          <w:tcPr>
            <w:tcW w:w="1232" w:type="dxa"/>
            <w:vAlign w:val="bottom"/>
          </w:tcPr>
          <w:p w14:paraId="3E2BBB4E" w14:textId="01541AB7"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4D2E3F84" w14:textId="56957163"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BF7CDA9">
              <w:rPr>
                <w:sz w:val="16"/>
                <w:szCs w:val="16"/>
              </w:rPr>
              <w:t>9</w:t>
            </w:r>
            <w:r w:rsidRPr="009179FE">
              <w:rPr>
                <w:sz w:val="16"/>
                <w:szCs w:val="16"/>
              </w:rPr>
              <w:t>8</w:t>
            </w:r>
            <w:r>
              <w:rPr>
                <w:rStyle w:val="FootnoteReference"/>
                <w:sz w:val="16"/>
                <w:szCs w:val="16"/>
              </w:rPr>
              <w:footnoteReference w:id="22"/>
            </w:r>
          </w:p>
        </w:tc>
      </w:tr>
    </w:tbl>
    <w:p w14:paraId="06AC8AB9" w14:textId="3000D96E" w:rsidR="0085584F" w:rsidRPr="00257223" w:rsidRDefault="0085584F" w:rsidP="009179FE">
      <w:pPr>
        <w:pStyle w:val="Bodyafterfiguretable"/>
      </w:pPr>
      <w:r w:rsidRPr="00257223">
        <w:t xml:space="preserve">Subregional and rural </w:t>
      </w:r>
    </w:p>
    <w:tbl>
      <w:tblPr>
        <w:tblStyle w:val="GridTable4-Accent1"/>
        <w:tblW w:w="9288" w:type="dxa"/>
        <w:tblLook w:val="04A0" w:firstRow="1" w:lastRow="0" w:firstColumn="1" w:lastColumn="0" w:noHBand="0" w:noVBand="1"/>
      </w:tblPr>
      <w:tblGrid>
        <w:gridCol w:w="2697"/>
        <w:gridCol w:w="1234"/>
        <w:gridCol w:w="1234"/>
        <w:gridCol w:w="1234"/>
        <w:gridCol w:w="1234"/>
        <w:gridCol w:w="1655"/>
      </w:tblGrid>
      <w:tr w:rsidR="00EC31C7" w:rsidRPr="009179FE" w14:paraId="0B8F00B6" w14:textId="77777777" w:rsidTr="00EC31C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97" w:type="dxa"/>
          </w:tcPr>
          <w:p w14:paraId="56DFE394" w14:textId="77777777" w:rsidR="00EC31C7" w:rsidRPr="009179FE" w:rsidRDefault="00EC31C7" w:rsidP="00EC31C7">
            <w:pPr>
              <w:pStyle w:val="Tablecolhead"/>
              <w:rPr>
                <w:b/>
                <w:bCs w:val="0"/>
                <w:color w:val="FFFFFF" w:themeColor="background1"/>
                <w:sz w:val="16"/>
                <w:szCs w:val="16"/>
              </w:rPr>
            </w:pPr>
            <w:r w:rsidRPr="009179FE">
              <w:rPr>
                <w:b/>
                <w:bCs w:val="0"/>
                <w:color w:val="FFFFFF" w:themeColor="background1"/>
                <w:sz w:val="16"/>
                <w:szCs w:val="16"/>
                <w:lang w:eastAsia="en-AU"/>
              </w:rPr>
              <w:t>Health service</w:t>
            </w:r>
          </w:p>
        </w:tc>
        <w:tc>
          <w:tcPr>
            <w:tcW w:w="1234" w:type="dxa"/>
          </w:tcPr>
          <w:p w14:paraId="640379CF" w14:textId="30009A26"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34" w:type="dxa"/>
          </w:tcPr>
          <w:p w14:paraId="137E2802" w14:textId="2226685E"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34" w:type="dxa"/>
          </w:tcPr>
          <w:p w14:paraId="7464E498" w14:textId="367E9958"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34" w:type="dxa"/>
          </w:tcPr>
          <w:p w14:paraId="11DA32B7" w14:textId="31CD8B7A"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655" w:type="dxa"/>
          </w:tcPr>
          <w:p w14:paraId="662A9B26" w14:textId="77777777" w:rsidR="00EC31C7" w:rsidRPr="009179FE" w:rsidRDefault="00EC31C7" w:rsidP="00EC31C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rFonts w:cs="Arial"/>
                <w:b/>
                <w:bCs w:val="0"/>
                <w:color w:val="FFFFFF" w:themeColor="background1"/>
                <w:sz w:val="16"/>
                <w:szCs w:val="16"/>
              </w:rPr>
              <w:t>Mental health operational beds – acute</w:t>
            </w:r>
          </w:p>
        </w:tc>
      </w:tr>
      <w:tr w:rsidR="00D231B7" w:rsidRPr="009179FE" w14:paraId="28368FD4"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97" w:type="dxa"/>
            <w:hideMark/>
          </w:tcPr>
          <w:p w14:paraId="081AFBEB" w14:textId="77777777" w:rsidR="00D231B7" w:rsidRPr="00AC68A2" w:rsidRDefault="00D231B7" w:rsidP="00D231B7">
            <w:pPr>
              <w:pStyle w:val="Tabletext"/>
              <w:rPr>
                <w:b w:val="0"/>
                <w:bCs w:val="0"/>
                <w:sz w:val="16"/>
                <w:szCs w:val="16"/>
                <w:lang w:eastAsia="en-AU"/>
              </w:rPr>
            </w:pPr>
            <w:r w:rsidRPr="00AC68A2">
              <w:rPr>
                <w:b w:val="0"/>
                <w:bCs w:val="0"/>
                <w:sz w:val="16"/>
                <w:szCs w:val="16"/>
                <w:lang w:eastAsia="en-AU"/>
              </w:rPr>
              <w:t>Mildura Base Hospital</w:t>
            </w:r>
          </w:p>
        </w:tc>
        <w:tc>
          <w:tcPr>
            <w:tcW w:w="1234" w:type="dxa"/>
            <w:vAlign w:val="bottom"/>
          </w:tcPr>
          <w:p w14:paraId="5555C74D" w14:textId="40DD97B7"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4" w:type="dxa"/>
            <w:vAlign w:val="bottom"/>
          </w:tcPr>
          <w:p w14:paraId="62264ECC" w14:textId="1012145C"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4" w:type="dxa"/>
            <w:vAlign w:val="bottom"/>
          </w:tcPr>
          <w:p w14:paraId="56CBACDD" w14:textId="20A3CED6"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w:t>
            </w:r>
          </w:p>
        </w:tc>
        <w:tc>
          <w:tcPr>
            <w:tcW w:w="1234" w:type="dxa"/>
            <w:vAlign w:val="bottom"/>
          </w:tcPr>
          <w:p w14:paraId="0830B39E" w14:textId="4742B12C"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655" w:type="dxa"/>
          </w:tcPr>
          <w:p w14:paraId="0E3F29E3" w14:textId="77777777" w:rsidR="00D231B7" w:rsidRPr="009179FE"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12</w:t>
            </w:r>
          </w:p>
        </w:tc>
      </w:tr>
      <w:tr w:rsidR="00D231B7" w:rsidRPr="009179FE" w14:paraId="2F52C0D3" w14:textId="77777777">
        <w:trPr>
          <w:trHeight w:val="305"/>
        </w:trPr>
        <w:tc>
          <w:tcPr>
            <w:cnfStyle w:val="001000000000" w:firstRow="0" w:lastRow="0" w:firstColumn="1" w:lastColumn="0" w:oddVBand="0" w:evenVBand="0" w:oddHBand="0" w:evenHBand="0" w:firstRowFirstColumn="0" w:firstRowLastColumn="0" w:lastRowFirstColumn="0" w:lastRowLastColumn="0"/>
            <w:tcW w:w="2697" w:type="dxa"/>
            <w:hideMark/>
          </w:tcPr>
          <w:p w14:paraId="503891DB" w14:textId="77777777" w:rsidR="00D231B7" w:rsidRPr="00AC68A2" w:rsidRDefault="00D231B7" w:rsidP="00D231B7">
            <w:pPr>
              <w:pStyle w:val="Tabletext"/>
              <w:rPr>
                <w:b w:val="0"/>
                <w:bCs w:val="0"/>
                <w:sz w:val="16"/>
                <w:szCs w:val="16"/>
                <w:lang w:eastAsia="en-AU"/>
              </w:rPr>
            </w:pPr>
            <w:r w:rsidRPr="00AC68A2">
              <w:rPr>
                <w:b w:val="0"/>
                <w:bCs w:val="0"/>
                <w:color w:val="000000" w:themeColor="text1"/>
                <w:sz w:val="16"/>
                <w:szCs w:val="16"/>
                <w:lang w:eastAsia="en-AU"/>
              </w:rPr>
              <w:t>Southwest Health</w:t>
            </w:r>
          </w:p>
        </w:tc>
        <w:tc>
          <w:tcPr>
            <w:tcW w:w="1234" w:type="dxa"/>
            <w:vAlign w:val="bottom"/>
          </w:tcPr>
          <w:p w14:paraId="6F77FF6B" w14:textId="6493BF1F"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4" w:type="dxa"/>
            <w:vAlign w:val="bottom"/>
          </w:tcPr>
          <w:p w14:paraId="58D45A49" w14:textId="1317F5CF"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4" w:type="dxa"/>
            <w:vAlign w:val="bottom"/>
          </w:tcPr>
          <w:p w14:paraId="698E8CAD" w14:textId="193DCF1B"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5</w:t>
            </w:r>
          </w:p>
        </w:tc>
        <w:tc>
          <w:tcPr>
            <w:tcW w:w="1234" w:type="dxa"/>
            <w:vAlign w:val="bottom"/>
          </w:tcPr>
          <w:p w14:paraId="30ABF882" w14:textId="733F0E88"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655" w:type="dxa"/>
          </w:tcPr>
          <w:p w14:paraId="2540503B" w14:textId="79CBB9B4" w:rsidR="00D231B7" w:rsidRPr="009179FE"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r w:rsidRPr="009179FE">
              <w:rPr>
                <w:rStyle w:val="FootnoteReference"/>
                <w:sz w:val="16"/>
                <w:szCs w:val="16"/>
              </w:rPr>
              <w:footnoteReference w:id="23"/>
            </w:r>
          </w:p>
        </w:tc>
      </w:tr>
    </w:tbl>
    <w:p w14:paraId="238B0337" w14:textId="4A72E837" w:rsidR="0085584F" w:rsidRDefault="0085584F" w:rsidP="009179FE">
      <w:pPr>
        <w:pStyle w:val="Bodyafterfiguretable"/>
      </w:pPr>
      <w:r>
        <w:t>Co</w:t>
      </w:r>
      <w:r w:rsidRPr="0085584F">
        <w:t>mbined total</w:t>
      </w:r>
    </w:p>
    <w:tbl>
      <w:tblPr>
        <w:tblStyle w:val="GridTable4-Accent1"/>
        <w:tblW w:w="9288" w:type="dxa"/>
        <w:tblLook w:val="04A0" w:firstRow="1" w:lastRow="0" w:firstColumn="1" w:lastColumn="0" w:noHBand="0" w:noVBand="1"/>
      </w:tblPr>
      <w:tblGrid>
        <w:gridCol w:w="2610"/>
        <w:gridCol w:w="1253"/>
        <w:gridCol w:w="1253"/>
        <w:gridCol w:w="1253"/>
        <w:gridCol w:w="1253"/>
        <w:gridCol w:w="1666"/>
      </w:tblGrid>
      <w:tr w:rsidR="00EC31C7" w:rsidRPr="00443D45" w14:paraId="4C3CCE39" w14:textId="77777777" w:rsidTr="00EC31C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10" w:type="dxa"/>
          </w:tcPr>
          <w:p w14:paraId="12F1787D" w14:textId="77777777" w:rsidR="00EC31C7" w:rsidRPr="009179FE" w:rsidRDefault="00EC31C7" w:rsidP="00EC31C7">
            <w:pPr>
              <w:pStyle w:val="Tablecolhead"/>
              <w:rPr>
                <w:b/>
                <w:bCs w:val="0"/>
                <w:color w:val="FFFFFF" w:themeColor="background1"/>
                <w:sz w:val="16"/>
                <w:szCs w:val="16"/>
              </w:rPr>
            </w:pPr>
            <w:r w:rsidRPr="009179FE">
              <w:rPr>
                <w:color w:val="FFFFFF" w:themeColor="background1"/>
                <w:sz w:val="16"/>
                <w:szCs w:val="16"/>
                <w:lang w:eastAsia="en-AU"/>
              </w:rPr>
              <w:t>Health service</w:t>
            </w:r>
          </w:p>
        </w:tc>
        <w:tc>
          <w:tcPr>
            <w:tcW w:w="1253" w:type="dxa"/>
          </w:tcPr>
          <w:p w14:paraId="37488E2A" w14:textId="033DE2C8"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53" w:type="dxa"/>
          </w:tcPr>
          <w:p w14:paraId="79B66C53" w14:textId="7831BEC9"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53" w:type="dxa"/>
          </w:tcPr>
          <w:p w14:paraId="66669C78" w14:textId="277124B4"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53" w:type="dxa"/>
          </w:tcPr>
          <w:p w14:paraId="4D95A812" w14:textId="3A99C55D"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666" w:type="dxa"/>
          </w:tcPr>
          <w:p w14:paraId="54A8010A" w14:textId="77777777" w:rsidR="00EC31C7" w:rsidRPr="009179FE" w:rsidRDefault="00EC31C7" w:rsidP="00EC31C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rFonts w:cs="Arial"/>
                <w:b/>
                <w:color w:val="FFFFFF" w:themeColor="background1"/>
                <w:sz w:val="16"/>
                <w:szCs w:val="16"/>
              </w:rPr>
              <w:t>Mental health operational bed – acute</w:t>
            </w:r>
          </w:p>
        </w:tc>
      </w:tr>
      <w:tr w:rsidR="00AE3D6B" w:rsidRPr="004773AF" w14:paraId="6925A43D"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10" w:type="dxa"/>
            <w:hideMark/>
          </w:tcPr>
          <w:p w14:paraId="53C048A2" w14:textId="77777777" w:rsidR="00AE3D6B" w:rsidRPr="00AC68A2" w:rsidRDefault="00AE3D6B" w:rsidP="00AE3D6B">
            <w:pPr>
              <w:pStyle w:val="Tabletext"/>
              <w:rPr>
                <w:b w:val="0"/>
                <w:bCs w:val="0"/>
                <w:color w:val="000000"/>
                <w:sz w:val="16"/>
                <w:szCs w:val="16"/>
                <w:lang w:eastAsia="en-AU"/>
              </w:rPr>
            </w:pPr>
            <w:r w:rsidRPr="00AC68A2">
              <w:rPr>
                <w:b w:val="0"/>
                <w:bCs w:val="0"/>
                <w:sz w:val="16"/>
                <w:szCs w:val="16"/>
                <w:lang w:eastAsia="en-AU"/>
              </w:rPr>
              <w:t>Total</w:t>
            </w:r>
          </w:p>
        </w:tc>
        <w:tc>
          <w:tcPr>
            <w:tcW w:w="1253" w:type="dxa"/>
            <w:vAlign w:val="bottom"/>
          </w:tcPr>
          <w:p w14:paraId="22D552CC" w14:textId="5F059CA8"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21</w:t>
            </w:r>
            <w:r w:rsidR="008A2D25">
              <w:rPr>
                <w:rFonts w:cs="Arial"/>
                <w:color w:val="000000"/>
                <w:sz w:val="16"/>
                <w:szCs w:val="16"/>
              </w:rPr>
              <w:t>8</w:t>
            </w:r>
          </w:p>
        </w:tc>
        <w:tc>
          <w:tcPr>
            <w:tcW w:w="1253" w:type="dxa"/>
            <w:vAlign w:val="bottom"/>
          </w:tcPr>
          <w:p w14:paraId="507997F7" w14:textId="3992A70D"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786</w:t>
            </w:r>
          </w:p>
        </w:tc>
        <w:tc>
          <w:tcPr>
            <w:tcW w:w="1253" w:type="dxa"/>
            <w:vAlign w:val="bottom"/>
          </w:tcPr>
          <w:p w14:paraId="63C7C874" w14:textId="4A1F6DF8"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247</w:t>
            </w:r>
          </w:p>
        </w:tc>
        <w:tc>
          <w:tcPr>
            <w:tcW w:w="1253" w:type="dxa"/>
            <w:vAlign w:val="bottom"/>
          </w:tcPr>
          <w:p w14:paraId="72A687A1" w14:textId="32CAB18A"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98</w:t>
            </w:r>
          </w:p>
        </w:tc>
        <w:tc>
          <w:tcPr>
            <w:tcW w:w="1666" w:type="dxa"/>
          </w:tcPr>
          <w:p w14:paraId="12AF4639" w14:textId="7FC6E7E7" w:rsidR="00AE3D6B" w:rsidRPr="009179FE" w:rsidRDefault="00AE3D6B" w:rsidP="00AE3D6B">
            <w:pPr>
              <w:pStyle w:val="Tabletex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1,3</w:t>
            </w:r>
            <w:r>
              <w:rPr>
                <w:sz w:val="16"/>
                <w:szCs w:val="16"/>
              </w:rPr>
              <w:t>4</w:t>
            </w:r>
            <w:r w:rsidR="00DA790E">
              <w:rPr>
                <w:sz w:val="16"/>
                <w:szCs w:val="16"/>
              </w:rPr>
              <w:t>9</w:t>
            </w:r>
          </w:p>
        </w:tc>
      </w:tr>
    </w:tbl>
    <w:p w14:paraId="3D0FC733" w14:textId="5F9CDF47" w:rsidR="005B699B" w:rsidRDefault="00462DC7" w:rsidP="00297FC9">
      <w:pPr>
        <w:pStyle w:val="Tablecaption"/>
      </w:pPr>
      <w:bookmarkStart w:id="2622" w:name="_Toc201148606"/>
      <w:r>
        <w:t xml:space="preserve">Table </w:t>
      </w:r>
      <w:r w:rsidR="002565CF">
        <w:t>2.</w:t>
      </w:r>
      <w:r w:rsidR="002565CF">
        <w:fldChar w:fldCharType="begin"/>
      </w:r>
      <w:r w:rsidR="002565CF">
        <w:instrText>SEQ Table \* ARABIC \s 1</w:instrText>
      </w:r>
      <w:r w:rsidR="002565CF">
        <w:fldChar w:fldCharType="separate"/>
      </w:r>
      <w:r w:rsidR="002565CF">
        <w:rPr>
          <w:noProof/>
        </w:rPr>
        <w:t>20</w:t>
      </w:r>
      <w:r w:rsidR="002565CF">
        <w:fldChar w:fldCharType="end"/>
      </w:r>
      <w:r w:rsidR="000C1781">
        <w:fldChar w:fldCharType="begin"/>
      </w:r>
      <w:r w:rsidR="000C1781">
        <w:instrText>SEQ Table \* ARABIC \s 1</w:instrText>
      </w:r>
      <w:r w:rsidR="000C1781">
        <w:fldChar w:fldCharType="separate"/>
      </w:r>
      <w:r w:rsidR="000C1781">
        <w:fldChar w:fldCharType="end"/>
      </w:r>
      <w:r w:rsidR="000C1781">
        <w:t xml:space="preserve">: </w:t>
      </w:r>
      <w:r w:rsidR="00CE1E8E" w:rsidRPr="00271AC6">
        <w:t xml:space="preserve">Mental health non-acute, subacute and </w:t>
      </w:r>
      <w:r w:rsidR="00CE1E8E" w:rsidRPr="00063268">
        <w:t xml:space="preserve">residential </w:t>
      </w:r>
      <w:r w:rsidR="00BE59AD">
        <w:t>operational</w:t>
      </w:r>
      <w:r w:rsidR="00CE1E8E" w:rsidRPr="00063268">
        <w:t xml:space="preserve"> beds</w:t>
      </w:r>
      <w:r w:rsidR="00CE1E8E" w:rsidRPr="00271AC6">
        <w:t xml:space="preserve"> </w:t>
      </w:r>
      <w:r w:rsidR="00CE1E8E" w:rsidRPr="00697369">
        <w:t>202</w:t>
      </w:r>
      <w:r w:rsidR="000C0EF6">
        <w:t>5</w:t>
      </w:r>
      <w:r w:rsidR="00CE1E8E">
        <w:t>–</w:t>
      </w:r>
      <w:r w:rsidR="00CE1E8E" w:rsidRPr="00697369">
        <w:t>2</w:t>
      </w:r>
      <w:r w:rsidR="000C0EF6">
        <w:t>6</w:t>
      </w:r>
      <w:bookmarkEnd w:id="2622"/>
      <w:r w:rsidR="00051FFE">
        <w:t xml:space="preserve"> </w:t>
      </w:r>
    </w:p>
    <w:p w14:paraId="2159BB35" w14:textId="77777777" w:rsidR="005B699B" w:rsidRDefault="005B699B" w:rsidP="00E00C4E">
      <w:pPr>
        <w:pStyle w:val="Body"/>
      </w:pPr>
      <w:r w:rsidRPr="00E00C4E">
        <w:t>Metropolitan and regional</w:t>
      </w:r>
    </w:p>
    <w:tbl>
      <w:tblPr>
        <w:tblStyle w:val="GridTable4-Accent1"/>
        <w:tblW w:w="9683" w:type="dxa"/>
        <w:tblLook w:val="04A0" w:firstRow="1" w:lastRow="0" w:firstColumn="1" w:lastColumn="0" w:noHBand="0" w:noVBand="1"/>
      </w:tblPr>
      <w:tblGrid>
        <w:gridCol w:w="1928"/>
        <w:gridCol w:w="1191"/>
        <w:gridCol w:w="1313"/>
        <w:gridCol w:w="1313"/>
        <w:gridCol w:w="1312"/>
        <w:gridCol w:w="1313"/>
        <w:gridCol w:w="1313"/>
      </w:tblGrid>
      <w:tr w:rsidR="00202965" w:rsidRPr="00A030E3" w14:paraId="2C7ABCB6" w14:textId="77777777" w:rsidTr="007922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1961874" w14:textId="77777777" w:rsidR="00202965" w:rsidRPr="0085584F" w:rsidRDefault="00202965" w:rsidP="00473B41">
            <w:pPr>
              <w:pStyle w:val="Tablecolhead8pt"/>
              <w:rPr>
                <w:b/>
                <w:bCs w:val="0"/>
                <w:color w:val="FFFFFF" w:themeColor="background1"/>
              </w:rPr>
            </w:pPr>
            <w:r w:rsidRPr="0085584F">
              <w:rPr>
                <w:b/>
                <w:bCs w:val="0"/>
                <w:color w:val="FFFFFF" w:themeColor="background1"/>
              </w:rPr>
              <w:t>Health service</w:t>
            </w:r>
          </w:p>
        </w:tc>
        <w:tc>
          <w:tcPr>
            <w:tcW w:w="1191" w:type="dxa"/>
          </w:tcPr>
          <w:p w14:paraId="29E245F3" w14:textId="20B71060"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non-acute</w:t>
            </w:r>
          </w:p>
        </w:tc>
        <w:tc>
          <w:tcPr>
            <w:tcW w:w="1313" w:type="dxa"/>
          </w:tcPr>
          <w:p w14:paraId="68A24C7F"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subacute CCU</w:t>
            </w:r>
          </w:p>
        </w:tc>
        <w:tc>
          <w:tcPr>
            <w:tcW w:w="1313" w:type="dxa"/>
          </w:tcPr>
          <w:p w14:paraId="355DA072"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subacute PARC</w:t>
            </w:r>
          </w:p>
        </w:tc>
        <w:tc>
          <w:tcPr>
            <w:tcW w:w="1312" w:type="dxa"/>
          </w:tcPr>
          <w:p w14:paraId="63E0F600"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residential</w:t>
            </w:r>
          </w:p>
        </w:tc>
        <w:tc>
          <w:tcPr>
            <w:tcW w:w="1313" w:type="dxa"/>
          </w:tcPr>
          <w:p w14:paraId="659A1EC1" w14:textId="29FBF2F1"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Total</w:t>
            </w:r>
            <w:r w:rsidR="00A00881" w:rsidRPr="0085584F">
              <w:rPr>
                <w:b/>
                <w:bCs w:val="0"/>
                <w:color w:val="FFFFFF" w:themeColor="background1"/>
              </w:rPr>
              <w:t xml:space="preserve">: </w:t>
            </w:r>
            <w:r w:rsidRPr="0085584F">
              <w:rPr>
                <w:b/>
                <w:bCs w:val="0"/>
                <w:color w:val="FFFFFF" w:themeColor="background1"/>
              </w:rPr>
              <w:t>Mental health funded subacute and residential bed</w:t>
            </w:r>
          </w:p>
        </w:tc>
        <w:tc>
          <w:tcPr>
            <w:tcW w:w="1313" w:type="dxa"/>
          </w:tcPr>
          <w:p w14:paraId="1F19666A" w14:textId="41A3C6A4"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Total</w:t>
            </w:r>
            <w:r w:rsidR="00A00881" w:rsidRPr="0085584F">
              <w:rPr>
                <w:b/>
                <w:bCs w:val="0"/>
                <w:color w:val="FFFFFF" w:themeColor="background1"/>
              </w:rPr>
              <w:t xml:space="preserve">: </w:t>
            </w:r>
            <w:r w:rsidRPr="0085584F">
              <w:rPr>
                <w:b/>
                <w:bCs w:val="0"/>
                <w:color w:val="FFFFFF" w:themeColor="background1"/>
              </w:rPr>
              <w:t>Mental health funded subacute and residential bed days</w:t>
            </w:r>
          </w:p>
        </w:tc>
      </w:tr>
      <w:tr w:rsidR="00924883" w:rsidRPr="00A030E3" w14:paraId="06916BFE" w14:textId="77777777" w:rsidTr="007922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7BA6618A" w14:textId="223327A5" w:rsidR="000D62F3" w:rsidRPr="000D62F3" w:rsidRDefault="000D62F3" w:rsidP="000D62F3">
            <w:pPr>
              <w:pStyle w:val="Tabletext8pt"/>
              <w:rPr>
                <w:b w:val="0"/>
                <w:bCs w:val="0"/>
              </w:rPr>
            </w:pPr>
            <w:r w:rsidRPr="000D62F3">
              <w:rPr>
                <w:rFonts w:cs="Arial"/>
                <w:b w:val="0"/>
                <w:bCs w:val="0"/>
                <w:sz w:val="16"/>
                <w:szCs w:val="16"/>
              </w:rPr>
              <w:t>Albury Wodonga Health</w:t>
            </w:r>
          </w:p>
        </w:tc>
        <w:tc>
          <w:tcPr>
            <w:tcW w:w="1191" w:type="dxa"/>
            <w:vAlign w:val="center"/>
          </w:tcPr>
          <w:p w14:paraId="38F8D9A7" w14:textId="77777777" w:rsidR="000D62F3" w:rsidRPr="00E10814"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DC2B283" w14:textId="5997B55D"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26</w:t>
            </w:r>
          </w:p>
        </w:tc>
        <w:tc>
          <w:tcPr>
            <w:tcW w:w="1313" w:type="dxa"/>
            <w:vAlign w:val="center"/>
          </w:tcPr>
          <w:p w14:paraId="71471312" w14:textId="2C158827"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4EB37E51" w14:textId="51151210"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15</w:t>
            </w:r>
          </w:p>
        </w:tc>
        <w:tc>
          <w:tcPr>
            <w:tcW w:w="1313" w:type="dxa"/>
            <w:vAlign w:val="center"/>
          </w:tcPr>
          <w:p w14:paraId="5701CF1A" w14:textId="3062DE1C" w:rsidR="000D62F3" w:rsidRPr="00D21D30"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51</w:t>
            </w:r>
          </w:p>
        </w:tc>
        <w:tc>
          <w:tcPr>
            <w:tcW w:w="1313" w:type="dxa"/>
            <w:vAlign w:val="center"/>
          </w:tcPr>
          <w:p w14:paraId="7B7304F0" w14:textId="6DC3B8D9" w:rsidR="000D62F3" w:rsidRPr="009606BD"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012EBE">
              <w:rPr>
                <w:rFonts w:cs="Arial"/>
                <w:sz w:val="16"/>
                <w:szCs w:val="16"/>
              </w:rPr>
              <w:t>15,83</w:t>
            </w:r>
            <w:r w:rsidR="00A90E00">
              <w:rPr>
                <w:rFonts w:cs="Arial"/>
                <w:sz w:val="16"/>
                <w:szCs w:val="16"/>
              </w:rPr>
              <w:t>4</w:t>
            </w:r>
            <w:r>
              <w:rPr>
                <w:rFonts w:cs="Arial"/>
                <w:sz w:val="16"/>
                <w:szCs w:val="16"/>
              </w:rPr>
              <w:t xml:space="preserve"> </w:t>
            </w:r>
          </w:p>
        </w:tc>
      </w:tr>
      <w:tr w:rsidR="00707436" w:rsidRPr="00A030E3" w14:paraId="41D6899F"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13E8AC0B" w14:textId="5949CF35" w:rsidR="00707436" w:rsidRPr="000D62F3" w:rsidRDefault="00707436" w:rsidP="00707436">
            <w:pPr>
              <w:pStyle w:val="Tabletext8pt"/>
              <w:rPr>
                <w:b w:val="0"/>
                <w:bCs w:val="0"/>
              </w:rPr>
            </w:pPr>
            <w:r w:rsidRPr="000D62F3">
              <w:rPr>
                <w:rFonts w:cs="Arial"/>
                <w:b w:val="0"/>
                <w:bCs w:val="0"/>
                <w:sz w:val="16"/>
                <w:szCs w:val="16"/>
              </w:rPr>
              <w:t>Alfred Health</w:t>
            </w:r>
          </w:p>
        </w:tc>
        <w:tc>
          <w:tcPr>
            <w:tcW w:w="1191" w:type="dxa"/>
            <w:vAlign w:val="center"/>
          </w:tcPr>
          <w:p w14:paraId="601CE162"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EFF6011" w14:textId="2202CCC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3615427E" w14:textId="6076A212"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10</w:t>
            </w:r>
          </w:p>
        </w:tc>
        <w:tc>
          <w:tcPr>
            <w:tcW w:w="1312" w:type="dxa"/>
            <w:vAlign w:val="center"/>
          </w:tcPr>
          <w:p w14:paraId="68A4BF33"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3480928" w14:textId="42346AB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30</w:t>
            </w:r>
          </w:p>
        </w:tc>
        <w:tc>
          <w:tcPr>
            <w:tcW w:w="1313" w:type="dxa"/>
          </w:tcPr>
          <w:p w14:paraId="4D940026" w14:textId="49B47194"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9,314</w:t>
            </w:r>
          </w:p>
        </w:tc>
      </w:tr>
      <w:tr w:rsidR="009D4BF1" w:rsidRPr="00A030E3" w14:paraId="515C92B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5E6A6E1A" w14:textId="75535FD4" w:rsidR="00707436" w:rsidRPr="000D62F3" w:rsidRDefault="00707436" w:rsidP="00707436">
            <w:pPr>
              <w:pStyle w:val="Tabletext8pt"/>
              <w:rPr>
                <w:b w:val="0"/>
                <w:bCs w:val="0"/>
              </w:rPr>
            </w:pPr>
            <w:r w:rsidRPr="000D62F3">
              <w:rPr>
                <w:rFonts w:cs="Arial"/>
                <w:b w:val="0"/>
                <w:bCs w:val="0"/>
                <w:sz w:val="16"/>
                <w:szCs w:val="16"/>
              </w:rPr>
              <w:t>Austin Health</w:t>
            </w:r>
            <w:r>
              <w:rPr>
                <w:rStyle w:val="FootnoteReference"/>
                <w:rFonts w:cs="Arial"/>
                <w:b w:val="0"/>
                <w:bCs w:val="0"/>
                <w:sz w:val="16"/>
                <w:szCs w:val="16"/>
              </w:rPr>
              <w:footnoteReference w:id="24"/>
            </w:r>
          </w:p>
        </w:tc>
        <w:tc>
          <w:tcPr>
            <w:tcW w:w="1191" w:type="dxa"/>
            <w:vAlign w:val="center"/>
          </w:tcPr>
          <w:p w14:paraId="340ED761"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8696859" w14:textId="5760962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22</w:t>
            </w:r>
          </w:p>
        </w:tc>
        <w:tc>
          <w:tcPr>
            <w:tcW w:w="1313" w:type="dxa"/>
            <w:vAlign w:val="center"/>
          </w:tcPr>
          <w:p w14:paraId="3ED4FC71" w14:textId="2F6D8B45"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52B45EF1">
              <w:rPr>
                <w:sz w:val="16"/>
                <w:szCs w:val="16"/>
              </w:rPr>
              <w:t>32</w:t>
            </w:r>
          </w:p>
        </w:tc>
        <w:tc>
          <w:tcPr>
            <w:tcW w:w="1312" w:type="dxa"/>
            <w:vAlign w:val="center"/>
          </w:tcPr>
          <w:p w14:paraId="0BE55A4A" w14:textId="1884B0E2"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78C5772F" w14:textId="2A5E3D99"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Pr>
                <w:rFonts w:cstheme="minorHAnsi"/>
                <w:sz w:val="16"/>
                <w:szCs w:val="16"/>
              </w:rPr>
              <w:t>74</w:t>
            </w:r>
          </w:p>
        </w:tc>
        <w:tc>
          <w:tcPr>
            <w:tcW w:w="1313" w:type="dxa"/>
          </w:tcPr>
          <w:p w14:paraId="4A7A5004" w14:textId="1145F5DC"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22,974</w:t>
            </w:r>
          </w:p>
        </w:tc>
      </w:tr>
      <w:tr w:rsidR="00707436" w:rsidRPr="00A030E3" w14:paraId="7CD488F1"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775CB46" w14:textId="6A99AEBD" w:rsidR="00707436" w:rsidRPr="000D62F3" w:rsidRDefault="00707436" w:rsidP="00707436">
            <w:pPr>
              <w:pStyle w:val="Tabletext8pt"/>
              <w:rPr>
                <w:b w:val="0"/>
                <w:bCs w:val="0"/>
              </w:rPr>
            </w:pPr>
            <w:r w:rsidRPr="000D62F3">
              <w:rPr>
                <w:rFonts w:cs="Arial"/>
                <w:b w:val="0"/>
                <w:bCs w:val="0"/>
                <w:sz w:val="16"/>
                <w:szCs w:val="16"/>
              </w:rPr>
              <w:t>Barwon Health</w:t>
            </w:r>
          </w:p>
        </w:tc>
        <w:tc>
          <w:tcPr>
            <w:tcW w:w="1191" w:type="dxa"/>
            <w:vAlign w:val="center"/>
          </w:tcPr>
          <w:p w14:paraId="2D04373D"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5C7EDD6" w14:textId="26457471"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12</w:t>
            </w:r>
          </w:p>
        </w:tc>
        <w:tc>
          <w:tcPr>
            <w:tcW w:w="1313" w:type="dxa"/>
            <w:vAlign w:val="center"/>
          </w:tcPr>
          <w:p w14:paraId="31FBF9F1" w14:textId="5190ED4D"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12</w:t>
            </w:r>
          </w:p>
        </w:tc>
        <w:tc>
          <w:tcPr>
            <w:tcW w:w="1312" w:type="dxa"/>
            <w:vAlign w:val="center"/>
          </w:tcPr>
          <w:p w14:paraId="2AB06C2B" w14:textId="3FEC87CA"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45</w:t>
            </w:r>
          </w:p>
        </w:tc>
        <w:tc>
          <w:tcPr>
            <w:tcW w:w="1313" w:type="dxa"/>
            <w:vAlign w:val="center"/>
          </w:tcPr>
          <w:p w14:paraId="4D326A63" w14:textId="7022263F"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69</w:t>
            </w:r>
          </w:p>
        </w:tc>
        <w:tc>
          <w:tcPr>
            <w:tcW w:w="1313" w:type="dxa"/>
          </w:tcPr>
          <w:p w14:paraId="22283DB8" w14:textId="448D0396"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21,422</w:t>
            </w:r>
          </w:p>
        </w:tc>
      </w:tr>
      <w:tr w:rsidR="009D4BF1" w:rsidRPr="00A030E3" w14:paraId="1646411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0096823C" w14:textId="3B1C3F2D" w:rsidR="00707436" w:rsidRPr="000D62F3" w:rsidRDefault="00707436" w:rsidP="00707436">
            <w:pPr>
              <w:pStyle w:val="Tabletext8pt"/>
              <w:rPr>
                <w:b w:val="0"/>
                <w:bCs w:val="0"/>
              </w:rPr>
            </w:pPr>
            <w:r w:rsidRPr="000D62F3">
              <w:rPr>
                <w:rFonts w:cs="Arial"/>
                <w:b w:val="0"/>
                <w:bCs w:val="0"/>
                <w:sz w:val="16"/>
                <w:szCs w:val="16"/>
              </w:rPr>
              <w:t>Bendigo Health Care Group</w:t>
            </w:r>
          </w:p>
        </w:tc>
        <w:tc>
          <w:tcPr>
            <w:tcW w:w="1191" w:type="dxa"/>
            <w:vAlign w:val="center"/>
          </w:tcPr>
          <w:p w14:paraId="290EF4DD"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DD49D8D" w14:textId="35CF8991"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12</w:t>
            </w:r>
          </w:p>
        </w:tc>
        <w:tc>
          <w:tcPr>
            <w:tcW w:w="1313" w:type="dxa"/>
            <w:vAlign w:val="center"/>
          </w:tcPr>
          <w:p w14:paraId="20ACF258" w14:textId="75DD5DEF"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25D9DA1C" w14:textId="48699DFF"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vAlign w:val="center"/>
          </w:tcPr>
          <w:p w14:paraId="31912A3B" w14:textId="16DF295D"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62</w:t>
            </w:r>
          </w:p>
        </w:tc>
        <w:tc>
          <w:tcPr>
            <w:tcW w:w="1313" w:type="dxa"/>
          </w:tcPr>
          <w:p w14:paraId="290DECE8" w14:textId="60D9A79A"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19,249</w:t>
            </w:r>
          </w:p>
        </w:tc>
      </w:tr>
      <w:tr w:rsidR="00707436" w:rsidRPr="00A030E3" w14:paraId="18E6C99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203C1421" w14:textId="1D771911" w:rsidR="00707436" w:rsidRPr="000D62F3" w:rsidRDefault="00707436" w:rsidP="00707436">
            <w:pPr>
              <w:pStyle w:val="Tabletext8pt"/>
              <w:rPr>
                <w:b w:val="0"/>
                <w:bCs w:val="0"/>
              </w:rPr>
            </w:pPr>
            <w:r w:rsidRPr="000D62F3">
              <w:rPr>
                <w:rFonts w:cs="Arial"/>
                <w:b w:val="0"/>
                <w:bCs w:val="0"/>
                <w:sz w:val="16"/>
                <w:szCs w:val="16"/>
              </w:rPr>
              <w:t>Eastern Health</w:t>
            </w:r>
          </w:p>
        </w:tc>
        <w:tc>
          <w:tcPr>
            <w:tcW w:w="1191" w:type="dxa"/>
            <w:vAlign w:val="center"/>
          </w:tcPr>
          <w:p w14:paraId="3BDD0ABC"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29F1927C" w14:textId="692A8B8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40</w:t>
            </w:r>
          </w:p>
        </w:tc>
        <w:tc>
          <w:tcPr>
            <w:tcW w:w="1313" w:type="dxa"/>
            <w:vAlign w:val="center"/>
          </w:tcPr>
          <w:p w14:paraId="338D5DC3" w14:textId="20378B1E"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20</w:t>
            </w:r>
          </w:p>
        </w:tc>
        <w:tc>
          <w:tcPr>
            <w:tcW w:w="1312" w:type="dxa"/>
            <w:vAlign w:val="center"/>
          </w:tcPr>
          <w:p w14:paraId="5152DCF4" w14:textId="0DE0C5E8"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60</w:t>
            </w:r>
          </w:p>
        </w:tc>
        <w:tc>
          <w:tcPr>
            <w:tcW w:w="1313" w:type="dxa"/>
            <w:vAlign w:val="center"/>
          </w:tcPr>
          <w:p w14:paraId="72F351AE" w14:textId="03151E1E"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 xml:space="preserve">120 </w:t>
            </w:r>
          </w:p>
        </w:tc>
        <w:tc>
          <w:tcPr>
            <w:tcW w:w="1313" w:type="dxa"/>
          </w:tcPr>
          <w:p w14:paraId="7B9186A1" w14:textId="20DA2597"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37,256</w:t>
            </w:r>
          </w:p>
        </w:tc>
      </w:tr>
      <w:tr w:rsidR="009D4BF1" w:rsidRPr="00A030E3" w14:paraId="7283BC6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8D0B6D7" w14:textId="07AE990A" w:rsidR="00707436" w:rsidRPr="000D62F3" w:rsidRDefault="00707436" w:rsidP="00707436">
            <w:pPr>
              <w:pStyle w:val="Tabletext8pt"/>
              <w:rPr>
                <w:b w:val="0"/>
                <w:bCs w:val="0"/>
              </w:rPr>
            </w:pPr>
            <w:r w:rsidRPr="000D62F3">
              <w:rPr>
                <w:rFonts w:cs="Arial"/>
                <w:b w:val="0"/>
                <w:bCs w:val="0"/>
                <w:sz w:val="16"/>
                <w:szCs w:val="16"/>
              </w:rPr>
              <w:t>Goulburn Valley Health</w:t>
            </w:r>
          </w:p>
        </w:tc>
        <w:tc>
          <w:tcPr>
            <w:tcW w:w="1191" w:type="dxa"/>
            <w:vAlign w:val="center"/>
          </w:tcPr>
          <w:p w14:paraId="2A034227"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A0DA929" w14:textId="28C8BF8B"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3" w:type="dxa"/>
            <w:vAlign w:val="center"/>
          </w:tcPr>
          <w:p w14:paraId="591F5F50" w14:textId="38690160"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23985C9A" w14:textId="2F669D76"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27253FF0" w14:textId="0EB38CB0"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40</w:t>
            </w:r>
          </w:p>
        </w:tc>
        <w:tc>
          <w:tcPr>
            <w:tcW w:w="1313" w:type="dxa"/>
          </w:tcPr>
          <w:p w14:paraId="5B12924F" w14:textId="2B5AC465"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12,419</w:t>
            </w:r>
          </w:p>
        </w:tc>
      </w:tr>
      <w:tr w:rsidR="00707436" w:rsidRPr="00A030E3" w14:paraId="0468B651"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2DFEE92" w14:textId="059DFE48" w:rsidR="00707436" w:rsidRPr="000D62F3" w:rsidRDefault="00707436" w:rsidP="00707436">
            <w:pPr>
              <w:pStyle w:val="Tabletext8pt"/>
              <w:rPr>
                <w:b w:val="0"/>
                <w:bCs w:val="0"/>
              </w:rPr>
            </w:pPr>
            <w:r w:rsidRPr="000D62F3">
              <w:rPr>
                <w:rFonts w:cs="Arial"/>
                <w:b w:val="0"/>
                <w:bCs w:val="0"/>
                <w:sz w:val="16"/>
                <w:szCs w:val="16"/>
              </w:rPr>
              <w:t>Grampians Health</w:t>
            </w:r>
          </w:p>
        </w:tc>
        <w:tc>
          <w:tcPr>
            <w:tcW w:w="1191" w:type="dxa"/>
            <w:vAlign w:val="center"/>
          </w:tcPr>
          <w:p w14:paraId="23D03C92"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06B0653D" w14:textId="167E1E02"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3828917A" w14:textId="2D95B8BF"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E3393">
              <w:rPr>
                <w:rFonts w:cstheme="minorHAnsi"/>
                <w:sz w:val="16"/>
                <w:szCs w:val="16"/>
              </w:rPr>
              <w:t>12</w:t>
            </w:r>
          </w:p>
        </w:tc>
        <w:tc>
          <w:tcPr>
            <w:tcW w:w="1312" w:type="dxa"/>
            <w:vAlign w:val="center"/>
          </w:tcPr>
          <w:p w14:paraId="0761D7A1" w14:textId="25B427F3" w:rsidR="00707436" w:rsidRPr="0025567A"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Arial"/>
                <w:sz w:val="16"/>
                <w:szCs w:val="16"/>
              </w:rPr>
              <w:t>32</w:t>
            </w:r>
          </w:p>
        </w:tc>
        <w:tc>
          <w:tcPr>
            <w:tcW w:w="1313" w:type="dxa"/>
            <w:vAlign w:val="center"/>
          </w:tcPr>
          <w:p w14:paraId="4F99FAF4" w14:textId="7E7258E8"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Arial"/>
                <w:sz w:val="16"/>
                <w:szCs w:val="16"/>
              </w:rPr>
              <w:t>44</w:t>
            </w:r>
          </w:p>
        </w:tc>
        <w:tc>
          <w:tcPr>
            <w:tcW w:w="1313" w:type="dxa"/>
          </w:tcPr>
          <w:p w14:paraId="613D36B5" w14:textId="616448D7"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13,660</w:t>
            </w:r>
          </w:p>
        </w:tc>
      </w:tr>
      <w:tr w:rsidR="009D4BF1" w:rsidRPr="00A030E3" w14:paraId="05ED1E3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4026FEDE" w14:textId="6F2ABF62" w:rsidR="00707436" w:rsidRPr="000D62F3" w:rsidRDefault="00707436" w:rsidP="00707436">
            <w:pPr>
              <w:pStyle w:val="Tabletext8pt"/>
              <w:rPr>
                <w:b w:val="0"/>
                <w:bCs w:val="0"/>
              </w:rPr>
            </w:pPr>
            <w:r w:rsidRPr="000D62F3">
              <w:rPr>
                <w:rFonts w:cs="Arial"/>
                <w:b w:val="0"/>
                <w:bCs w:val="0"/>
                <w:sz w:val="16"/>
                <w:szCs w:val="16"/>
              </w:rPr>
              <w:t>Latrobe Regional Health</w:t>
            </w:r>
          </w:p>
        </w:tc>
        <w:tc>
          <w:tcPr>
            <w:tcW w:w="1191" w:type="dxa"/>
            <w:vAlign w:val="center"/>
          </w:tcPr>
          <w:p w14:paraId="330C6264"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7D2764B3" w14:textId="7BA091A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14</w:t>
            </w:r>
          </w:p>
        </w:tc>
        <w:tc>
          <w:tcPr>
            <w:tcW w:w="1313" w:type="dxa"/>
            <w:vAlign w:val="center"/>
          </w:tcPr>
          <w:p w14:paraId="6B4F2714" w14:textId="5A00F96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52B45EF1">
              <w:rPr>
                <w:sz w:val="16"/>
                <w:szCs w:val="16"/>
              </w:rPr>
              <w:t>20</w:t>
            </w:r>
          </w:p>
        </w:tc>
        <w:tc>
          <w:tcPr>
            <w:tcW w:w="1312" w:type="dxa"/>
            <w:vAlign w:val="center"/>
          </w:tcPr>
          <w:p w14:paraId="569B1470" w14:textId="726CCBB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3" w:type="dxa"/>
            <w:vAlign w:val="center"/>
          </w:tcPr>
          <w:p w14:paraId="166BF55D" w14:textId="6C148C8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Pr>
                <w:rFonts w:cstheme="minorHAnsi"/>
                <w:sz w:val="16"/>
                <w:szCs w:val="16"/>
              </w:rPr>
              <w:t>44</w:t>
            </w:r>
          </w:p>
        </w:tc>
        <w:tc>
          <w:tcPr>
            <w:tcW w:w="1313" w:type="dxa"/>
          </w:tcPr>
          <w:p w14:paraId="46B0C11C" w14:textId="6605F30C"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13,660</w:t>
            </w:r>
          </w:p>
        </w:tc>
      </w:tr>
      <w:tr w:rsidR="00707436" w:rsidRPr="00A030E3" w14:paraId="75FC176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74AD3C62" w14:textId="3BC53036" w:rsidR="00707436" w:rsidRPr="000D62F3" w:rsidRDefault="00707436" w:rsidP="00707436">
            <w:pPr>
              <w:pStyle w:val="Tabletext8pt"/>
              <w:rPr>
                <w:b w:val="0"/>
                <w:bCs w:val="0"/>
              </w:rPr>
            </w:pPr>
            <w:r w:rsidRPr="000D62F3">
              <w:rPr>
                <w:rFonts w:cs="Arial"/>
                <w:b w:val="0"/>
                <w:bCs w:val="0"/>
                <w:sz w:val="16"/>
                <w:szCs w:val="16"/>
              </w:rPr>
              <w:t>Melbourne Health</w:t>
            </w:r>
          </w:p>
        </w:tc>
        <w:tc>
          <w:tcPr>
            <w:tcW w:w="1191" w:type="dxa"/>
            <w:vAlign w:val="center"/>
          </w:tcPr>
          <w:p w14:paraId="34F266FA"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52654389" w14:textId="291C3BAC"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11DCB9E3" w14:textId="7619480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10</w:t>
            </w:r>
          </w:p>
        </w:tc>
        <w:tc>
          <w:tcPr>
            <w:tcW w:w="1312" w:type="dxa"/>
            <w:vAlign w:val="center"/>
          </w:tcPr>
          <w:p w14:paraId="5BD3E825"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6B7DB37F" w14:textId="1C9B085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30</w:t>
            </w:r>
          </w:p>
        </w:tc>
        <w:tc>
          <w:tcPr>
            <w:tcW w:w="1313" w:type="dxa"/>
          </w:tcPr>
          <w:p w14:paraId="505C0A18" w14:textId="6AA1723A"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9,314</w:t>
            </w:r>
          </w:p>
        </w:tc>
      </w:tr>
      <w:tr w:rsidR="009D4BF1" w:rsidRPr="00A030E3" w14:paraId="676D76AC"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31ABEB4" w14:textId="0BD036A0" w:rsidR="00707436" w:rsidRPr="000D62F3" w:rsidRDefault="00707436" w:rsidP="00707436">
            <w:pPr>
              <w:pStyle w:val="Tabletext8pt"/>
              <w:rPr>
                <w:b w:val="0"/>
                <w:bCs w:val="0"/>
              </w:rPr>
            </w:pPr>
            <w:r w:rsidRPr="000D62F3">
              <w:rPr>
                <w:rFonts w:cs="Arial"/>
                <w:b w:val="0"/>
                <w:bCs w:val="0"/>
                <w:sz w:val="16"/>
                <w:szCs w:val="16"/>
              </w:rPr>
              <w:t>Mercy Health</w:t>
            </w:r>
          </w:p>
        </w:tc>
        <w:tc>
          <w:tcPr>
            <w:tcW w:w="1191" w:type="dxa"/>
            <w:vAlign w:val="center"/>
          </w:tcPr>
          <w:p w14:paraId="1412FC00"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75A4219" w14:textId="78D2DF05"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1CA69878" w14:textId="4CC2C68A"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3E33EFD6" w14:textId="7777777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6984C014" w14:textId="6747828F"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tcPr>
          <w:p w14:paraId="24C9A937" w14:textId="21BDE305"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9,314</w:t>
            </w:r>
          </w:p>
        </w:tc>
      </w:tr>
      <w:tr w:rsidR="00707436" w:rsidRPr="00A030E3" w14:paraId="28DE1BF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D6EA090" w14:textId="1DC73D7F" w:rsidR="00707436" w:rsidRPr="000D62F3" w:rsidRDefault="00707436" w:rsidP="00707436">
            <w:pPr>
              <w:pStyle w:val="Tabletext8pt"/>
              <w:rPr>
                <w:b w:val="0"/>
                <w:bCs w:val="0"/>
              </w:rPr>
            </w:pPr>
            <w:r w:rsidRPr="000D62F3">
              <w:rPr>
                <w:rFonts w:cs="Arial"/>
                <w:b w:val="0"/>
                <w:bCs w:val="0"/>
                <w:sz w:val="16"/>
                <w:szCs w:val="16"/>
              </w:rPr>
              <w:t>Monash Health</w:t>
            </w:r>
          </w:p>
        </w:tc>
        <w:tc>
          <w:tcPr>
            <w:tcW w:w="1191" w:type="dxa"/>
            <w:vAlign w:val="center"/>
          </w:tcPr>
          <w:p w14:paraId="4812ACB9"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0F790B27" w14:textId="1F5023FA"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40</w:t>
            </w:r>
          </w:p>
        </w:tc>
        <w:tc>
          <w:tcPr>
            <w:tcW w:w="1313" w:type="dxa"/>
            <w:vAlign w:val="center"/>
          </w:tcPr>
          <w:p w14:paraId="31AD97C2" w14:textId="6080F0CE"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50</w:t>
            </w:r>
          </w:p>
        </w:tc>
        <w:tc>
          <w:tcPr>
            <w:tcW w:w="1312" w:type="dxa"/>
            <w:vAlign w:val="center"/>
          </w:tcPr>
          <w:p w14:paraId="6BA3B6FB" w14:textId="4DA2F783"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94</w:t>
            </w:r>
          </w:p>
        </w:tc>
        <w:tc>
          <w:tcPr>
            <w:tcW w:w="1313" w:type="dxa"/>
            <w:vAlign w:val="center"/>
          </w:tcPr>
          <w:p w14:paraId="02AF9C4B" w14:textId="7FFE2CE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184</w:t>
            </w:r>
          </w:p>
        </w:tc>
        <w:tc>
          <w:tcPr>
            <w:tcW w:w="1313" w:type="dxa"/>
          </w:tcPr>
          <w:p w14:paraId="260BAC4F" w14:textId="7A228C42"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57,125</w:t>
            </w:r>
          </w:p>
        </w:tc>
      </w:tr>
      <w:tr w:rsidR="009D4BF1" w:rsidRPr="00A030E3" w14:paraId="0D537832"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6BE44F63" w14:textId="24411AEB" w:rsidR="00707436" w:rsidRPr="000D62F3" w:rsidRDefault="00707436" w:rsidP="00707436">
            <w:pPr>
              <w:pStyle w:val="Tabletext8pt"/>
              <w:rPr>
                <w:b w:val="0"/>
                <w:bCs w:val="0"/>
              </w:rPr>
            </w:pPr>
            <w:r w:rsidRPr="000D62F3">
              <w:rPr>
                <w:rFonts w:cs="Arial"/>
                <w:b w:val="0"/>
                <w:bCs w:val="0"/>
                <w:sz w:val="16"/>
                <w:szCs w:val="16"/>
              </w:rPr>
              <w:t>Northern Health</w:t>
            </w:r>
          </w:p>
        </w:tc>
        <w:tc>
          <w:tcPr>
            <w:tcW w:w="1191" w:type="dxa"/>
            <w:vAlign w:val="center"/>
          </w:tcPr>
          <w:p w14:paraId="30C675B0"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489DA9FE" w14:textId="6000928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40</w:t>
            </w:r>
          </w:p>
        </w:tc>
        <w:tc>
          <w:tcPr>
            <w:tcW w:w="1313" w:type="dxa"/>
            <w:vAlign w:val="center"/>
          </w:tcPr>
          <w:p w14:paraId="638F52EF" w14:textId="11023FE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0C6D769D" w14:textId="1E5B3CB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62</w:t>
            </w:r>
          </w:p>
        </w:tc>
        <w:tc>
          <w:tcPr>
            <w:tcW w:w="1313" w:type="dxa"/>
            <w:vAlign w:val="center"/>
          </w:tcPr>
          <w:p w14:paraId="5E6C2C11" w14:textId="2D36101A"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122</w:t>
            </w:r>
          </w:p>
        </w:tc>
        <w:tc>
          <w:tcPr>
            <w:tcW w:w="1313" w:type="dxa"/>
          </w:tcPr>
          <w:p w14:paraId="76E36981" w14:textId="336AAE71"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37,876</w:t>
            </w:r>
          </w:p>
        </w:tc>
      </w:tr>
      <w:tr w:rsidR="00707436" w:rsidRPr="00A030E3" w14:paraId="727ECA0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5636D33B" w14:textId="7167DA2C" w:rsidR="00707436" w:rsidRPr="000D62F3" w:rsidRDefault="00707436" w:rsidP="00707436">
            <w:pPr>
              <w:pStyle w:val="Tabletext8pt"/>
              <w:rPr>
                <w:b w:val="0"/>
                <w:bCs w:val="0"/>
              </w:rPr>
            </w:pPr>
            <w:r w:rsidRPr="000D62F3">
              <w:rPr>
                <w:rFonts w:cs="Arial"/>
                <w:b w:val="0"/>
                <w:bCs w:val="0"/>
                <w:sz w:val="16"/>
                <w:szCs w:val="16"/>
              </w:rPr>
              <w:t>Parkville Youth Mental Health and Wellbeing Services</w:t>
            </w:r>
          </w:p>
        </w:tc>
        <w:tc>
          <w:tcPr>
            <w:tcW w:w="1191" w:type="dxa"/>
            <w:vAlign w:val="center"/>
          </w:tcPr>
          <w:p w14:paraId="105259B3"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247E4A5" w14:textId="34321489"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5B1B65C2" w14:textId="3848B06F"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20</w:t>
            </w:r>
          </w:p>
        </w:tc>
        <w:tc>
          <w:tcPr>
            <w:tcW w:w="1312" w:type="dxa"/>
            <w:vAlign w:val="center"/>
          </w:tcPr>
          <w:p w14:paraId="451B98D2" w14:textId="7DFDB74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EC285DB" w14:textId="57A55708"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20</w:t>
            </w:r>
          </w:p>
        </w:tc>
        <w:tc>
          <w:tcPr>
            <w:tcW w:w="1313" w:type="dxa"/>
          </w:tcPr>
          <w:p w14:paraId="17960D09" w14:textId="5117C2F6"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6,209</w:t>
            </w:r>
          </w:p>
        </w:tc>
      </w:tr>
      <w:tr w:rsidR="009D4BF1" w:rsidRPr="00A030E3" w14:paraId="323BAC7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0518DAB1" w14:textId="5D6425F4" w:rsidR="00707436" w:rsidRPr="000D62F3" w:rsidRDefault="00707436" w:rsidP="00707436">
            <w:pPr>
              <w:pStyle w:val="Tabletext8pt"/>
              <w:rPr>
                <w:b w:val="0"/>
                <w:bCs w:val="0"/>
              </w:rPr>
            </w:pPr>
            <w:r w:rsidRPr="000D62F3">
              <w:rPr>
                <w:rFonts w:cs="Arial"/>
                <w:b w:val="0"/>
                <w:bCs w:val="0"/>
                <w:sz w:val="16"/>
                <w:szCs w:val="16"/>
              </w:rPr>
              <w:t>Peninsula Health</w:t>
            </w:r>
          </w:p>
        </w:tc>
        <w:tc>
          <w:tcPr>
            <w:tcW w:w="1191" w:type="dxa"/>
            <w:vAlign w:val="center"/>
          </w:tcPr>
          <w:p w14:paraId="258A66AF"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49920BC2" w14:textId="79FC24CC"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02D9F68F" w14:textId="591CA62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7ED480B2" w14:textId="3B1F5D12"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vAlign w:val="center"/>
          </w:tcPr>
          <w:p w14:paraId="395A2813" w14:textId="3D423DC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70</w:t>
            </w:r>
          </w:p>
        </w:tc>
        <w:tc>
          <w:tcPr>
            <w:tcW w:w="1313" w:type="dxa"/>
          </w:tcPr>
          <w:p w14:paraId="52C03199" w14:textId="50E7B328"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21,732</w:t>
            </w:r>
          </w:p>
        </w:tc>
      </w:tr>
      <w:tr w:rsidR="00707436" w:rsidRPr="00A030E3" w14:paraId="04C6618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36547B65" w14:textId="0B3425E5" w:rsidR="00707436" w:rsidRPr="000D62F3" w:rsidRDefault="00707436" w:rsidP="00707436">
            <w:pPr>
              <w:pStyle w:val="Tabletext8pt"/>
              <w:rPr>
                <w:b w:val="0"/>
                <w:bCs w:val="0"/>
              </w:rPr>
            </w:pPr>
            <w:r w:rsidRPr="000D62F3">
              <w:rPr>
                <w:rFonts w:cs="Arial"/>
                <w:b w:val="0"/>
                <w:bCs w:val="0"/>
                <w:sz w:val="16"/>
                <w:szCs w:val="16"/>
              </w:rPr>
              <w:t>St Vincent’s Hospital</w:t>
            </w:r>
          </w:p>
        </w:tc>
        <w:tc>
          <w:tcPr>
            <w:tcW w:w="1191" w:type="dxa"/>
            <w:vAlign w:val="center"/>
          </w:tcPr>
          <w:p w14:paraId="620E9892" w14:textId="4900785E" w:rsidR="00707436" w:rsidRPr="00E42F62"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650012CC" w14:textId="208D08A8"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4EDDFC51" w14:textId="5D91E84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10</w:t>
            </w:r>
          </w:p>
        </w:tc>
        <w:tc>
          <w:tcPr>
            <w:tcW w:w="1312" w:type="dxa"/>
            <w:vAlign w:val="center"/>
          </w:tcPr>
          <w:p w14:paraId="352591F5" w14:textId="4188BE11"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60</w:t>
            </w:r>
          </w:p>
        </w:tc>
        <w:tc>
          <w:tcPr>
            <w:tcW w:w="1313" w:type="dxa"/>
            <w:vAlign w:val="center"/>
          </w:tcPr>
          <w:p w14:paraId="7D5D385F" w14:textId="35F05696"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90</w:t>
            </w:r>
          </w:p>
        </w:tc>
        <w:tc>
          <w:tcPr>
            <w:tcW w:w="1313" w:type="dxa"/>
          </w:tcPr>
          <w:p w14:paraId="7C488294" w14:textId="62F5C490"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27,942</w:t>
            </w:r>
          </w:p>
        </w:tc>
      </w:tr>
      <w:tr w:rsidR="009D4BF1" w:rsidRPr="00A030E3" w14:paraId="263EB91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99831F6" w14:textId="6C781B12" w:rsidR="00707436" w:rsidRPr="000D62F3" w:rsidRDefault="00707436" w:rsidP="00707436">
            <w:pPr>
              <w:pStyle w:val="Tabletext8pt"/>
              <w:rPr>
                <w:b w:val="0"/>
                <w:bCs w:val="0"/>
              </w:rPr>
            </w:pPr>
            <w:r w:rsidRPr="000D62F3">
              <w:rPr>
                <w:rFonts w:cs="Arial"/>
                <w:b w:val="0"/>
                <w:bCs w:val="0"/>
                <w:sz w:val="16"/>
                <w:szCs w:val="16"/>
              </w:rPr>
              <w:t>Victorian Institute of Forensic Mental Health</w:t>
            </w:r>
          </w:p>
        </w:tc>
        <w:tc>
          <w:tcPr>
            <w:tcW w:w="1191" w:type="dxa"/>
            <w:vAlign w:val="center"/>
          </w:tcPr>
          <w:p w14:paraId="6EC193DD" w14:textId="5FE17E6E"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D735E1">
              <w:rPr>
                <w:rFonts w:cstheme="minorHAnsi"/>
                <w:sz w:val="16"/>
                <w:szCs w:val="16"/>
              </w:rPr>
              <w:t>82</w:t>
            </w:r>
          </w:p>
        </w:tc>
        <w:tc>
          <w:tcPr>
            <w:tcW w:w="1313" w:type="dxa"/>
            <w:vAlign w:val="center"/>
          </w:tcPr>
          <w:p w14:paraId="13527BE6" w14:textId="2310C848"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E67EEB6" w14:textId="468CCFE8"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2" w:type="dxa"/>
            <w:vAlign w:val="center"/>
          </w:tcPr>
          <w:p w14:paraId="543D92E2" w14:textId="7777777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938CEFA" w14:textId="68BC257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82</w:t>
            </w:r>
          </w:p>
        </w:tc>
        <w:tc>
          <w:tcPr>
            <w:tcW w:w="1313" w:type="dxa"/>
          </w:tcPr>
          <w:p w14:paraId="736935B8" w14:textId="78E8E668"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25,458</w:t>
            </w:r>
          </w:p>
        </w:tc>
      </w:tr>
      <w:tr w:rsidR="00707436" w:rsidRPr="00A030E3" w14:paraId="31358E9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tcPr>
          <w:p w14:paraId="7D8363B5" w14:textId="0E0E11A2" w:rsidR="00707436" w:rsidRPr="000D62F3" w:rsidRDefault="00707436" w:rsidP="00707436">
            <w:pPr>
              <w:pStyle w:val="Tabletext8pt"/>
              <w:rPr>
                <w:b w:val="0"/>
                <w:bCs w:val="0"/>
              </w:rPr>
            </w:pPr>
            <w:r w:rsidRPr="000D62F3">
              <w:rPr>
                <w:rFonts w:cs="Arial"/>
                <w:b w:val="0"/>
                <w:bCs w:val="0"/>
                <w:sz w:val="16"/>
                <w:szCs w:val="16"/>
              </w:rPr>
              <w:t xml:space="preserve">Western Health </w:t>
            </w:r>
          </w:p>
        </w:tc>
        <w:tc>
          <w:tcPr>
            <w:tcW w:w="1191" w:type="dxa"/>
            <w:vAlign w:val="center"/>
          </w:tcPr>
          <w:p w14:paraId="349511DD" w14:textId="77777777" w:rsidR="00707436" w:rsidRPr="00D735E1"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13" w:type="dxa"/>
            <w:vAlign w:val="center"/>
          </w:tcPr>
          <w:p w14:paraId="55DB0F8B" w14:textId="3E22DB10"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4FF0338B" w14:textId="7E65AC4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22</w:t>
            </w:r>
          </w:p>
        </w:tc>
        <w:tc>
          <w:tcPr>
            <w:tcW w:w="1312" w:type="dxa"/>
            <w:vAlign w:val="center"/>
          </w:tcPr>
          <w:p w14:paraId="4CF6327D"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BFBBAD5" w14:textId="2A7C4F6E" w:rsidR="00707436" w:rsidRPr="00A64C8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rPr>
                <w:rFonts w:cstheme="minorHAnsi"/>
              </w:rPr>
            </w:pPr>
            <w:r w:rsidRPr="00A64C84">
              <w:rPr>
                <w:rFonts w:cstheme="minorHAnsi"/>
                <w:sz w:val="16"/>
                <w:szCs w:val="16"/>
              </w:rPr>
              <w:t>42</w:t>
            </w:r>
          </w:p>
        </w:tc>
        <w:tc>
          <w:tcPr>
            <w:tcW w:w="1313" w:type="dxa"/>
          </w:tcPr>
          <w:p w14:paraId="233B338E" w14:textId="2D26AEAD" w:rsidR="00707436"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13,039</w:t>
            </w:r>
          </w:p>
        </w:tc>
      </w:tr>
    </w:tbl>
    <w:p w14:paraId="0A6FA544" w14:textId="77777777" w:rsidR="005B699B" w:rsidRDefault="005B699B" w:rsidP="00473B41">
      <w:pPr>
        <w:pStyle w:val="Bodyafterfiguretable"/>
        <w:keepNext/>
        <w:keepLines/>
      </w:pPr>
      <w:bookmarkStart w:id="2623" w:name="_Toc109894147"/>
      <w:bookmarkStart w:id="2624" w:name="_Toc12780582"/>
      <w:bookmarkStart w:id="2625" w:name="_Toc14194838"/>
      <w:bookmarkStart w:id="2626" w:name="_Toc33704019"/>
      <w:r w:rsidRPr="00E00C4E">
        <w:t xml:space="preserve">Subregional and </w:t>
      </w:r>
      <w:r w:rsidRPr="00A00881">
        <w:t>rural</w:t>
      </w:r>
      <w:bookmarkEnd w:id="2623"/>
    </w:p>
    <w:tbl>
      <w:tblPr>
        <w:tblStyle w:val="GridTable4-Accent1"/>
        <w:tblW w:w="9589" w:type="dxa"/>
        <w:tblLook w:val="04A0" w:firstRow="1" w:lastRow="0" w:firstColumn="1" w:lastColumn="0" w:noHBand="0" w:noVBand="1"/>
      </w:tblPr>
      <w:tblGrid>
        <w:gridCol w:w="1871"/>
        <w:gridCol w:w="1191"/>
        <w:gridCol w:w="1304"/>
        <w:gridCol w:w="1304"/>
        <w:gridCol w:w="1247"/>
        <w:gridCol w:w="1336"/>
        <w:gridCol w:w="1336"/>
      </w:tblGrid>
      <w:tr w:rsidR="00924883" w:rsidRPr="00260F93" w14:paraId="195A5E7E" w14:textId="77777777" w:rsidTr="00C6362D">
        <w:trPr>
          <w:cnfStyle w:val="100000000000" w:firstRow="1" w:lastRow="0" w:firstColumn="0" w:lastColumn="0" w:oddVBand="0" w:evenVBand="0" w:oddHBand="0" w:evenHBand="0" w:firstRowFirstColumn="0" w:firstRowLastColumn="0" w:lastRowFirstColumn="0" w:lastRowLastColumn="0"/>
          <w:cantSplit/>
          <w:trHeight w:val="305"/>
        </w:trPr>
        <w:tc>
          <w:tcPr>
            <w:cnfStyle w:val="001000000000" w:firstRow="0" w:lastRow="0" w:firstColumn="1" w:lastColumn="0" w:oddVBand="0" w:evenVBand="0" w:oddHBand="0" w:evenHBand="0" w:firstRowFirstColumn="0" w:firstRowLastColumn="0" w:lastRowFirstColumn="0" w:lastRowLastColumn="0"/>
            <w:tcW w:w="1871" w:type="dxa"/>
          </w:tcPr>
          <w:p w14:paraId="7F2E93D8" w14:textId="77777777" w:rsidR="00E233F1" w:rsidRPr="00281277" w:rsidRDefault="00E233F1" w:rsidP="00473B41">
            <w:pPr>
              <w:pStyle w:val="Tablecolhead8pt"/>
              <w:rPr>
                <w:b/>
                <w:color w:val="FFFFFF" w:themeColor="background1"/>
                <w:sz w:val="16"/>
              </w:rPr>
            </w:pPr>
            <w:r w:rsidRPr="00281277">
              <w:rPr>
                <w:b/>
                <w:color w:val="FFFFFF" w:themeColor="background1"/>
                <w:sz w:val="16"/>
              </w:rPr>
              <w:t>Health service</w:t>
            </w:r>
          </w:p>
        </w:tc>
        <w:tc>
          <w:tcPr>
            <w:tcW w:w="1191" w:type="dxa"/>
          </w:tcPr>
          <w:p w14:paraId="1F276668" w14:textId="09FE995D"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16"/>
              </w:rPr>
            </w:pPr>
            <w:r w:rsidRPr="00281277">
              <w:rPr>
                <w:rFonts w:cs="Arial"/>
                <w:b/>
                <w:color w:val="FFFFFF" w:themeColor="background1"/>
                <w:sz w:val="16"/>
              </w:rPr>
              <w:t>Mental health funded bed – non-acute</w:t>
            </w:r>
          </w:p>
        </w:tc>
        <w:tc>
          <w:tcPr>
            <w:tcW w:w="1304" w:type="dxa"/>
          </w:tcPr>
          <w:p w14:paraId="45906B43"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CCU</w:t>
            </w:r>
          </w:p>
        </w:tc>
        <w:tc>
          <w:tcPr>
            <w:tcW w:w="1304" w:type="dxa"/>
          </w:tcPr>
          <w:p w14:paraId="506FCE1E"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PARC</w:t>
            </w:r>
          </w:p>
        </w:tc>
        <w:tc>
          <w:tcPr>
            <w:tcW w:w="1247" w:type="dxa"/>
          </w:tcPr>
          <w:p w14:paraId="6C433A80"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residential</w:t>
            </w:r>
          </w:p>
        </w:tc>
        <w:tc>
          <w:tcPr>
            <w:tcW w:w="1336" w:type="dxa"/>
          </w:tcPr>
          <w:p w14:paraId="2147B92E" w14:textId="4308592B"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w:t>
            </w:r>
          </w:p>
        </w:tc>
        <w:tc>
          <w:tcPr>
            <w:tcW w:w="1336" w:type="dxa"/>
          </w:tcPr>
          <w:p w14:paraId="780600D2" w14:textId="3251AD6D"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 days</w:t>
            </w:r>
          </w:p>
        </w:tc>
      </w:tr>
      <w:tr w:rsidR="0085584F" w:rsidRPr="00260F93" w14:paraId="5C1E3730" w14:textId="77777777" w:rsidTr="00C6362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1" w:type="dxa"/>
            <w:hideMark/>
          </w:tcPr>
          <w:p w14:paraId="3AE7D852" w14:textId="77777777" w:rsidR="00161649" w:rsidRPr="00281277" w:rsidRDefault="00161649" w:rsidP="00473B41">
            <w:pPr>
              <w:pStyle w:val="Tabletext8pt"/>
              <w:rPr>
                <w:b w:val="0"/>
                <w:sz w:val="16"/>
                <w:szCs w:val="16"/>
              </w:rPr>
            </w:pPr>
            <w:r w:rsidRPr="00281277">
              <w:rPr>
                <w:b w:val="0"/>
                <w:sz w:val="16"/>
                <w:szCs w:val="16"/>
              </w:rPr>
              <w:t>Mildura Base Hospital</w:t>
            </w:r>
          </w:p>
        </w:tc>
        <w:tc>
          <w:tcPr>
            <w:tcW w:w="1191" w:type="dxa"/>
          </w:tcPr>
          <w:p w14:paraId="6B62A5BE" w14:textId="77777777"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04" w:type="dxa"/>
          </w:tcPr>
          <w:p w14:paraId="427D4FB4" w14:textId="108A464C"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04" w:type="dxa"/>
          </w:tcPr>
          <w:p w14:paraId="5C677299" w14:textId="54CA16B2" w:rsidR="00161649" w:rsidRPr="00281277" w:rsidRDefault="00013A8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10</w:t>
            </w:r>
          </w:p>
        </w:tc>
        <w:tc>
          <w:tcPr>
            <w:tcW w:w="1247" w:type="dxa"/>
          </w:tcPr>
          <w:p w14:paraId="07A438FE" w14:textId="06CB1DB7"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36" w:type="dxa"/>
          </w:tcPr>
          <w:p w14:paraId="422B20D8" w14:textId="67D5956F" w:rsidR="00161649" w:rsidRPr="00281277" w:rsidRDefault="00013A8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10</w:t>
            </w:r>
          </w:p>
        </w:tc>
        <w:tc>
          <w:tcPr>
            <w:tcW w:w="1336" w:type="dxa"/>
          </w:tcPr>
          <w:p w14:paraId="0B97DDA2" w14:textId="51137FE5" w:rsidR="00161649" w:rsidRPr="00281277" w:rsidRDefault="00F80F7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3,10</w:t>
            </w:r>
            <w:r w:rsidR="00707436">
              <w:rPr>
                <w:sz w:val="16"/>
                <w:szCs w:val="16"/>
              </w:rPr>
              <w:t>5</w:t>
            </w:r>
          </w:p>
        </w:tc>
      </w:tr>
      <w:tr w:rsidR="00161649" w:rsidRPr="00260F93" w14:paraId="0F4C9102" w14:textId="77777777" w:rsidTr="00C6362D">
        <w:trPr>
          <w:trHeight w:val="305"/>
        </w:trPr>
        <w:tc>
          <w:tcPr>
            <w:cnfStyle w:val="001000000000" w:firstRow="0" w:lastRow="0" w:firstColumn="1" w:lastColumn="0" w:oddVBand="0" w:evenVBand="0" w:oddHBand="0" w:evenHBand="0" w:firstRowFirstColumn="0" w:firstRowLastColumn="0" w:lastRowFirstColumn="0" w:lastRowLastColumn="0"/>
            <w:tcW w:w="1871" w:type="dxa"/>
            <w:hideMark/>
          </w:tcPr>
          <w:p w14:paraId="0E381424" w14:textId="77777777" w:rsidR="00161649" w:rsidRPr="00281277" w:rsidRDefault="00161649" w:rsidP="00473B41">
            <w:pPr>
              <w:pStyle w:val="Tabletext8pt"/>
              <w:rPr>
                <w:b w:val="0"/>
                <w:sz w:val="16"/>
                <w:szCs w:val="16"/>
              </w:rPr>
            </w:pPr>
            <w:r w:rsidRPr="00281277">
              <w:rPr>
                <w:b w:val="0"/>
                <w:sz w:val="16"/>
                <w:szCs w:val="16"/>
              </w:rPr>
              <w:t>South West Health</w:t>
            </w:r>
          </w:p>
        </w:tc>
        <w:tc>
          <w:tcPr>
            <w:tcW w:w="1191" w:type="dxa"/>
          </w:tcPr>
          <w:p w14:paraId="18696B8B" w14:textId="77777777" w:rsidR="00161649" w:rsidRPr="00281277" w:rsidRDefault="0016164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304" w:type="dxa"/>
          </w:tcPr>
          <w:p w14:paraId="1F4F6B65" w14:textId="23B7859D" w:rsidR="00161649" w:rsidRPr="00281277" w:rsidRDefault="0016164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304" w:type="dxa"/>
          </w:tcPr>
          <w:p w14:paraId="44D7C880" w14:textId="3AB54E73"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15</w:t>
            </w:r>
          </w:p>
        </w:tc>
        <w:tc>
          <w:tcPr>
            <w:tcW w:w="1247" w:type="dxa"/>
          </w:tcPr>
          <w:p w14:paraId="2533A2EE" w14:textId="588F67F2"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13</w:t>
            </w:r>
          </w:p>
        </w:tc>
        <w:tc>
          <w:tcPr>
            <w:tcW w:w="1336" w:type="dxa"/>
          </w:tcPr>
          <w:p w14:paraId="48FE426D" w14:textId="10938469"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28</w:t>
            </w:r>
          </w:p>
        </w:tc>
        <w:tc>
          <w:tcPr>
            <w:tcW w:w="1336" w:type="dxa"/>
          </w:tcPr>
          <w:p w14:paraId="5D4731C1" w14:textId="7BEF100A" w:rsidR="00161649" w:rsidRPr="00281277" w:rsidRDefault="001B218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8,69</w:t>
            </w:r>
            <w:r w:rsidR="00707436">
              <w:rPr>
                <w:sz w:val="16"/>
                <w:szCs w:val="16"/>
              </w:rPr>
              <w:t>3</w:t>
            </w:r>
          </w:p>
        </w:tc>
      </w:tr>
    </w:tbl>
    <w:p w14:paraId="7823E057" w14:textId="074E4155" w:rsidR="005B699B" w:rsidRPr="00E00C4E" w:rsidRDefault="005B699B" w:rsidP="00473B41">
      <w:pPr>
        <w:pStyle w:val="Bodyafterfiguretable"/>
      </w:pPr>
      <w:r w:rsidRPr="00A00881">
        <w:t>Combined</w:t>
      </w:r>
      <w:r w:rsidRPr="00E00C4E">
        <w:t xml:space="preserve"> total</w:t>
      </w:r>
    </w:p>
    <w:tbl>
      <w:tblPr>
        <w:tblStyle w:val="GridTable4-Accent1"/>
        <w:tblW w:w="9507" w:type="dxa"/>
        <w:tblLook w:val="04A0" w:firstRow="1" w:lastRow="0" w:firstColumn="1" w:lastColumn="0" w:noHBand="0" w:noVBand="1"/>
      </w:tblPr>
      <w:tblGrid>
        <w:gridCol w:w="1814"/>
        <w:gridCol w:w="1191"/>
        <w:gridCol w:w="1336"/>
        <w:gridCol w:w="1247"/>
        <w:gridCol w:w="1247"/>
        <w:gridCol w:w="1336"/>
        <w:gridCol w:w="1336"/>
      </w:tblGrid>
      <w:tr w:rsidR="00C6362D" w:rsidRPr="00281277" w14:paraId="47F311A5" w14:textId="77777777" w:rsidTr="00C6362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4" w:type="dxa"/>
          </w:tcPr>
          <w:p w14:paraId="301F20D6" w14:textId="77777777" w:rsidR="00E82103" w:rsidRPr="00281277" w:rsidRDefault="00E82103" w:rsidP="00473B41">
            <w:pPr>
              <w:pStyle w:val="Tablecolhead8pt"/>
              <w:rPr>
                <w:b/>
                <w:color w:val="FFFFFF" w:themeColor="background1"/>
                <w:sz w:val="16"/>
              </w:rPr>
            </w:pPr>
            <w:r w:rsidRPr="00281277">
              <w:rPr>
                <w:b/>
                <w:color w:val="FFFFFF" w:themeColor="background1"/>
                <w:sz w:val="16"/>
              </w:rPr>
              <w:t>Health service</w:t>
            </w:r>
          </w:p>
        </w:tc>
        <w:tc>
          <w:tcPr>
            <w:tcW w:w="1191" w:type="dxa"/>
          </w:tcPr>
          <w:p w14:paraId="4763F071" w14:textId="23B8FE0C"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non-acute</w:t>
            </w:r>
          </w:p>
        </w:tc>
        <w:tc>
          <w:tcPr>
            <w:tcW w:w="1336" w:type="dxa"/>
          </w:tcPr>
          <w:p w14:paraId="600BEBB3"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CCU</w:t>
            </w:r>
          </w:p>
        </w:tc>
        <w:tc>
          <w:tcPr>
            <w:tcW w:w="1247" w:type="dxa"/>
          </w:tcPr>
          <w:p w14:paraId="445E2B43"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PARC</w:t>
            </w:r>
          </w:p>
        </w:tc>
        <w:tc>
          <w:tcPr>
            <w:tcW w:w="1247" w:type="dxa"/>
          </w:tcPr>
          <w:p w14:paraId="6BAE7F21"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residential</w:t>
            </w:r>
          </w:p>
        </w:tc>
        <w:tc>
          <w:tcPr>
            <w:tcW w:w="1336" w:type="dxa"/>
          </w:tcPr>
          <w:p w14:paraId="3B2A2BE5" w14:textId="0276EA2B"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w:t>
            </w:r>
          </w:p>
        </w:tc>
        <w:tc>
          <w:tcPr>
            <w:tcW w:w="1336" w:type="dxa"/>
          </w:tcPr>
          <w:p w14:paraId="27677B54" w14:textId="2702369C"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 days</w:t>
            </w:r>
          </w:p>
        </w:tc>
      </w:tr>
      <w:tr w:rsidR="00C6362D" w:rsidRPr="00281277" w14:paraId="287C811C" w14:textId="77777777" w:rsidTr="00C6362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4" w:type="dxa"/>
            <w:hideMark/>
          </w:tcPr>
          <w:p w14:paraId="52F8AF65" w14:textId="77777777" w:rsidR="00161649" w:rsidRPr="00281277" w:rsidRDefault="00161649" w:rsidP="00473B41">
            <w:pPr>
              <w:pStyle w:val="Tabletext8pt"/>
              <w:rPr>
                <w:b w:val="0"/>
                <w:sz w:val="16"/>
                <w:szCs w:val="16"/>
              </w:rPr>
            </w:pPr>
            <w:r w:rsidRPr="00281277">
              <w:rPr>
                <w:b w:val="0"/>
                <w:sz w:val="16"/>
                <w:szCs w:val="16"/>
              </w:rPr>
              <w:t>Total</w:t>
            </w:r>
          </w:p>
        </w:tc>
        <w:tc>
          <w:tcPr>
            <w:tcW w:w="1191" w:type="dxa"/>
          </w:tcPr>
          <w:p w14:paraId="296DA855" w14:textId="4A55A7A6"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82</w:t>
            </w:r>
          </w:p>
        </w:tc>
        <w:tc>
          <w:tcPr>
            <w:tcW w:w="1336" w:type="dxa"/>
          </w:tcPr>
          <w:p w14:paraId="6EDF9B45" w14:textId="530D6897"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336</w:t>
            </w:r>
          </w:p>
        </w:tc>
        <w:tc>
          <w:tcPr>
            <w:tcW w:w="1247" w:type="dxa"/>
          </w:tcPr>
          <w:p w14:paraId="13549078" w14:textId="79F9A062" w:rsidR="00161649" w:rsidRPr="00281277" w:rsidRDefault="001B218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33</w:t>
            </w:r>
            <w:r w:rsidR="0002697B" w:rsidRPr="00281277">
              <w:rPr>
                <w:sz w:val="16"/>
                <w:szCs w:val="16"/>
              </w:rPr>
              <w:t>3</w:t>
            </w:r>
          </w:p>
        </w:tc>
        <w:tc>
          <w:tcPr>
            <w:tcW w:w="1247" w:type="dxa"/>
          </w:tcPr>
          <w:p w14:paraId="2E36FC60" w14:textId="12D8F5DD"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4</w:t>
            </w:r>
            <w:r w:rsidR="001B2187" w:rsidRPr="00281277">
              <w:rPr>
                <w:sz w:val="16"/>
                <w:szCs w:val="16"/>
              </w:rPr>
              <w:t>91</w:t>
            </w:r>
          </w:p>
        </w:tc>
        <w:tc>
          <w:tcPr>
            <w:tcW w:w="1336" w:type="dxa"/>
          </w:tcPr>
          <w:p w14:paraId="5FDA37F1" w14:textId="6497FFB4"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1,2</w:t>
            </w:r>
            <w:r w:rsidR="001B2187" w:rsidRPr="00281277">
              <w:rPr>
                <w:sz w:val="16"/>
                <w:szCs w:val="16"/>
              </w:rPr>
              <w:t>42</w:t>
            </w:r>
          </w:p>
        </w:tc>
        <w:tc>
          <w:tcPr>
            <w:tcW w:w="1336" w:type="dxa"/>
          </w:tcPr>
          <w:p w14:paraId="51A0FFA7" w14:textId="19CDD6FB" w:rsidR="00161649" w:rsidRPr="00281277" w:rsidRDefault="001B218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385,594</w:t>
            </w:r>
          </w:p>
        </w:tc>
      </w:tr>
    </w:tbl>
    <w:p w14:paraId="1362641E" w14:textId="394E25E6" w:rsidR="004D14A2" w:rsidRDefault="004D14A2" w:rsidP="005B699B">
      <w:pPr>
        <w:pStyle w:val="Body"/>
      </w:pPr>
    </w:p>
    <w:p w14:paraId="0610CB50" w14:textId="77777777" w:rsidR="004D14A2" w:rsidRPr="00A00881" w:rsidRDefault="004D14A2" w:rsidP="00473B41">
      <w:pPr>
        <w:pStyle w:val="Body"/>
      </w:pPr>
      <w:r>
        <w:br w:type="page"/>
      </w:r>
    </w:p>
    <w:p w14:paraId="5EE2A589" w14:textId="77777777" w:rsidR="005B699B" w:rsidRDefault="005B699B" w:rsidP="00902A5C">
      <w:pPr>
        <w:pStyle w:val="Heading3"/>
        <w:numPr>
          <w:ilvl w:val="0"/>
          <w:numId w:val="0"/>
        </w:numPr>
        <w:sectPr w:rsidR="005B699B" w:rsidSect="00252E66">
          <w:headerReference w:type="default" r:id="rId93"/>
          <w:footerReference w:type="even" r:id="rId94"/>
          <w:footerReference w:type="default" r:id="rId95"/>
          <w:headerReference w:type="first" r:id="rId96"/>
          <w:footerReference w:type="first" r:id="rId97"/>
          <w:pgSz w:w="11906" w:h="16838" w:code="9"/>
          <w:pgMar w:top="1418" w:right="1304" w:bottom="1134" w:left="1304" w:header="624" w:footer="510" w:gutter="0"/>
          <w:cols w:space="340"/>
          <w:docGrid w:linePitch="360"/>
        </w:sectPr>
      </w:pPr>
      <w:bookmarkStart w:id="2627" w:name="_Toc12780678"/>
      <w:bookmarkStart w:id="2628" w:name="_Toc14172319"/>
      <w:bookmarkStart w:id="2629" w:name="_Toc33703993"/>
      <w:bookmarkStart w:id="2630" w:name="_Toc55381181"/>
      <w:bookmarkStart w:id="2631" w:name="_Toc100263385"/>
      <w:bookmarkEnd w:id="2624"/>
      <w:bookmarkEnd w:id="2625"/>
      <w:bookmarkEnd w:id="2626"/>
    </w:p>
    <w:p w14:paraId="1D9FADF1" w14:textId="7CFDF795" w:rsidR="005B699B" w:rsidRDefault="005B699B" w:rsidP="004537E5">
      <w:pPr>
        <w:pStyle w:val="Heading2"/>
        <w:numPr>
          <w:ilvl w:val="1"/>
          <w:numId w:val="12"/>
        </w:numPr>
        <w:ind w:left="1134" w:hanging="1134"/>
      </w:pPr>
      <w:bookmarkStart w:id="2632" w:name="_Toc199184952"/>
      <w:bookmarkStart w:id="2633" w:name="_Toc110950079"/>
      <w:bookmarkStart w:id="2634" w:name="_Toc12780679"/>
      <w:bookmarkStart w:id="2635" w:name="_Toc14172320"/>
      <w:bookmarkStart w:id="2636" w:name="_Toc33703994"/>
      <w:bookmarkStart w:id="2637" w:name="_Toc55381182"/>
      <w:bookmarkStart w:id="2638" w:name="_Toc100263386"/>
      <w:bookmarkStart w:id="2639" w:name="_Toc165961880"/>
      <w:bookmarkStart w:id="2640" w:name="_Toc201148307"/>
      <w:bookmarkEnd w:id="2627"/>
      <w:bookmarkEnd w:id="2628"/>
      <w:bookmarkEnd w:id="2629"/>
      <w:bookmarkEnd w:id="2630"/>
      <w:bookmarkEnd w:id="2631"/>
      <w:bookmarkEnd w:id="2632"/>
      <w:bookmarkEnd w:id="2633"/>
      <w:r>
        <w:t xml:space="preserve">Alcohol and </w:t>
      </w:r>
      <w:r w:rsidR="00E00C4E">
        <w:t xml:space="preserve">other drugs </w:t>
      </w:r>
      <w:r w:rsidR="00E00C4E" w:rsidRPr="000A1079">
        <w:t>output</w:t>
      </w:r>
      <w:r w:rsidR="00E00C4E">
        <w:t xml:space="preserve"> targets </w:t>
      </w:r>
      <w:bookmarkEnd w:id="2634"/>
      <w:bookmarkEnd w:id="2635"/>
      <w:bookmarkEnd w:id="2636"/>
      <w:bookmarkEnd w:id="2637"/>
      <w:r>
        <w:t>202</w:t>
      </w:r>
      <w:r w:rsidR="000C0EF6">
        <w:t>5</w:t>
      </w:r>
      <w:r>
        <w:t>–2</w:t>
      </w:r>
      <w:bookmarkEnd w:id="2638"/>
      <w:bookmarkEnd w:id="2639"/>
      <w:r w:rsidR="000C0EF6">
        <w:t>6</w:t>
      </w:r>
      <w:bookmarkEnd w:id="2640"/>
    </w:p>
    <w:p w14:paraId="11E0CB73" w14:textId="13384361" w:rsidR="005B699B" w:rsidRDefault="00462DC7" w:rsidP="00297FC9">
      <w:pPr>
        <w:pStyle w:val="Tablecaption"/>
      </w:pPr>
      <w:bookmarkStart w:id="2641" w:name="_Toc14194841"/>
      <w:bookmarkStart w:id="2642" w:name="_Toc33704022"/>
      <w:bookmarkStart w:id="2643" w:name="_Toc109894151"/>
      <w:bookmarkStart w:id="2644" w:name="_Ref199253559"/>
      <w:bookmarkStart w:id="2645" w:name="_Toc201148607"/>
      <w:r w:rsidRPr="00DE5BFB">
        <w:t xml:space="preserve">Table </w:t>
      </w:r>
      <w:r w:rsidR="009F1D77">
        <w:t>2.</w:t>
      </w:r>
      <w:r w:rsidR="009F1D77">
        <w:fldChar w:fldCharType="begin"/>
      </w:r>
      <w:r w:rsidR="009F1D77">
        <w:instrText>SEQ Table \* ARABIC \s 1</w:instrText>
      </w:r>
      <w:r w:rsidR="009F1D77">
        <w:fldChar w:fldCharType="separate"/>
      </w:r>
      <w:r w:rsidR="009F1D77">
        <w:rPr>
          <w:noProof/>
        </w:rPr>
        <w:t>21</w:t>
      </w:r>
      <w:r w:rsidR="009F1D77">
        <w:fldChar w:fldCharType="end"/>
      </w:r>
      <w:r>
        <w:fldChar w:fldCharType="begin"/>
      </w:r>
      <w:r>
        <w:instrText>SEQ Table \* ARABIC \s 1</w:instrText>
      </w:r>
      <w:r>
        <w:fldChar w:fldCharType="separate"/>
      </w:r>
      <w:r>
        <w:fldChar w:fldCharType="end"/>
      </w:r>
      <w:r w:rsidRPr="00DE5BFB">
        <w:t xml:space="preserve">: </w:t>
      </w:r>
      <w:r w:rsidR="005B699B">
        <w:t>Alcohol and other drugs output targets</w:t>
      </w:r>
      <w:r w:rsidR="005B699B" w:rsidRPr="007A725F">
        <w:t xml:space="preserve"> </w:t>
      </w:r>
      <w:bookmarkEnd w:id="2641"/>
      <w:bookmarkEnd w:id="2642"/>
      <w:r w:rsidR="005B699B" w:rsidRPr="00D31096">
        <w:t>202</w:t>
      </w:r>
      <w:r w:rsidR="000C0EF6">
        <w:t>5</w:t>
      </w:r>
      <w:r w:rsidR="005B699B">
        <w:t>–</w:t>
      </w:r>
      <w:r w:rsidR="005B699B" w:rsidRPr="00D31096">
        <w:t>2</w:t>
      </w:r>
      <w:bookmarkEnd w:id="2643"/>
      <w:r w:rsidR="000C0EF6">
        <w:t>6</w:t>
      </w:r>
      <w:bookmarkEnd w:id="2644"/>
      <w:bookmarkEnd w:id="2645"/>
    </w:p>
    <w:p w14:paraId="5FCAD0B5" w14:textId="4BDD2297" w:rsidR="00A06CA4" w:rsidRPr="00A06CA4" w:rsidRDefault="00A06CA4" w:rsidP="00A06CA4">
      <w:pPr>
        <w:pStyle w:val="Body"/>
        <w:rPr>
          <w:sz w:val="18"/>
          <w:szCs w:val="18"/>
        </w:rPr>
      </w:pPr>
      <w:r w:rsidRPr="00A06CA4">
        <w:rPr>
          <w:sz w:val="18"/>
          <w:szCs w:val="18"/>
        </w:rPr>
        <w:t>Notes:</w:t>
      </w:r>
    </w:p>
    <w:p w14:paraId="6E560603" w14:textId="5D023B6E" w:rsidR="00A06CA4" w:rsidRPr="00A06CA4" w:rsidRDefault="00A06CA4" w:rsidP="00A06CA4">
      <w:pPr>
        <w:pStyle w:val="Tablebullet9pt"/>
      </w:pPr>
      <w:r w:rsidRPr="00A06CA4">
        <w:t>Draft information pending finalisation of SOPs</w:t>
      </w:r>
      <w:r>
        <w:t>.</w:t>
      </w:r>
    </w:p>
    <w:p w14:paraId="20E4B4E6" w14:textId="77777777" w:rsidR="006270A2" w:rsidRPr="00011D13" w:rsidRDefault="006270A2" w:rsidP="006270A2">
      <w:pPr>
        <w:rPr>
          <w:rFonts w:eastAsia="Times"/>
        </w:rPr>
      </w:pPr>
      <w:r w:rsidRPr="00011D13">
        <w:rPr>
          <w:rFonts w:eastAsia="Times"/>
        </w:rPr>
        <w:t>Metropolitan and regional</w:t>
      </w:r>
    </w:p>
    <w:tbl>
      <w:tblPr>
        <w:tblStyle w:val="GridTable4-Accent1"/>
        <w:tblW w:w="15168" w:type="dxa"/>
        <w:tblLayout w:type="fixed"/>
        <w:tblLook w:val="04A0" w:firstRow="1" w:lastRow="0" w:firstColumn="1" w:lastColumn="0" w:noHBand="0" w:noVBand="1"/>
      </w:tblPr>
      <w:tblGrid>
        <w:gridCol w:w="892"/>
        <w:gridCol w:w="892"/>
        <w:gridCol w:w="892"/>
        <w:gridCol w:w="892"/>
        <w:gridCol w:w="893"/>
        <w:gridCol w:w="892"/>
        <w:gridCol w:w="892"/>
        <w:gridCol w:w="892"/>
        <w:gridCol w:w="893"/>
        <w:gridCol w:w="892"/>
        <w:gridCol w:w="892"/>
        <w:gridCol w:w="892"/>
        <w:gridCol w:w="893"/>
        <w:gridCol w:w="892"/>
        <w:gridCol w:w="892"/>
        <w:gridCol w:w="892"/>
        <w:gridCol w:w="893"/>
      </w:tblGrid>
      <w:tr w:rsidR="00234AA3" w:rsidRPr="009179FE" w14:paraId="1B6146A4" w14:textId="77777777" w:rsidTr="009179FE">
        <w:trPr>
          <w:cnfStyle w:val="100000000000" w:firstRow="1" w:lastRow="0" w:firstColumn="0" w:lastColumn="0" w:oddVBand="0" w:evenVBand="0" w:oddHBand="0" w:evenHBand="0" w:firstRowFirstColumn="0" w:firstRowLastColumn="0" w:lastRowFirstColumn="0" w:lastRowLastColumn="0"/>
          <w:trHeight w:val="871"/>
          <w:tblHeader/>
        </w:trPr>
        <w:tc>
          <w:tcPr>
            <w:cnfStyle w:val="001000000000" w:firstRow="0" w:lastRow="0" w:firstColumn="1" w:lastColumn="0" w:oddVBand="0" w:evenVBand="0" w:oddHBand="0" w:evenHBand="0" w:firstRowFirstColumn="0" w:firstRowLastColumn="0" w:lastRowFirstColumn="0" w:lastRowLastColumn="0"/>
            <w:tcW w:w="892" w:type="dxa"/>
            <w:hideMark/>
          </w:tcPr>
          <w:p w14:paraId="00FCAF07" w14:textId="77777777" w:rsidR="006270A2" w:rsidRPr="009179FE" w:rsidRDefault="006270A2" w:rsidP="00473B41">
            <w:pPr>
              <w:pStyle w:val="Tablecolhead8pt"/>
              <w:rPr>
                <w:b/>
                <w:color w:val="FFFFFF" w:themeColor="background1"/>
                <w:szCs w:val="15"/>
              </w:rPr>
            </w:pPr>
            <w:r w:rsidRPr="009179FE">
              <w:rPr>
                <w:b/>
                <w:color w:val="FFFFFF" w:themeColor="background1"/>
                <w:szCs w:val="15"/>
              </w:rPr>
              <w:t>Health service</w:t>
            </w:r>
          </w:p>
        </w:tc>
        <w:tc>
          <w:tcPr>
            <w:tcW w:w="892" w:type="dxa"/>
            <w:hideMark/>
          </w:tcPr>
          <w:p w14:paraId="78D3605A" w14:textId="5AD176D0" w:rsidR="006270A2" w:rsidRPr="009179FE" w:rsidRDefault="005210D9"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dual diagnosis residential rehabilitation </w:t>
            </w:r>
          </w:p>
        </w:tc>
        <w:tc>
          <w:tcPr>
            <w:tcW w:w="892" w:type="dxa"/>
            <w:hideMark/>
          </w:tcPr>
          <w:p w14:paraId="60246178" w14:textId="30C7FA8E"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residential </w:t>
            </w:r>
            <w:r w:rsidRPr="009179FE">
              <w:rPr>
                <w:b/>
                <w:color w:val="FFFFFF" w:themeColor="background1"/>
                <w:szCs w:val="15"/>
              </w:rPr>
              <w:t>drug withdrawal</w:t>
            </w:r>
          </w:p>
        </w:tc>
        <w:tc>
          <w:tcPr>
            <w:tcW w:w="892" w:type="dxa"/>
            <w:hideMark/>
          </w:tcPr>
          <w:p w14:paraId="6EBC18E0" w14:textId="02E3F022"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residential </w:t>
            </w:r>
            <w:r w:rsidRPr="009179FE">
              <w:rPr>
                <w:b/>
                <w:color w:val="FFFFFF" w:themeColor="background1"/>
                <w:szCs w:val="15"/>
              </w:rPr>
              <w:t>rehabilitation</w:t>
            </w:r>
          </w:p>
        </w:tc>
        <w:tc>
          <w:tcPr>
            <w:tcW w:w="893" w:type="dxa"/>
          </w:tcPr>
          <w:p w14:paraId="429D2972" w14:textId="288772D0" w:rsidR="00482FF7" w:rsidRPr="009179FE" w:rsidRDefault="00482FF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 therapeutic day program</w:t>
            </w:r>
          </w:p>
        </w:tc>
        <w:tc>
          <w:tcPr>
            <w:tcW w:w="892" w:type="dxa"/>
            <w:hideMark/>
          </w:tcPr>
          <w:p w14:paraId="411332E0" w14:textId="6F4C59BF"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i</w:t>
            </w:r>
            <w:r w:rsidRPr="009179FE">
              <w:rPr>
                <w:b/>
                <w:color w:val="FFFFFF" w:themeColor="background1"/>
                <w:szCs w:val="15"/>
              </w:rPr>
              <w:t>ntake and assessment</w:t>
            </w:r>
          </w:p>
        </w:tc>
        <w:tc>
          <w:tcPr>
            <w:tcW w:w="892" w:type="dxa"/>
            <w:hideMark/>
          </w:tcPr>
          <w:p w14:paraId="18938BA0" w14:textId="5F1BD977"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care </w:t>
            </w:r>
            <w:r w:rsidRPr="009179FE">
              <w:rPr>
                <w:b/>
                <w:color w:val="FFFFFF" w:themeColor="background1"/>
                <w:szCs w:val="15"/>
              </w:rPr>
              <w:t>and recovery coordination</w:t>
            </w:r>
          </w:p>
        </w:tc>
        <w:tc>
          <w:tcPr>
            <w:tcW w:w="892" w:type="dxa"/>
            <w:hideMark/>
          </w:tcPr>
          <w:p w14:paraId="6F604134" w14:textId="4A72856B"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c</w:t>
            </w:r>
            <w:r w:rsidRPr="009179FE">
              <w:rPr>
                <w:b/>
                <w:color w:val="FFFFFF" w:themeColor="background1"/>
                <w:szCs w:val="15"/>
              </w:rPr>
              <w:t>ounselling</w:t>
            </w:r>
          </w:p>
        </w:tc>
        <w:tc>
          <w:tcPr>
            <w:tcW w:w="893" w:type="dxa"/>
            <w:hideMark/>
          </w:tcPr>
          <w:p w14:paraId="5AB25E0D" w14:textId="267535E3"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m</w:t>
            </w:r>
            <w:r w:rsidRPr="009179FE">
              <w:rPr>
                <w:b/>
                <w:color w:val="FFFFFF" w:themeColor="background1"/>
                <w:szCs w:val="15"/>
              </w:rPr>
              <w:t>obile overdose response service</w:t>
            </w:r>
          </w:p>
        </w:tc>
        <w:tc>
          <w:tcPr>
            <w:tcW w:w="892" w:type="dxa"/>
            <w:hideMark/>
          </w:tcPr>
          <w:p w14:paraId="07CF03CD" w14:textId="79A0FB09"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non</w:t>
            </w:r>
            <w:r w:rsidRPr="009179FE">
              <w:rPr>
                <w:b/>
                <w:color w:val="FFFFFF" w:themeColor="background1"/>
                <w:szCs w:val="15"/>
              </w:rPr>
              <w:t>-residential withdrawal</w:t>
            </w:r>
          </w:p>
        </w:tc>
        <w:tc>
          <w:tcPr>
            <w:tcW w:w="892" w:type="dxa"/>
            <w:hideMark/>
          </w:tcPr>
          <w:p w14:paraId="2BD1723E" w14:textId="75ACE490" w:rsidR="006270A2" w:rsidRPr="009179FE" w:rsidRDefault="007B056F"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youth residential drug </w:t>
            </w:r>
            <w:r w:rsidRPr="009179FE">
              <w:rPr>
                <w:b/>
                <w:color w:val="FFFFFF" w:themeColor="background1"/>
                <w:szCs w:val="15"/>
              </w:rPr>
              <w:t>withdrawal</w:t>
            </w:r>
            <w:r w:rsidR="0079216E" w:rsidRPr="009179FE">
              <w:rPr>
                <w:b/>
                <w:color w:val="FFFFFF" w:themeColor="background1"/>
                <w:szCs w:val="15"/>
              </w:rPr>
              <w:t xml:space="preserve"> </w:t>
            </w:r>
          </w:p>
        </w:tc>
        <w:tc>
          <w:tcPr>
            <w:tcW w:w="892" w:type="dxa"/>
            <w:hideMark/>
          </w:tcPr>
          <w:p w14:paraId="1D1872CB" w14:textId="3B8ADAD8"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specialist pharmacotherapy</w:t>
            </w:r>
          </w:p>
        </w:tc>
        <w:tc>
          <w:tcPr>
            <w:tcW w:w="893" w:type="dxa"/>
            <w:hideMark/>
          </w:tcPr>
          <w:p w14:paraId="4DF8870C" w14:textId="37CBB183"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specialist pharmacotherapy service</w:t>
            </w:r>
          </w:p>
        </w:tc>
        <w:tc>
          <w:tcPr>
            <w:tcW w:w="892" w:type="dxa"/>
            <w:hideMark/>
          </w:tcPr>
          <w:p w14:paraId="5261C521" w14:textId="1C65B074"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 xml:space="preserve">youth </w:t>
            </w:r>
            <w:r w:rsidRPr="009179FE">
              <w:rPr>
                <w:b/>
                <w:color w:val="FFFFFF" w:themeColor="background1"/>
                <w:szCs w:val="15"/>
              </w:rPr>
              <w:t>AOD supported accommodation</w:t>
            </w:r>
          </w:p>
        </w:tc>
        <w:tc>
          <w:tcPr>
            <w:tcW w:w="892" w:type="dxa"/>
            <w:hideMark/>
          </w:tcPr>
          <w:p w14:paraId="0BD460CD" w14:textId="2405D4DE"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 xml:space="preserve">youth </w:t>
            </w:r>
            <w:r w:rsidRPr="009179FE">
              <w:rPr>
                <w:b/>
                <w:color w:val="FFFFFF" w:themeColor="background1"/>
                <w:szCs w:val="15"/>
              </w:rPr>
              <w:t>A</w:t>
            </w:r>
            <w:r w:rsidR="00F70439" w:rsidRPr="009179FE">
              <w:rPr>
                <w:b/>
                <w:color w:val="FFFFFF" w:themeColor="background1"/>
                <w:szCs w:val="15"/>
              </w:rPr>
              <w:t>O</w:t>
            </w:r>
            <w:r w:rsidRPr="009179FE">
              <w:rPr>
                <w:b/>
                <w:color w:val="FFFFFF" w:themeColor="background1"/>
                <w:szCs w:val="15"/>
              </w:rPr>
              <w:t>D supported accommodation rural</w:t>
            </w:r>
          </w:p>
        </w:tc>
        <w:tc>
          <w:tcPr>
            <w:tcW w:w="892" w:type="dxa"/>
            <w:hideMark/>
          </w:tcPr>
          <w:p w14:paraId="6D925BD5" w14:textId="0FB7A8C8"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Episode of care –</w:t>
            </w:r>
            <w:r w:rsidR="00994938" w:rsidRPr="009179FE">
              <w:rPr>
                <w:b/>
                <w:color w:val="FFFFFF" w:themeColor="background1"/>
                <w:szCs w:val="15"/>
              </w:rPr>
              <w:t>youth outreach</w:t>
            </w:r>
          </w:p>
        </w:tc>
        <w:tc>
          <w:tcPr>
            <w:tcW w:w="893" w:type="dxa"/>
            <w:hideMark/>
          </w:tcPr>
          <w:p w14:paraId="22D9DF89" w14:textId="77777777"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Total</w:t>
            </w:r>
          </w:p>
        </w:tc>
      </w:tr>
      <w:tr w:rsidR="00234AA3" w:rsidRPr="00961253" w14:paraId="45B53868"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7DDFBA12" w14:textId="275D37B1" w:rsidR="006270A2" w:rsidRPr="00AC68A2" w:rsidRDefault="006270A2" w:rsidP="00473B41">
            <w:pPr>
              <w:pStyle w:val="Tabletext8pt"/>
              <w:rPr>
                <w:b w:val="0"/>
                <w:bCs w:val="0"/>
              </w:rPr>
            </w:pPr>
            <w:r w:rsidRPr="00AC68A2">
              <w:rPr>
                <w:b w:val="0"/>
                <w:bCs w:val="0"/>
              </w:rPr>
              <w:t>Alfred Health</w:t>
            </w:r>
          </w:p>
        </w:tc>
        <w:tc>
          <w:tcPr>
            <w:tcW w:w="892" w:type="dxa"/>
            <w:noWrap/>
          </w:tcPr>
          <w:p w14:paraId="0AF24319" w14:textId="2C8B79A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B04C19E" w14:textId="5522A11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0849254" w14:textId="36C8EC6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0D761D8E"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8EE88BF" w14:textId="509F61C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200ADE6" w14:textId="1508149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F1C3855" w14:textId="4BD3BD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68A9DE4E" w14:textId="4FCECE7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7C256D6" w14:textId="62AADC3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58A3D49" w14:textId="54DAA2F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35E08CA" w14:textId="41AAE9D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3983FD1B" w14:textId="602C68C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140</w:t>
            </w:r>
          </w:p>
        </w:tc>
        <w:tc>
          <w:tcPr>
            <w:tcW w:w="892" w:type="dxa"/>
            <w:noWrap/>
          </w:tcPr>
          <w:p w14:paraId="1791D8D7" w14:textId="6558F03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1387663" w14:textId="798102E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E229C56" w14:textId="3C2F313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10D4906C" w14:textId="22BD50B9"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140</w:t>
            </w:r>
          </w:p>
        </w:tc>
      </w:tr>
      <w:tr w:rsidR="00961253" w:rsidRPr="00961253" w14:paraId="163114E3"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5441B7F6" w14:textId="489D4BA1" w:rsidR="006270A2" w:rsidRPr="00AC68A2" w:rsidRDefault="006270A2" w:rsidP="00473B41">
            <w:pPr>
              <w:pStyle w:val="Tabletext8pt"/>
              <w:rPr>
                <w:b w:val="0"/>
                <w:bCs w:val="0"/>
              </w:rPr>
            </w:pPr>
            <w:r w:rsidRPr="00AC68A2">
              <w:rPr>
                <w:b w:val="0"/>
                <w:bCs w:val="0"/>
              </w:rPr>
              <w:t>Austin Health</w:t>
            </w:r>
          </w:p>
        </w:tc>
        <w:tc>
          <w:tcPr>
            <w:tcW w:w="892" w:type="dxa"/>
            <w:noWrap/>
          </w:tcPr>
          <w:p w14:paraId="783B2B76" w14:textId="0875242E"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0FF3891" w14:textId="06D3DA9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A29DF54" w14:textId="0E3448A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02678BF9"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3696C63" w14:textId="3DB9225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E6FE7C3" w14:textId="07761F8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61AD67E" w14:textId="2F9BCF8D"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EA37186" w14:textId="60F845D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F46DBAD" w14:textId="2A0D72C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C6645F4" w14:textId="719CDE6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A966DC5" w14:textId="67B6F9D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7FDE706" w14:textId="7C366535"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c>
          <w:tcPr>
            <w:tcW w:w="892" w:type="dxa"/>
            <w:noWrap/>
          </w:tcPr>
          <w:p w14:paraId="72949D74" w14:textId="3D72E88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A6967E5" w14:textId="254E071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8C3A6AA" w14:textId="4D648BA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14DDA5DF" w14:textId="4DD58AC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r>
      <w:tr w:rsidR="00234AA3" w:rsidRPr="00961253" w14:paraId="0E0496D4"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73FAF6C5" w14:textId="04F9518D" w:rsidR="006270A2" w:rsidRPr="00AC68A2" w:rsidRDefault="006270A2" w:rsidP="00473B41">
            <w:pPr>
              <w:pStyle w:val="Tabletext8pt"/>
              <w:rPr>
                <w:b w:val="0"/>
                <w:bCs w:val="0"/>
              </w:rPr>
            </w:pPr>
            <w:r w:rsidRPr="00AC68A2">
              <w:rPr>
                <w:b w:val="0"/>
                <w:bCs w:val="0"/>
              </w:rPr>
              <w:t>Barwon Health</w:t>
            </w:r>
          </w:p>
        </w:tc>
        <w:tc>
          <w:tcPr>
            <w:tcW w:w="892" w:type="dxa"/>
            <w:noWrap/>
          </w:tcPr>
          <w:p w14:paraId="7DD9C725"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6B9BFB8" w14:textId="1BD12F2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EFCB143" w14:textId="3313DB4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5D7A79D9"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F2932C0" w14:textId="00C739B5"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705</w:t>
            </w:r>
          </w:p>
        </w:tc>
        <w:tc>
          <w:tcPr>
            <w:tcW w:w="892" w:type="dxa"/>
            <w:noWrap/>
          </w:tcPr>
          <w:p w14:paraId="6A8CE0AA" w14:textId="75FD7AD1"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263</w:t>
            </w:r>
          </w:p>
        </w:tc>
        <w:tc>
          <w:tcPr>
            <w:tcW w:w="892" w:type="dxa"/>
            <w:noWrap/>
          </w:tcPr>
          <w:p w14:paraId="3993CFC5" w14:textId="185D884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669</w:t>
            </w:r>
          </w:p>
        </w:tc>
        <w:tc>
          <w:tcPr>
            <w:tcW w:w="893" w:type="dxa"/>
            <w:noWrap/>
          </w:tcPr>
          <w:p w14:paraId="769695A0" w14:textId="0AEA0D7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9F70BE5" w14:textId="5741136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304</w:t>
            </w:r>
          </w:p>
        </w:tc>
        <w:tc>
          <w:tcPr>
            <w:tcW w:w="892" w:type="dxa"/>
            <w:noWrap/>
          </w:tcPr>
          <w:p w14:paraId="659011E7" w14:textId="7D518C1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30BB038" w14:textId="2E6BEC3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274445C" w14:textId="684B5E4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16F6C77" w14:textId="536517B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AA0F26A" w14:textId="76917469"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w:t>
            </w:r>
          </w:p>
        </w:tc>
        <w:tc>
          <w:tcPr>
            <w:tcW w:w="892" w:type="dxa"/>
            <w:noWrap/>
          </w:tcPr>
          <w:p w14:paraId="4B809689" w14:textId="452BC9D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55</w:t>
            </w:r>
          </w:p>
        </w:tc>
        <w:tc>
          <w:tcPr>
            <w:tcW w:w="893" w:type="dxa"/>
            <w:noWrap/>
          </w:tcPr>
          <w:p w14:paraId="1F1BF14B" w14:textId="3362812B"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w:t>
            </w:r>
            <w:r w:rsidR="00963DFE">
              <w:t>,</w:t>
            </w:r>
            <w:r w:rsidRPr="00C87BD7">
              <w:t>001</w:t>
            </w:r>
          </w:p>
        </w:tc>
      </w:tr>
      <w:tr w:rsidR="00961253" w:rsidRPr="00961253" w14:paraId="1664D1C7"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611AE88E" w14:textId="54CF58E4" w:rsidR="006270A2" w:rsidRPr="00AC68A2" w:rsidRDefault="006270A2" w:rsidP="00473B41">
            <w:pPr>
              <w:pStyle w:val="Tabletext8pt"/>
              <w:rPr>
                <w:b w:val="0"/>
                <w:bCs w:val="0"/>
              </w:rPr>
            </w:pPr>
            <w:r w:rsidRPr="00AC68A2">
              <w:rPr>
                <w:b w:val="0"/>
                <w:bCs w:val="0"/>
              </w:rPr>
              <w:t>Bendigo Health</w:t>
            </w:r>
          </w:p>
        </w:tc>
        <w:tc>
          <w:tcPr>
            <w:tcW w:w="892" w:type="dxa"/>
            <w:noWrap/>
          </w:tcPr>
          <w:p w14:paraId="60586980" w14:textId="0EDA33F1"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2,391</w:t>
            </w:r>
          </w:p>
        </w:tc>
        <w:tc>
          <w:tcPr>
            <w:tcW w:w="892" w:type="dxa"/>
            <w:noWrap/>
          </w:tcPr>
          <w:p w14:paraId="3AD42C24" w14:textId="68529ED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8AE3658" w14:textId="6B8BAC0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4D0268E4"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E67C2EE" w14:textId="21B8E3A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DAE1320" w14:textId="2C8A149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A20BDB2" w14:textId="71217B7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751A0DEF" w14:textId="5809201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395737A" w14:textId="781BA80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77BC74B" w14:textId="6099674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2995607" w14:textId="051A64C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F85EC7C" w14:textId="1310C320"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FCE35C0" w14:textId="016176A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4F0FC64" w14:textId="5F5CACE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C0F428D" w14:textId="6CC1BC2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6078D3DE" w14:textId="640752B4"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2,391</w:t>
            </w:r>
          </w:p>
        </w:tc>
      </w:tr>
      <w:tr w:rsidR="00234AA3" w:rsidRPr="00961253" w14:paraId="4058EC68"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34D088E0" w14:textId="4B02745B" w:rsidR="006270A2" w:rsidRPr="00AC68A2" w:rsidRDefault="006270A2" w:rsidP="00473B41">
            <w:pPr>
              <w:pStyle w:val="Tabletext8pt"/>
              <w:rPr>
                <w:b w:val="0"/>
                <w:bCs w:val="0"/>
              </w:rPr>
            </w:pPr>
            <w:r w:rsidRPr="00AC68A2">
              <w:rPr>
                <w:b w:val="0"/>
                <w:bCs w:val="0"/>
              </w:rPr>
              <w:t>Eastern Health</w:t>
            </w:r>
          </w:p>
        </w:tc>
        <w:tc>
          <w:tcPr>
            <w:tcW w:w="892" w:type="dxa"/>
            <w:noWrap/>
          </w:tcPr>
          <w:p w14:paraId="3F1FBB16"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F59204C" w14:textId="15C2857F"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2,850</w:t>
            </w:r>
          </w:p>
        </w:tc>
        <w:tc>
          <w:tcPr>
            <w:tcW w:w="892" w:type="dxa"/>
            <w:noWrap/>
          </w:tcPr>
          <w:p w14:paraId="5938CD43" w14:textId="5C9D333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w:t>
            </w:r>
            <w:r w:rsidR="00963DFE">
              <w:t>,</w:t>
            </w:r>
            <w:r w:rsidRPr="00C87BD7">
              <w:t>122</w:t>
            </w:r>
          </w:p>
        </w:tc>
        <w:tc>
          <w:tcPr>
            <w:tcW w:w="893" w:type="dxa"/>
          </w:tcPr>
          <w:p w14:paraId="53791B4F"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3277261" w14:textId="62881BA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1,246</w:t>
            </w:r>
          </w:p>
        </w:tc>
        <w:tc>
          <w:tcPr>
            <w:tcW w:w="892" w:type="dxa"/>
            <w:noWrap/>
          </w:tcPr>
          <w:p w14:paraId="4B5BFAC8" w14:textId="14F205F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562</w:t>
            </w:r>
          </w:p>
        </w:tc>
        <w:tc>
          <w:tcPr>
            <w:tcW w:w="892" w:type="dxa"/>
            <w:noWrap/>
          </w:tcPr>
          <w:p w14:paraId="22B0BB20" w14:textId="1A9A7AB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1,786</w:t>
            </w:r>
          </w:p>
        </w:tc>
        <w:tc>
          <w:tcPr>
            <w:tcW w:w="893" w:type="dxa"/>
            <w:noWrap/>
          </w:tcPr>
          <w:p w14:paraId="710786C0" w14:textId="3A9A4D2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19</w:t>
            </w:r>
          </w:p>
        </w:tc>
        <w:tc>
          <w:tcPr>
            <w:tcW w:w="892" w:type="dxa"/>
            <w:noWrap/>
          </w:tcPr>
          <w:p w14:paraId="48C96292" w14:textId="4C8FC25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669</w:t>
            </w:r>
          </w:p>
        </w:tc>
        <w:tc>
          <w:tcPr>
            <w:tcW w:w="892" w:type="dxa"/>
            <w:noWrap/>
          </w:tcPr>
          <w:p w14:paraId="70D74763" w14:textId="1DF2211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DDAA4B1" w14:textId="421F5B4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100</w:t>
            </w:r>
          </w:p>
        </w:tc>
        <w:tc>
          <w:tcPr>
            <w:tcW w:w="893" w:type="dxa"/>
            <w:noWrap/>
          </w:tcPr>
          <w:p w14:paraId="17ECDA5E" w14:textId="47FD53D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70</w:t>
            </w:r>
          </w:p>
        </w:tc>
        <w:tc>
          <w:tcPr>
            <w:tcW w:w="892" w:type="dxa"/>
            <w:noWrap/>
          </w:tcPr>
          <w:p w14:paraId="7482073C" w14:textId="5374B74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B5C86C0" w14:textId="75B59DD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7AA5AA0" w14:textId="01AD703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D639507" w14:textId="5C86168D"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7,302</w:t>
            </w:r>
          </w:p>
        </w:tc>
      </w:tr>
      <w:tr w:rsidR="00961253" w:rsidRPr="00961253" w14:paraId="14D3104D"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2E723AD5" w14:textId="3A1EE168" w:rsidR="006270A2" w:rsidRPr="00AC68A2" w:rsidRDefault="006270A2" w:rsidP="00473B41">
            <w:pPr>
              <w:pStyle w:val="Tabletext8pt"/>
              <w:rPr>
                <w:b w:val="0"/>
                <w:bCs w:val="0"/>
              </w:rPr>
            </w:pPr>
            <w:r w:rsidRPr="00AC68A2">
              <w:rPr>
                <w:b w:val="0"/>
                <w:bCs w:val="0"/>
              </w:rPr>
              <w:t>Goulburn Valley Health</w:t>
            </w:r>
          </w:p>
        </w:tc>
        <w:tc>
          <w:tcPr>
            <w:tcW w:w="892" w:type="dxa"/>
            <w:noWrap/>
          </w:tcPr>
          <w:p w14:paraId="6F47CA2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0242785" w14:textId="5EEB9B41"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933</w:t>
            </w:r>
          </w:p>
        </w:tc>
        <w:tc>
          <w:tcPr>
            <w:tcW w:w="892" w:type="dxa"/>
            <w:noWrap/>
          </w:tcPr>
          <w:p w14:paraId="760CE6DD" w14:textId="3F784EAD"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5D22012F" w14:textId="0FB003E7" w:rsidR="003A0376" w:rsidRPr="00C87BD7"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848</w:t>
            </w:r>
          </w:p>
        </w:tc>
        <w:tc>
          <w:tcPr>
            <w:tcW w:w="892" w:type="dxa"/>
            <w:noWrap/>
          </w:tcPr>
          <w:p w14:paraId="6801AC69" w14:textId="6E926EFC"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237</w:t>
            </w:r>
          </w:p>
        </w:tc>
        <w:tc>
          <w:tcPr>
            <w:tcW w:w="892" w:type="dxa"/>
            <w:noWrap/>
          </w:tcPr>
          <w:p w14:paraId="2340295D" w14:textId="02B8B0FD"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196</w:t>
            </w:r>
          </w:p>
        </w:tc>
        <w:tc>
          <w:tcPr>
            <w:tcW w:w="892" w:type="dxa"/>
            <w:noWrap/>
          </w:tcPr>
          <w:p w14:paraId="6F7F99DE" w14:textId="026A7BB5"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622</w:t>
            </w:r>
          </w:p>
        </w:tc>
        <w:tc>
          <w:tcPr>
            <w:tcW w:w="893" w:type="dxa"/>
            <w:noWrap/>
          </w:tcPr>
          <w:p w14:paraId="0D3EC5A0" w14:textId="7D5462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C3034DC" w14:textId="4A187F29"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226</w:t>
            </w:r>
          </w:p>
        </w:tc>
        <w:tc>
          <w:tcPr>
            <w:tcW w:w="892" w:type="dxa"/>
            <w:noWrap/>
          </w:tcPr>
          <w:p w14:paraId="2068BC6F" w14:textId="5FEBED6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D11A000" w14:textId="018ED77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58340A3F" w14:textId="0F59C2B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F7A029A" w14:textId="6C04CDD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6C2C77A" w14:textId="29B0504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96B84FC" w14:textId="38622EF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CD9A672" w14:textId="28D31F68"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3,062</w:t>
            </w:r>
          </w:p>
        </w:tc>
      </w:tr>
      <w:tr w:rsidR="00234AA3" w:rsidRPr="00961253" w14:paraId="7EC4A30C"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02505E3" w14:textId="7BEFE5E1" w:rsidR="006270A2" w:rsidRPr="00AC68A2" w:rsidRDefault="006270A2" w:rsidP="00473B41">
            <w:pPr>
              <w:pStyle w:val="Tabletext8pt"/>
              <w:rPr>
                <w:b w:val="0"/>
                <w:bCs w:val="0"/>
              </w:rPr>
            </w:pPr>
            <w:r w:rsidRPr="00AC68A2">
              <w:rPr>
                <w:b w:val="0"/>
                <w:bCs w:val="0"/>
              </w:rPr>
              <w:t>Monash Health</w:t>
            </w:r>
          </w:p>
        </w:tc>
        <w:tc>
          <w:tcPr>
            <w:tcW w:w="892" w:type="dxa"/>
            <w:noWrap/>
          </w:tcPr>
          <w:p w14:paraId="275F738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3DF3C37" w14:textId="4F7C151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3,113</w:t>
            </w:r>
          </w:p>
        </w:tc>
        <w:tc>
          <w:tcPr>
            <w:tcW w:w="892" w:type="dxa"/>
            <w:noWrap/>
          </w:tcPr>
          <w:p w14:paraId="7615C0C0" w14:textId="25E18E0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66F5F48B"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B907D7C" w14:textId="0D6496B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12AE214" w14:textId="2F329BB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52FDF8C" w14:textId="13012D4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289FE63C"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50669D" w14:textId="6061623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C7D4E35" w14:textId="4C0B164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E2E116F" w14:textId="596D2AA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385FA26C" w14:textId="1B8F098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7E6CD92" w14:textId="66430C3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32</w:t>
            </w:r>
          </w:p>
        </w:tc>
        <w:tc>
          <w:tcPr>
            <w:tcW w:w="892" w:type="dxa"/>
            <w:noWrap/>
          </w:tcPr>
          <w:p w14:paraId="7C6926B0" w14:textId="194D648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8FE272B" w14:textId="35399964"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28</w:t>
            </w:r>
          </w:p>
        </w:tc>
        <w:tc>
          <w:tcPr>
            <w:tcW w:w="893" w:type="dxa"/>
            <w:noWrap/>
          </w:tcPr>
          <w:p w14:paraId="793198ED" w14:textId="7DBE564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3,173</w:t>
            </w:r>
          </w:p>
        </w:tc>
      </w:tr>
      <w:tr w:rsidR="00961253" w:rsidRPr="00961253" w14:paraId="5DD67616"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58AFF360" w14:textId="3D24C9DD" w:rsidR="006270A2" w:rsidRPr="00AC68A2" w:rsidRDefault="006270A2" w:rsidP="00473B41">
            <w:pPr>
              <w:pStyle w:val="Tabletext8pt"/>
              <w:rPr>
                <w:b w:val="0"/>
                <w:bCs w:val="0"/>
              </w:rPr>
            </w:pPr>
            <w:r w:rsidRPr="00AC68A2">
              <w:rPr>
                <w:b w:val="0"/>
                <w:bCs w:val="0"/>
              </w:rPr>
              <w:t>Peninsula Health</w:t>
            </w:r>
          </w:p>
        </w:tc>
        <w:tc>
          <w:tcPr>
            <w:tcW w:w="892" w:type="dxa"/>
            <w:noWrap/>
          </w:tcPr>
          <w:p w14:paraId="711898F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7B2306C" w14:textId="6F0E1AC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9F88BA7" w14:textId="072344A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0FCAB17F"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F127F7F" w14:textId="4EE762BD"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516</w:t>
            </w:r>
          </w:p>
        </w:tc>
        <w:tc>
          <w:tcPr>
            <w:tcW w:w="892" w:type="dxa"/>
            <w:noWrap/>
          </w:tcPr>
          <w:p w14:paraId="03B238AE" w14:textId="1DC3CBB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Times New Roman"/>
              </w:rPr>
            </w:pPr>
            <w:r w:rsidRPr="00545910">
              <w:t>140</w:t>
            </w:r>
          </w:p>
        </w:tc>
        <w:tc>
          <w:tcPr>
            <w:tcW w:w="892" w:type="dxa"/>
            <w:noWrap/>
          </w:tcPr>
          <w:p w14:paraId="67352355" w14:textId="7B6C251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562</w:t>
            </w:r>
          </w:p>
        </w:tc>
        <w:tc>
          <w:tcPr>
            <w:tcW w:w="893" w:type="dxa"/>
            <w:noWrap/>
          </w:tcPr>
          <w:p w14:paraId="7C994F96"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08F3A49" w14:textId="7ED8DBB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253</w:t>
            </w:r>
          </w:p>
        </w:tc>
        <w:tc>
          <w:tcPr>
            <w:tcW w:w="892" w:type="dxa"/>
            <w:noWrap/>
          </w:tcPr>
          <w:p w14:paraId="31BBC1AF" w14:textId="5CC1D27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B023523" w14:textId="14FD841C"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6EBD3C08" w14:textId="7134E336"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CB4E136" w14:textId="60720A5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8</w:t>
            </w:r>
          </w:p>
        </w:tc>
        <w:tc>
          <w:tcPr>
            <w:tcW w:w="892" w:type="dxa"/>
            <w:noWrap/>
          </w:tcPr>
          <w:p w14:paraId="7230BA71" w14:textId="4AA1A4A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6D7B8F" w14:textId="1204A0FA"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109</w:t>
            </w:r>
          </w:p>
        </w:tc>
        <w:tc>
          <w:tcPr>
            <w:tcW w:w="893" w:type="dxa"/>
            <w:noWrap/>
          </w:tcPr>
          <w:p w14:paraId="4D29F630" w14:textId="56A04EB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1,588</w:t>
            </w:r>
          </w:p>
        </w:tc>
      </w:tr>
      <w:tr w:rsidR="00234AA3" w:rsidRPr="00961253" w14:paraId="4CD108CF"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77D245B" w14:textId="0AA02D4C" w:rsidR="006270A2" w:rsidRPr="00AC68A2" w:rsidRDefault="006270A2" w:rsidP="00473B41">
            <w:pPr>
              <w:pStyle w:val="Tabletext8pt"/>
              <w:rPr>
                <w:b w:val="0"/>
                <w:bCs w:val="0"/>
              </w:rPr>
            </w:pPr>
            <w:r w:rsidRPr="00AC68A2">
              <w:rPr>
                <w:b w:val="0"/>
                <w:bCs w:val="0"/>
              </w:rPr>
              <w:t>St Vincent’s Hospital Melbourne Limited</w:t>
            </w:r>
          </w:p>
        </w:tc>
        <w:tc>
          <w:tcPr>
            <w:tcW w:w="892" w:type="dxa"/>
            <w:noWrap/>
          </w:tcPr>
          <w:p w14:paraId="66E85BEC"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B1B54A8" w14:textId="50948B0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2,769</w:t>
            </w:r>
          </w:p>
        </w:tc>
        <w:tc>
          <w:tcPr>
            <w:tcW w:w="892" w:type="dxa"/>
            <w:noWrap/>
          </w:tcPr>
          <w:p w14:paraId="628BAEC2" w14:textId="6DC376C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33C1F5DB"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3BC40E3" w14:textId="3043CAA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8121A56" w14:textId="2430C93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9890EDD" w14:textId="72182AD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A0C01E9" w14:textId="3402FFB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B22861" w14:textId="1A89D02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2C3D7D2" w14:textId="3868762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E3B712D" w14:textId="6ADCEC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197195AE" w14:textId="6AC6E21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587EEE1" w14:textId="04DB43D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AE41032" w14:textId="32D3DD3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A4E1B90" w14:textId="52055D2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1845582" w14:textId="6DA72D83"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2,769</w:t>
            </w:r>
          </w:p>
        </w:tc>
      </w:tr>
      <w:tr w:rsidR="00961253" w:rsidRPr="00961253" w14:paraId="12EC9558"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A4BC9F7" w14:textId="39C0CE55" w:rsidR="006270A2" w:rsidRPr="00AC68A2" w:rsidRDefault="006270A2" w:rsidP="00473B41">
            <w:pPr>
              <w:pStyle w:val="Tabletext8pt"/>
              <w:rPr>
                <w:b w:val="0"/>
                <w:bCs w:val="0"/>
              </w:rPr>
            </w:pPr>
            <w:r w:rsidRPr="00AC68A2">
              <w:rPr>
                <w:b w:val="0"/>
                <w:bCs w:val="0"/>
              </w:rPr>
              <w:t>Western Health</w:t>
            </w:r>
          </w:p>
        </w:tc>
        <w:tc>
          <w:tcPr>
            <w:tcW w:w="892" w:type="dxa"/>
            <w:noWrap/>
          </w:tcPr>
          <w:p w14:paraId="188FC2BA" w14:textId="0AA373FA"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8,297</w:t>
            </w:r>
          </w:p>
        </w:tc>
        <w:tc>
          <w:tcPr>
            <w:tcW w:w="892" w:type="dxa"/>
            <w:noWrap/>
          </w:tcPr>
          <w:p w14:paraId="5E2E23AC" w14:textId="3BA4FE2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2,765</w:t>
            </w:r>
          </w:p>
        </w:tc>
        <w:tc>
          <w:tcPr>
            <w:tcW w:w="892" w:type="dxa"/>
            <w:noWrap/>
          </w:tcPr>
          <w:p w14:paraId="2B1B6FFA" w14:textId="2A3C4D3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4F324659" w14:textId="43B82C0A" w:rsidR="003A0376" w:rsidRPr="00C87BD7"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660</w:t>
            </w:r>
          </w:p>
        </w:tc>
        <w:tc>
          <w:tcPr>
            <w:tcW w:w="892" w:type="dxa"/>
            <w:noWrap/>
          </w:tcPr>
          <w:p w14:paraId="56A39246" w14:textId="0B7E42B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497</w:t>
            </w:r>
          </w:p>
        </w:tc>
        <w:tc>
          <w:tcPr>
            <w:tcW w:w="892" w:type="dxa"/>
            <w:noWrap/>
          </w:tcPr>
          <w:p w14:paraId="5C2F7A12" w14:textId="05D334F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392</w:t>
            </w:r>
          </w:p>
        </w:tc>
        <w:tc>
          <w:tcPr>
            <w:tcW w:w="892" w:type="dxa"/>
            <w:noWrap/>
          </w:tcPr>
          <w:p w14:paraId="246ADAEF" w14:textId="12A3953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1,583</w:t>
            </w:r>
          </w:p>
        </w:tc>
        <w:tc>
          <w:tcPr>
            <w:tcW w:w="893" w:type="dxa"/>
            <w:noWrap/>
          </w:tcPr>
          <w:p w14:paraId="325DC6DC" w14:textId="3AF1892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A2BD10" w14:textId="28A01C46"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578</w:t>
            </w:r>
          </w:p>
        </w:tc>
        <w:tc>
          <w:tcPr>
            <w:tcW w:w="892" w:type="dxa"/>
            <w:noWrap/>
          </w:tcPr>
          <w:p w14:paraId="483BF22B" w14:textId="2169733C"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1,597</w:t>
            </w:r>
          </w:p>
        </w:tc>
        <w:tc>
          <w:tcPr>
            <w:tcW w:w="892" w:type="dxa"/>
            <w:noWrap/>
          </w:tcPr>
          <w:p w14:paraId="3EC62FEA" w14:textId="7A56A070"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54290B1C" w14:textId="65769B69"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c>
          <w:tcPr>
            <w:tcW w:w="892" w:type="dxa"/>
            <w:noWrap/>
          </w:tcPr>
          <w:p w14:paraId="459C089D" w14:textId="547747B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E0347E7" w14:textId="503676C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EEA2CBB" w14:textId="12350A73"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220</w:t>
            </w:r>
          </w:p>
        </w:tc>
        <w:tc>
          <w:tcPr>
            <w:tcW w:w="893" w:type="dxa"/>
            <w:noWrap/>
          </w:tcPr>
          <w:p w14:paraId="68C2C42B" w14:textId="17DEA88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16,729</w:t>
            </w:r>
          </w:p>
        </w:tc>
      </w:tr>
    </w:tbl>
    <w:p w14:paraId="03E67FC9" w14:textId="77777777" w:rsidR="006270A2" w:rsidRPr="00011D13" w:rsidRDefault="006270A2" w:rsidP="00473B41">
      <w:pPr>
        <w:pStyle w:val="Bodyafterfiguretable"/>
        <w:keepNext/>
        <w:keepLines/>
      </w:pPr>
      <w:r w:rsidRPr="00011D13">
        <w:t xml:space="preserve">Subregional and </w:t>
      </w:r>
      <w:r w:rsidRPr="00994938">
        <w:t>local</w:t>
      </w:r>
    </w:p>
    <w:tbl>
      <w:tblPr>
        <w:tblStyle w:val="GridTable4-Accent1"/>
        <w:tblW w:w="14958" w:type="dxa"/>
        <w:tblLayout w:type="fixed"/>
        <w:tblLook w:val="04A0" w:firstRow="1" w:lastRow="0" w:firstColumn="1" w:lastColumn="0" w:noHBand="0" w:noVBand="1"/>
      </w:tblPr>
      <w:tblGrid>
        <w:gridCol w:w="1020"/>
        <w:gridCol w:w="892"/>
        <w:gridCol w:w="892"/>
        <w:gridCol w:w="892"/>
        <w:gridCol w:w="893"/>
        <w:gridCol w:w="892"/>
        <w:gridCol w:w="794"/>
        <w:gridCol w:w="794"/>
        <w:gridCol w:w="850"/>
        <w:gridCol w:w="892"/>
        <w:gridCol w:w="892"/>
        <w:gridCol w:w="892"/>
        <w:gridCol w:w="893"/>
        <w:gridCol w:w="892"/>
        <w:gridCol w:w="892"/>
        <w:gridCol w:w="892"/>
        <w:gridCol w:w="794"/>
      </w:tblGrid>
      <w:tr w:rsidR="00766A40" w:rsidRPr="00011D13" w14:paraId="4AF16AD3" w14:textId="77777777" w:rsidTr="00766A40">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1020" w:type="dxa"/>
            <w:hideMark/>
          </w:tcPr>
          <w:p w14:paraId="3CC0EDEE" w14:textId="13D2C991" w:rsidR="00994938" w:rsidRPr="009179FE" w:rsidRDefault="00994938" w:rsidP="00473B41">
            <w:pPr>
              <w:pStyle w:val="Tablecolhead8pt"/>
              <w:rPr>
                <w:b/>
                <w:color w:val="FFFFFF" w:themeColor="background1"/>
                <w:sz w:val="13"/>
                <w:szCs w:val="13"/>
              </w:rPr>
            </w:pPr>
            <w:r w:rsidRPr="009179FE">
              <w:rPr>
                <w:b/>
                <w:color w:val="FFFFFF" w:themeColor="background1"/>
                <w:sz w:val="13"/>
                <w:szCs w:val="13"/>
              </w:rPr>
              <w:t>Health service</w:t>
            </w:r>
          </w:p>
        </w:tc>
        <w:tc>
          <w:tcPr>
            <w:tcW w:w="892" w:type="dxa"/>
            <w:hideMark/>
          </w:tcPr>
          <w:p w14:paraId="507487DF" w14:textId="188B690A"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 dual diagnosis residential rehabilitation </w:t>
            </w:r>
          </w:p>
        </w:tc>
        <w:tc>
          <w:tcPr>
            <w:tcW w:w="892" w:type="dxa"/>
            <w:hideMark/>
          </w:tcPr>
          <w:p w14:paraId="218D49A2" w14:textId="3749624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residential drug withdrawal</w:t>
            </w:r>
          </w:p>
        </w:tc>
        <w:tc>
          <w:tcPr>
            <w:tcW w:w="892" w:type="dxa"/>
            <w:hideMark/>
          </w:tcPr>
          <w:p w14:paraId="444E9A9A" w14:textId="154CEA42"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residential rehabilitation</w:t>
            </w:r>
          </w:p>
        </w:tc>
        <w:tc>
          <w:tcPr>
            <w:tcW w:w="893" w:type="dxa"/>
          </w:tcPr>
          <w:p w14:paraId="1F402A4B" w14:textId="42C3A7F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therapeutic day program</w:t>
            </w:r>
          </w:p>
        </w:tc>
        <w:tc>
          <w:tcPr>
            <w:tcW w:w="892" w:type="dxa"/>
            <w:hideMark/>
          </w:tcPr>
          <w:p w14:paraId="168DDC1E" w14:textId="67106FB9"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intake and assessment</w:t>
            </w:r>
          </w:p>
        </w:tc>
        <w:tc>
          <w:tcPr>
            <w:tcW w:w="794" w:type="dxa"/>
            <w:hideMark/>
          </w:tcPr>
          <w:p w14:paraId="5B421A07" w14:textId="7C9AEBB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care and recovery coordination</w:t>
            </w:r>
          </w:p>
        </w:tc>
        <w:tc>
          <w:tcPr>
            <w:tcW w:w="794" w:type="dxa"/>
            <w:hideMark/>
          </w:tcPr>
          <w:p w14:paraId="11ED620D" w14:textId="5E52A23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counselling</w:t>
            </w:r>
          </w:p>
        </w:tc>
        <w:tc>
          <w:tcPr>
            <w:tcW w:w="850" w:type="dxa"/>
            <w:hideMark/>
          </w:tcPr>
          <w:p w14:paraId="5AD74897" w14:textId="2325782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mobile overdose response service</w:t>
            </w:r>
          </w:p>
        </w:tc>
        <w:tc>
          <w:tcPr>
            <w:tcW w:w="892" w:type="dxa"/>
            <w:hideMark/>
          </w:tcPr>
          <w:p w14:paraId="1008A7B8" w14:textId="6F7EA8FC"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non-residential withdrawal</w:t>
            </w:r>
          </w:p>
        </w:tc>
        <w:tc>
          <w:tcPr>
            <w:tcW w:w="892" w:type="dxa"/>
            <w:hideMark/>
          </w:tcPr>
          <w:p w14:paraId="3716EFAC" w14:textId="7BDB6E47"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 </w:t>
            </w:r>
            <w:r w:rsidR="001C7798">
              <w:rPr>
                <w:b/>
                <w:color w:val="FFFFFF" w:themeColor="background1"/>
                <w:sz w:val="13"/>
                <w:szCs w:val="13"/>
              </w:rPr>
              <w:t>rural</w:t>
            </w:r>
            <w:r w:rsidRPr="009179FE">
              <w:rPr>
                <w:b/>
                <w:color w:val="FFFFFF" w:themeColor="background1"/>
                <w:sz w:val="13"/>
                <w:szCs w:val="13"/>
              </w:rPr>
              <w:t xml:space="preserve"> withdrawal </w:t>
            </w:r>
          </w:p>
        </w:tc>
        <w:tc>
          <w:tcPr>
            <w:tcW w:w="892" w:type="dxa"/>
            <w:hideMark/>
          </w:tcPr>
          <w:p w14:paraId="05F56B4F" w14:textId="5D86D9C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specialist pharmacotherapy</w:t>
            </w:r>
          </w:p>
        </w:tc>
        <w:tc>
          <w:tcPr>
            <w:tcW w:w="893" w:type="dxa"/>
            <w:hideMark/>
          </w:tcPr>
          <w:p w14:paraId="332276AA" w14:textId="195D0641"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specialist pharmacotherapy service</w:t>
            </w:r>
          </w:p>
        </w:tc>
        <w:tc>
          <w:tcPr>
            <w:tcW w:w="892" w:type="dxa"/>
            <w:hideMark/>
          </w:tcPr>
          <w:p w14:paraId="4C2F1DBE" w14:textId="20C59B1F"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youth AOD supported accommodation</w:t>
            </w:r>
          </w:p>
        </w:tc>
        <w:tc>
          <w:tcPr>
            <w:tcW w:w="892" w:type="dxa"/>
            <w:hideMark/>
          </w:tcPr>
          <w:p w14:paraId="4694CE86" w14:textId="57DCADE1"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youth AOD supported accommodation rural</w:t>
            </w:r>
          </w:p>
        </w:tc>
        <w:tc>
          <w:tcPr>
            <w:tcW w:w="892" w:type="dxa"/>
            <w:hideMark/>
          </w:tcPr>
          <w:p w14:paraId="55C3D5FA" w14:textId="480784BA"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–youth outreach</w:t>
            </w:r>
          </w:p>
        </w:tc>
        <w:tc>
          <w:tcPr>
            <w:tcW w:w="794" w:type="dxa"/>
            <w:hideMark/>
          </w:tcPr>
          <w:p w14:paraId="54F4B5DB" w14:textId="637BB44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Total</w:t>
            </w:r>
          </w:p>
        </w:tc>
      </w:tr>
      <w:tr w:rsidR="00766A40" w:rsidRPr="00011D13" w14:paraId="2737A226"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2A9BF972" w14:textId="77777777" w:rsidR="006270A2" w:rsidRPr="00AC68A2" w:rsidRDefault="006270A2" w:rsidP="00473B41">
            <w:pPr>
              <w:pStyle w:val="Tabletext8pt"/>
              <w:rPr>
                <w:b w:val="0"/>
                <w:bCs w:val="0"/>
              </w:rPr>
            </w:pPr>
            <w:r w:rsidRPr="00AC68A2">
              <w:rPr>
                <w:b w:val="0"/>
                <w:bCs w:val="0"/>
              </w:rPr>
              <w:t>Albury Wodonga Health</w:t>
            </w:r>
          </w:p>
        </w:tc>
        <w:tc>
          <w:tcPr>
            <w:tcW w:w="892" w:type="dxa"/>
            <w:noWrap/>
          </w:tcPr>
          <w:p w14:paraId="3CBD4742"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rPr>
                <w:highlight w:val="yellow"/>
              </w:rPr>
            </w:pPr>
          </w:p>
        </w:tc>
        <w:tc>
          <w:tcPr>
            <w:tcW w:w="892" w:type="dxa"/>
            <w:noWrap/>
          </w:tcPr>
          <w:p w14:paraId="44637556" w14:textId="0BCDBC63"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238</w:t>
            </w:r>
          </w:p>
        </w:tc>
        <w:tc>
          <w:tcPr>
            <w:tcW w:w="892" w:type="dxa"/>
            <w:noWrap/>
          </w:tcPr>
          <w:p w14:paraId="36992D39"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68A5240D"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D68BA67" w14:textId="624ABF9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5C3BAF7"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60E85C6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4D2D26D1"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8370C7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2E7458B"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D63C46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47738F1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74665F7"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2C27612"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385301"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0D50543" w14:textId="6EC0EADE"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238</w:t>
            </w:r>
          </w:p>
        </w:tc>
      </w:tr>
      <w:tr w:rsidR="00961253" w:rsidRPr="00011D13" w14:paraId="1C0F8CEB"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C54583C" w14:textId="77777777" w:rsidR="006270A2" w:rsidRPr="00AC68A2" w:rsidRDefault="006270A2" w:rsidP="00473B41">
            <w:pPr>
              <w:pStyle w:val="Tabletext8pt"/>
              <w:rPr>
                <w:b w:val="0"/>
                <w:bCs w:val="0"/>
              </w:rPr>
            </w:pPr>
            <w:r w:rsidRPr="00AC68A2">
              <w:rPr>
                <w:b w:val="0"/>
                <w:bCs w:val="0"/>
              </w:rPr>
              <w:t>Bairnsdale Regional Health Service</w:t>
            </w:r>
          </w:p>
        </w:tc>
        <w:tc>
          <w:tcPr>
            <w:tcW w:w="892" w:type="dxa"/>
            <w:noWrap/>
          </w:tcPr>
          <w:p w14:paraId="6AC9B3C3"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570221FF" w14:textId="79FF3CBB"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483</w:t>
            </w:r>
          </w:p>
        </w:tc>
        <w:tc>
          <w:tcPr>
            <w:tcW w:w="892" w:type="dxa"/>
            <w:noWrap/>
          </w:tcPr>
          <w:p w14:paraId="07DF0BAE" w14:textId="1039340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7355E281"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2CFD619" w14:textId="5938CE7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A554649" w14:textId="20B2A22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4764A1E" w14:textId="5006673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09063472" w14:textId="669728D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E16C132" w14:textId="1B8208C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9FE7574" w14:textId="70DAF8A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1ECB843" w14:textId="5B15DD6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165A301" w14:textId="4543F4D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32B2DD5" w14:textId="47E55D9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A8A47BA" w14:textId="5934567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5EE9473" w14:textId="650DB06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2CC1A624" w14:textId="4FC9DC53"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483</w:t>
            </w:r>
          </w:p>
        </w:tc>
      </w:tr>
      <w:tr w:rsidR="00766A40" w:rsidRPr="00011D13" w14:paraId="0A6BADE4"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B9DE50C" w14:textId="77777777" w:rsidR="006270A2" w:rsidRPr="00AC68A2" w:rsidRDefault="006270A2" w:rsidP="00473B41">
            <w:pPr>
              <w:pStyle w:val="Tabletext8pt"/>
              <w:rPr>
                <w:b w:val="0"/>
                <w:bCs w:val="0"/>
              </w:rPr>
            </w:pPr>
            <w:r w:rsidRPr="00AC68A2">
              <w:rPr>
                <w:b w:val="0"/>
                <w:bCs w:val="0"/>
              </w:rPr>
              <w:t>Central Gippsland Health Service</w:t>
            </w:r>
          </w:p>
        </w:tc>
        <w:tc>
          <w:tcPr>
            <w:tcW w:w="892" w:type="dxa"/>
            <w:noWrap/>
          </w:tcPr>
          <w:p w14:paraId="1368B06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439431" w14:textId="0E1648E0"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476</w:t>
            </w:r>
          </w:p>
        </w:tc>
        <w:tc>
          <w:tcPr>
            <w:tcW w:w="892" w:type="dxa"/>
            <w:noWrap/>
          </w:tcPr>
          <w:p w14:paraId="6598E78D" w14:textId="7084A4A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44AFAF6C"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5F7FE90" w14:textId="7D6271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5EDBB33" w14:textId="451111A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C3341B0" w14:textId="50616FF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256BAC38" w14:textId="1FDF30D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EBAAB6C" w14:textId="2AF1F8B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A4F2839" w14:textId="5D373B7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9C6F250" w14:textId="5F6267D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404ADE93" w14:textId="55F2D1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3497C61" w14:textId="112F12D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53559F4" w14:textId="2848F01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AC88868" w14:textId="3078E07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A25E269" w14:textId="07F6825C"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476</w:t>
            </w:r>
          </w:p>
        </w:tc>
      </w:tr>
      <w:tr w:rsidR="00961253" w:rsidRPr="00011D13" w14:paraId="021C8572"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tcPr>
          <w:p w14:paraId="78D77677" w14:textId="3692B82A" w:rsidR="00105798" w:rsidRPr="00AC68A2" w:rsidRDefault="00105798" w:rsidP="00473B41">
            <w:pPr>
              <w:pStyle w:val="Tabletext8pt"/>
              <w:rPr>
                <w:b w:val="0"/>
                <w:bCs w:val="0"/>
              </w:rPr>
            </w:pPr>
            <w:r w:rsidRPr="00AC68A2">
              <w:rPr>
                <w:b w:val="0"/>
                <w:bCs w:val="0"/>
              </w:rPr>
              <w:t>Central Highlands Rural Health</w:t>
            </w:r>
          </w:p>
        </w:tc>
        <w:tc>
          <w:tcPr>
            <w:tcW w:w="892" w:type="dxa"/>
            <w:noWrap/>
          </w:tcPr>
          <w:p w14:paraId="7CE8ADBC"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55E04E7"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2EED249"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1F05EF1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1B33F5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1492F874"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655244EB" w14:textId="16F3B3C1"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44</w:t>
            </w:r>
          </w:p>
        </w:tc>
        <w:tc>
          <w:tcPr>
            <w:tcW w:w="850" w:type="dxa"/>
            <w:noWrap/>
          </w:tcPr>
          <w:p w14:paraId="202ACFDA"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574A7ED" w14:textId="1E43ACA9"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82</w:t>
            </w:r>
          </w:p>
        </w:tc>
        <w:tc>
          <w:tcPr>
            <w:tcW w:w="892" w:type="dxa"/>
            <w:noWrap/>
          </w:tcPr>
          <w:p w14:paraId="075AFEC0"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8EBC273"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178F802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7354CB5"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CCC073"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3FFEFFE" w14:textId="2543960E"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33</w:t>
            </w:r>
          </w:p>
        </w:tc>
        <w:tc>
          <w:tcPr>
            <w:tcW w:w="794" w:type="dxa"/>
            <w:noWrap/>
          </w:tcPr>
          <w:p w14:paraId="5CA6B28C" w14:textId="2CE05594"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159</w:t>
            </w:r>
          </w:p>
        </w:tc>
      </w:tr>
      <w:tr w:rsidR="00766A40" w:rsidRPr="00011D13" w14:paraId="50A0336E"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5FFAABD7" w14:textId="77777777" w:rsidR="006270A2" w:rsidRPr="00AC68A2" w:rsidRDefault="006270A2" w:rsidP="00473B41">
            <w:pPr>
              <w:pStyle w:val="Tabletext8pt"/>
              <w:rPr>
                <w:b w:val="0"/>
                <w:bCs w:val="0"/>
              </w:rPr>
            </w:pPr>
            <w:r w:rsidRPr="00AC68A2">
              <w:rPr>
                <w:b w:val="0"/>
                <w:bCs w:val="0"/>
              </w:rPr>
              <w:t>Colac Area Health</w:t>
            </w:r>
          </w:p>
        </w:tc>
        <w:tc>
          <w:tcPr>
            <w:tcW w:w="892" w:type="dxa"/>
            <w:noWrap/>
          </w:tcPr>
          <w:p w14:paraId="2E9F30CC" w14:textId="62087E4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C1FC5D9" w14:textId="649924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9F5D119" w14:textId="7CB270A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3B411312"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6639FEC" w14:textId="770CA5C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76FAF387" w14:textId="1A0BCE0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145D773C" w14:textId="0901830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60B3EF91" w14:textId="7B8DC66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1FA8569" w14:textId="19A8CB5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DCF106" w14:textId="73B8F55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11751F6" w14:textId="10ED1E8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6B041F4" w14:textId="28599D1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2DF0395" w14:textId="68588E5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0995216" w14:textId="353FD4F9"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w:t>
            </w:r>
          </w:p>
        </w:tc>
        <w:tc>
          <w:tcPr>
            <w:tcW w:w="892" w:type="dxa"/>
            <w:noWrap/>
          </w:tcPr>
          <w:p w14:paraId="14EEB923" w14:textId="363613AE"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5412E76" w14:textId="6CDA35DD"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w:t>
            </w:r>
          </w:p>
        </w:tc>
      </w:tr>
      <w:tr w:rsidR="00961253" w:rsidRPr="00011D13" w14:paraId="5CF764F3"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2CE1DAE4" w14:textId="77777777" w:rsidR="006270A2" w:rsidRPr="00AC68A2" w:rsidRDefault="006270A2" w:rsidP="00473B41">
            <w:pPr>
              <w:pStyle w:val="Tabletext8pt"/>
              <w:rPr>
                <w:b w:val="0"/>
                <w:bCs w:val="0"/>
              </w:rPr>
            </w:pPr>
            <w:r w:rsidRPr="00AC68A2">
              <w:rPr>
                <w:b w:val="0"/>
                <w:bCs w:val="0"/>
              </w:rPr>
              <w:t>Gippsland Southern Health Service</w:t>
            </w:r>
          </w:p>
        </w:tc>
        <w:tc>
          <w:tcPr>
            <w:tcW w:w="892" w:type="dxa"/>
            <w:noWrap/>
          </w:tcPr>
          <w:p w14:paraId="6F97296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51C46B0" w14:textId="0A513E39"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c>
          <w:tcPr>
            <w:tcW w:w="892" w:type="dxa"/>
            <w:noWrap/>
          </w:tcPr>
          <w:p w14:paraId="78D0818F" w14:textId="3916553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28C5C489"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20750EB" w14:textId="49B4664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1DB83EE2" w14:textId="7259293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0513327" w14:textId="28D79AC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06242AD9" w14:textId="28964B6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48C8BD8" w14:textId="01760B2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EDD9C1D" w14:textId="5041A57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6BAB250" w14:textId="18E97BDE"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2357A698" w14:textId="388D1EF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49ECE89" w14:textId="1DA0B00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B665C41" w14:textId="1F5F1476"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0EDCE1A" w14:textId="0F287D6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6E08A6E4" w14:textId="69CCC993"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r>
      <w:tr w:rsidR="00766A40" w:rsidRPr="00011D13" w14:paraId="43F5FEF0"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9E89C51" w14:textId="77777777" w:rsidR="006270A2" w:rsidRPr="00AC68A2" w:rsidRDefault="006270A2" w:rsidP="00473B41">
            <w:pPr>
              <w:pStyle w:val="Tabletext8pt"/>
              <w:rPr>
                <w:b w:val="0"/>
                <w:bCs w:val="0"/>
              </w:rPr>
            </w:pPr>
            <w:r w:rsidRPr="00AC68A2">
              <w:rPr>
                <w:b w:val="0"/>
                <w:bCs w:val="0"/>
              </w:rPr>
              <w:t>Mildura Base Public Hospital</w:t>
            </w:r>
          </w:p>
        </w:tc>
        <w:tc>
          <w:tcPr>
            <w:tcW w:w="892" w:type="dxa"/>
            <w:noWrap/>
          </w:tcPr>
          <w:p w14:paraId="0BC18155"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8B4C4F" w14:textId="705E076F"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308</w:t>
            </w:r>
          </w:p>
        </w:tc>
        <w:tc>
          <w:tcPr>
            <w:tcW w:w="892" w:type="dxa"/>
            <w:noWrap/>
          </w:tcPr>
          <w:p w14:paraId="0FFB2F8B" w14:textId="16951BE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11F1B0E2"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5BADDB" w14:textId="2A7CD48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229738B" w14:textId="468357F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B424BD4" w14:textId="65E9698E"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0963BD91" w14:textId="4F2F555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26C1AF6" w14:textId="103EAAE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8534243" w14:textId="1E5DD19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D21D0B1" w14:textId="40EEA5D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254FF3AA" w14:textId="48E9805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74380AD" w14:textId="3D3C2F2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3AC1E00" w14:textId="260C343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D07C5D5" w14:textId="15DBA31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6E3D626E" w14:textId="625010E7"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308</w:t>
            </w:r>
          </w:p>
        </w:tc>
      </w:tr>
      <w:tr w:rsidR="00961253" w:rsidRPr="00011D13" w14:paraId="79658DD6" w14:textId="77777777" w:rsidTr="009179FE">
        <w:trPr>
          <w:trHeight w:val="245"/>
        </w:trPr>
        <w:tc>
          <w:tcPr>
            <w:cnfStyle w:val="001000000000" w:firstRow="0" w:lastRow="0" w:firstColumn="1" w:lastColumn="0" w:oddVBand="0" w:evenVBand="0" w:oddHBand="0" w:evenHBand="0" w:firstRowFirstColumn="0" w:firstRowLastColumn="0" w:lastRowFirstColumn="0" w:lastRowLastColumn="0"/>
            <w:tcW w:w="1020" w:type="dxa"/>
            <w:hideMark/>
          </w:tcPr>
          <w:p w14:paraId="4F420318" w14:textId="77777777" w:rsidR="006270A2" w:rsidRPr="00AC68A2" w:rsidRDefault="006270A2" w:rsidP="00473B41">
            <w:pPr>
              <w:pStyle w:val="Tabletext8pt"/>
              <w:rPr>
                <w:b w:val="0"/>
                <w:bCs w:val="0"/>
              </w:rPr>
            </w:pPr>
            <w:r w:rsidRPr="00AC68A2">
              <w:rPr>
                <w:b w:val="0"/>
                <w:bCs w:val="0"/>
              </w:rPr>
              <w:t>Northeast Health Wangaratta</w:t>
            </w:r>
          </w:p>
        </w:tc>
        <w:tc>
          <w:tcPr>
            <w:tcW w:w="892" w:type="dxa"/>
            <w:noWrap/>
          </w:tcPr>
          <w:p w14:paraId="327D9B9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17C7C575" w14:textId="34A55731"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c>
          <w:tcPr>
            <w:tcW w:w="892" w:type="dxa"/>
            <w:noWrap/>
          </w:tcPr>
          <w:p w14:paraId="65EED0CD"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7C2DE76C"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5CD2443" w14:textId="0BDB6E9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79F4E55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3104ED8"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63AD8C82"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3F4417A"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C80AE8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FB43648"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F93155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8A67264"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47F1A41"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5B1F04BB"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500560F6" w14:textId="460ED482"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r>
      <w:tr w:rsidR="00766A40" w:rsidRPr="00011D13" w14:paraId="02D34AC0"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420F0835" w14:textId="77777777" w:rsidR="006270A2" w:rsidRPr="00AC68A2" w:rsidRDefault="006270A2" w:rsidP="00473B41">
            <w:pPr>
              <w:pStyle w:val="Tabletext8pt"/>
              <w:rPr>
                <w:b w:val="0"/>
                <w:bCs w:val="0"/>
              </w:rPr>
            </w:pPr>
            <w:r w:rsidRPr="00AC68A2">
              <w:rPr>
                <w:b w:val="0"/>
                <w:bCs w:val="0"/>
              </w:rPr>
              <w:t>South West Healthcare</w:t>
            </w:r>
          </w:p>
        </w:tc>
        <w:tc>
          <w:tcPr>
            <w:tcW w:w="892" w:type="dxa"/>
            <w:noWrap/>
            <w:hideMark/>
          </w:tcPr>
          <w:p w14:paraId="55BAA3A8" w14:textId="7A4D267B"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2" w:type="dxa"/>
            <w:noWrap/>
            <w:hideMark/>
          </w:tcPr>
          <w:p w14:paraId="74254C07" w14:textId="7CCA4234"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2" w:type="dxa"/>
            <w:noWrap/>
            <w:hideMark/>
          </w:tcPr>
          <w:p w14:paraId="55E2AD3D" w14:textId="765AB91A"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3" w:type="dxa"/>
          </w:tcPr>
          <w:p w14:paraId="347DE60B" w14:textId="77777777" w:rsidR="0079216E"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hideMark/>
          </w:tcPr>
          <w:p w14:paraId="741CF15F" w14:textId="117C1029"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794" w:type="dxa"/>
            <w:noWrap/>
            <w:hideMark/>
          </w:tcPr>
          <w:p w14:paraId="1564BF27" w14:textId="5F84B628"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794" w:type="dxa"/>
            <w:noWrap/>
            <w:hideMark/>
          </w:tcPr>
          <w:p w14:paraId="5505F589" w14:textId="014CFE64"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50" w:type="dxa"/>
            <w:noWrap/>
          </w:tcPr>
          <w:p w14:paraId="60A975B7" w14:textId="2C89068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015CB5D" w14:textId="4503596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F279F7A" w14:textId="4CC2610E"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120</w:t>
            </w:r>
          </w:p>
        </w:tc>
        <w:tc>
          <w:tcPr>
            <w:tcW w:w="892" w:type="dxa"/>
            <w:noWrap/>
          </w:tcPr>
          <w:p w14:paraId="6E1DEC5A" w14:textId="412DCA2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D011B28" w14:textId="5812244F"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12</w:t>
            </w:r>
          </w:p>
        </w:tc>
        <w:tc>
          <w:tcPr>
            <w:tcW w:w="892" w:type="dxa"/>
            <w:noWrap/>
          </w:tcPr>
          <w:p w14:paraId="7E7B74B7" w14:textId="605C14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139909B" w14:textId="66F502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86D7B86" w14:textId="7606339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1B28AF21" w14:textId="4B07DCD1"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132</w:t>
            </w:r>
          </w:p>
        </w:tc>
      </w:tr>
    </w:tbl>
    <w:p w14:paraId="0D41AAA3" w14:textId="77777777" w:rsidR="006270A2" w:rsidRPr="00011D13" w:rsidRDefault="006270A2" w:rsidP="00473B41">
      <w:pPr>
        <w:pStyle w:val="Bodyafterfiguretable"/>
        <w:keepNext/>
        <w:keepLines/>
        <w:spacing w:line="240" w:lineRule="auto"/>
      </w:pPr>
      <w:r w:rsidRPr="00011D13">
        <w:t xml:space="preserve">Combined </w:t>
      </w:r>
      <w:r w:rsidRPr="00994938">
        <w:t>total</w:t>
      </w:r>
    </w:p>
    <w:tbl>
      <w:tblPr>
        <w:tblStyle w:val="GridTable4-Accent1"/>
        <w:tblW w:w="14922" w:type="dxa"/>
        <w:tblLayout w:type="fixed"/>
        <w:tblLook w:val="04A0" w:firstRow="1" w:lastRow="0" w:firstColumn="1" w:lastColumn="0" w:noHBand="0" w:noVBand="1"/>
      </w:tblPr>
      <w:tblGrid>
        <w:gridCol w:w="842"/>
        <w:gridCol w:w="843"/>
        <w:gridCol w:w="843"/>
        <w:gridCol w:w="842"/>
        <w:gridCol w:w="843"/>
        <w:gridCol w:w="843"/>
        <w:gridCol w:w="842"/>
        <w:gridCol w:w="794"/>
        <w:gridCol w:w="850"/>
        <w:gridCol w:w="842"/>
        <w:gridCol w:w="794"/>
        <w:gridCol w:w="794"/>
        <w:gridCol w:w="842"/>
        <w:gridCol w:w="843"/>
        <w:gridCol w:w="843"/>
        <w:gridCol w:w="842"/>
        <w:gridCol w:w="843"/>
        <w:gridCol w:w="737"/>
      </w:tblGrid>
      <w:tr w:rsidR="00234AA3" w:rsidRPr="00961253" w14:paraId="6D734F0E" w14:textId="77777777" w:rsidTr="009179FE">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42" w:type="dxa"/>
            <w:hideMark/>
          </w:tcPr>
          <w:p w14:paraId="2B3BD667" w14:textId="77777777" w:rsidR="006270A2" w:rsidRPr="009179FE" w:rsidRDefault="006270A2" w:rsidP="00473B41">
            <w:pPr>
              <w:pStyle w:val="Tablecolhead8pt"/>
              <w:rPr>
                <w:b/>
                <w:color w:val="FFFFFF" w:themeColor="background1"/>
                <w:sz w:val="13"/>
                <w:szCs w:val="13"/>
              </w:rPr>
            </w:pPr>
            <w:r w:rsidRPr="009179FE">
              <w:rPr>
                <w:b/>
                <w:color w:val="FFFFFF" w:themeColor="background1"/>
                <w:sz w:val="13"/>
                <w:szCs w:val="13"/>
              </w:rPr>
              <w:t>Health service</w:t>
            </w:r>
          </w:p>
        </w:tc>
        <w:tc>
          <w:tcPr>
            <w:tcW w:w="843" w:type="dxa"/>
            <w:hideMark/>
          </w:tcPr>
          <w:p w14:paraId="319D072F" w14:textId="367F865E" w:rsidR="006270A2"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bCs w:val="0"/>
                <w:color w:val="FFFFFF" w:themeColor="background1"/>
                <w:sz w:val="13"/>
                <w:szCs w:val="13"/>
              </w:rPr>
              <w:t xml:space="preserve">DTAU – </w:t>
            </w:r>
            <w:r w:rsidR="00961253" w:rsidRPr="00E371F1">
              <w:rPr>
                <w:b/>
                <w:bCs w:val="0"/>
                <w:color w:val="FFFFFF" w:themeColor="background1"/>
                <w:sz w:val="13"/>
                <w:szCs w:val="13"/>
              </w:rPr>
              <w:t>d</w:t>
            </w:r>
            <w:r w:rsidRPr="00E371F1">
              <w:rPr>
                <w:b/>
                <w:bCs w:val="0"/>
                <w:color w:val="FFFFFF" w:themeColor="background1"/>
                <w:sz w:val="13"/>
                <w:szCs w:val="13"/>
              </w:rPr>
              <w:t xml:space="preserve">ual </w:t>
            </w:r>
            <w:r w:rsidR="00961253" w:rsidRPr="00E371F1">
              <w:rPr>
                <w:b/>
                <w:bCs w:val="0"/>
                <w:color w:val="FFFFFF" w:themeColor="background1"/>
                <w:sz w:val="13"/>
                <w:szCs w:val="13"/>
              </w:rPr>
              <w:t>diagnosis residential rehabilitation</w:t>
            </w:r>
          </w:p>
        </w:tc>
        <w:tc>
          <w:tcPr>
            <w:tcW w:w="843" w:type="dxa"/>
            <w:hideMark/>
          </w:tcPr>
          <w:p w14:paraId="702960C6"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residential drug withdrawal</w:t>
            </w:r>
          </w:p>
        </w:tc>
        <w:tc>
          <w:tcPr>
            <w:tcW w:w="842" w:type="dxa"/>
            <w:hideMark/>
          </w:tcPr>
          <w:p w14:paraId="7E728FCD"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residential rehabilitation</w:t>
            </w:r>
          </w:p>
        </w:tc>
        <w:tc>
          <w:tcPr>
            <w:tcW w:w="843" w:type="dxa"/>
          </w:tcPr>
          <w:p w14:paraId="24B75646" w14:textId="1E535111" w:rsidR="00A93897"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3"/>
                <w:szCs w:val="13"/>
              </w:rPr>
            </w:pPr>
            <w:r w:rsidRPr="00E371F1">
              <w:rPr>
                <w:b/>
                <w:bCs w:val="0"/>
                <w:color w:val="FFFFFF" w:themeColor="background1"/>
                <w:sz w:val="13"/>
                <w:szCs w:val="13"/>
              </w:rPr>
              <w:t xml:space="preserve">DTAU – </w:t>
            </w:r>
            <w:r w:rsidR="00B7474B" w:rsidRPr="00E371F1">
              <w:rPr>
                <w:b/>
                <w:bCs w:val="0"/>
                <w:color w:val="FFFFFF" w:themeColor="background1"/>
                <w:sz w:val="13"/>
                <w:szCs w:val="13"/>
              </w:rPr>
              <w:t>therapeutic</w:t>
            </w:r>
            <w:r w:rsidRPr="00E371F1">
              <w:rPr>
                <w:b/>
                <w:bCs w:val="0"/>
                <w:color w:val="FFFFFF" w:themeColor="background1"/>
                <w:sz w:val="13"/>
                <w:szCs w:val="13"/>
              </w:rPr>
              <w:t xml:space="preserve"> </w:t>
            </w:r>
            <w:r w:rsidR="00961253" w:rsidRPr="00E371F1">
              <w:rPr>
                <w:b/>
                <w:bCs w:val="0"/>
                <w:color w:val="FFFFFF" w:themeColor="background1"/>
                <w:sz w:val="13"/>
                <w:szCs w:val="13"/>
              </w:rPr>
              <w:t>day program</w:t>
            </w:r>
          </w:p>
        </w:tc>
        <w:tc>
          <w:tcPr>
            <w:tcW w:w="843" w:type="dxa"/>
            <w:hideMark/>
          </w:tcPr>
          <w:p w14:paraId="0C039FB1" w14:textId="7D59AC0C"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 xml:space="preserve">intake </w:t>
            </w:r>
            <w:r w:rsidRPr="00E371F1">
              <w:rPr>
                <w:b/>
                <w:color w:val="FFFFFF" w:themeColor="background1"/>
                <w:sz w:val="13"/>
                <w:szCs w:val="13"/>
              </w:rPr>
              <w:t>and assessment</w:t>
            </w:r>
          </w:p>
        </w:tc>
        <w:tc>
          <w:tcPr>
            <w:tcW w:w="842" w:type="dxa"/>
            <w:hideMark/>
          </w:tcPr>
          <w:p w14:paraId="0211F24A" w14:textId="742A555F"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 xml:space="preserve">care </w:t>
            </w:r>
            <w:r w:rsidRPr="00E371F1">
              <w:rPr>
                <w:b/>
                <w:color w:val="FFFFFF" w:themeColor="background1"/>
                <w:sz w:val="13"/>
                <w:szCs w:val="13"/>
              </w:rPr>
              <w:t>and recovery coordination</w:t>
            </w:r>
          </w:p>
        </w:tc>
        <w:tc>
          <w:tcPr>
            <w:tcW w:w="794" w:type="dxa"/>
            <w:hideMark/>
          </w:tcPr>
          <w:p w14:paraId="0588C213"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counselling</w:t>
            </w:r>
          </w:p>
        </w:tc>
        <w:tc>
          <w:tcPr>
            <w:tcW w:w="850" w:type="dxa"/>
            <w:hideMark/>
          </w:tcPr>
          <w:p w14:paraId="6A8A076D" w14:textId="171A1806"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mobile </w:t>
            </w:r>
            <w:r w:rsidRPr="00E371F1">
              <w:rPr>
                <w:b/>
                <w:color w:val="FFFFFF" w:themeColor="background1"/>
                <w:sz w:val="13"/>
                <w:szCs w:val="13"/>
              </w:rPr>
              <w:t>overdose response service</w:t>
            </w:r>
          </w:p>
        </w:tc>
        <w:tc>
          <w:tcPr>
            <w:tcW w:w="842" w:type="dxa"/>
            <w:hideMark/>
          </w:tcPr>
          <w:p w14:paraId="4C4BDE18" w14:textId="5F18510E"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non</w:t>
            </w:r>
            <w:r w:rsidRPr="00E371F1">
              <w:rPr>
                <w:b/>
                <w:color w:val="FFFFFF" w:themeColor="background1"/>
                <w:sz w:val="13"/>
                <w:szCs w:val="13"/>
              </w:rPr>
              <w:t>-residential withdrawal</w:t>
            </w:r>
          </w:p>
        </w:tc>
        <w:tc>
          <w:tcPr>
            <w:tcW w:w="794" w:type="dxa"/>
            <w:hideMark/>
          </w:tcPr>
          <w:p w14:paraId="159412CB" w14:textId="2002D5E8" w:rsidR="006270A2"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bCs w:val="0"/>
                <w:color w:val="FFFFFF" w:themeColor="background1"/>
                <w:sz w:val="13"/>
                <w:szCs w:val="13"/>
              </w:rPr>
              <w:t>youth residential drug withdrawal</w:t>
            </w:r>
          </w:p>
        </w:tc>
        <w:tc>
          <w:tcPr>
            <w:tcW w:w="794" w:type="dxa"/>
          </w:tcPr>
          <w:p w14:paraId="46DFBB2A" w14:textId="27D4D649" w:rsidR="001F6E63" w:rsidRPr="00E371F1" w:rsidRDefault="001F6E6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B7474B" w:rsidRPr="00E371F1">
              <w:rPr>
                <w:b/>
                <w:color w:val="FFFFFF" w:themeColor="background1"/>
                <w:sz w:val="13"/>
                <w:szCs w:val="13"/>
              </w:rPr>
              <w:t xml:space="preserve">rural </w:t>
            </w:r>
            <w:r w:rsidRPr="00E371F1">
              <w:rPr>
                <w:b/>
                <w:color w:val="FFFFFF" w:themeColor="background1"/>
                <w:sz w:val="13"/>
                <w:szCs w:val="13"/>
              </w:rPr>
              <w:t>withdrawal</w:t>
            </w:r>
          </w:p>
        </w:tc>
        <w:tc>
          <w:tcPr>
            <w:tcW w:w="842" w:type="dxa"/>
            <w:hideMark/>
          </w:tcPr>
          <w:p w14:paraId="6CA1A194" w14:textId="0BA450CE"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specialist pharmacotherapy</w:t>
            </w:r>
          </w:p>
        </w:tc>
        <w:tc>
          <w:tcPr>
            <w:tcW w:w="843" w:type="dxa"/>
            <w:hideMark/>
          </w:tcPr>
          <w:p w14:paraId="0FC08E93" w14:textId="4D4478B1"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specialist pharmacotherapy service</w:t>
            </w:r>
          </w:p>
        </w:tc>
        <w:tc>
          <w:tcPr>
            <w:tcW w:w="843" w:type="dxa"/>
            <w:hideMark/>
          </w:tcPr>
          <w:p w14:paraId="692A4EC7" w14:textId="134488DC"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youth </w:t>
            </w:r>
            <w:r w:rsidRPr="00E371F1">
              <w:rPr>
                <w:b/>
                <w:color w:val="FFFFFF" w:themeColor="background1"/>
                <w:sz w:val="13"/>
                <w:szCs w:val="13"/>
              </w:rPr>
              <w:t>A</w:t>
            </w:r>
            <w:r w:rsidR="00961253" w:rsidRPr="00E371F1">
              <w:rPr>
                <w:b/>
                <w:color w:val="FFFFFF" w:themeColor="background1"/>
                <w:sz w:val="13"/>
                <w:szCs w:val="13"/>
              </w:rPr>
              <w:t>O</w:t>
            </w:r>
            <w:r w:rsidRPr="00E371F1">
              <w:rPr>
                <w:b/>
                <w:color w:val="FFFFFF" w:themeColor="background1"/>
                <w:sz w:val="13"/>
                <w:szCs w:val="13"/>
              </w:rPr>
              <w:t>D supported accommodation</w:t>
            </w:r>
          </w:p>
        </w:tc>
        <w:tc>
          <w:tcPr>
            <w:tcW w:w="842" w:type="dxa"/>
            <w:hideMark/>
          </w:tcPr>
          <w:p w14:paraId="171D1D09" w14:textId="763FFFB6"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youth </w:t>
            </w:r>
            <w:r w:rsidRPr="00E371F1">
              <w:rPr>
                <w:b/>
                <w:color w:val="FFFFFF" w:themeColor="background1"/>
                <w:sz w:val="13"/>
                <w:szCs w:val="13"/>
              </w:rPr>
              <w:t>A</w:t>
            </w:r>
            <w:r w:rsidR="00961253" w:rsidRPr="00E371F1">
              <w:rPr>
                <w:b/>
                <w:color w:val="FFFFFF" w:themeColor="background1"/>
                <w:sz w:val="13"/>
                <w:szCs w:val="13"/>
              </w:rPr>
              <w:t>O</w:t>
            </w:r>
            <w:r w:rsidRPr="00E371F1">
              <w:rPr>
                <w:b/>
                <w:color w:val="FFFFFF" w:themeColor="background1"/>
                <w:sz w:val="13"/>
                <w:szCs w:val="13"/>
              </w:rPr>
              <w:t>D supported accommodation rural</w:t>
            </w:r>
          </w:p>
        </w:tc>
        <w:tc>
          <w:tcPr>
            <w:tcW w:w="843" w:type="dxa"/>
            <w:hideMark/>
          </w:tcPr>
          <w:p w14:paraId="52EF9598" w14:textId="4A1CB1EB"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Episode of care –</w:t>
            </w:r>
            <w:r w:rsidR="00961253" w:rsidRPr="00E371F1">
              <w:rPr>
                <w:b/>
                <w:color w:val="FFFFFF" w:themeColor="background1"/>
                <w:sz w:val="13"/>
                <w:szCs w:val="13"/>
              </w:rPr>
              <w:t>youth outreach</w:t>
            </w:r>
          </w:p>
        </w:tc>
        <w:tc>
          <w:tcPr>
            <w:tcW w:w="737" w:type="dxa"/>
            <w:hideMark/>
          </w:tcPr>
          <w:p w14:paraId="4C4AD251"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Total</w:t>
            </w:r>
          </w:p>
        </w:tc>
      </w:tr>
      <w:tr w:rsidR="00234AA3" w:rsidRPr="00961253" w14:paraId="01A6A730" w14:textId="77777777" w:rsidTr="009179FE">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42" w:type="dxa"/>
          </w:tcPr>
          <w:p w14:paraId="524E2DAD" w14:textId="584A8F57" w:rsidR="00961253" w:rsidRPr="00AC68A2" w:rsidRDefault="00961253" w:rsidP="00473B41">
            <w:pPr>
              <w:pStyle w:val="Tabletext8pt"/>
              <w:rPr>
                <w:b w:val="0"/>
                <w:bCs w:val="0"/>
                <w:color w:val="auto"/>
              </w:rPr>
            </w:pPr>
            <w:r w:rsidRPr="00AC68A2">
              <w:rPr>
                <w:b w:val="0"/>
                <w:bCs w:val="0"/>
              </w:rPr>
              <w:t>Total</w:t>
            </w:r>
          </w:p>
        </w:tc>
        <w:tc>
          <w:tcPr>
            <w:tcW w:w="843" w:type="dxa"/>
          </w:tcPr>
          <w:p w14:paraId="1C3B2B3A" w14:textId="3F69DCD0"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10,688</w:t>
            </w:r>
          </w:p>
        </w:tc>
        <w:tc>
          <w:tcPr>
            <w:tcW w:w="843" w:type="dxa"/>
          </w:tcPr>
          <w:p w14:paraId="24F620B2" w14:textId="5B48FA18"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14,411</w:t>
            </w:r>
          </w:p>
        </w:tc>
        <w:tc>
          <w:tcPr>
            <w:tcW w:w="842" w:type="dxa"/>
          </w:tcPr>
          <w:p w14:paraId="1151113A" w14:textId="0B442C2C"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2</w:t>
            </w:r>
            <w:r w:rsidR="007B6335">
              <w:t>,</w:t>
            </w:r>
            <w:r w:rsidRPr="00AC68A2">
              <w:t>122</w:t>
            </w:r>
          </w:p>
        </w:tc>
        <w:tc>
          <w:tcPr>
            <w:tcW w:w="843" w:type="dxa"/>
          </w:tcPr>
          <w:p w14:paraId="6E0E9943" w14:textId="73141D0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1,508</w:t>
            </w:r>
          </w:p>
        </w:tc>
        <w:tc>
          <w:tcPr>
            <w:tcW w:w="843" w:type="dxa"/>
          </w:tcPr>
          <w:p w14:paraId="411A8C36" w14:textId="65ABC221"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3,201</w:t>
            </w:r>
          </w:p>
        </w:tc>
        <w:tc>
          <w:tcPr>
            <w:tcW w:w="842" w:type="dxa"/>
          </w:tcPr>
          <w:p w14:paraId="3281CA9C" w14:textId="09436B98"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1,553</w:t>
            </w:r>
          </w:p>
        </w:tc>
        <w:tc>
          <w:tcPr>
            <w:tcW w:w="794" w:type="dxa"/>
          </w:tcPr>
          <w:p w14:paraId="38469817" w14:textId="7A836681"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5,266</w:t>
            </w:r>
          </w:p>
        </w:tc>
        <w:tc>
          <w:tcPr>
            <w:tcW w:w="850" w:type="dxa"/>
          </w:tcPr>
          <w:p w14:paraId="074586E5" w14:textId="1E005D39"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19</w:t>
            </w:r>
          </w:p>
        </w:tc>
        <w:tc>
          <w:tcPr>
            <w:tcW w:w="842" w:type="dxa"/>
          </w:tcPr>
          <w:p w14:paraId="1154BF2F" w14:textId="0F051F03"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2,112</w:t>
            </w:r>
          </w:p>
        </w:tc>
        <w:tc>
          <w:tcPr>
            <w:tcW w:w="794" w:type="dxa"/>
          </w:tcPr>
          <w:p w14:paraId="7B372631" w14:textId="515F56B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w:t>
            </w:r>
            <w:r w:rsidR="007B6335">
              <w:t>,</w:t>
            </w:r>
            <w:r w:rsidRPr="00AC68A2">
              <w:t>597</w:t>
            </w:r>
          </w:p>
        </w:tc>
        <w:tc>
          <w:tcPr>
            <w:tcW w:w="794" w:type="dxa"/>
          </w:tcPr>
          <w:p w14:paraId="0DC127E1" w14:textId="199D6D02"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120</w:t>
            </w:r>
          </w:p>
        </w:tc>
        <w:tc>
          <w:tcPr>
            <w:tcW w:w="842" w:type="dxa"/>
          </w:tcPr>
          <w:p w14:paraId="4623A2CD" w14:textId="476BB7F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100</w:t>
            </w:r>
          </w:p>
        </w:tc>
        <w:tc>
          <w:tcPr>
            <w:tcW w:w="843" w:type="dxa"/>
          </w:tcPr>
          <w:p w14:paraId="602977ED" w14:textId="0A7E9C6A"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502</w:t>
            </w:r>
          </w:p>
        </w:tc>
        <w:tc>
          <w:tcPr>
            <w:tcW w:w="843" w:type="dxa"/>
          </w:tcPr>
          <w:p w14:paraId="31EA96B1" w14:textId="36433BC4"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40</w:t>
            </w:r>
          </w:p>
        </w:tc>
        <w:tc>
          <w:tcPr>
            <w:tcW w:w="842" w:type="dxa"/>
          </w:tcPr>
          <w:p w14:paraId="0FA3C4BE" w14:textId="4C589CF4"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6</w:t>
            </w:r>
          </w:p>
        </w:tc>
        <w:tc>
          <w:tcPr>
            <w:tcW w:w="843" w:type="dxa"/>
          </w:tcPr>
          <w:p w14:paraId="18BF6898" w14:textId="7E8A12CE"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445</w:t>
            </w:r>
          </w:p>
        </w:tc>
        <w:tc>
          <w:tcPr>
            <w:tcW w:w="737" w:type="dxa"/>
          </w:tcPr>
          <w:p w14:paraId="021C5235" w14:textId="4E0B91C7"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4</w:t>
            </w:r>
            <w:r w:rsidR="007B6335" w:rsidRPr="007B6335">
              <w:t>1,568</w:t>
            </w:r>
          </w:p>
        </w:tc>
      </w:tr>
    </w:tbl>
    <w:p w14:paraId="74FCEBE5" w14:textId="58D1802D" w:rsidR="00766A40" w:rsidRDefault="00766A40" w:rsidP="00766A40">
      <w:pPr>
        <w:pStyle w:val="Heading2"/>
        <w:numPr>
          <w:ilvl w:val="0"/>
          <w:numId w:val="0"/>
        </w:numPr>
      </w:pPr>
      <w:bookmarkStart w:id="2646" w:name="_Toc199184973"/>
      <w:bookmarkStart w:id="2647" w:name="_Toc165961881"/>
      <w:bookmarkStart w:id="2648" w:name="_Toc201148308"/>
      <w:bookmarkEnd w:id="2646"/>
    </w:p>
    <w:p w14:paraId="782F1988" w14:textId="77777777" w:rsidR="00766A40" w:rsidRDefault="00766A40">
      <w:pPr>
        <w:spacing w:after="0" w:line="240" w:lineRule="auto"/>
        <w:rPr>
          <w:b/>
          <w:color w:val="53565A"/>
          <w:sz w:val="32"/>
          <w:szCs w:val="28"/>
        </w:rPr>
      </w:pPr>
      <w:r>
        <w:br w:type="page"/>
      </w:r>
    </w:p>
    <w:p w14:paraId="7EDA6A71" w14:textId="04F2E30C" w:rsidR="005B699B" w:rsidRDefault="005B699B" w:rsidP="0076400D">
      <w:pPr>
        <w:pStyle w:val="Heading2"/>
        <w:numPr>
          <w:ilvl w:val="1"/>
          <w:numId w:val="12"/>
        </w:numPr>
        <w:ind w:left="1134" w:hanging="1134"/>
      </w:pPr>
      <w:r>
        <w:t xml:space="preserve">Localised pricing adjustments to </w:t>
      </w:r>
      <w:r w:rsidRPr="000A1079">
        <w:t>the</w:t>
      </w:r>
      <w:r>
        <w:t xml:space="preserve"> Victorian </w:t>
      </w:r>
      <w:r w:rsidR="003A4C46">
        <w:t xml:space="preserve">ABF </w:t>
      </w:r>
      <w:r>
        <w:t>Pricing Framework</w:t>
      </w:r>
      <w:bookmarkEnd w:id="2647"/>
      <w:bookmarkEnd w:id="2648"/>
    </w:p>
    <w:p w14:paraId="7B1CDF2C" w14:textId="1A3B3BA9" w:rsidR="004A4605" w:rsidRPr="004A4605" w:rsidRDefault="00462DC7" w:rsidP="004A4605">
      <w:pPr>
        <w:pStyle w:val="Tablecaption"/>
      </w:pPr>
      <w:bookmarkStart w:id="2649" w:name="_Ref165635076"/>
      <w:bookmarkStart w:id="2650" w:name="_Ref199252198"/>
      <w:bookmarkStart w:id="2651" w:name="_Toc201148608"/>
      <w:r w:rsidRPr="00EF3DF0">
        <w:t xml:space="preserve">Table </w:t>
      </w:r>
      <w:r w:rsidR="006533AA">
        <w:t>2.</w:t>
      </w:r>
      <w:r w:rsidR="006533AA">
        <w:fldChar w:fldCharType="begin"/>
      </w:r>
      <w:r w:rsidR="006533AA">
        <w:instrText>SEQ Table \* ARABIC \s 1</w:instrText>
      </w:r>
      <w:r w:rsidR="006533AA">
        <w:fldChar w:fldCharType="separate"/>
      </w:r>
      <w:r w:rsidR="006533AA">
        <w:rPr>
          <w:noProof/>
        </w:rPr>
        <w:t>22</w:t>
      </w:r>
      <w:r w:rsidR="006533AA">
        <w:fldChar w:fldCharType="end"/>
      </w:r>
      <w:r w:rsidRPr="00EF3DF0">
        <w:fldChar w:fldCharType="begin"/>
      </w:r>
      <w:r w:rsidRPr="00EF3DF0">
        <w:instrText>SEQ Table \* ARABIC \s 1</w:instrText>
      </w:r>
      <w:r w:rsidRPr="00EF3DF0">
        <w:fldChar w:fldCharType="separate"/>
      </w:r>
      <w:r w:rsidRPr="00EF3DF0">
        <w:fldChar w:fldCharType="end"/>
      </w:r>
      <w:bookmarkEnd w:id="2649"/>
      <w:r w:rsidRPr="00EF3DF0">
        <w:t xml:space="preserve">: </w:t>
      </w:r>
      <w:r w:rsidR="005B699B" w:rsidRPr="00EF3DF0">
        <w:t>Victorian pricing adjustments 202</w:t>
      </w:r>
      <w:r w:rsidR="000C0EF6" w:rsidRPr="00EF3DF0">
        <w:t>5</w:t>
      </w:r>
      <w:r w:rsidR="005B699B" w:rsidRPr="00EF3DF0">
        <w:t>–2</w:t>
      </w:r>
      <w:r w:rsidR="000C0EF6" w:rsidRPr="00EF3DF0">
        <w:t>6</w:t>
      </w:r>
      <w:r w:rsidR="00D2748E">
        <w:t xml:space="preserve"> </w:t>
      </w:r>
      <w:r w:rsidR="004A4605">
        <w:t>– Legacy grants</w:t>
      </w:r>
      <w:bookmarkEnd w:id="2650"/>
      <w:bookmarkEnd w:id="2651"/>
    </w:p>
    <w:tbl>
      <w:tblPr>
        <w:tblStyle w:val="GridTable4-Accent1"/>
        <w:tblW w:w="5149" w:type="pct"/>
        <w:tblLook w:val="04A0" w:firstRow="1" w:lastRow="0" w:firstColumn="1" w:lastColumn="0" w:noHBand="0" w:noVBand="1"/>
      </w:tblPr>
      <w:tblGrid>
        <w:gridCol w:w="4531"/>
        <w:gridCol w:w="4678"/>
        <w:gridCol w:w="5492"/>
      </w:tblGrid>
      <w:tr w:rsidR="00884237" w:rsidRPr="00410037" w14:paraId="1C07E2B0" w14:textId="77777777" w:rsidTr="009179F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541" w:type="pct"/>
            <w:hideMark/>
          </w:tcPr>
          <w:p w14:paraId="46DAE6C8" w14:textId="77777777" w:rsidR="00884237" w:rsidRPr="009179FE" w:rsidRDefault="00884237" w:rsidP="00785BA1">
            <w:pPr>
              <w:pStyle w:val="Tablecolhead"/>
              <w:rPr>
                <w:b/>
                <w:bCs w:val="0"/>
                <w:color w:val="FFFFFF" w:themeColor="background1"/>
                <w:szCs w:val="21"/>
                <w:lang w:eastAsia="en-AU"/>
              </w:rPr>
            </w:pPr>
            <w:r w:rsidRPr="009179FE">
              <w:rPr>
                <w:b/>
                <w:bCs w:val="0"/>
                <w:color w:val="FFFFFF" w:themeColor="background1"/>
                <w:szCs w:val="21"/>
                <w:lang w:eastAsia="en-AU"/>
              </w:rPr>
              <w:t>Grant name</w:t>
            </w:r>
          </w:p>
        </w:tc>
        <w:tc>
          <w:tcPr>
            <w:tcW w:w="1591" w:type="pct"/>
            <w:hideMark/>
          </w:tcPr>
          <w:p w14:paraId="56D46956" w14:textId="77777777" w:rsidR="00884237" w:rsidRPr="009179FE" w:rsidRDefault="00884237" w:rsidP="00785BA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Cs w:val="21"/>
                <w:lang w:eastAsia="en-AU"/>
              </w:rPr>
            </w:pPr>
            <w:r w:rsidRPr="009179FE">
              <w:rPr>
                <w:b/>
                <w:bCs w:val="0"/>
                <w:color w:val="FFFFFF" w:themeColor="background1"/>
                <w:szCs w:val="21"/>
                <w:lang w:eastAsia="en-AU"/>
              </w:rPr>
              <w:t>Adjustment type</w:t>
            </w:r>
          </w:p>
        </w:tc>
        <w:tc>
          <w:tcPr>
            <w:tcW w:w="1868" w:type="pct"/>
          </w:tcPr>
          <w:p w14:paraId="2DD9EA8D" w14:textId="77777777" w:rsidR="00884237" w:rsidRPr="009179FE" w:rsidRDefault="00884237" w:rsidP="00785BA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Cs w:val="21"/>
                <w:lang w:eastAsia="en-AU"/>
              </w:rPr>
            </w:pPr>
            <w:r w:rsidRPr="009179FE">
              <w:rPr>
                <w:b/>
                <w:bCs w:val="0"/>
                <w:color w:val="FFFFFF" w:themeColor="background1"/>
                <w:szCs w:val="21"/>
                <w:lang w:eastAsia="en-AU"/>
              </w:rPr>
              <w:t>Notes</w:t>
            </w:r>
          </w:p>
        </w:tc>
      </w:tr>
      <w:tr w:rsidR="00884237" w:rsidRPr="00410037" w14:paraId="7FD0B58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212367A5" w14:textId="77777777" w:rsidR="00884237" w:rsidRPr="00AC68A2" w:rsidRDefault="00884237" w:rsidP="00A00881">
            <w:pPr>
              <w:pStyle w:val="Tabletext9pt"/>
              <w:rPr>
                <w:b w:val="0"/>
                <w:bCs/>
              </w:rPr>
            </w:pPr>
            <w:r w:rsidRPr="00AC68A2">
              <w:rPr>
                <w:b w:val="0"/>
                <w:bCs/>
              </w:rPr>
              <w:t>1069 – Commissioning Costs</w:t>
            </w:r>
          </w:p>
        </w:tc>
        <w:tc>
          <w:tcPr>
            <w:tcW w:w="1591" w:type="pct"/>
            <w:hideMark/>
          </w:tcPr>
          <w:p w14:paraId="664BD8A4"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commissioning of new services </w:t>
            </w:r>
          </w:p>
        </w:tc>
        <w:tc>
          <w:tcPr>
            <w:tcW w:w="1868" w:type="pct"/>
          </w:tcPr>
          <w:p w14:paraId="06C2F22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5C2DC50C"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04D1FE4D" w14:textId="77777777" w:rsidR="00884237" w:rsidRPr="00AC68A2" w:rsidRDefault="00884237" w:rsidP="00A00881">
            <w:pPr>
              <w:pStyle w:val="Tabletext9pt"/>
              <w:rPr>
                <w:b w:val="0"/>
                <w:bCs/>
              </w:rPr>
            </w:pPr>
            <w:r w:rsidRPr="00AC68A2">
              <w:rPr>
                <w:b w:val="0"/>
                <w:bCs/>
              </w:rPr>
              <w:t>11 – Statewide Lithotripsy</w:t>
            </w:r>
          </w:p>
        </w:tc>
        <w:tc>
          <w:tcPr>
            <w:tcW w:w="1591" w:type="pct"/>
            <w:hideMark/>
          </w:tcPr>
          <w:p w14:paraId="0715913D" w14:textId="77777777" w:rsidR="00884237" w:rsidRPr="00896472"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896472">
              <w:t xml:space="preserve">Adjustments for statewide services </w:t>
            </w:r>
          </w:p>
        </w:tc>
        <w:tc>
          <w:tcPr>
            <w:tcW w:w="1868" w:type="pct"/>
          </w:tcPr>
          <w:p w14:paraId="61718CA7" w14:textId="2C7FE7B0" w:rsidR="00884237" w:rsidRPr="002F392F" w:rsidRDefault="00884237" w:rsidP="00A00881">
            <w:pPr>
              <w:pStyle w:val="Tabletext9pt"/>
              <w:cnfStyle w:val="000000000000" w:firstRow="0" w:lastRow="0" w:firstColumn="0" w:lastColumn="0" w:oddVBand="0" w:evenVBand="0" w:oddHBand="0" w:evenHBand="0" w:firstRowFirstColumn="0" w:firstRowLastColumn="0" w:lastRowFirstColumn="0" w:lastRowLastColumn="0"/>
              <w:rPr>
                <w:highlight w:val="yellow"/>
              </w:rPr>
            </w:pPr>
          </w:p>
        </w:tc>
      </w:tr>
      <w:tr w:rsidR="00884237" w:rsidRPr="00410037" w14:paraId="3D636AE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2ED4A27" w14:textId="77777777" w:rsidR="00884237" w:rsidRPr="00AC68A2" w:rsidRDefault="00884237" w:rsidP="00A00881">
            <w:pPr>
              <w:pStyle w:val="Tabletext9pt"/>
              <w:rPr>
                <w:b w:val="0"/>
                <w:bCs/>
              </w:rPr>
            </w:pPr>
            <w:r w:rsidRPr="00AC68A2">
              <w:rPr>
                <w:b w:val="0"/>
                <w:bCs/>
              </w:rPr>
              <w:t>122 – ICS Paediatric</w:t>
            </w:r>
          </w:p>
        </w:tc>
        <w:tc>
          <w:tcPr>
            <w:tcW w:w="1591" w:type="pct"/>
            <w:hideMark/>
          </w:tcPr>
          <w:p w14:paraId="4442B07B"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4D793141"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0DD803FE"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D579E5A" w14:textId="77777777" w:rsidR="00884237" w:rsidRPr="00AC68A2" w:rsidRDefault="00884237" w:rsidP="00A00881">
            <w:pPr>
              <w:pStyle w:val="Tabletext9pt"/>
              <w:rPr>
                <w:b w:val="0"/>
                <w:bCs/>
              </w:rPr>
            </w:pPr>
            <w:r w:rsidRPr="00AC68A2">
              <w:rPr>
                <w:b w:val="0"/>
                <w:bCs/>
              </w:rPr>
              <w:t>132 – Transplants-Liver</w:t>
            </w:r>
          </w:p>
        </w:tc>
        <w:tc>
          <w:tcPr>
            <w:tcW w:w="1591" w:type="pct"/>
            <w:hideMark/>
          </w:tcPr>
          <w:p w14:paraId="6562A4DB" w14:textId="77777777" w:rsidR="00884237" w:rsidRPr="009E0FD3"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9E0FD3">
              <w:t>Adjustments for statewide services</w:t>
            </w:r>
          </w:p>
        </w:tc>
        <w:tc>
          <w:tcPr>
            <w:tcW w:w="1868" w:type="pct"/>
          </w:tcPr>
          <w:p w14:paraId="145B4E50" w14:textId="6AEB5FD1"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D98555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31DF234" w14:textId="77777777" w:rsidR="00884237" w:rsidRPr="00AC68A2" w:rsidRDefault="00884237" w:rsidP="00A00881">
            <w:pPr>
              <w:pStyle w:val="Tabletext9pt"/>
              <w:rPr>
                <w:b w:val="0"/>
                <w:bCs/>
              </w:rPr>
            </w:pPr>
            <w:r w:rsidRPr="00AC68A2">
              <w:rPr>
                <w:b w:val="0"/>
                <w:bCs/>
              </w:rPr>
              <w:t>147 – Family Choice Program</w:t>
            </w:r>
          </w:p>
        </w:tc>
        <w:tc>
          <w:tcPr>
            <w:tcW w:w="1591" w:type="pct"/>
            <w:hideMark/>
          </w:tcPr>
          <w:p w14:paraId="1EE180F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4C1C8567"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Now known as Complex Care Program.</w:t>
            </w:r>
          </w:p>
          <w:p w14:paraId="7D3690D0"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Activity classified using the Tier 2 non-admitted services classification, and unit of count is ‘service event’.</w:t>
            </w:r>
          </w:p>
          <w:p w14:paraId="315E77F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Non-admitted services to be reported as service events through the relevant AIMS form and report contacts through the VINAH minimum dataset. These service events do not attract NWAU. </w:t>
            </w:r>
          </w:p>
          <w:p w14:paraId="102C467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Providers to maintain and report patient-level costing data to VCDC.</w:t>
            </w:r>
          </w:p>
        </w:tc>
      </w:tr>
      <w:tr w:rsidR="00884237" w:rsidRPr="00410037" w14:paraId="1B9CFF52"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0C25D8E" w14:textId="77777777" w:rsidR="00884237" w:rsidRPr="00AC68A2" w:rsidRDefault="00884237" w:rsidP="00A00881">
            <w:pPr>
              <w:pStyle w:val="Tabletext9pt"/>
              <w:rPr>
                <w:b w:val="0"/>
                <w:bCs/>
              </w:rPr>
            </w:pPr>
            <w:r w:rsidRPr="00AC68A2">
              <w:rPr>
                <w:b w:val="0"/>
                <w:bCs/>
              </w:rPr>
              <w:t>162 – OnTrac Statewide Service</w:t>
            </w:r>
          </w:p>
        </w:tc>
        <w:tc>
          <w:tcPr>
            <w:tcW w:w="1591" w:type="pct"/>
            <w:hideMark/>
          </w:tcPr>
          <w:p w14:paraId="1B8BF2BF"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62EC3AEA"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F9B8DC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70FBBE3C" w14:textId="75D0C4D8" w:rsidR="00884237" w:rsidRPr="00AC68A2" w:rsidRDefault="00884237" w:rsidP="00A00881">
            <w:pPr>
              <w:pStyle w:val="Tabletext9pt"/>
              <w:rPr>
                <w:b w:val="0"/>
                <w:bCs/>
              </w:rPr>
            </w:pPr>
            <w:r w:rsidRPr="00AC68A2">
              <w:rPr>
                <w:b w:val="0"/>
                <w:bCs/>
              </w:rPr>
              <w:t>163 – PICS Long</w:t>
            </w:r>
            <w:r w:rsidR="007022DE" w:rsidRPr="00AC68A2">
              <w:rPr>
                <w:b w:val="0"/>
                <w:bCs/>
              </w:rPr>
              <w:t>-</w:t>
            </w:r>
            <w:r w:rsidRPr="00AC68A2">
              <w:rPr>
                <w:b w:val="0"/>
                <w:bCs/>
              </w:rPr>
              <w:t>Term Effects Follow-up VCAP Program</w:t>
            </w:r>
          </w:p>
        </w:tc>
        <w:tc>
          <w:tcPr>
            <w:tcW w:w="1591" w:type="pct"/>
            <w:hideMark/>
          </w:tcPr>
          <w:p w14:paraId="04BDEEA6"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05790AAF"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2454060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5D9AD997" w14:textId="77777777" w:rsidR="00884237" w:rsidRPr="00AC68A2" w:rsidRDefault="00884237" w:rsidP="00A00881">
            <w:pPr>
              <w:pStyle w:val="Tabletext9pt"/>
              <w:rPr>
                <w:b w:val="0"/>
                <w:bCs/>
              </w:rPr>
            </w:pPr>
            <w:r w:rsidRPr="00AC68A2">
              <w:rPr>
                <w:b w:val="0"/>
                <w:bCs/>
              </w:rPr>
              <w:t>169 – Bronchiolitis RSV Strategy</w:t>
            </w:r>
          </w:p>
        </w:tc>
        <w:tc>
          <w:tcPr>
            <w:tcW w:w="1591" w:type="pct"/>
            <w:hideMark/>
          </w:tcPr>
          <w:p w14:paraId="189A6EF1"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779EDB67"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36851172"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6787EC8" w14:textId="77777777" w:rsidR="00884237" w:rsidRPr="00AC68A2" w:rsidRDefault="00884237" w:rsidP="00A00881">
            <w:pPr>
              <w:pStyle w:val="Tabletext9pt"/>
              <w:rPr>
                <w:b w:val="0"/>
                <w:bCs/>
              </w:rPr>
            </w:pPr>
            <w:r w:rsidRPr="00AC68A2">
              <w:rPr>
                <w:b w:val="0"/>
                <w:bCs/>
              </w:rPr>
              <w:t>171 – Chemotherapy Support</w:t>
            </w:r>
          </w:p>
        </w:tc>
        <w:tc>
          <w:tcPr>
            <w:tcW w:w="1591" w:type="pct"/>
            <w:hideMark/>
          </w:tcPr>
          <w:p w14:paraId="17A48DA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1EDA4490" w14:textId="5A6E399C"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6E07464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tcPr>
          <w:p w14:paraId="29FB00AE" w14:textId="77777777" w:rsidR="00884237" w:rsidRPr="00AC68A2" w:rsidRDefault="00884237" w:rsidP="00A00881">
            <w:pPr>
              <w:pStyle w:val="Tabletext9pt"/>
              <w:rPr>
                <w:b w:val="0"/>
                <w:bCs/>
              </w:rPr>
            </w:pPr>
            <w:r w:rsidRPr="00AC68A2">
              <w:rPr>
                <w:b w:val="0"/>
                <w:bCs/>
              </w:rPr>
              <w:t>2048 - Home Dialysis - Stabilisation</w:t>
            </w:r>
          </w:p>
        </w:tc>
        <w:tc>
          <w:tcPr>
            <w:tcW w:w="1591" w:type="pct"/>
          </w:tcPr>
          <w:p w14:paraId="1D55EAE1"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04208126"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9E0872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4295BE7" w14:textId="77777777" w:rsidR="00884237" w:rsidRPr="00AC68A2" w:rsidRDefault="00884237" w:rsidP="00A00881">
            <w:pPr>
              <w:pStyle w:val="Tabletext9pt"/>
              <w:rPr>
                <w:b w:val="0"/>
                <w:bCs/>
              </w:rPr>
            </w:pPr>
            <w:r w:rsidRPr="00AC68A2">
              <w:rPr>
                <w:b w:val="0"/>
                <w:bCs/>
              </w:rPr>
              <w:t>282 – Admin – Medical Indemnity Insurance Premium (PAM)</w:t>
            </w:r>
          </w:p>
        </w:tc>
        <w:tc>
          <w:tcPr>
            <w:tcW w:w="1591" w:type="pct"/>
            <w:hideMark/>
          </w:tcPr>
          <w:p w14:paraId="21B7A0D6"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1CA1E525"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7F3C06F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05AD73F5" w14:textId="77777777" w:rsidR="00884237" w:rsidRPr="00AC68A2" w:rsidRDefault="00884237" w:rsidP="00A00881">
            <w:pPr>
              <w:pStyle w:val="Tabletext9pt"/>
              <w:rPr>
                <w:b w:val="0"/>
                <w:bCs/>
              </w:rPr>
            </w:pPr>
            <w:r w:rsidRPr="00AC68A2">
              <w:rPr>
                <w:b w:val="0"/>
                <w:bCs/>
              </w:rPr>
              <w:t>283 – Transplant Retrieval</w:t>
            </w:r>
          </w:p>
        </w:tc>
        <w:tc>
          <w:tcPr>
            <w:tcW w:w="1591" w:type="pct"/>
            <w:hideMark/>
          </w:tcPr>
          <w:p w14:paraId="6A46257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2019220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60D0B4B1"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CE32A8F" w14:textId="77777777" w:rsidR="00884237" w:rsidRPr="00AC68A2" w:rsidRDefault="00884237" w:rsidP="00A00881">
            <w:pPr>
              <w:pStyle w:val="Tabletext9pt"/>
              <w:rPr>
                <w:b w:val="0"/>
                <w:bCs/>
              </w:rPr>
            </w:pPr>
            <w:r w:rsidRPr="00AC68A2">
              <w:rPr>
                <w:b w:val="0"/>
                <w:bCs/>
              </w:rPr>
              <w:t>31</w:t>
            </w:r>
            <w:r w:rsidRPr="00AC68A2" w:rsidDel="008F470B">
              <w:rPr>
                <w:b w:val="0"/>
                <w:bCs/>
              </w:rPr>
              <w:t xml:space="preserve"> </w:t>
            </w:r>
            <w:r w:rsidRPr="00AC68A2">
              <w:rPr>
                <w:b w:val="0"/>
                <w:bCs/>
              </w:rPr>
              <w:t>– State Neuropathology Service</w:t>
            </w:r>
          </w:p>
        </w:tc>
        <w:tc>
          <w:tcPr>
            <w:tcW w:w="1591" w:type="pct"/>
            <w:hideMark/>
          </w:tcPr>
          <w:p w14:paraId="71E4961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95E46D8"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6F97650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1B0DD8A" w14:textId="77777777" w:rsidR="00884237" w:rsidRPr="00AC68A2" w:rsidRDefault="00884237" w:rsidP="00A00881">
            <w:pPr>
              <w:pStyle w:val="Tabletext9pt"/>
              <w:rPr>
                <w:b w:val="0"/>
                <w:bCs/>
              </w:rPr>
            </w:pPr>
            <w:r w:rsidRPr="00AC68A2">
              <w:rPr>
                <w:b w:val="0"/>
                <w:bCs/>
              </w:rPr>
              <w:t>32 – Statewide Toxicology Service</w:t>
            </w:r>
          </w:p>
        </w:tc>
        <w:tc>
          <w:tcPr>
            <w:tcW w:w="1591" w:type="pct"/>
            <w:hideMark/>
          </w:tcPr>
          <w:p w14:paraId="392FDEE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7C875A12"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774C1762"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1E0C1E41" w14:textId="77777777" w:rsidR="00884237" w:rsidRPr="00AC68A2" w:rsidRDefault="00884237" w:rsidP="00A00881">
            <w:pPr>
              <w:pStyle w:val="Tabletext9pt"/>
              <w:rPr>
                <w:b w:val="0"/>
                <w:bCs/>
              </w:rPr>
            </w:pPr>
            <w:r w:rsidRPr="00AC68A2">
              <w:rPr>
                <w:b w:val="0"/>
                <w:bCs/>
              </w:rPr>
              <w:t>337 – Integrated Cancer Services</w:t>
            </w:r>
          </w:p>
        </w:tc>
        <w:tc>
          <w:tcPr>
            <w:tcW w:w="1591" w:type="pct"/>
            <w:hideMark/>
          </w:tcPr>
          <w:p w14:paraId="51F17390"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36EB2DE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08E7743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D29F41A" w14:textId="77777777" w:rsidR="00884237" w:rsidRPr="00AC68A2" w:rsidRDefault="00884237" w:rsidP="00A00881">
            <w:pPr>
              <w:pStyle w:val="Tabletext9pt"/>
              <w:rPr>
                <w:b w:val="0"/>
                <w:bCs/>
              </w:rPr>
            </w:pPr>
            <w:r w:rsidRPr="00AC68A2">
              <w:rPr>
                <w:b w:val="0"/>
                <w:bCs/>
              </w:rPr>
              <w:t>352 – Primary Ciliary Dyskinesia</w:t>
            </w:r>
          </w:p>
        </w:tc>
        <w:tc>
          <w:tcPr>
            <w:tcW w:w="1591" w:type="pct"/>
            <w:hideMark/>
          </w:tcPr>
          <w:p w14:paraId="0D8659B2" w14:textId="6355BEC6"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762BC9B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687746C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2611A26" w14:textId="77777777" w:rsidR="00884237" w:rsidRPr="00AC68A2" w:rsidRDefault="00884237" w:rsidP="00A00881">
            <w:pPr>
              <w:pStyle w:val="Tabletext9pt"/>
              <w:rPr>
                <w:b w:val="0"/>
                <w:bCs/>
              </w:rPr>
            </w:pPr>
            <w:r w:rsidRPr="00AC68A2">
              <w:rPr>
                <w:b w:val="0"/>
                <w:bCs/>
              </w:rPr>
              <w:t>384 – Genetic Clinical Activity</w:t>
            </w:r>
          </w:p>
        </w:tc>
        <w:tc>
          <w:tcPr>
            <w:tcW w:w="1591" w:type="pct"/>
            <w:hideMark/>
          </w:tcPr>
          <w:p w14:paraId="5234ECEF" w14:textId="49015BF1" w:rsidR="00884237" w:rsidRPr="00C859E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C859ED">
              <w:t xml:space="preserve">Adjustments for </w:t>
            </w:r>
            <w:r w:rsidR="0046061B" w:rsidRPr="00C859ED">
              <w:t>statewide ser</w:t>
            </w:r>
            <w:r w:rsidR="009973AE" w:rsidRPr="00C859ED">
              <w:t>vices</w:t>
            </w:r>
            <w:r w:rsidRPr="00C859ED">
              <w:t xml:space="preserve"> </w:t>
            </w:r>
          </w:p>
        </w:tc>
        <w:tc>
          <w:tcPr>
            <w:tcW w:w="1868" w:type="pct"/>
          </w:tcPr>
          <w:p w14:paraId="53727174" w14:textId="08E08761" w:rsidR="00884237" w:rsidRPr="00C859E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C859ED">
              <w:t>Work under</w:t>
            </w:r>
            <w:r w:rsidR="007D775F">
              <w:t xml:space="preserve"> </w:t>
            </w:r>
            <w:r w:rsidRPr="00C859ED">
              <w:t>way to transition genetic clinical activity provided by the Victorian Clinical Genetic Services and metabolic medicine/disease unit at The Royal Melbourne Hospital to the national funding model.</w:t>
            </w:r>
          </w:p>
        </w:tc>
      </w:tr>
      <w:tr w:rsidR="00884237" w:rsidRPr="00410037" w14:paraId="4CBB7AE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2E43A9B" w14:textId="77777777" w:rsidR="00884237" w:rsidRPr="00AC68A2" w:rsidRDefault="00884237" w:rsidP="00A00881">
            <w:pPr>
              <w:pStyle w:val="Tabletext9pt"/>
              <w:rPr>
                <w:b w:val="0"/>
                <w:bCs/>
              </w:rPr>
            </w:pPr>
            <w:r w:rsidRPr="00AC68A2">
              <w:rPr>
                <w:b w:val="0"/>
                <w:bCs/>
              </w:rPr>
              <w:t>385 – Genetic Testing / Screening</w:t>
            </w:r>
          </w:p>
        </w:tc>
        <w:tc>
          <w:tcPr>
            <w:tcW w:w="1591" w:type="pct"/>
            <w:hideMark/>
          </w:tcPr>
          <w:p w14:paraId="48A92A1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1CC1AAA0"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rPr>
                <w:highlight w:val="yellow"/>
              </w:rPr>
            </w:pPr>
          </w:p>
        </w:tc>
      </w:tr>
      <w:tr w:rsidR="00884237" w:rsidRPr="00410037" w14:paraId="2E04102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5D4D599" w14:textId="77777777" w:rsidR="00884237" w:rsidRPr="00AC68A2" w:rsidRDefault="00884237" w:rsidP="00A00881">
            <w:pPr>
              <w:pStyle w:val="Tabletext9pt"/>
              <w:rPr>
                <w:b w:val="0"/>
                <w:bCs/>
              </w:rPr>
            </w:pPr>
            <w:r w:rsidRPr="00AC68A2">
              <w:rPr>
                <w:b w:val="0"/>
                <w:bCs/>
              </w:rPr>
              <w:t>388 – Hyperbaric Statewide Service</w:t>
            </w:r>
          </w:p>
        </w:tc>
        <w:tc>
          <w:tcPr>
            <w:tcW w:w="1591" w:type="pct"/>
            <w:hideMark/>
          </w:tcPr>
          <w:p w14:paraId="4113255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168CAE36" w14:textId="1C2F4DFC"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7158B433"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CEC8D65" w14:textId="77777777" w:rsidR="00884237" w:rsidRPr="00AC68A2" w:rsidRDefault="00884237" w:rsidP="00A00881">
            <w:pPr>
              <w:pStyle w:val="Tabletext9pt"/>
              <w:rPr>
                <w:b w:val="0"/>
                <w:bCs/>
              </w:rPr>
            </w:pPr>
            <w:r w:rsidRPr="00AC68A2">
              <w:rPr>
                <w:b w:val="0"/>
                <w:bCs/>
              </w:rPr>
              <w:t>39 – HIV/AIDS Contract</w:t>
            </w:r>
          </w:p>
        </w:tc>
        <w:tc>
          <w:tcPr>
            <w:tcW w:w="1591" w:type="pct"/>
            <w:hideMark/>
          </w:tcPr>
          <w:p w14:paraId="49F944B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7ACEF9F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2F7291DD"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7305F459" w14:textId="77777777" w:rsidR="00884237" w:rsidRPr="00AC68A2" w:rsidRDefault="00884237" w:rsidP="00A00881">
            <w:pPr>
              <w:pStyle w:val="Tabletext9pt"/>
              <w:rPr>
                <w:b w:val="0"/>
                <w:bCs/>
              </w:rPr>
            </w:pPr>
            <w:r w:rsidRPr="00AC68A2">
              <w:rPr>
                <w:b w:val="0"/>
                <w:bCs/>
              </w:rPr>
              <w:t>427</w:t>
            </w:r>
            <w:r w:rsidRPr="00AC68A2" w:rsidDel="008F470B">
              <w:rPr>
                <w:b w:val="0"/>
                <w:bCs/>
              </w:rPr>
              <w:t xml:space="preserve"> </w:t>
            </w:r>
            <w:r w:rsidRPr="00AC68A2">
              <w:rPr>
                <w:b w:val="0"/>
                <w:bCs/>
              </w:rPr>
              <w:t>– Perinatal and Intensive Paediatric Emergency Retrieval</w:t>
            </w:r>
          </w:p>
        </w:tc>
        <w:tc>
          <w:tcPr>
            <w:tcW w:w="1591" w:type="pct"/>
            <w:hideMark/>
          </w:tcPr>
          <w:p w14:paraId="467BE2DB"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19BAD46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466BF178"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59529217" w14:textId="77777777" w:rsidR="00884237" w:rsidRPr="00AC68A2" w:rsidRDefault="00884237" w:rsidP="00A00881">
            <w:pPr>
              <w:pStyle w:val="Tabletext9pt"/>
              <w:rPr>
                <w:b w:val="0"/>
                <w:bCs/>
              </w:rPr>
            </w:pPr>
            <w:r w:rsidRPr="00AC68A2">
              <w:rPr>
                <w:b w:val="0"/>
                <w:bCs/>
              </w:rPr>
              <w:t>438 – Victorian Artificial Limb Program</w:t>
            </w:r>
          </w:p>
        </w:tc>
        <w:tc>
          <w:tcPr>
            <w:tcW w:w="1591" w:type="pct"/>
            <w:hideMark/>
          </w:tcPr>
          <w:p w14:paraId="4FBB6F25"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64A3C2C5"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Activity classified using the Tier 2 non-admitted services classification, and unit of count is ‘service event’.</w:t>
            </w:r>
          </w:p>
          <w:p w14:paraId="7973E1B8"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Non-admitted services to reported as service events through the relevant AIMS form and report contacts through the VINAH minimum dataset. These service events do not attract NWAU.</w:t>
            </w:r>
          </w:p>
          <w:p w14:paraId="6DA74E18"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Providers to maintain and report patient-level costing data to VCDC.</w:t>
            </w:r>
          </w:p>
        </w:tc>
      </w:tr>
      <w:tr w:rsidR="00884237" w:rsidRPr="00410037" w14:paraId="63BC3C1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61B6116" w14:textId="77777777" w:rsidR="00884237" w:rsidRPr="00AC68A2" w:rsidRDefault="00884237" w:rsidP="00A00881">
            <w:pPr>
              <w:pStyle w:val="Tabletext9pt"/>
              <w:rPr>
                <w:b w:val="0"/>
                <w:bCs/>
              </w:rPr>
            </w:pPr>
            <w:r w:rsidRPr="00AC68A2">
              <w:rPr>
                <w:b w:val="0"/>
                <w:bCs/>
              </w:rPr>
              <w:t>46</w:t>
            </w:r>
            <w:r w:rsidRPr="00AC68A2" w:rsidDel="008F470B">
              <w:rPr>
                <w:b w:val="0"/>
                <w:bCs/>
              </w:rPr>
              <w:t xml:space="preserve"> </w:t>
            </w:r>
            <w:r w:rsidRPr="00AC68A2">
              <w:rPr>
                <w:b w:val="0"/>
                <w:bCs/>
              </w:rPr>
              <w:t>– Interstate Paediatric Cardiac Service</w:t>
            </w:r>
          </w:p>
        </w:tc>
        <w:tc>
          <w:tcPr>
            <w:tcW w:w="1591" w:type="pct"/>
            <w:hideMark/>
          </w:tcPr>
          <w:p w14:paraId="5368505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3DE56FE"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2BF0FA25"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658B5F9" w14:textId="77777777" w:rsidR="00884237" w:rsidRPr="00AC68A2" w:rsidRDefault="00884237" w:rsidP="00A00881">
            <w:pPr>
              <w:pStyle w:val="Tabletext9pt"/>
              <w:rPr>
                <w:b w:val="0"/>
                <w:bCs/>
              </w:rPr>
            </w:pPr>
            <w:r w:rsidRPr="00AC68A2">
              <w:rPr>
                <w:b w:val="0"/>
                <w:bCs/>
              </w:rPr>
              <w:t>632 – Interpreter Services Supplement</w:t>
            </w:r>
          </w:p>
        </w:tc>
        <w:tc>
          <w:tcPr>
            <w:tcW w:w="1591" w:type="pct"/>
            <w:hideMark/>
          </w:tcPr>
          <w:p w14:paraId="5449F1B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33CBC92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4DADD789"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1CE10608" w14:textId="77777777" w:rsidR="00884237" w:rsidRPr="00AC68A2" w:rsidRDefault="00884237" w:rsidP="00A00881">
            <w:pPr>
              <w:pStyle w:val="Tabletext9pt"/>
              <w:rPr>
                <w:b w:val="0"/>
                <w:bCs/>
              </w:rPr>
            </w:pPr>
            <w:r w:rsidRPr="00AC68A2">
              <w:rPr>
                <w:b w:val="0"/>
                <w:bCs/>
              </w:rPr>
              <w:t>643 – Home Cancer Nursing Services</w:t>
            </w:r>
          </w:p>
        </w:tc>
        <w:tc>
          <w:tcPr>
            <w:tcW w:w="1591" w:type="pct"/>
            <w:hideMark/>
          </w:tcPr>
          <w:p w14:paraId="7FB111D5"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470609AC" w14:textId="7AE9AA10"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5AD6209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21328A9F" w14:textId="77777777" w:rsidR="00884237" w:rsidRPr="00AC68A2" w:rsidRDefault="00884237" w:rsidP="00A00881">
            <w:pPr>
              <w:pStyle w:val="Tabletext9pt"/>
              <w:rPr>
                <w:b w:val="0"/>
                <w:bCs/>
              </w:rPr>
            </w:pPr>
            <w:r w:rsidRPr="00AC68A2">
              <w:rPr>
                <w:b w:val="0"/>
                <w:bCs/>
              </w:rPr>
              <w:t>679 – Victorian Perinatal Autopsy (VPAS)</w:t>
            </w:r>
          </w:p>
        </w:tc>
        <w:tc>
          <w:tcPr>
            <w:tcW w:w="1591" w:type="pct"/>
            <w:hideMark/>
          </w:tcPr>
          <w:p w14:paraId="2AFCC62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3E4AE8EA"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073E90" w:rsidRPr="00410037" w14:paraId="258264F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tcPr>
          <w:p w14:paraId="7BD595DD" w14:textId="7A97A988" w:rsidR="00073E90" w:rsidRPr="00AC68A2" w:rsidDel="008D52CE" w:rsidRDefault="00E6339F" w:rsidP="00A00881">
            <w:pPr>
              <w:pStyle w:val="Tabletext9pt"/>
              <w:rPr>
                <w:b w:val="0"/>
                <w:bCs/>
              </w:rPr>
            </w:pPr>
            <w:r w:rsidRPr="00AC68A2">
              <w:rPr>
                <w:b w:val="0"/>
                <w:bCs/>
              </w:rPr>
              <w:t>805 - Statewide Extracorporeal Membrane Oxygenation service</w:t>
            </w:r>
          </w:p>
        </w:tc>
        <w:tc>
          <w:tcPr>
            <w:tcW w:w="1591" w:type="pct"/>
          </w:tcPr>
          <w:p w14:paraId="4BE34BC6" w14:textId="149F5F4A" w:rsidR="00073E90" w:rsidRPr="00C859ED" w:rsidDel="008D52CE" w:rsidRDefault="0070415F"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9DEDAF2" w14:textId="77777777" w:rsidR="00073E90" w:rsidRPr="00D126FD" w:rsidRDefault="00073E90" w:rsidP="00A00881">
            <w:pPr>
              <w:pStyle w:val="Tabletext9pt"/>
              <w:cnfStyle w:val="000000100000" w:firstRow="0" w:lastRow="0" w:firstColumn="0" w:lastColumn="0" w:oddVBand="0" w:evenVBand="0" w:oddHBand="1" w:evenHBand="0" w:firstRowFirstColumn="0" w:firstRowLastColumn="0" w:lastRowFirstColumn="0" w:lastRowLastColumn="0"/>
            </w:pPr>
          </w:p>
        </w:tc>
      </w:tr>
    </w:tbl>
    <w:p w14:paraId="0DCD5B96" w14:textId="77777777" w:rsidR="005B699B" w:rsidRDefault="005B699B" w:rsidP="005B699B">
      <w:pPr>
        <w:pStyle w:val="Body"/>
      </w:pPr>
    </w:p>
    <w:p w14:paraId="1A3F3182" w14:textId="77777777" w:rsidR="005B699B" w:rsidRDefault="005B699B" w:rsidP="005B699B">
      <w:pPr>
        <w:pStyle w:val="Body"/>
      </w:pPr>
    </w:p>
    <w:p w14:paraId="055AFB8E" w14:textId="77777777" w:rsidR="005B699B" w:rsidRDefault="005B699B" w:rsidP="005B699B">
      <w:pPr>
        <w:pStyle w:val="Body"/>
        <w:sectPr w:rsidR="005B699B" w:rsidSect="005B699B">
          <w:headerReference w:type="default" r:id="rId98"/>
          <w:footerReference w:type="even" r:id="rId99"/>
          <w:footerReference w:type="default" r:id="rId100"/>
          <w:headerReference w:type="first" r:id="rId101"/>
          <w:footerReference w:type="first" r:id="rId102"/>
          <w:pgSz w:w="16838" w:h="11906" w:orient="landscape" w:code="9"/>
          <w:pgMar w:top="1304" w:right="1418" w:bottom="1304" w:left="1134" w:header="680" w:footer="283" w:gutter="0"/>
          <w:cols w:space="340"/>
          <w:docGrid w:linePitch="360"/>
        </w:sectPr>
      </w:pPr>
    </w:p>
    <w:p w14:paraId="0E713A53" w14:textId="77777777" w:rsidR="005B699B" w:rsidRDefault="005B699B" w:rsidP="00AF18F3">
      <w:pPr>
        <w:pStyle w:val="Heading1"/>
        <w:numPr>
          <w:ilvl w:val="0"/>
          <w:numId w:val="0"/>
        </w:numPr>
      </w:pPr>
      <w:bookmarkStart w:id="2652" w:name="_Toc100263387"/>
      <w:bookmarkStart w:id="2653" w:name="_Toc55381183"/>
      <w:bookmarkStart w:id="2654" w:name="_Toc165961882"/>
      <w:bookmarkStart w:id="2655" w:name="_Toc201148309"/>
      <w:bookmarkEnd w:id="2337"/>
      <w:bookmarkEnd w:id="2338"/>
      <w:r>
        <w:t>List of tables</w:t>
      </w:r>
      <w:bookmarkEnd w:id="2339"/>
      <w:bookmarkEnd w:id="2652"/>
      <w:bookmarkEnd w:id="2653"/>
      <w:bookmarkEnd w:id="2654"/>
      <w:bookmarkEnd w:id="2655"/>
    </w:p>
    <w:p w14:paraId="45213EA5" w14:textId="6161F3E2" w:rsidR="00033A03" w:rsidRDefault="005B699B">
      <w:pPr>
        <w:pStyle w:val="TOC4"/>
        <w:rPr>
          <w:rFonts w:asciiTheme="minorHAnsi" w:eastAsiaTheme="minorEastAsia" w:hAnsiTheme="minorHAnsi" w:cstheme="minorBidi"/>
          <w:noProof/>
          <w:kern w:val="2"/>
          <w:sz w:val="24"/>
          <w:szCs w:val="24"/>
          <w:lang w:eastAsia="en-AU"/>
          <w14:ligatures w14:val="standardContextual"/>
        </w:rPr>
      </w:pPr>
      <w:r w:rsidRPr="00F02E93">
        <w:rPr>
          <w:noProof/>
          <w:sz w:val="18"/>
          <w:szCs w:val="18"/>
        </w:rPr>
        <w:fldChar w:fldCharType="begin"/>
      </w:r>
      <w:r w:rsidRPr="00F02E93">
        <w:rPr>
          <w:sz w:val="18"/>
          <w:szCs w:val="18"/>
        </w:rPr>
        <w:instrText xml:space="preserve"> TOC \h \z \t "Table caption,4" </w:instrText>
      </w:r>
      <w:r w:rsidRPr="00F02E93">
        <w:rPr>
          <w:noProof/>
          <w:sz w:val="18"/>
          <w:szCs w:val="18"/>
        </w:rPr>
        <w:fldChar w:fldCharType="separate"/>
      </w:r>
      <w:hyperlink w:anchor="_Toc201148563" w:history="1">
        <w:r w:rsidR="00033A03" w:rsidRPr="007B707C">
          <w:rPr>
            <w:rStyle w:val="Hyperlink"/>
            <w:noProof/>
          </w:rPr>
          <w:t>Table 1.1:Victorian alignment with the national funding model</w:t>
        </w:r>
        <w:r w:rsidR="00033A03">
          <w:rPr>
            <w:noProof/>
            <w:webHidden/>
          </w:rPr>
          <w:tab/>
        </w:r>
        <w:r w:rsidR="00033A03">
          <w:rPr>
            <w:noProof/>
            <w:webHidden/>
          </w:rPr>
          <w:fldChar w:fldCharType="begin"/>
        </w:r>
        <w:r w:rsidR="00033A03">
          <w:rPr>
            <w:noProof/>
            <w:webHidden/>
          </w:rPr>
          <w:instrText xml:space="preserve"> PAGEREF _Toc201148563 \h </w:instrText>
        </w:r>
        <w:r w:rsidR="00033A03">
          <w:rPr>
            <w:noProof/>
            <w:webHidden/>
          </w:rPr>
        </w:r>
        <w:r w:rsidR="00033A03">
          <w:rPr>
            <w:noProof/>
            <w:webHidden/>
          </w:rPr>
          <w:fldChar w:fldCharType="separate"/>
        </w:r>
        <w:r w:rsidR="00033A03">
          <w:rPr>
            <w:noProof/>
            <w:webHidden/>
          </w:rPr>
          <w:t>10</w:t>
        </w:r>
        <w:r w:rsidR="00033A03">
          <w:rPr>
            <w:noProof/>
            <w:webHidden/>
          </w:rPr>
          <w:fldChar w:fldCharType="end"/>
        </w:r>
      </w:hyperlink>
    </w:p>
    <w:p w14:paraId="276D1835" w14:textId="69D272F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4" w:history="1">
        <w:r w:rsidRPr="007B707C">
          <w:rPr>
            <w:rStyle w:val="Hyperlink"/>
            <w:noProof/>
          </w:rPr>
          <w:t>Table 1.2: Avoidable hospital readmissions and readmission intervals</w:t>
        </w:r>
        <w:r>
          <w:rPr>
            <w:noProof/>
            <w:webHidden/>
          </w:rPr>
          <w:tab/>
        </w:r>
        <w:r>
          <w:rPr>
            <w:noProof/>
            <w:webHidden/>
          </w:rPr>
          <w:fldChar w:fldCharType="begin"/>
        </w:r>
        <w:r>
          <w:rPr>
            <w:noProof/>
            <w:webHidden/>
          </w:rPr>
          <w:instrText xml:space="preserve"> PAGEREF _Toc201148564 \h </w:instrText>
        </w:r>
        <w:r>
          <w:rPr>
            <w:noProof/>
            <w:webHidden/>
          </w:rPr>
        </w:r>
        <w:r>
          <w:rPr>
            <w:noProof/>
            <w:webHidden/>
          </w:rPr>
          <w:fldChar w:fldCharType="separate"/>
        </w:r>
        <w:r>
          <w:rPr>
            <w:noProof/>
            <w:webHidden/>
          </w:rPr>
          <w:t>43</w:t>
        </w:r>
        <w:r>
          <w:rPr>
            <w:noProof/>
            <w:webHidden/>
          </w:rPr>
          <w:fldChar w:fldCharType="end"/>
        </w:r>
      </w:hyperlink>
    </w:p>
    <w:p w14:paraId="1F46820C" w14:textId="328C591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5" w:history="1">
        <w:r w:rsidRPr="007B707C">
          <w:rPr>
            <w:rStyle w:val="Hyperlink"/>
            <w:noProof/>
          </w:rPr>
          <w:t>Table 1.3: Victorian funding recall rates 2025–26</w:t>
        </w:r>
        <w:r>
          <w:rPr>
            <w:noProof/>
            <w:webHidden/>
          </w:rPr>
          <w:tab/>
        </w:r>
        <w:r>
          <w:rPr>
            <w:noProof/>
            <w:webHidden/>
          </w:rPr>
          <w:fldChar w:fldCharType="begin"/>
        </w:r>
        <w:r>
          <w:rPr>
            <w:noProof/>
            <w:webHidden/>
          </w:rPr>
          <w:instrText xml:space="preserve"> PAGEREF _Toc201148565 \h </w:instrText>
        </w:r>
        <w:r>
          <w:rPr>
            <w:noProof/>
            <w:webHidden/>
          </w:rPr>
        </w:r>
        <w:r>
          <w:rPr>
            <w:noProof/>
            <w:webHidden/>
          </w:rPr>
          <w:fldChar w:fldCharType="separate"/>
        </w:r>
        <w:r>
          <w:rPr>
            <w:noProof/>
            <w:webHidden/>
          </w:rPr>
          <w:t>52</w:t>
        </w:r>
        <w:r>
          <w:rPr>
            <w:noProof/>
            <w:webHidden/>
          </w:rPr>
          <w:fldChar w:fldCharType="end"/>
        </w:r>
      </w:hyperlink>
    </w:p>
    <w:p w14:paraId="6EF7C333" w14:textId="59942813"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6" w:history="1">
        <w:r w:rsidRPr="007B707C">
          <w:rPr>
            <w:rStyle w:val="Hyperlink"/>
            <w:noProof/>
          </w:rPr>
          <w:t>Table 1.4: Funding for throughput above target 2025–26</w:t>
        </w:r>
        <w:r>
          <w:rPr>
            <w:noProof/>
            <w:webHidden/>
          </w:rPr>
          <w:tab/>
        </w:r>
        <w:r>
          <w:rPr>
            <w:noProof/>
            <w:webHidden/>
          </w:rPr>
          <w:fldChar w:fldCharType="begin"/>
        </w:r>
        <w:r>
          <w:rPr>
            <w:noProof/>
            <w:webHidden/>
          </w:rPr>
          <w:instrText xml:space="preserve"> PAGEREF _Toc201148566 \h </w:instrText>
        </w:r>
        <w:r>
          <w:rPr>
            <w:noProof/>
            <w:webHidden/>
          </w:rPr>
        </w:r>
        <w:r>
          <w:rPr>
            <w:noProof/>
            <w:webHidden/>
          </w:rPr>
          <w:fldChar w:fldCharType="separate"/>
        </w:r>
        <w:r>
          <w:rPr>
            <w:noProof/>
            <w:webHidden/>
          </w:rPr>
          <w:t>54</w:t>
        </w:r>
        <w:r>
          <w:rPr>
            <w:noProof/>
            <w:webHidden/>
          </w:rPr>
          <w:fldChar w:fldCharType="end"/>
        </w:r>
      </w:hyperlink>
    </w:p>
    <w:p w14:paraId="32086840" w14:textId="36AD9BE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7" w:history="1">
        <w:r w:rsidRPr="007B707C">
          <w:rPr>
            <w:rStyle w:val="Hyperlink"/>
            <w:noProof/>
          </w:rPr>
          <w:t>Table 1.5: NWAU VEP 2025–26</w:t>
        </w:r>
        <w:r>
          <w:rPr>
            <w:noProof/>
            <w:webHidden/>
          </w:rPr>
          <w:tab/>
        </w:r>
        <w:r>
          <w:rPr>
            <w:noProof/>
            <w:webHidden/>
          </w:rPr>
          <w:fldChar w:fldCharType="begin"/>
        </w:r>
        <w:r>
          <w:rPr>
            <w:noProof/>
            <w:webHidden/>
          </w:rPr>
          <w:instrText xml:space="preserve"> PAGEREF _Toc201148567 \h </w:instrText>
        </w:r>
        <w:r>
          <w:rPr>
            <w:noProof/>
            <w:webHidden/>
          </w:rPr>
        </w:r>
        <w:r>
          <w:rPr>
            <w:noProof/>
            <w:webHidden/>
          </w:rPr>
          <w:fldChar w:fldCharType="separate"/>
        </w:r>
        <w:r>
          <w:rPr>
            <w:noProof/>
            <w:webHidden/>
          </w:rPr>
          <w:t>61</w:t>
        </w:r>
        <w:r>
          <w:rPr>
            <w:noProof/>
            <w:webHidden/>
          </w:rPr>
          <w:fldChar w:fldCharType="end"/>
        </w:r>
      </w:hyperlink>
    </w:p>
    <w:p w14:paraId="0794284F" w14:textId="07934160"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8" w:history="1">
        <w:r w:rsidRPr="007B707C">
          <w:rPr>
            <w:rStyle w:val="Hyperlink"/>
            <w:noProof/>
          </w:rPr>
          <w:t>Table 1.6: NWAU compensable price rates 2025–26</w:t>
        </w:r>
        <w:r>
          <w:rPr>
            <w:noProof/>
            <w:webHidden/>
          </w:rPr>
          <w:tab/>
        </w:r>
        <w:r>
          <w:rPr>
            <w:noProof/>
            <w:webHidden/>
          </w:rPr>
          <w:fldChar w:fldCharType="begin"/>
        </w:r>
        <w:r>
          <w:rPr>
            <w:noProof/>
            <w:webHidden/>
          </w:rPr>
          <w:instrText xml:space="preserve"> PAGEREF _Toc201148568 \h </w:instrText>
        </w:r>
        <w:r>
          <w:rPr>
            <w:noProof/>
            <w:webHidden/>
          </w:rPr>
        </w:r>
        <w:r>
          <w:rPr>
            <w:noProof/>
            <w:webHidden/>
          </w:rPr>
          <w:fldChar w:fldCharType="separate"/>
        </w:r>
        <w:r>
          <w:rPr>
            <w:noProof/>
            <w:webHidden/>
          </w:rPr>
          <w:t>61</w:t>
        </w:r>
        <w:r>
          <w:rPr>
            <w:noProof/>
            <w:webHidden/>
          </w:rPr>
          <w:fldChar w:fldCharType="end"/>
        </w:r>
      </w:hyperlink>
    </w:p>
    <w:p w14:paraId="59DB15FF" w14:textId="111D085C"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9" w:history="1">
        <w:r w:rsidRPr="007B707C">
          <w:rPr>
            <w:rStyle w:val="Hyperlink"/>
            <w:noProof/>
          </w:rPr>
          <w:t>Table 1.7: Transitional Care Program 2025–26</w:t>
        </w:r>
        <w:r>
          <w:rPr>
            <w:noProof/>
            <w:webHidden/>
          </w:rPr>
          <w:tab/>
        </w:r>
        <w:r>
          <w:rPr>
            <w:noProof/>
            <w:webHidden/>
          </w:rPr>
          <w:fldChar w:fldCharType="begin"/>
        </w:r>
        <w:r>
          <w:rPr>
            <w:noProof/>
            <w:webHidden/>
          </w:rPr>
          <w:instrText xml:space="preserve"> PAGEREF _Toc201148569 \h </w:instrText>
        </w:r>
        <w:r>
          <w:rPr>
            <w:noProof/>
            <w:webHidden/>
          </w:rPr>
        </w:r>
        <w:r>
          <w:rPr>
            <w:noProof/>
            <w:webHidden/>
          </w:rPr>
          <w:fldChar w:fldCharType="separate"/>
        </w:r>
        <w:r>
          <w:rPr>
            <w:noProof/>
            <w:webHidden/>
          </w:rPr>
          <w:t>61</w:t>
        </w:r>
        <w:r>
          <w:rPr>
            <w:noProof/>
            <w:webHidden/>
          </w:rPr>
          <w:fldChar w:fldCharType="end"/>
        </w:r>
      </w:hyperlink>
    </w:p>
    <w:p w14:paraId="44E7B36D" w14:textId="6755C57A"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0" w:history="1">
        <w:r w:rsidRPr="007B707C">
          <w:rPr>
            <w:rStyle w:val="Hyperlink"/>
            <w:noProof/>
          </w:rPr>
          <w:t>Table 1.8: Non-admitted radiotherapy 2025–26</w:t>
        </w:r>
        <w:r>
          <w:rPr>
            <w:noProof/>
            <w:webHidden/>
          </w:rPr>
          <w:tab/>
        </w:r>
        <w:r>
          <w:rPr>
            <w:noProof/>
            <w:webHidden/>
          </w:rPr>
          <w:fldChar w:fldCharType="begin"/>
        </w:r>
        <w:r>
          <w:rPr>
            <w:noProof/>
            <w:webHidden/>
          </w:rPr>
          <w:instrText xml:space="preserve"> PAGEREF _Toc201148570 \h </w:instrText>
        </w:r>
        <w:r>
          <w:rPr>
            <w:noProof/>
            <w:webHidden/>
          </w:rPr>
        </w:r>
        <w:r>
          <w:rPr>
            <w:noProof/>
            <w:webHidden/>
          </w:rPr>
          <w:fldChar w:fldCharType="separate"/>
        </w:r>
        <w:r>
          <w:rPr>
            <w:noProof/>
            <w:webHidden/>
          </w:rPr>
          <w:t>61</w:t>
        </w:r>
        <w:r>
          <w:rPr>
            <w:noProof/>
            <w:webHidden/>
          </w:rPr>
          <w:fldChar w:fldCharType="end"/>
        </w:r>
      </w:hyperlink>
    </w:p>
    <w:p w14:paraId="07DB23A2" w14:textId="426D5A1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1" w:history="1">
        <w:r w:rsidRPr="007B707C">
          <w:rPr>
            <w:rStyle w:val="Hyperlink"/>
            <w:noProof/>
          </w:rPr>
          <w:t>Table 1.9: Nationally Funded Centres Program 2025–26</w:t>
        </w:r>
        <w:r>
          <w:rPr>
            <w:noProof/>
            <w:webHidden/>
          </w:rPr>
          <w:tab/>
        </w:r>
        <w:r>
          <w:rPr>
            <w:noProof/>
            <w:webHidden/>
          </w:rPr>
          <w:fldChar w:fldCharType="begin"/>
        </w:r>
        <w:r>
          <w:rPr>
            <w:noProof/>
            <w:webHidden/>
          </w:rPr>
          <w:instrText xml:space="preserve"> PAGEREF _Toc201148571 \h </w:instrText>
        </w:r>
        <w:r>
          <w:rPr>
            <w:noProof/>
            <w:webHidden/>
          </w:rPr>
        </w:r>
        <w:r>
          <w:rPr>
            <w:noProof/>
            <w:webHidden/>
          </w:rPr>
          <w:fldChar w:fldCharType="separate"/>
        </w:r>
        <w:r>
          <w:rPr>
            <w:noProof/>
            <w:webHidden/>
          </w:rPr>
          <w:t>61</w:t>
        </w:r>
        <w:r>
          <w:rPr>
            <w:noProof/>
            <w:webHidden/>
          </w:rPr>
          <w:fldChar w:fldCharType="end"/>
        </w:r>
      </w:hyperlink>
    </w:p>
    <w:p w14:paraId="7CF2B8D1" w14:textId="7B75D063"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2" w:history="1">
        <w:r w:rsidRPr="007B707C">
          <w:rPr>
            <w:rStyle w:val="Hyperlink"/>
            <w:noProof/>
          </w:rPr>
          <w:t>Table 1.10: Mental health – funded units applicable to clinical bed-based services 2025–26 – n</w:t>
        </w:r>
        <w:r w:rsidRPr="007B707C">
          <w:rPr>
            <w:rStyle w:val="Hyperlink"/>
            <w:noProof/>
            <w:lang w:eastAsia="en-AU"/>
          </w:rPr>
          <w:t>on-admitted care</w:t>
        </w:r>
        <w:r>
          <w:rPr>
            <w:noProof/>
            <w:webHidden/>
          </w:rPr>
          <w:tab/>
        </w:r>
        <w:r>
          <w:rPr>
            <w:noProof/>
            <w:webHidden/>
          </w:rPr>
          <w:fldChar w:fldCharType="begin"/>
        </w:r>
        <w:r>
          <w:rPr>
            <w:noProof/>
            <w:webHidden/>
          </w:rPr>
          <w:instrText xml:space="preserve"> PAGEREF _Toc201148572 \h </w:instrText>
        </w:r>
        <w:r>
          <w:rPr>
            <w:noProof/>
            <w:webHidden/>
          </w:rPr>
        </w:r>
        <w:r>
          <w:rPr>
            <w:noProof/>
            <w:webHidden/>
          </w:rPr>
          <w:fldChar w:fldCharType="separate"/>
        </w:r>
        <w:r>
          <w:rPr>
            <w:noProof/>
            <w:webHidden/>
          </w:rPr>
          <w:t>62</w:t>
        </w:r>
        <w:r>
          <w:rPr>
            <w:noProof/>
            <w:webHidden/>
          </w:rPr>
          <w:fldChar w:fldCharType="end"/>
        </w:r>
      </w:hyperlink>
    </w:p>
    <w:p w14:paraId="06A92842" w14:textId="1F5624C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3" w:history="1">
        <w:r w:rsidRPr="007B707C">
          <w:rPr>
            <w:rStyle w:val="Hyperlink"/>
            <w:noProof/>
          </w:rPr>
          <w:t>Table 1.11: Mental health – funded units applicable to clinical bed-based services 2025–26 – clinical community care</w:t>
        </w:r>
        <w:r>
          <w:rPr>
            <w:noProof/>
            <w:webHidden/>
          </w:rPr>
          <w:tab/>
        </w:r>
        <w:r>
          <w:rPr>
            <w:noProof/>
            <w:webHidden/>
          </w:rPr>
          <w:fldChar w:fldCharType="begin"/>
        </w:r>
        <w:r>
          <w:rPr>
            <w:noProof/>
            <w:webHidden/>
          </w:rPr>
          <w:instrText xml:space="preserve"> PAGEREF _Toc201148573 \h </w:instrText>
        </w:r>
        <w:r>
          <w:rPr>
            <w:noProof/>
            <w:webHidden/>
          </w:rPr>
        </w:r>
        <w:r>
          <w:rPr>
            <w:noProof/>
            <w:webHidden/>
          </w:rPr>
          <w:fldChar w:fldCharType="separate"/>
        </w:r>
        <w:r>
          <w:rPr>
            <w:noProof/>
            <w:webHidden/>
          </w:rPr>
          <w:t>62</w:t>
        </w:r>
        <w:r>
          <w:rPr>
            <w:noProof/>
            <w:webHidden/>
          </w:rPr>
          <w:fldChar w:fldCharType="end"/>
        </w:r>
      </w:hyperlink>
    </w:p>
    <w:p w14:paraId="227A290C" w14:textId="67929289"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4" w:history="1">
        <w:r w:rsidRPr="007B707C">
          <w:rPr>
            <w:rStyle w:val="Hyperlink"/>
            <w:noProof/>
          </w:rPr>
          <w:t>Table 1.12: Mental health community support services unit prices 2025–26 – community</w:t>
        </w:r>
        <w:r w:rsidRPr="007B707C">
          <w:rPr>
            <w:rStyle w:val="Hyperlink"/>
            <w:noProof/>
            <w:lang w:eastAsia="en-AU"/>
          </w:rPr>
          <w:t xml:space="preserve"> support services</w:t>
        </w:r>
        <w:r>
          <w:rPr>
            <w:noProof/>
            <w:webHidden/>
          </w:rPr>
          <w:tab/>
        </w:r>
        <w:r>
          <w:rPr>
            <w:noProof/>
            <w:webHidden/>
          </w:rPr>
          <w:fldChar w:fldCharType="begin"/>
        </w:r>
        <w:r>
          <w:rPr>
            <w:noProof/>
            <w:webHidden/>
          </w:rPr>
          <w:instrText xml:space="preserve"> PAGEREF _Toc201148574 \h </w:instrText>
        </w:r>
        <w:r>
          <w:rPr>
            <w:noProof/>
            <w:webHidden/>
          </w:rPr>
        </w:r>
        <w:r>
          <w:rPr>
            <w:noProof/>
            <w:webHidden/>
          </w:rPr>
          <w:fldChar w:fldCharType="separate"/>
        </w:r>
        <w:r>
          <w:rPr>
            <w:noProof/>
            <w:webHidden/>
          </w:rPr>
          <w:t>62</w:t>
        </w:r>
        <w:r>
          <w:rPr>
            <w:noProof/>
            <w:webHidden/>
          </w:rPr>
          <w:fldChar w:fldCharType="end"/>
        </w:r>
      </w:hyperlink>
    </w:p>
    <w:p w14:paraId="43856642" w14:textId="798569B2"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5" w:history="1">
        <w:r w:rsidRPr="007B707C">
          <w:rPr>
            <w:rStyle w:val="Hyperlink"/>
            <w:noProof/>
          </w:rPr>
          <w:t>Table 1.13: Mental health community support services unit prices 2025–26 – m</w:t>
        </w:r>
        <w:r w:rsidRPr="007B707C">
          <w:rPr>
            <w:rStyle w:val="Hyperlink"/>
            <w:noProof/>
            <w:lang w:eastAsia="en-AU"/>
          </w:rPr>
          <w:t>utual support and self-help services</w:t>
        </w:r>
        <w:r>
          <w:rPr>
            <w:noProof/>
            <w:webHidden/>
          </w:rPr>
          <w:tab/>
        </w:r>
        <w:r>
          <w:rPr>
            <w:noProof/>
            <w:webHidden/>
          </w:rPr>
          <w:fldChar w:fldCharType="begin"/>
        </w:r>
        <w:r>
          <w:rPr>
            <w:noProof/>
            <w:webHidden/>
          </w:rPr>
          <w:instrText xml:space="preserve"> PAGEREF _Toc201148575 \h </w:instrText>
        </w:r>
        <w:r>
          <w:rPr>
            <w:noProof/>
            <w:webHidden/>
          </w:rPr>
        </w:r>
        <w:r>
          <w:rPr>
            <w:noProof/>
            <w:webHidden/>
          </w:rPr>
          <w:fldChar w:fldCharType="separate"/>
        </w:r>
        <w:r>
          <w:rPr>
            <w:noProof/>
            <w:webHidden/>
          </w:rPr>
          <w:t>62</w:t>
        </w:r>
        <w:r>
          <w:rPr>
            <w:noProof/>
            <w:webHidden/>
          </w:rPr>
          <w:fldChar w:fldCharType="end"/>
        </w:r>
      </w:hyperlink>
    </w:p>
    <w:p w14:paraId="6FB0D4F4" w14:textId="791C047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6" w:history="1">
        <w:r w:rsidRPr="007B707C">
          <w:rPr>
            <w:rStyle w:val="Hyperlink"/>
            <w:noProof/>
          </w:rPr>
          <w:t>Table 1.14: Mental health – funded units applicable to clinical bed-based services 2025–26 – n</w:t>
        </w:r>
        <w:r w:rsidRPr="007B707C">
          <w:rPr>
            <w:rStyle w:val="Hyperlink"/>
            <w:noProof/>
            <w:lang w:eastAsia="en-AU"/>
          </w:rPr>
          <w:t>on-admitted care</w:t>
        </w:r>
        <w:r>
          <w:rPr>
            <w:noProof/>
            <w:webHidden/>
          </w:rPr>
          <w:tab/>
        </w:r>
        <w:r>
          <w:rPr>
            <w:noProof/>
            <w:webHidden/>
          </w:rPr>
          <w:fldChar w:fldCharType="begin"/>
        </w:r>
        <w:r>
          <w:rPr>
            <w:noProof/>
            <w:webHidden/>
          </w:rPr>
          <w:instrText xml:space="preserve"> PAGEREF _Toc201148576 \h </w:instrText>
        </w:r>
        <w:r>
          <w:rPr>
            <w:noProof/>
            <w:webHidden/>
          </w:rPr>
        </w:r>
        <w:r>
          <w:rPr>
            <w:noProof/>
            <w:webHidden/>
          </w:rPr>
          <w:fldChar w:fldCharType="separate"/>
        </w:r>
        <w:r>
          <w:rPr>
            <w:noProof/>
            <w:webHidden/>
          </w:rPr>
          <w:t>62</w:t>
        </w:r>
        <w:r>
          <w:rPr>
            <w:noProof/>
            <w:webHidden/>
          </w:rPr>
          <w:fldChar w:fldCharType="end"/>
        </w:r>
      </w:hyperlink>
    </w:p>
    <w:p w14:paraId="6DE692D1" w14:textId="0E479F8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7" w:history="1">
        <w:r w:rsidRPr="007B707C">
          <w:rPr>
            <w:rStyle w:val="Hyperlink"/>
            <w:noProof/>
          </w:rPr>
          <w:t>Table 1.15: Mental health community support services unit prices 2025–26 – supported accommodation</w:t>
        </w:r>
        <w:r>
          <w:rPr>
            <w:noProof/>
            <w:webHidden/>
          </w:rPr>
          <w:tab/>
        </w:r>
        <w:r>
          <w:rPr>
            <w:noProof/>
            <w:webHidden/>
          </w:rPr>
          <w:fldChar w:fldCharType="begin"/>
        </w:r>
        <w:r>
          <w:rPr>
            <w:noProof/>
            <w:webHidden/>
          </w:rPr>
          <w:instrText xml:space="preserve"> PAGEREF _Toc201148577 \h </w:instrText>
        </w:r>
        <w:r>
          <w:rPr>
            <w:noProof/>
            <w:webHidden/>
          </w:rPr>
        </w:r>
        <w:r>
          <w:rPr>
            <w:noProof/>
            <w:webHidden/>
          </w:rPr>
          <w:fldChar w:fldCharType="separate"/>
        </w:r>
        <w:r>
          <w:rPr>
            <w:noProof/>
            <w:webHidden/>
          </w:rPr>
          <w:t>63</w:t>
        </w:r>
        <w:r>
          <w:rPr>
            <w:noProof/>
            <w:webHidden/>
          </w:rPr>
          <w:fldChar w:fldCharType="end"/>
        </w:r>
      </w:hyperlink>
    </w:p>
    <w:p w14:paraId="419B57A2" w14:textId="0C8DF92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8" w:history="1">
        <w:r w:rsidRPr="007B707C">
          <w:rPr>
            <w:rStyle w:val="Hyperlink"/>
            <w:noProof/>
          </w:rPr>
          <w:t>Table 1.16: Drug services – unit prices 2025–26</w:t>
        </w:r>
        <w:r>
          <w:rPr>
            <w:noProof/>
            <w:webHidden/>
          </w:rPr>
          <w:tab/>
        </w:r>
        <w:r>
          <w:rPr>
            <w:noProof/>
            <w:webHidden/>
          </w:rPr>
          <w:fldChar w:fldCharType="begin"/>
        </w:r>
        <w:r>
          <w:rPr>
            <w:noProof/>
            <w:webHidden/>
          </w:rPr>
          <w:instrText xml:space="preserve"> PAGEREF _Toc201148578 \h </w:instrText>
        </w:r>
        <w:r>
          <w:rPr>
            <w:noProof/>
            <w:webHidden/>
          </w:rPr>
        </w:r>
        <w:r>
          <w:rPr>
            <w:noProof/>
            <w:webHidden/>
          </w:rPr>
          <w:fldChar w:fldCharType="separate"/>
        </w:r>
        <w:r>
          <w:rPr>
            <w:noProof/>
            <w:webHidden/>
          </w:rPr>
          <w:t>63</w:t>
        </w:r>
        <w:r>
          <w:rPr>
            <w:noProof/>
            <w:webHidden/>
          </w:rPr>
          <w:fldChar w:fldCharType="end"/>
        </w:r>
      </w:hyperlink>
    </w:p>
    <w:p w14:paraId="7F7DB77E" w14:textId="7E1899F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9" w:history="1">
        <w:r w:rsidRPr="007B707C">
          <w:rPr>
            <w:rStyle w:val="Hyperlink"/>
            <w:noProof/>
          </w:rPr>
          <w:t>Table 1.17: Ageing, aged and home care 2025–26</w:t>
        </w:r>
        <w:r>
          <w:rPr>
            <w:noProof/>
            <w:webHidden/>
          </w:rPr>
          <w:tab/>
        </w:r>
        <w:r>
          <w:rPr>
            <w:noProof/>
            <w:webHidden/>
          </w:rPr>
          <w:fldChar w:fldCharType="begin"/>
        </w:r>
        <w:r>
          <w:rPr>
            <w:noProof/>
            <w:webHidden/>
          </w:rPr>
          <w:instrText xml:space="preserve"> PAGEREF _Toc201148579 \h </w:instrText>
        </w:r>
        <w:r>
          <w:rPr>
            <w:noProof/>
            <w:webHidden/>
          </w:rPr>
        </w:r>
        <w:r>
          <w:rPr>
            <w:noProof/>
            <w:webHidden/>
          </w:rPr>
          <w:fldChar w:fldCharType="separate"/>
        </w:r>
        <w:r>
          <w:rPr>
            <w:noProof/>
            <w:webHidden/>
          </w:rPr>
          <w:t>64</w:t>
        </w:r>
        <w:r>
          <w:rPr>
            <w:noProof/>
            <w:webHidden/>
          </w:rPr>
          <w:fldChar w:fldCharType="end"/>
        </w:r>
      </w:hyperlink>
    </w:p>
    <w:p w14:paraId="14F54E38" w14:textId="370E427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0" w:history="1">
        <w:r w:rsidRPr="007B707C">
          <w:rPr>
            <w:rStyle w:val="Hyperlink"/>
            <w:noProof/>
          </w:rPr>
          <w:t>Table 1.19: Small Rural Health Services 2025–26</w:t>
        </w:r>
        <w:r>
          <w:rPr>
            <w:noProof/>
            <w:webHidden/>
          </w:rPr>
          <w:tab/>
        </w:r>
        <w:r>
          <w:rPr>
            <w:noProof/>
            <w:webHidden/>
          </w:rPr>
          <w:fldChar w:fldCharType="begin"/>
        </w:r>
        <w:r>
          <w:rPr>
            <w:noProof/>
            <w:webHidden/>
          </w:rPr>
          <w:instrText xml:space="preserve"> PAGEREF _Toc201148580 \h </w:instrText>
        </w:r>
        <w:r>
          <w:rPr>
            <w:noProof/>
            <w:webHidden/>
          </w:rPr>
        </w:r>
        <w:r>
          <w:rPr>
            <w:noProof/>
            <w:webHidden/>
          </w:rPr>
          <w:fldChar w:fldCharType="separate"/>
        </w:r>
        <w:r>
          <w:rPr>
            <w:noProof/>
            <w:webHidden/>
          </w:rPr>
          <w:t>65</w:t>
        </w:r>
        <w:r>
          <w:rPr>
            <w:noProof/>
            <w:webHidden/>
          </w:rPr>
          <w:fldChar w:fldCharType="end"/>
        </w:r>
      </w:hyperlink>
    </w:p>
    <w:p w14:paraId="21C66E1F" w14:textId="6C6A7C4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1" w:history="1">
        <w:r w:rsidRPr="007B707C">
          <w:rPr>
            <w:rStyle w:val="Hyperlink"/>
            <w:noProof/>
          </w:rPr>
          <w:t>Table 1.20: Community Health care output 2025–26</w:t>
        </w:r>
        <w:r>
          <w:rPr>
            <w:noProof/>
            <w:webHidden/>
          </w:rPr>
          <w:tab/>
        </w:r>
        <w:r>
          <w:rPr>
            <w:noProof/>
            <w:webHidden/>
          </w:rPr>
          <w:fldChar w:fldCharType="begin"/>
        </w:r>
        <w:r>
          <w:rPr>
            <w:noProof/>
            <w:webHidden/>
          </w:rPr>
          <w:instrText xml:space="preserve"> PAGEREF _Toc201148581 \h </w:instrText>
        </w:r>
        <w:r>
          <w:rPr>
            <w:noProof/>
            <w:webHidden/>
          </w:rPr>
        </w:r>
        <w:r>
          <w:rPr>
            <w:noProof/>
            <w:webHidden/>
          </w:rPr>
          <w:fldChar w:fldCharType="separate"/>
        </w:r>
        <w:r>
          <w:rPr>
            <w:noProof/>
            <w:webHidden/>
          </w:rPr>
          <w:t>66</w:t>
        </w:r>
        <w:r>
          <w:rPr>
            <w:noProof/>
            <w:webHidden/>
          </w:rPr>
          <w:fldChar w:fldCharType="end"/>
        </w:r>
      </w:hyperlink>
    </w:p>
    <w:p w14:paraId="547B6271" w14:textId="0894B14E"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2" w:history="1">
        <w:r w:rsidRPr="007B707C">
          <w:rPr>
            <w:rStyle w:val="Hyperlink"/>
            <w:noProof/>
          </w:rPr>
          <w:t>Table 1.21: Training and development funding rates in 2025-26</w:t>
        </w:r>
        <w:r>
          <w:rPr>
            <w:noProof/>
            <w:webHidden/>
          </w:rPr>
          <w:tab/>
        </w:r>
        <w:r>
          <w:rPr>
            <w:noProof/>
            <w:webHidden/>
          </w:rPr>
          <w:fldChar w:fldCharType="begin"/>
        </w:r>
        <w:r>
          <w:rPr>
            <w:noProof/>
            <w:webHidden/>
          </w:rPr>
          <w:instrText xml:space="preserve"> PAGEREF _Toc201148582 \h </w:instrText>
        </w:r>
        <w:r>
          <w:rPr>
            <w:noProof/>
            <w:webHidden/>
          </w:rPr>
        </w:r>
        <w:r>
          <w:rPr>
            <w:noProof/>
            <w:webHidden/>
          </w:rPr>
          <w:fldChar w:fldCharType="separate"/>
        </w:r>
        <w:r>
          <w:rPr>
            <w:noProof/>
            <w:webHidden/>
          </w:rPr>
          <w:t>67</w:t>
        </w:r>
        <w:r>
          <w:rPr>
            <w:noProof/>
            <w:webHidden/>
          </w:rPr>
          <w:fldChar w:fldCharType="end"/>
        </w:r>
      </w:hyperlink>
    </w:p>
    <w:p w14:paraId="1C7C7852" w14:textId="6F672EF9"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3" w:history="1">
        <w:r w:rsidRPr="007B707C">
          <w:rPr>
            <w:rStyle w:val="Hyperlink"/>
            <w:noProof/>
          </w:rPr>
          <w:t>Table 1.22: Price groups for NWAU purposes</w:t>
        </w:r>
        <w:r>
          <w:rPr>
            <w:noProof/>
            <w:webHidden/>
          </w:rPr>
          <w:tab/>
        </w:r>
        <w:r>
          <w:rPr>
            <w:noProof/>
            <w:webHidden/>
          </w:rPr>
          <w:fldChar w:fldCharType="begin"/>
        </w:r>
        <w:r>
          <w:rPr>
            <w:noProof/>
            <w:webHidden/>
          </w:rPr>
          <w:instrText xml:space="preserve"> PAGEREF _Toc201148583 \h </w:instrText>
        </w:r>
        <w:r>
          <w:rPr>
            <w:noProof/>
            <w:webHidden/>
          </w:rPr>
        </w:r>
        <w:r>
          <w:rPr>
            <w:noProof/>
            <w:webHidden/>
          </w:rPr>
          <w:fldChar w:fldCharType="separate"/>
        </w:r>
        <w:r>
          <w:rPr>
            <w:noProof/>
            <w:webHidden/>
          </w:rPr>
          <w:t>68</w:t>
        </w:r>
        <w:r>
          <w:rPr>
            <w:noProof/>
            <w:webHidden/>
          </w:rPr>
          <w:fldChar w:fldCharType="end"/>
        </w:r>
      </w:hyperlink>
    </w:p>
    <w:p w14:paraId="6E20B183" w14:textId="7C76D92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4" w:history="1">
        <w:r w:rsidRPr="007B707C">
          <w:rPr>
            <w:rStyle w:val="Hyperlink"/>
            <w:noProof/>
          </w:rPr>
          <w:t>Table 1.23: Small rural health services – outputs and activities 2025–26</w:t>
        </w:r>
        <w:r>
          <w:rPr>
            <w:noProof/>
            <w:webHidden/>
          </w:rPr>
          <w:tab/>
        </w:r>
        <w:r>
          <w:rPr>
            <w:noProof/>
            <w:webHidden/>
          </w:rPr>
          <w:fldChar w:fldCharType="begin"/>
        </w:r>
        <w:r>
          <w:rPr>
            <w:noProof/>
            <w:webHidden/>
          </w:rPr>
          <w:instrText xml:space="preserve"> PAGEREF _Toc201148584 \h </w:instrText>
        </w:r>
        <w:r>
          <w:rPr>
            <w:noProof/>
            <w:webHidden/>
          </w:rPr>
        </w:r>
        <w:r>
          <w:rPr>
            <w:noProof/>
            <w:webHidden/>
          </w:rPr>
          <w:fldChar w:fldCharType="separate"/>
        </w:r>
        <w:r>
          <w:rPr>
            <w:noProof/>
            <w:webHidden/>
          </w:rPr>
          <w:t>70</w:t>
        </w:r>
        <w:r>
          <w:rPr>
            <w:noProof/>
            <w:webHidden/>
          </w:rPr>
          <w:fldChar w:fldCharType="end"/>
        </w:r>
      </w:hyperlink>
    </w:p>
    <w:p w14:paraId="7746D29E" w14:textId="48462AB3"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5" w:history="1">
        <w:r w:rsidRPr="007B707C">
          <w:rPr>
            <w:rStyle w:val="Hyperlink"/>
            <w:noProof/>
          </w:rPr>
          <w:t xml:space="preserve">Table 1.24: Aged and home care – outputs and activities </w:t>
        </w:r>
        <w:r w:rsidRPr="007B707C">
          <w:rPr>
            <w:rStyle w:val="Hyperlink"/>
            <w:bCs/>
            <w:noProof/>
          </w:rPr>
          <w:t>2025–26</w:t>
        </w:r>
        <w:r>
          <w:rPr>
            <w:noProof/>
            <w:webHidden/>
          </w:rPr>
          <w:tab/>
        </w:r>
        <w:r>
          <w:rPr>
            <w:noProof/>
            <w:webHidden/>
          </w:rPr>
          <w:fldChar w:fldCharType="begin"/>
        </w:r>
        <w:r>
          <w:rPr>
            <w:noProof/>
            <w:webHidden/>
          </w:rPr>
          <w:instrText xml:space="preserve"> PAGEREF _Toc201148585 \h </w:instrText>
        </w:r>
        <w:r>
          <w:rPr>
            <w:noProof/>
            <w:webHidden/>
          </w:rPr>
        </w:r>
        <w:r>
          <w:rPr>
            <w:noProof/>
            <w:webHidden/>
          </w:rPr>
          <w:fldChar w:fldCharType="separate"/>
        </w:r>
        <w:r>
          <w:rPr>
            <w:noProof/>
            <w:webHidden/>
          </w:rPr>
          <w:t>71</w:t>
        </w:r>
        <w:r>
          <w:rPr>
            <w:noProof/>
            <w:webHidden/>
          </w:rPr>
          <w:fldChar w:fldCharType="end"/>
        </w:r>
      </w:hyperlink>
    </w:p>
    <w:p w14:paraId="730AE41E" w14:textId="5D657261"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6" w:history="1">
        <w:r w:rsidRPr="007B707C">
          <w:rPr>
            <w:rStyle w:val="Hyperlink"/>
            <w:noProof/>
          </w:rPr>
          <w:t xml:space="preserve">Table 1.25: </w:t>
        </w:r>
        <w:r w:rsidRPr="007B707C">
          <w:rPr>
            <w:rStyle w:val="Hyperlink"/>
            <w:bCs/>
            <w:noProof/>
          </w:rPr>
          <w:t xml:space="preserve">Public health – </w:t>
        </w:r>
        <w:r w:rsidRPr="007B707C">
          <w:rPr>
            <w:rStyle w:val="Hyperlink"/>
            <w:noProof/>
          </w:rPr>
          <w:t>outputs</w:t>
        </w:r>
        <w:r w:rsidRPr="007B707C">
          <w:rPr>
            <w:rStyle w:val="Hyperlink"/>
            <w:bCs/>
            <w:noProof/>
          </w:rPr>
          <w:t xml:space="preserve"> and activities</w:t>
        </w:r>
        <w:r w:rsidRPr="007B707C">
          <w:rPr>
            <w:rStyle w:val="Hyperlink"/>
            <w:noProof/>
          </w:rPr>
          <w:t xml:space="preserve"> </w:t>
        </w:r>
        <w:r w:rsidRPr="007B707C">
          <w:rPr>
            <w:rStyle w:val="Hyperlink"/>
            <w:bCs/>
            <w:noProof/>
          </w:rPr>
          <w:t>2025–26</w:t>
        </w:r>
        <w:r>
          <w:rPr>
            <w:noProof/>
            <w:webHidden/>
          </w:rPr>
          <w:tab/>
        </w:r>
        <w:r>
          <w:rPr>
            <w:noProof/>
            <w:webHidden/>
          </w:rPr>
          <w:fldChar w:fldCharType="begin"/>
        </w:r>
        <w:r>
          <w:rPr>
            <w:noProof/>
            <w:webHidden/>
          </w:rPr>
          <w:instrText xml:space="preserve"> PAGEREF _Toc201148586 \h </w:instrText>
        </w:r>
        <w:r>
          <w:rPr>
            <w:noProof/>
            <w:webHidden/>
          </w:rPr>
        </w:r>
        <w:r>
          <w:rPr>
            <w:noProof/>
            <w:webHidden/>
          </w:rPr>
          <w:fldChar w:fldCharType="separate"/>
        </w:r>
        <w:r>
          <w:rPr>
            <w:noProof/>
            <w:webHidden/>
          </w:rPr>
          <w:t>75</w:t>
        </w:r>
        <w:r>
          <w:rPr>
            <w:noProof/>
            <w:webHidden/>
          </w:rPr>
          <w:fldChar w:fldCharType="end"/>
        </w:r>
      </w:hyperlink>
    </w:p>
    <w:p w14:paraId="03DE4252" w14:textId="4783408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7" w:history="1">
        <w:r w:rsidRPr="007B707C">
          <w:rPr>
            <w:rStyle w:val="Hyperlink"/>
            <w:noProof/>
          </w:rPr>
          <w:t>Table 2.1: Expenditure budgets 2025–26</w:t>
        </w:r>
        <w:r>
          <w:rPr>
            <w:noProof/>
            <w:webHidden/>
          </w:rPr>
          <w:tab/>
        </w:r>
        <w:r>
          <w:rPr>
            <w:noProof/>
            <w:webHidden/>
          </w:rPr>
          <w:fldChar w:fldCharType="begin"/>
        </w:r>
        <w:r>
          <w:rPr>
            <w:noProof/>
            <w:webHidden/>
          </w:rPr>
          <w:instrText xml:space="preserve"> PAGEREF _Toc201148587 \h </w:instrText>
        </w:r>
        <w:r>
          <w:rPr>
            <w:noProof/>
            <w:webHidden/>
          </w:rPr>
        </w:r>
        <w:r>
          <w:rPr>
            <w:noProof/>
            <w:webHidden/>
          </w:rPr>
          <w:fldChar w:fldCharType="separate"/>
        </w:r>
        <w:r>
          <w:rPr>
            <w:noProof/>
            <w:webHidden/>
          </w:rPr>
          <w:t>79</w:t>
        </w:r>
        <w:r>
          <w:rPr>
            <w:noProof/>
            <w:webHidden/>
          </w:rPr>
          <w:fldChar w:fldCharType="end"/>
        </w:r>
      </w:hyperlink>
    </w:p>
    <w:p w14:paraId="00A2FB2A" w14:textId="2C3C6E4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8" w:history="1">
        <w:r w:rsidRPr="007B707C">
          <w:rPr>
            <w:rStyle w:val="Hyperlink"/>
            <w:noProof/>
          </w:rPr>
          <w:t>Table 2.2: Small rural health services expenditure budgets 2025–26 – $’000s</w:t>
        </w:r>
        <w:r>
          <w:rPr>
            <w:noProof/>
            <w:webHidden/>
          </w:rPr>
          <w:tab/>
        </w:r>
        <w:r>
          <w:rPr>
            <w:noProof/>
            <w:webHidden/>
          </w:rPr>
          <w:fldChar w:fldCharType="begin"/>
        </w:r>
        <w:r>
          <w:rPr>
            <w:noProof/>
            <w:webHidden/>
          </w:rPr>
          <w:instrText xml:space="preserve"> PAGEREF _Toc201148588 \h </w:instrText>
        </w:r>
        <w:r>
          <w:rPr>
            <w:noProof/>
            <w:webHidden/>
          </w:rPr>
        </w:r>
        <w:r>
          <w:rPr>
            <w:noProof/>
            <w:webHidden/>
          </w:rPr>
          <w:fldChar w:fldCharType="separate"/>
        </w:r>
        <w:r>
          <w:rPr>
            <w:noProof/>
            <w:webHidden/>
          </w:rPr>
          <w:t>81</w:t>
        </w:r>
        <w:r>
          <w:rPr>
            <w:noProof/>
            <w:webHidden/>
          </w:rPr>
          <w:fldChar w:fldCharType="end"/>
        </w:r>
      </w:hyperlink>
    </w:p>
    <w:p w14:paraId="078A36A7" w14:textId="6DA0B4F2"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9" w:history="1">
        <w:r w:rsidRPr="007B707C">
          <w:rPr>
            <w:rStyle w:val="Hyperlink"/>
            <w:noProof/>
          </w:rPr>
          <w:t>Table 2.3: Activity-based funding: Health service expenditure budgets 2025–26 by service category</w:t>
        </w:r>
        <w:r>
          <w:rPr>
            <w:noProof/>
            <w:webHidden/>
          </w:rPr>
          <w:tab/>
        </w:r>
        <w:r>
          <w:rPr>
            <w:noProof/>
            <w:webHidden/>
          </w:rPr>
          <w:fldChar w:fldCharType="begin"/>
        </w:r>
        <w:r>
          <w:rPr>
            <w:noProof/>
            <w:webHidden/>
          </w:rPr>
          <w:instrText xml:space="preserve"> PAGEREF _Toc201148589 \h </w:instrText>
        </w:r>
        <w:r>
          <w:rPr>
            <w:noProof/>
            <w:webHidden/>
          </w:rPr>
        </w:r>
        <w:r>
          <w:rPr>
            <w:noProof/>
            <w:webHidden/>
          </w:rPr>
          <w:fldChar w:fldCharType="separate"/>
        </w:r>
        <w:r>
          <w:rPr>
            <w:noProof/>
            <w:webHidden/>
          </w:rPr>
          <w:t>83</w:t>
        </w:r>
        <w:r>
          <w:rPr>
            <w:noProof/>
            <w:webHidden/>
          </w:rPr>
          <w:fldChar w:fldCharType="end"/>
        </w:r>
      </w:hyperlink>
    </w:p>
    <w:p w14:paraId="5C5F6794" w14:textId="35CE210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0" w:history="1">
        <w:r w:rsidRPr="007B707C">
          <w:rPr>
            <w:rStyle w:val="Hyperlink"/>
            <w:noProof/>
          </w:rPr>
          <w:t>Table 2.4: Mental health expenditure budgets 2025–26 by service type</w:t>
        </w:r>
        <w:r>
          <w:rPr>
            <w:noProof/>
            <w:webHidden/>
          </w:rPr>
          <w:tab/>
        </w:r>
        <w:r>
          <w:rPr>
            <w:noProof/>
            <w:webHidden/>
          </w:rPr>
          <w:fldChar w:fldCharType="begin"/>
        </w:r>
        <w:r>
          <w:rPr>
            <w:noProof/>
            <w:webHidden/>
          </w:rPr>
          <w:instrText xml:space="preserve"> PAGEREF _Toc201148590 \h </w:instrText>
        </w:r>
        <w:r>
          <w:rPr>
            <w:noProof/>
            <w:webHidden/>
          </w:rPr>
        </w:r>
        <w:r>
          <w:rPr>
            <w:noProof/>
            <w:webHidden/>
          </w:rPr>
          <w:fldChar w:fldCharType="separate"/>
        </w:r>
        <w:r>
          <w:rPr>
            <w:noProof/>
            <w:webHidden/>
          </w:rPr>
          <w:t>87</w:t>
        </w:r>
        <w:r>
          <w:rPr>
            <w:noProof/>
            <w:webHidden/>
          </w:rPr>
          <w:fldChar w:fldCharType="end"/>
        </w:r>
      </w:hyperlink>
    </w:p>
    <w:p w14:paraId="531585F9" w14:textId="2F82131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1" w:history="1">
        <w:r w:rsidRPr="007B707C">
          <w:rPr>
            <w:rStyle w:val="Hyperlink"/>
            <w:noProof/>
          </w:rPr>
          <w:t>Table 2.5: Registered community expenditure budgets 2025–26 – $’000s</w:t>
        </w:r>
        <w:r>
          <w:rPr>
            <w:noProof/>
            <w:webHidden/>
          </w:rPr>
          <w:tab/>
        </w:r>
        <w:r>
          <w:rPr>
            <w:noProof/>
            <w:webHidden/>
          </w:rPr>
          <w:fldChar w:fldCharType="begin"/>
        </w:r>
        <w:r>
          <w:rPr>
            <w:noProof/>
            <w:webHidden/>
          </w:rPr>
          <w:instrText xml:space="preserve"> PAGEREF _Toc201148591 \h </w:instrText>
        </w:r>
        <w:r>
          <w:rPr>
            <w:noProof/>
            <w:webHidden/>
          </w:rPr>
        </w:r>
        <w:r>
          <w:rPr>
            <w:noProof/>
            <w:webHidden/>
          </w:rPr>
          <w:fldChar w:fldCharType="separate"/>
        </w:r>
        <w:r>
          <w:rPr>
            <w:noProof/>
            <w:webHidden/>
          </w:rPr>
          <w:t>92</w:t>
        </w:r>
        <w:r>
          <w:rPr>
            <w:noProof/>
            <w:webHidden/>
          </w:rPr>
          <w:fldChar w:fldCharType="end"/>
        </w:r>
      </w:hyperlink>
    </w:p>
    <w:p w14:paraId="7BC18482" w14:textId="36B5190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2" w:history="1">
        <w:r w:rsidRPr="007B707C">
          <w:rPr>
            <w:rStyle w:val="Hyperlink"/>
            <w:noProof/>
          </w:rPr>
          <w:t>Table 2.6: Local government authorities 2025–26 – $’000s</w:t>
        </w:r>
        <w:r>
          <w:rPr>
            <w:noProof/>
            <w:webHidden/>
          </w:rPr>
          <w:tab/>
        </w:r>
        <w:r>
          <w:rPr>
            <w:noProof/>
            <w:webHidden/>
          </w:rPr>
          <w:fldChar w:fldCharType="begin"/>
        </w:r>
        <w:r>
          <w:rPr>
            <w:noProof/>
            <w:webHidden/>
          </w:rPr>
          <w:instrText xml:space="preserve"> PAGEREF _Toc201148592 \h </w:instrText>
        </w:r>
        <w:r>
          <w:rPr>
            <w:noProof/>
            <w:webHidden/>
          </w:rPr>
        </w:r>
        <w:r>
          <w:rPr>
            <w:noProof/>
            <w:webHidden/>
          </w:rPr>
          <w:fldChar w:fldCharType="separate"/>
        </w:r>
        <w:r>
          <w:rPr>
            <w:noProof/>
            <w:webHidden/>
          </w:rPr>
          <w:t>93</w:t>
        </w:r>
        <w:r>
          <w:rPr>
            <w:noProof/>
            <w:webHidden/>
          </w:rPr>
          <w:fldChar w:fldCharType="end"/>
        </w:r>
      </w:hyperlink>
    </w:p>
    <w:p w14:paraId="4A057460" w14:textId="4A285067"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3" w:history="1">
        <w:r w:rsidRPr="007B707C">
          <w:rPr>
            <w:rStyle w:val="Hyperlink"/>
            <w:noProof/>
          </w:rPr>
          <w:t>Table 2.7: Non-government providers 2025–26 – $’000s</w:t>
        </w:r>
        <w:r>
          <w:rPr>
            <w:noProof/>
            <w:webHidden/>
          </w:rPr>
          <w:tab/>
        </w:r>
        <w:r>
          <w:rPr>
            <w:noProof/>
            <w:webHidden/>
          </w:rPr>
          <w:fldChar w:fldCharType="begin"/>
        </w:r>
        <w:r>
          <w:rPr>
            <w:noProof/>
            <w:webHidden/>
          </w:rPr>
          <w:instrText xml:space="preserve"> PAGEREF _Toc201148593 \h </w:instrText>
        </w:r>
        <w:r>
          <w:rPr>
            <w:noProof/>
            <w:webHidden/>
          </w:rPr>
        </w:r>
        <w:r>
          <w:rPr>
            <w:noProof/>
            <w:webHidden/>
          </w:rPr>
          <w:fldChar w:fldCharType="separate"/>
        </w:r>
        <w:r>
          <w:rPr>
            <w:noProof/>
            <w:webHidden/>
          </w:rPr>
          <w:t>95</w:t>
        </w:r>
        <w:r>
          <w:rPr>
            <w:noProof/>
            <w:webHidden/>
          </w:rPr>
          <w:fldChar w:fldCharType="end"/>
        </w:r>
      </w:hyperlink>
    </w:p>
    <w:p w14:paraId="4E4E582C" w14:textId="13D306C6"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4" w:history="1">
        <w:r w:rsidRPr="007B707C">
          <w:rPr>
            <w:rStyle w:val="Hyperlink"/>
            <w:noProof/>
          </w:rPr>
          <w:t>Table 2.8: Other funded organisations expenditure budgets 2025–26 – $’000s</w:t>
        </w:r>
        <w:r>
          <w:rPr>
            <w:noProof/>
            <w:webHidden/>
          </w:rPr>
          <w:tab/>
        </w:r>
        <w:r>
          <w:rPr>
            <w:noProof/>
            <w:webHidden/>
          </w:rPr>
          <w:fldChar w:fldCharType="begin"/>
        </w:r>
        <w:r>
          <w:rPr>
            <w:noProof/>
            <w:webHidden/>
          </w:rPr>
          <w:instrText xml:space="preserve"> PAGEREF _Toc201148594 \h </w:instrText>
        </w:r>
        <w:r>
          <w:rPr>
            <w:noProof/>
            <w:webHidden/>
          </w:rPr>
        </w:r>
        <w:r>
          <w:rPr>
            <w:noProof/>
            <w:webHidden/>
          </w:rPr>
          <w:fldChar w:fldCharType="separate"/>
        </w:r>
        <w:r>
          <w:rPr>
            <w:noProof/>
            <w:webHidden/>
          </w:rPr>
          <w:t>98</w:t>
        </w:r>
        <w:r>
          <w:rPr>
            <w:noProof/>
            <w:webHidden/>
          </w:rPr>
          <w:fldChar w:fldCharType="end"/>
        </w:r>
      </w:hyperlink>
    </w:p>
    <w:p w14:paraId="2E996CE6" w14:textId="5EFC5DD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5" w:history="1">
        <w:r w:rsidRPr="007B707C">
          <w:rPr>
            <w:rStyle w:val="Hyperlink"/>
            <w:noProof/>
          </w:rPr>
          <w:t>Table 2.9 Health operations expenditure budgets 2025–26 – $’000s</w:t>
        </w:r>
        <w:r>
          <w:rPr>
            <w:noProof/>
            <w:webHidden/>
          </w:rPr>
          <w:tab/>
        </w:r>
        <w:r>
          <w:rPr>
            <w:noProof/>
            <w:webHidden/>
          </w:rPr>
          <w:fldChar w:fldCharType="begin"/>
        </w:r>
        <w:r>
          <w:rPr>
            <w:noProof/>
            <w:webHidden/>
          </w:rPr>
          <w:instrText xml:space="preserve"> PAGEREF _Toc201148595 \h </w:instrText>
        </w:r>
        <w:r>
          <w:rPr>
            <w:noProof/>
            <w:webHidden/>
          </w:rPr>
        </w:r>
        <w:r>
          <w:rPr>
            <w:noProof/>
            <w:webHidden/>
          </w:rPr>
          <w:fldChar w:fldCharType="separate"/>
        </w:r>
        <w:r>
          <w:rPr>
            <w:noProof/>
            <w:webHidden/>
          </w:rPr>
          <w:t>99</w:t>
        </w:r>
        <w:r>
          <w:rPr>
            <w:noProof/>
            <w:webHidden/>
          </w:rPr>
          <w:fldChar w:fldCharType="end"/>
        </w:r>
      </w:hyperlink>
    </w:p>
    <w:p w14:paraId="4EF37005" w14:textId="7DA715B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6" w:history="1">
        <w:r w:rsidRPr="007B707C">
          <w:rPr>
            <w:rStyle w:val="Hyperlink"/>
            <w:noProof/>
          </w:rPr>
          <w:t>Table 2.10: Victorian activity targets (NWAU) 2025–26</w:t>
        </w:r>
        <w:r>
          <w:rPr>
            <w:noProof/>
            <w:webHidden/>
          </w:rPr>
          <w:tab/>
        </w:r>
        <w:r>
          <w:rPr>
            <w:noProof/>
            <w:webHidden/>
          </w:rPr>
          <w:fldChar w:fldCharType="begin"/>
        </w:r>
        <w:r>
          <w:rPr>
            <w:noProof/>
            <w:webHidden/>
          </w:rPr>
          <w:instrText xml:space="preserve"> PAGEREF _Toc201148596 \h </w:instrText>
        </w:r>
        <w:r>
          <w:rPr>
            <w:noProof/>
            <w:webHidden/>
          </w:rPr>
        </w:r>
        <w:r>
          <w:rPr>
            <w:noProof/>
            <w:webHidden/>
          </w:rPr>
          <w:fldChar w:fldCharType="separate"/>
        </w:r>
        <w:r>
          <w:rPr>
            <w:noProof/>
            <w:webHidden/>
          </w:rPr>
          <w:t>100</w:t>
        </w:r>
        <w:r>
          <w:rPr>
            <w:noProof/>
            <w:webHidden/>
          </w:rPr>
          <w:fldChar w:fldCharType="end"/>
        </w:r>
      </w:hyperlink>
    </w:p>
    <w:p w14:paraId="6C1D600E" w14:textId="3DE9426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7" w:history="1">
        <w:r w:rsidRPr="007B707C">
          <w:rPr>
            <w:rStyle w:val="Hyperlink"/>
            <w:noProof/>
          </w:rPr>
          <w:t>Table 2.11: Indicative baseline NWAU adjustment in 2025–26 for HAC</w:t>
        </w:r>
        <w:r>
          <w:rPr>
            <w:noProof/>
            <w:webHidden/>
          </w:rPr>
          <w:tab/>
        </w:r>
        <w:r>
          <w:rPr>
            <w:noProof/>
            <w:webHidden/>
          </w:rPr>
          <w:fldChar w:fldCharType="begin"/>
        </w:r>
        <w:r>
          <w:rPr>
            <w:noProof/>
            <w:webHidden/>
          </w:rPr>
          <w:instrText xml:space="preserve"> PAGEREF _Toc201148597 \h </w:instrText>
        </w:r>
        <w:r>
          <w:rPr>
            <w:noProof/>
            <w:webHidden/>
          </w:rPr>
        </w:r>
        <w:r>
          <w:rPr>
            <w:noProof/>
            <w:webHidden/>
          </w:rPr>
          <w:fldChar w:fldCharType="separate"/>
        </w:r>
        <w:r>
          <w:rPr>
            <w:noProof/>
            <w:webHidden/>
          </w:rPr>
          <w:t>102</w:t>
        </w:r>
        <w:r>
          <w:rPr>
            <w:noProof/>
            <w:webHidden/>
          </w:rPr>
          <w:fldChar w:fldCharType="end"/>
        </w:r>
      </w:hyperlink>
    </w:p>
    <w:p w14:paraId="3DFAFD09" w14:textId="44686659"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8" w:history="1">
        <w:r w:rsidRPr="007B707C">
          <w:rPr>
            <w:rStyle w:val="Hyperlink"/>
            <w:noProof/>
          </w:rPr>
          <w:t>Table 2.12: Indicative baseline NWAU adjustment in 2025–26 for AHR</w:t>
        </w:r>
        <w:r>
          <w:rPr>
            <w:noProof/>
            <w:webHidden/>
          </w:rPr>
          <w:tab/>
        </w:r>
        <w:r>
          <w:rPr>
            <w:noProof/>
            <w:webHidden/>
          </w:rPr>
          <w:fldChar w:fldCharType="begin"/>
        </w:r>
        <w:r>
          <w:rPr>
            <w:noProof/>
            <w:webHidden/>
          </w:rPr>
          <w:instrText xml:space="preserve"> PAGEREF _Toc201148598 \h </w:instrText>
        </w:r>
        <w:r>
          <w:rPr>
            <w:noProof/>
            <w:webHidden/>
          </w:rPr>
        </w:r>
        <w:r>
          <w:rPr>
            <w:noProof/>
            <w:webHidden/>
          </w:rPr>
          <w:fldChar w:fldCharType="separate"/>
        </w:r>
        <w:r>
          <w:rPr>
            <w:noProof/>
            <w:webHidden/>
          </w:rPr>
          <w:t>103</w:t>
        </w:r>
        <w:r>
          <w:rPr>
            <w:noProof/>
            <w:webHidden/>
          </w:rPr>
          <w:fldChar w:fldCharType="end"/>
        </w:r>
      </w:hyperlink>
    </w:p>
    <w:p w14:paraId="60CA1729" w14:textId="46D9171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9" w:history="1">
        <w:r w:rsidRPr="007B707C">
          <w:rPr>
            <w:rStyle w:val="Hyperlink"/>
            <w:noProof/>
          </w:rPr>
          <w:t>Table 2.13: Victorian small rural health service activity targets 2025–26</w:t>
        </w:r>
        <w:r>
          <w:rPr>
            <w:noProof/>
            <w:webHidden/>
          </w:rPr>
          <w:tab/>
        </w:r>
        <w:r>
          <w:rPr>
            <w:noProof/>
            <w:webHidden/>
          </w:rPr>
          <w:fldChar w:fldCharType="begin"/>
        </w:r>
        <w:r>
          <w:rPr>
            <w:noProof/>
            <w:webHidden/>
          </w:rPr>
          <w:instrText xml:space="preserve"> PAGEREF _Toc201148599 \h </w:instrText>
        </w:r>
        <w:r>
          <w:rPr>
            <w:noProof/>
            <w:webHidden/>
          </w:rPr>
        </w:r>
        <w:r>
          <w:rPr>
            <w:noProof/>
            <w:webHidden/>
          </w:rPr>
          <w:fldChar w:fldCharType="separate"/>
        </w:r>
        <w:r>
          <w:rPr>
            <w:noProof/>
            <w:webHidden/>
          </w:rPr>
          <w:t>105</w:t>
        </w:r>
        <w:r>
          <w:rPr>
            <w:noProof/>
            <w:webHidden/>
          </w:rPr>
          <w:fldChar w:fldCharType="end"/>
        </w:r>
      </w:hyperlink>
    </w:p>
    <w:p w14:paraId="43E77861" w14:textId="2D556C1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0" w:history="1">
        <w:r w:rsidRPr="007B707C">
          <w:rPr>
            <w:rStyle w:val="Hyperlink"/>
            <w:noProof/>
          </w:rPr>
          <w:t>Table 2.14: Non-admitted radiotherapy activity targets 2025–26</w:t>
        </w:r>
        <w:r>
          <w:rPr>
            <w:noProof/>
            <w:webHidden/>
          </w:rPr>
          <w:tab/>
        </w:r>
        <w:r>
          <w:rPr>
            <w:noProof/>
            <w:webHidden/>
          </w:rPr>
          <w:fldChar w:fldCharType="begin"/>
        </w:r>
        <w:r>
          <w:rPr>
            <w:noProof/>
            <w:webHidden/>
          </w:rPr>
          <w:instrText xml:space="preserve"> PAGEREF _Toc201148600 \h </w:instrText>
        </w:r>
        <w:r>
          <w:rPr>
            <w:noProof/>
            <w:webHidden/>
          </w:rPr>
        </w:r>
        <w:r>
          <w:rPr>
            <w:noProof/>
            <w:webHidden/>
          </w:rPr>
          <w:fldChar w:fldCharType="separate"/>
        </w:r>
        <w:r>
          <w:rPr>
            <w:noProof/>
            <w:webHidden/>
          </w:rPr>
          <w:t>106</w:t>
        </w:r>
        <w:r>
          <w:rPr>
            <w:noProof/>
            <w:webHidden/>
          </w:rPr>
          <w:fldChar w:fldCharType="end"/>
        </w:r>
      </w:hyperlink>
    </w:p>
    <w:p w14:paraId="2201FE14" w14:textId="1EFEEB2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1" w:history="1">
        <w:r w:rsidRPr="007B707C">
          <w:rPr>
            <w:rStyle w:val="Hyperlink"/>
            <w:noProof/>
          </w:rPr>
          <w:t>Table 2.15: Shared care radiotherapy activity targets 2025–26</w:t>
        </w:r>
        <w:r>
          <w:rPr>
            <w:noProof/>
            <w:webHidden/>
          </w:rPr>
          <w:tab/>
        </w:r>
        <w:r>
          <w:rPr>
            <w:noProof/>
            <w:webHidden/>
          </w:rPr>
          <w:fldChar w:fldCharType="begin"/>
        </w:r>
        <w:r>
          <w:rPr>
            <w:noProof/>
            <w:webHidden/>
          </w:rPr>
          <w:instrText xml:space="preserve"> PAGEREF _Toc201148601 \h </w:instrText>
        </w:r>
        <w:r>
          <w:rPr>
            <w:noProof/>
            <w:webHidden/>
          </w:rPr>
        </w:r>
        <w:r>
          <w:rPr>
            <w:noProof/>
            <w:webHidden/>
          </w:rPr>
          <w:fldChar w:fldCharType="separate"/>
        </w:r>
        <w:r>
          <w:rPr>
            <w:noProof/>
            <w:webHidden/>
          </w:rPr>
          <w:t>106</w:t>
        </w:r>
        <w:r>
          <w:rPr>
            <w:noProof/>
            <w:webHidden/>
          </w:rPr>
          <w:fldChar w:fldCharType="end"/>
        </w:r>
      </w:hyperlink>
    </w:p>
    <w:p w14:paraId="417CFAC4" w14:textId="16EAB5F0"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2" w:history="1">
        <w:r w:rsidRPr="007B707C">
          <w:rPr>
            <w:rStyle w:val="Hyperlink"/>
            <w:noProof/>
          </w:rPr>
          <w:t>Table 2.16: Transition Care Program targets 2025–26</w:t>
        </w:r>
        <w:r>
          <w:rPr>
            <w:noProof/>
            <w:webHidden/>
          </w:rPr>
          <w:tab/>
        </w:r>
        <w:r>
          <w:rPr>
            <w:noProof/>
            <w:webHidden/>
          </w:rPr>
          <w:fldChar w:fldCharType="begin"/>
        </w:r>
        <w:r>
          <w:rPr>
            <w:noProof/>
            <w:webHidden/>
          </w:rPr>
          <w:instrText xml:space="preserve"> PAGEREF _Toc201148602 \h </w:instrText>
        </w:r>
        <w:r>
          <w:rPr>
            <w:noProof/>
            <w:webHidden/>
          </w:rPr>
        </w:r>
        <w:r>
          <w:rPr>
            <w:noProof/>
            <w:webHidden/>
          </w:rPr>
          <w:fldChar w:fldCharType="separate"/>
        </w:r>
        <w:r>
          <w:rPr>
            <w:noProof/>
            <w:webHidden/>
          </w:rPr>
          <w:t>107</w:t>
        </w:r>
        <w:r>
          <w:rPr>
            <w:noProof/>
            <w:webHidden/>
          </w:rPr>
          <w:fldChar w:fldCharType="end"/>
        </w:r>
      </w:hyperlink>
    </w:p>
    <w:p w14:paraId="72ACFF33" w14:textId="1CC8D86E"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3" w:history="1">
        <w:r w:rsidRPr="007B707C">
          <w:rPr>
            <w:rStyle w:val="Hyperlink"/>
            <w:noProof/>
          </w:rPr>
          <w:t>Table 2.17: Community palliative care – new episodes for distinct clients 2025–26</w:t>
        </w:r>
        <w:r>
          <w:rPr>
            <w:noProof/>
            <w:webHidden/>
          </w:rPr>
          <w:tab/>
        </w:r>
        <w:r>
          <w:rPr>
            <w:noProof/>
            <w:webHidden/>
          </w:rPr>
          <w:fldChar w:fldCharType="begin"/>
        </w:r>
        <w:r>
          <w:rPr>
            <w:noProof/>
            <w:webHidden/>
          </w:rPr>
          <w:instrText xml:space="preserve"> PAGEREF _Toc201148603 \h </w:instrText>
        </w:r>
        <w:r>
          <w:rPr>
            <w:noProof/>
            <w:webHidden/>
          </w:rPr>
        </w:r>
        <w:r>
          <w:rPr>
            <w:noProof/>
            <w:webHidden/>
          </w:rPr>
          <w:fldChar w:fldCharType="separate"/>
        </w:r>
        <w:r>
          <w:rPr>
            <w:noProof/>
            <w:webHidden/>
          </w:rPr>
          <w:t>108</w:t>
        </w:r>
        <w:r>
          <w:rPr>
            <w:noProof/>
            <w:webHidden/>
          </w:rPr>
          <w:fldChar w:fldCharType="end"/>
        </w:r>
      </w:hyperlink>
    </w:p>
    <w:p w14:paraId="71C74B19" w14:textId="177B841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4" w:history="1">
        <w:r w:rsidRPr="007B707C">
          <w:rPr>
            <w:rStyle w:val="Hyperlink"/>
            <w:noProof/>
          </w:rPr>
          <w:t>Table 2.18: Nationally Funded Centres Program targets 2025–26</w:t>
        </w:r>
        <w:r>
          <w:rPr>
            <w:noProof/>
            <w:webHidden/>
          </w:rPr>
          <w:tab/>
        </w:r>
        <w:r>
          <w:rPr>
            <w:noProof/>
            <w:webHidden/>
          </w:rPr>
          <w:fldChar w:fldCharType="begin"/>
        </w:r>
        <w:r>
          <w:rPr>
            <w:noProof/>
            <w:webHidden/>
          </w:rPr>
          <w:instrText xml:space="preserve"> PAGEREF _Toc201148604 \h </w:instrText>
        </w:r>
        <w:r>
          <w:rPr>
            <w:noProof/>
            <w:webHidden/>
          </w:rPr>
        </w:r>
        <w:r>
          <w:rPr>
            <w:noProof/>
            <w:webHidden/>
          </w:rPr>
          <w:fldChar w:fldCharType="separate"/>
        </w:r>
        <w:r>
          <w:rPr>
            <w:noProof/>
            <w:webHidden/>
          </w:rPr>
          <w:t>109</w:t>
        </w:r>
        <w:r>
          <w:rPr>
            <w:noProof/>
            <w:webHidden/>
          </w:rPr>
          <w:fldChar w:fldCharType="end"/>
        </w:r>
      </w:hyperlink>
    </w:p>
    <w:p w14:paraId="0598FCCA" w14:textId="77017A5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5" w:history="1">
        <w:r w:rsidRPr="007B707C">
          <w:rPr>
            <w:rStyle w:val="Hyperlink"/>
            <w:noProof/>
          </w:rPr>
          <w:t>Table 2.19: Mental health acute operational beds 2025–26</w:t>
        </w:r>
        <w:r>
          <w:rPr>
            <w:noProof/>
            <w:webHidden/>
          </w:rPr>
          <w:tab/>
        </w:r>
        <w:r>
          <w:rPr>
            <w:noProof/>
            <w:webHidden/>
          </w:rPr>
          <w:fldChar w:fldCharType="begin"/>
        </w:r>
        <w:r>
          <w:rPr>
            <w:noProof/>
            <w:webHidden/>
          </w:rPr>
          <w:instrText xml:space="preserve"> PAGEREF _Toc201148605 \h </w:instrText>
        </w:r>
        <w:r>
          <w:rPr>
            <w:noProof/>
            <w:webHidden/>
          </w:rPr>
        </w:r>
        <w:r>
          <w:rPr>
            <w:noProof/>
            <w:webHidden/>
          </w:rPr>
          <w:fldChar w:fldCharType="separate"/>
        </w:r>
        <w:r>
          <w:rPr>
            <w:noProof/>
            <w:webHidden/>
          </w:rPr>
          <w:t>110</w:t>
        </w:r>
        <w:r>
          <w:rPr>
            <w:noProof/>
            <w:webHidden/>
          </w:rPr>
          <w:fldChar w:fldCharType="end"/>
        </w:r>
      </w:hyperlink>
    </w:p>
    <w:p w14:paraId="59268ADA" w14:textId="3968FC0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6" w:history="1">
        <w:r w:rsidRPr="007B707C">
          <w:rPr>
            <w:rStyle w:val="Hyperlink"/>
            <w:noProof/>
          </w:rPr>
          <w:t>Table 2.2</w:t>
        </w:r>
        <w:r w:rsidR="006533AA">
          <w:rPr>
            <w:rStyle w:val="Hyperlink"/>
            <w:noProof/>
          </w:rPr>
          <w:t>0</w:t>
        </w:r>
        <w:r w:rsidRPr="007B707C">
          <w:rPr>
            <w:rStyle w:val="Hyperlink"/>
            <w:noProof/>
          </w:rPr>
          <w:t>: Mental health non-acute, subacute and residential operational beds 2025–26</w:t>
        </w:r>
        <w:r>
          <w:rPr>
            <w:noProof/>
            <w:webHidden/>
          </w:rPr>
          <w:tab/>
        </w:r>
        <w:r>
          <w:rPr>
            <w:noProof/>
            <w:webHidden/>
          </w:rPr>
          <w:fldChar w:fldCharType="begin"/>
        </w:r>
        <w:r>
          <w:rPr>
            <w:noProof/>
            <w:webHidden/>
          </w:rPr>
          <w:instrText xml:space="preserve"> PAGEREF _Toc201148606 \h </w:instrText>
        </w:r>
        <w:r>
          <w:rPr>
            <w:noProof/>
            <w:webHidden/>
          </w:rPr>
        </w:r>
        <w:r>
          <w:rPr>
            <w:noProof/>
            <w:webHidden/>
          </w:rPr>
          <w:fldChar w:fldCharType="separate"/>
        </w:r>
        <w:r>
          <w:rPr>
            <w:noProof/>
            <w:webHidden/>
          </w:rPr>
          <w:t>111</w:t>
        </w:r>
        <w:r>
          <w:rPr>
            <w:noProof/>
            <w:webHidden/>
          </w:rPr>
          <w:fldChar w:fldCharType="end"/>
        </w:r>
      </w:hyperlink>
    </w:p>
    <w:p w14:paraId="36A9B340" w14:textId="1EDEE84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7" w:history="1">
        <w:r w:rsidRPr="007B707C">
          <w:rPr>
            <w:rStyle w:val="Hyperlink"/>
            <w:noProof/>
          </w:rPr>
          <w:t>Table 2.</w:t>
        </w:r>
        <w:r w:rsidR="006533AA">
          <w:rPr>
            <w:rStyle w:val="Hyperlink"/>
            <w:noProof/>
          </w:rPr>
          <w:t>21</w:t>
        </w:r>
        <w:r w:rsidR="001161B1">
          <w:rPr>
            <w:rStyle w:val="Hyperlink"/>
            <w:noProof/>
          </w:rPr>
          <w:t>:</w:t>
        </w:r>
        <w:r w:rsidRPr="007B707C">
          <w:rPr>
            <w:rStyle w:val="Hyperlink"/>
            <w:noProof/>
          </w:rPr>
          <w:t xml:space="preserve"> Alcohol and other drugs output targets 2025–26</w:t>
        </w:r>
        <w:r>
          <w:rPr>
            <w:noProof/>
            <w:webHidden/>
          </w:rPr>
          <w:tab/>
        </w:r>
        <w:r>
          <w:rPr>
            <w:noProof/>
            <w:webHidden/>
          </w:rPr>
          <w:fldChar w:fldCharType="begin"/>
        </w:r>
        <w:r>
          <w:rPr>
            <w:noProof/>
            <w:webHidden/>
          </w:rPr>
          <w:instrText xml:space="preserve"> PAGEREF _Toc201148607 \h </w:instrText>
        </w:r>
        <w:r>
          <w:rPr>
            <w:noProof/>
            <w:webHidden/>
          </w:rPr>
        </w:r>
        <w:r>
          <w:rPr>
            <w:noProof/>
            <w:webHidden/>
          </w:rPr>
          <w:fldChar w:fldCharType="separate"/>
        </w:r>
        <w:r>
          <w:rPr>
            <w:noProof/>
            <w:webHidden/>
          </w:rPr>
          <w:t>113</w:t>
        </w:r>
        <w:r>
          <w:rPr>
            <w:noProof/>
            <w:webHidden/>
          </w:rPr>
          <w:fldChar w:fldCharType="end"/>
        </w:r>
      </w:hyperlink>
    </w:p>
    <w:p w14:paraId="274E60DD" w14:textId="00273E9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8" w:history="1">
        <w:r w:rsidRPr="007B707C">
          <w:rPr>
            <w:rStyle w:val="Hyperlink"/>
            <w:noProof/>
          </w:rPr>
          <w:t>Table 2.</w:t>
        </w:r>
        <w:r w:rsidR="001161B1">
          <w:rPr>
            <w:rStyle w:val="Hyperlink"/>
            <w:noProof/>
          </w:rPr>
          <w:t>22</w:t>
        </w:r>
        <w:r w:rsidRPr="007B707C">
          <w:rPr>
            <w:rStyle w:val="Hyperlink"/>
            <w:noProof/>
          </w:rPr>
          <w:t>: Victorian pricing adjustments 2025–26 – Legacy grants</w:t>
        </w:r>
        <w:r>
          <w:rPr>
            <w:noProof/>
            <w:webHidden/>
          </w:rPr>
          <w:tab/>
        </w:r>
        <w:r>
          <w:rPr>
            <w:noProof/>
            <w:webHidden/>
          </w:rPr>
          <w:fldChar w:fldCharType="begin"/>
        </w:r>
        <w:r>
          <w:rPr>
            <w:noProof/>
            <w:webHidden/>
          </w:rPr>
          <w:instrText xml:space="preserve"> PAGEREF _Toc201148608 \h </w:instrText>
        </w:r>
        <w:r>
          <w:rPr>
            <w:noProof/>
            <w:webHidden/>
          </w:rPr>
        </w:r>
        <w:r>
          <w:rPr>
            <w:noProof/>
            <w:webHidden/>
          </w:rPr>
          <w:fldChar w:fldCharType="separate"/>
        </w:r>
        <w:r>
          <w:rPr>
            <w:noProof/>
            <w:webHidden/>
          </w:rPr>
          <w:t>115</w:t>
        </w:r>
        <w:r>
          <w:rPr>
            <w:noProof/>
            <w:webHidden/>
          </w:rPr>
          <w:fldChar w:fldCharType="end"/>
        </w:r>
      </w:hyperlink>
    </w:p>
    <w:p w14:paraId="0D6A8407" w14:textId="04E6C41F" w:rsidR="005B699B" w:rsidRDefault="005B699B" w:rsidP="00FB44E2">
      <w:pPr>
        <w:pStyle w:val="Body"/>
        <w:tabs>
          <w:tab w:val="right" w:leader="dot" w:pos="9214"/>
        </w:tabs>
        <w:spacing w:line="240" w:lineRule="auto"/>
        <w:ind w:right="509" w:hanging="1134"/>
        <w:rPr>
          <w:sz w:val="18"/>
          <w:szCs w:val="18"/>
        </w:rPr>
        <w:sectPr w:rsidR="005B699B" w:rsidSect="005B699B">
          <w:headerReference w:type="even" r:id="rId103"/>
          <w:headerReference w:type="default" r:id="rId104"/>
          <w:footerReference w:type="even" r:id="rId105"/>
          <w:footerReference w:type="default" r:id="rId106"/>
          <w:headerReference w:type="first" r:id="rId107"/>
          <w:footerReference w:type="first" r:id="rId108"/>
          <w:pgSz w:w="11906" w:h="16838" w:code="9"/>
          <w:pgMar w:top="1418" w:right="1304" w:bottom="1134" w:left="1304" w:header="680" w:footer="567" w:gutter="0"/>
          <w:cols w:space="340"/>
          <w:docGrid w:linePitch="360"/>
        </w:sectPr>
      </w:pPr>
      <w:r w:rsidRPr="00F02E93">
        <w:rPr>
          <w:sz w:val="18"/>
          <w:szCs w:val="18"/>
        </w:rPr>
        <w:fldChar w:fldCharType="end"/>
      </w:r>
      <w:bookmarkStart w:id="2656" w:name="_Toc12780681"/>
      <w:bookmarkStart w:id="2657" w:name="_Toc14172322"/>
      <w:bookmarkStart w:id="2658" w:name="_Toc55381184"/>
      <w:bookmarkStart w:id="2659" w:name="_Toc100263388"/>
    </w:p>
    <w:p w14:paraId="4A57AA6D" w14:textId="77777777" w:rsidR="005B699B" w:rsidRDefault="005B699B" w:rsidP="00AF18F3">
      <w:pPr>
        <w:pStyle w:val="Heading1"/>
        <w:numPr>
          <w:ilvl w:val="0"/>
          <w:numId w:val="0"/>
        </w:numPr>
      </w:pPr>
      <w:bookmarkStart w:id="2660" w:name="_Toc165961883"/>
      <w:bookmarkStart w:id="2661" w:name="_Toc201148310"/>
      <w:r w:rsidRPr="008302DD">
        <w:t xml:space="preserve">Acronyms and </w:t>
      </w:r>
      <w:bookmarkEnd w:id="2656"/>
      <w:bookmarkEnd w:id="2657"/>
      <w:bookmarkEnd w:id="2658"/>
      <w:bookmarkEnd w:id="2659"/>
      <w:r>
        <w:t>a</w:t>
      </w:r>
      <w:r w:rsidRPr="008302DD">
        <w:t>bbreviations</w:t>
      </w:r>
      <w:bookmarkEnd w:id="2660"/>
      <w:bookmarkEnd w:id="2661"/>
    </w:p>
    <w:p w14:paraId="0C1ADD67" w14:textId="6D11D51D" w:rsidR="00175296" w:rsidRDefault="00175296" w:rsidP="005B699B">
      <w:pPr>
        <w:pStyle w:val="Acronym"/>
      </w:pPr>
      <w:r>
        <w:t>ABF</w:t>
      </w:r>
      <w:r>
        <w:tab/>
        <w:t>activity-based funding</w:t>
      </w:r>
    </w:p>
    <w:p w14:paraId="2032060B" w14:textId="1AB425CD" w:rsidR="005B699B" w:rsidRPr="002E3429" w:rsidRDefault="005B699B" w:rsidP="005B699B">
      <w:pPr>
        <w:pStyle w:val="Acronym"/>
      </w:pPr>
      <w:r w:rsidRPr="002E3429">
        <w:t>ABO</w:t>
      </w:r>
      <w:r>
        <w:tab/>
        <w:t>b</w:t>
      </w:r>
      <w:r w:rsidRPr="002E3429">
        <w:t>lood group system</w:t>
      </w:r>
    </w:p>
    <w:p w14:paraId="3A1EA3CC" w14:textId="30AFEABC" w:rsidR="005B699B" w:rsidRPr="002E3429" w:rsidRDefault="005B699B" w:rsidP="005B699B">
      <w:pPr>
        <w:pStyle w:val="Acronym"/>
      </w:pPr>
      <w:r w:rsidRPr="0074173F">
        <w:t>ACA</w:t>
      </w:r>
      <w:r w:rsidRPr="0074173F">
        <w:tab/>
        <w:t xml:space="preserve">Aged Care Assessment </w:t>
      </w:r>
    </w:p>
    <w:p w14:paraId="447E8DBE" w14:textId="77777777" w:rsidR="005B699B" w:rsidRPr="002E3429" w:rsidRDefault="005B699B" w:rsidP="005B699B">
      <w:pPr>
        <w:pStyle w:val="Acronym"/>
      </w:pPr>
      <w:r w:rsidRPr="001F21EE">
        <w:t>ACCO</w:t>
      </w:r>
      <w:r w:rsidRPr="001F21EE">
        <w:tab/>
        <w:t>Aboriginal community-controlled organisations</w:t>
      </w:r>
    </w:p>
    <w:p w14:paraId="46109A8C" w14:textId="77777777" w:rsidR="005B699B" w:rsidRPr="002E3429" w:rsidRDefault="005B699B" w:rsidP="005B699B">
      <w:pPr>
        <w:pStyle w:val="Acronym"/>
      </w:pPr>
      <w:r w:rsidRPr="002E3429">
        <w:t>ACHI</w:t>
      </w:r>
      <w:r>
        <w:tab/>
      </w:r>
      <w:r w:rsidRPr="002E3429">
        <w:t>Australian Classification of Health Interventions</w:t>
      </w:r>
    </w:p>
    <w:p w14:paraId="0605D59D" w14:textId="77777777" w:rsidR="005B699B" w:rsidRPr="002E3429" w:rsidRDefault="005B699B" w:rsidP="005B699B">
      <w:pPr>
        <w:pStyle w:val="Acronym"/>
      </w:pPr>
      <w:r w:rsidRPr="002E3429">
        <w:t>ACS</w:t>
      </w:r>
      <w:r>
        <w:tab/>
      </w:r>
      <w:r w:rsidRPr="002E3429">
        <w:t>Australian Coding Standard</w:t>
      </w:r>
    </w:p>
    <w:p w14:paraId="28E098F7" w14:textId="77777777" w:rsidR="005B699B" w:rsidRDefault="005B699B" w:rsidP="005B699B">
      <w:pPr>
        <w:pStyle w:val="Acronym"/>
      </w:pPr>
      <w:r>
        <w:t>AECC</w:t>
      </w:r>
      <w:r>
        <w:tab/>
        <w:t>Australian Emergency Care Classification</w:t>
      </w:r>
    </w:p>
    <w:p w14:paraId="6BEED15B" w14:textId="732E43E3" w:rsidR="00E85013" w:rsidRDefault="00E85013" w:rsidP="005B699B">
      <w:pPr>
        <w:pStyle w:val="Acronym"/>
      </w:pPr>
      <w:r>
        <w:t>AHR</w:t>
      </w:r>
      <w:r>
        <w:tab/>
        <w:t xml:space="preserve">Avoidable </w:t>
      </w:r>
      <w:r w:rsidR="004E0AE9">
        <w:t>hospital readmissions</w:t>
      </w:r>
    </w:p>
    <w:p w14:paraId="4B5906A9" w14:textId="5CB37726" w:rsidR="005B699B" w:rsidRPr="002E3429" w:rsidRDefault="005B699B" w:rsidP="005B699B">
      <w:pPr>
        <w:pStyle w:val="Acronym"/>
      </w:pPr>
      <w:r w:rsidRPr="001F21EE">
        <w:t>AIDS</w:t>
      </w:r>
      <w:r w:rsidRPr="001F21EE">
        <w:tab/>
        <w:t>acquired immune deficiency syndrome</w:t>
      </w:r>
    </w:p>
    <w:p w14:paraId="31614D73" w14:textId="77777777" w:rsidR="005B699B" w:rsidRPr="002E3429" w:rsidRDefault="005B699B" w:rsidP="005B699B">
      <w:pPr>
        <w:pStyle w:val="Acronym"/>
      </w:pPr>
      <w:r w:rsidRPr="002E3429">
        <w:t>AIMS</w:t>
      </w:r>
      <w:r>
        <w:tab/>
      </w:r>
      <w:r w:rsidRPr="002E3429">
        <w:t>Agency Information Management System</w:t>
      </w:r>
    </w:p>
    <w:p w14:paraId="7CE4F643" w14:textId="77777777" w:rsidR="005B699B" w:rsidRPr="002E3429" w:rsidRDefault="005B699B" w:rsidP="005B699B">
      <w:pPr>
        <w:pStyle w:val="Acronym"/>
      </w:pPr>
      <w:r>
        <w:t>AMHCC</w:t>
      </w:r>
      <w:r>
        <w:tab/>
      </w:r>
      <w:r w:rsidRPr="00AB63CD">
        <w:t>Australian Mental Health Care Classification</w:t>
      </w:r>
    </w:p>
    <w:p w14:paraId="76C85F19" w14:textId="77777777" w:rsidR="005B699B" w:rsidRPr="002E3429" w:rsidRDefault="005B699B" w:rsidP="005B699B">
      <w:pPr>
        <w:pStyle w:val="Acronym"/>
      </w:pPr>
      <w:r w:rsidRPr="002E3429">
        <w:t>AN-SNAP</w:t>
      </w:r>
      <w:r w:rsidRPr="002E3429">
        <w:tab/>
        <w:t>Australian National Subacute and Non-Acute Patient</w:t>
      </w:r>
    </w:p>
    <w:p w14:paraId="7FF53E89" w14:textId="77777777" w:rsidR="005B699B" w:rsidRPr="002E3429" w:rsidRDefault="005B699B" w:rsidP="005B699B">
      <w:pPr>
        <w:pStyle w:val="Acronym"/>
      </w:pPr>
      <w:r w:rsidRPr="001F21EE">
        <w:t>AOD</w:t>
      </w:r>
      <w:r w:rsidRPr="001F21EE">
        <w:tab/>
        <w:t>alcohol and other drugs</w:t>
      </w:r>
    </w:p>
    <w:p w14:paraId="7E6D02BB" w14:textId="77777777" w:rsidR="005B699B" w:rsidRPr="002E3429" w:rsidRDefault="005B699B" w:rsidP="005B699B">
      <w:pPr>
        <w:pStyle w:val="Acronym"/>
      </w:pPr>
      <w:r w:rsidRPr="002E3429">
        <w:t>AR-DRG</w:t>
      </w:r>
      <w:r w:rsidRPr="002E3429">
        <w:tab/>
        <w:t>Australian Refined Diagnosis</w:t>
      </w:r>
      <w:r>
        <w:t>-</w:t>
      </w:r>
      <w:r w:rsidRPr="002E3429">
        <w:t>Related Groups</w:t>
      </w:r>
    </w:p>
    <w:p w14:paraId="370EAE9B" w14:textId="77777777" w:rsidR="005B699B" w:rsidRPr="001F21EE" w:rsidRDefault="005B699B" w:rsidP="005B699B">
      <w:pPr>
        <w:pStyle w:val="Acronym"/>
      </w:pPr>
      <w:r w:rsidRPr="0013154B">
        <w:rPr>
          <w:rFonts w:cs="Arial"/>
          <w:sz w:val="21"/>
          <w:szCs w:val="21"/>
          <w:shd w:val="clear" w:color="auto" w:fill="FFFFFF"/>
        </w:rPr>
        <w:t>BBV</w:t>
      </w:r>
      <w:r w:rsidRPr="001F21EE">
        <w:rPr>
          <w:rFonts w:cs="Arial"/>
          <w:color w:val="4D5156"/>
          <w:sz w:val="21"/>
          <w:szCs w:val="21"/>
          <w:shd w:val="clear" w:color="auto" w:fill="FFFFFF"/>
        </w:rPr>
        <w:tab/>
      </w:r>
      <w:r w:rsidRPr="001F21EE">
        <w:t>blood-borne viruses</w:t>
      </w:r>
    </w:p>
    <w:p w14:paraId="5AF06EBA" w14:textId="77777777" w:rsidR="005B699B" w:rsidRDefault="005B699B" w:rsidP="005B699B">
      <w:pPr>
        <w:pStyle w:val="Acronym"/>
      </w:pPr>
      <w:r>
        <w:t>DNW</w:t>
      </w:r>
      <w:r>
        <w:tab/>
        <w:t>d</w:t>
      </w:r>
      <w:r w:rsidRPr="00117367">
        <w:t>id not wait</w:t>
      </w:r>
    </w:p>
    <w:p w14:paraId="54D4B421" w14:textId="77777777" w:rsidR="005B699B" w:rsidRPr="001F21EE" w:rsidRDefault="005B699B" w:rsidP="005B699B">
      <w:pPr>
        <w:pStyle w:val="Acronym"/>
      </w:pPr>
      <w:r w:rsidRPr="001F21EE">
        <w:t>DRG</w:t>
      </w:r>
      <w:r w:rsidRPr="001F21EE">
        <w:tab/>
        <w:t>diagnosis-related group</w:t>
      </w:r>
    </w:p>
    <w:p w14:paraId="7F0F38AA" w14:textId="77777777" w:rsidR="005B699B" w:rsidRPr="001F21EE" w:rsidRDefault="005B699B" w:rsidP="005B699B">
      <w:pPr>
        <w:pStyle w:val="Acronym"/>
      </w:pPr>
      <w:r w:rsidRPr="001F21EE">
        <w:t>DVA</w:t>
      </w:r>
      <w:r w:rsidRPr="001F21EE">
        <w:tab/>
        <w:t>Department of Veterans' Affairs</w:t>
      </w:r>
    </w:p>
    <w:p w14:paraId="76B16D6C" w14:textId="77777777" w:rsidR="005B699B" w:rsidRDefault="005B699B" w:rsidP="005B699B">
      <w:pPr>
        <w:pStyle w:val="Acronym"/>
      </w:pPr>
      <w:r>
        <w:t>ESIS</w:t>
      </w:r>
      <w:r>
        <w:tab/>
        <w:t>Elective Surgery Information System</w:t>
      </w:r>
    </w:p>
    <w:p w14:paraId="0FBFC2AC" w14:textId="77777777" w:rsidR="005B699B" w:rsidRPr="002E3429" w:rsidRDefault="005B699B" w:rsidP="005B699B">
      <w:pPr>
        <w:pStyle w:val="Acronym"/>
      </w:pPr>
      <w:r w:rsidRPr="002E3429">
        <w:t>FIM</w:t>
      </w:r>
      <w:r w:rsidRPr="002E3429">
        <w:rPr>
          <w:lang w:eastAsia="en-AU"/>
        </w:rPr>
        <w:t>™</w:t>
      </w:r>
      <w:r>
        <w:tab/>
      </w:r>
      <w:r w:rsidRPr="002E3429">
        <w:t>Functional Independence Measure</w:t>
      </w:r>
    </w:p>
    <w:p w14:paraId="4A9BEC51" w14:textId="77777777" w:rsidR="005B699B" w:rsidRPr="002E3429" w:rsidRDefault="005B699B" w:rsidP="005B699B">
      <w:pPr>
        <w:pStyle w:val="Acronym"/>
      </w:pPr>
      <w:r w:rsidRPr="002E3429">
        <w:t>GEM</w:t>
      </w:r>
      <w:r>
        <w:tab/>
      </w:r>
      <w:r w:rsidRPr="002E3429">
        <w:t>geriatric evaluation and management</w:t>
      </w:r>
    </w:p>
    <w:p w14:paraId="5AC5C33B" w14:textId="77777777" w:rsidR="005B699B" w:rsidRDefault="005B699B" w:rsidP="005B699B">
      <w:pPr>
        <w:pStyle w:val="Acronym"/>
      </w:pPr>
      <w:r>
        <w:t>HAC</w:t>
      </w:r>
      <w:r>
        <w:tab/>
        <w:t>hospital acquired complications</w:t>
      </w:r>
    </w:p>
    <w:p w14:paraId="6FDF862C" w14:textId="77777777" w:rsidR="005B699B" w:rsidRDefault="005B699B" w:rsidP="005B699B">
      <w:pPr>
        <w:pStyle w:val="Acronym"/>
      </w:pPr>
      <w:r w:rsidRPr="002E3429">
        <w:t>HACC</w:t>
      </w:r>
      <w:r>
        <w:tab/>
      </w:r>
      <w:r w:rsidRPr="002E3429">
        <w:t>Home and Community Care</w:t>
      </w:r>
    </w:p>
    <w:p w14:paraId="6D2B3AB8" w14:textId="77777777" w:rsidR="005B699B" w:rsidRDefault="005B699B" w:rsidP="005B699B">
      <w:pPr>
        <w:pStyle w:val="Acronym"/>
      </w:pPr>
      <w:r>
        <w:t>HACC-PYP</w:t>
      </w:r>
      <w:r>
        <w:tab/>
        <w:t>Home and Community Care Program Younger People</w:t>
      </w:r>
    </w:p>
    <w:p w14:paraId="2E78A4E6" w14:textId="77777777" w:rsidR="005B699B" w:rsidRDefault="005B699B" w:rsidP="005B699B">
      <w:pPr>
        <w:pStyle w:val="Acronym"/>
      </w:pPr>
      <w:r>
        <w:t>HeART</w:t>
      </w:r>
      <w:r>
        <w:tab/>
      </w:r>
      <w:r w:rsidRPr="007B4C7B">
        <w:rPr>
          <w:szCs w:val="21"/>
        </w:rPr>
        <w:t>Health Agencies Reporting Tool</w:t>
      </w:r>
    </w:p>
    <w:p w14:paraId="655ACF5D" w14:textId="77777777" w:rsidR="005B699B" w:rsidRDefault="005B699B" w:rsidP="005B699B">
      <w:pPr>
        <w:pStyle w:val="Acronym"/>
      </w:pPr>
      <w:r>
        <w:t>HIP</w:t>
      </w:r>
      <w:r>
        <w:tab/>
        <w:t>Health Independence Program</w:t>
      </w:r>
    </w:p>
    <w:p w14:paraId="67D20B62" w14:textId="77777777" w:rsidR="005B699B" w:rsidRPr="002E3429" w:rsidRDefault="005B699B" w:rsidP="005B699B">
      <w:pPr>
        <w:pStyle w:val="Acronym"/>
      </w:pPr>
      <w:r w:rsidRPr="001F21EE">
        <w:t>HIV</w:t>
      </w:r>
      <w:r w:rsidRPr="001F21EE">
        <w:tab/>
        <w:t>human immunodeficiency virus</w:t>
      </w:r>
    </w:p>
    <w:p w14:paraId="000B9E53" w14:textId="77777777" w:rsidR="005B699B" w:rsidRDefault="005B699B" w:rsidP="005B699B">
      <w:pPr>
        <w:pStyle w:val="Acronym"/>
      </w:pPr>
      <w:r>
        <w:t>ICD</w:t>
      </w:r>
      <w:r>
        <w:tab/>
      </w:r>
      <w:r w:rsidRPr="004C62FA">
        <w:t>International Classification of Diseases</w:t>
      </w:r>
    </w:p>
    <w:p w14:paraId="58C582F5" w14:textId="77777777" w:rsidR="005B699B" w:rsidRPr="002E3429" w:rsidRDefault="005B699B" w:rsidP="005B699B">
      <w:pPr>
        <w:pStyle w:val="Acronym"/>
      </w:pPr>
      <w:r w:rsidRPr="002E3429">
        <w:t>IH</w:t>
      </w:r>
      <w:r>
        <w:t>AC</w:t>
      </w:r>
      <w:r w:rsidRPr="002E3429">
        <w:t>PA</w:t>
      </w:r>
      <w:r>
        <w:tab/>
      </w:r>
      <w:r w:rsidRPr="002E3429">
        <w:t>Independent H</w:t>
      </w:r>
      <w:r>
        <w:t>ealth and Aged Care</w:t>
      </w:r>
      <w:r w:rsidRPr="002E3429">
        <w:t xml:space="preserve"> Pricing Authority</w:t>
      </w:r>
    </w:p>
    <w:p w14:paraId="4AD3A6F7" w14:textId="3D30E229" w:rsidR="000B5418" w:rsidRPr="002E3429" w:rsidRDefault="000B5418" w:rsidP="005B699B">
      <w:pPr>
        <w:pStyle w:val="Acronym"/>
      </w:pPr>
      <w:r>
        <w:t>LAMA</w:t>
      </w:r>
      <w:r>
        <w:tab/>
      </w:r>
      <w:r w:rsidRPr="00DD4266">
        <w:t>Leave</w:t>
      </w:r>
      <w:r w:rsidRPr="00A90C61">
        <w:t xml:space="preserve"> against medical advic</w:t>
      </w:r>
      <w:r>
        <w:t>e</w:t>
      </w:r>
    </w:p>
    <w:p w14:paraId="2C3DE2AC" w14:textId="77777777" w:rsidR="005B699B" w:rsidRDefault="005B699B" w:rsidP="005B699B">
      <w:pPr>
        <w:pStyle w:val="Acronym"/>
      </w:pPr>
      <w:r w:rsidRPr="004169D2">
        <w:t>LOS</w:t>
      </w:r>
      <w:r w:rsidRPr="004169D2">
        <w:tab/>
        <w:t>length of stay</w:t>
      </w:r>
    </w:p>
    <w:p w14:paraId="5D2DB6A7" w14:textId="77777777" w:rsidR="005B699B" w:rsidRPr="002E3429" w:rsidRDefault="005B699B" w:rsidP="005B699B">
      <w:pPr>
        <w:pStyle w:val="Acronym"/>
      </w:pPr>
      <w:r>
        <w:t>LPHU</w:t>
      </w:r>
      <w:r>
        <w:tab/>
      </w:r>
      <w:r w:rsidRPr="00CE3410">
        <w:t>Local Public Health Unit</w:t>
      </w:r>
    </w:p>
    <w:p w14:paraId="3DC4FA29" w14:textId="77777777" w:rsidR="005B699B" w:rsidRDefault="005B699B" w:rsidP="005B699B">
      <w:pPr>
        <w:pStyle w:val="Acronym"/>
      </w:pPr>
      <w:r>
        <w:t>MAPS</w:t>
      </w:r>
      <w:r>
        <w:tab/>
        <w:t>Modelling and Payment System</w:t>
      </w:r>
    </w:p>
    <w:p w14:paraId="48BDDA66" w14:textId="77777777" w:rsidR="005B699B" w:rsidRDefault="005B699B" w:rsidP="005B699B">
      <w:pPr>
        <w:pStyle w:val="Acronym"/>
      </w:pPr>
      <w:r>
        <w:t>MBS</w:t>
      </w:r>
      <w:r>
        <w:tab/>
      </w:r>
      <w:r w:rsidRPr="00FA1304">
        <w:t>Medicare Benefits Schedule</w:t>
      </w:r>
    </w:p>
    <w:p w14:paraId="36705D49" w14:textId="77777777" w:rsidR="005B699B" w:rsidRDefault="005B699B" w:rsidP="005B699B">
      <w:pPr>
        <w:pStyle w:val="Acronym"/>
      </w:pPr>
      <w:r>
        <w:t>METeOR</w:t>
      </w:r>
      <w:r>
        <w:tab/>
      </w:r>
      <w:r w:rsidRPr="0056208C">
        <w:t>registry for Australian metadata standards</w:t>
      </w:r>
    </w:p>
    <w:p w14:paraId="0FB79862" w14:textId="53A2A0E9" w:rsidR="005B699B" w:rsidRPr="002E3429" w:rsidRDefault="005B699B" w:rsidP="005B699B">
      <w:pPr>
        <w:pStyle w:val="Acronym"/>
      </w:pPr>
      <w:r w:rsidRPr="004169D2">
        <w:t>MHCSS</w:t>
      </w:r>
      <w:r w:rsidRPr="004169D2">
        <w:tab/>
      </w:r>
      <w:r w:rsidR="00C13287">
        <w:t>M</w:t>
      </w:r>
      <w:r w:rsidRPr="004169D2">
        <w:t xml:space="preserve">ental </w:t>
      </w:r>
      <w:r w:rsidR="00C13287">
        <w:t>H</w:t>
      </w:r>
      <w:r w:rsidRPr="004169D2">
        <w:t xml:space="preserve">ealth </w:t>
      </w:r>
      <w:r w:rsidR="00C13287">
        <w:t>C</w:t>
      </w:r>
      <w:r w:rsidRPr="004169D2">
        <w:t xml:space="preserve">ommunity </w:t>
      </w:r>
      <w:r w:rsidR="00C13287">
        <w:t>S</w:t>
      </w:r>
      <w:r w:rsidRPr="004169D2">
        <w:t xml:space="preserve">upport </w:t>
      </w:r>
      <w:r w:rsidR="00C13287">
        <w:t>S</w:t>
      </w:r>
      <w:r w:rsidRPr="004169D2">
        <w:t>ervices</w:t>
      </w:r>
    </w:p>
    <w:p w14:paraId="115D996F" w14:textId="77777777" w:rsidR="005B699B" w:rsidRPr="000C7B8B" w:rsidRDefault="005B699B" w:rsidP="005B699B">
      <w:pPr>
        <w:pStyle w:val="Acronym"/>
        <w:rPr>
          <w:color w:val="000000" w:themeColor="text1"/>
        </w:rPr>
      </w:pPr>
      <w:r w:rsidRPr="004169D2">
        <w:rPr>
          <w:rFonts w:cs="Arial"/>
          <w:color w:val="000000" w:themeColor="text1"/>
          <w:shd w:val="clear" w:color="auto" w:fill="FFFFFF"/>
        </w:rPr>
        <w:t>NACMS</w:t>
      </w:r>
      <w:r w:rsidRPr="004169D2">
        <w:rPr>
          <w:rFonts w:cs="Arial"/>
          <w:color w:val="000000" w:themeColor="text1"/>
          <w:shd w:val="clear" w:color="auto" w:fill="FFFFFF"/>
        </w:rPr>
        <w:tab/>
      </w:r>
      <w:r w:rsidRPr="004169D2">
        <w:rPr>
          <w:color w:val="000000" w:themeColor="text1"/>
        </w:rPr>
        <w:t>Non-Admitted Clinic Management System</w:t>
      </w:r>
    </w:p>
    <w:p w14:paraId="4ED3E2C8" w14:textId="77777777" w:rsidR="005B699B" w:rsidRDefault="005B699B" w:rsidP="005B699B">
      <w:pPr>
        <w:pStyle w:val="Acronym"/>
      </w:pPr>
      <w:r>
        <w:t>NADC</w:t>
      </w:r>
      <w:r>
        <w:tab/>
        <w:t>Non Admitted Data Collection</w:t>
      </w:r>
    </w:p>
    <w:p w14:paraId="7BA199A0" w14:textId="28548C0A" w:rsidR="00C13287" w:rsidRDefault="00C13287" w:rsidP="005B699B">
      <w:pPr>
        <w:pStyle w:val="Acronym"/>
      </w:pPr>
      <w:r>
        <w:t>NEC</w:t>
      </w:r>
      <w:r>
        <w:tab/>
        <w:t>National Efficient Cost</w:t>
      </w:r>
    </w:p>
    <w:p w14:paraId="035E7B6E" w14:textId="780DD5DB" w:rsidR="00C13287" w:rsidRDefault="00C13287" w:rsidP="005B699B">
      <w:pPr>
        <w:pStyle w:val="Acronym"/>
      </w:pPr>
      <w:r>
        <w:t>NEP</w:t>
      </w:r>
      <w:r>
        <w:tab/>
        <w:t>National Efficient Price</w:t>
      </w:r>
    </w:p>
    <w:p w14:paraId="31AFF9FC" w14:textId="461A57A8" w:rsidR="005B699B" w:rsidRPr="002E3429" w:rsidRDefault="005B699B" w:rsidP="005B699B">
      <w:pPr>
        <w:pStyle w:val="Acronym"/>
      </w:pPr>
      <w:r w:rsidRPr="002E3429">
        <w:t>NFC</w:t>
      </w:r>
      <w:r>
        <w:tab/>
      </w:r>
      <w:r w:rsidRPr="002E3429">
        <w:t>Nationally Funded Centres</w:t>
      </w:r>
    </w:p>
    <w:p w14:paraId="4715FE88" w14:textId="77777777" w:rsidR="005B699B" w:rsidRPr="002E3429" w:rsidRDefault="005B699B" w:rsidP="005B699B">
      <w:pPr>
        <w:pStyle w:val="Acronym"/>
      </w:pPr>
      <w:r w:rsidRPr="002E3429">
        <w:t>NHRA</w:t>
      </w:r>
      <w:r>
        <w:tab/>
      </w:r>
      <w:r w:rsidRPr="002E3429">
        <w:t>National Health Reform Agreement</w:t>
      </w:r>
    </w:p>
    <w:p w14:paraId="31D273E9" w14:textId="77777777" w:rsidR="005B699B" w:rsidRPr="00497789" w:rsidRDefault="005B699B" w:rsidP="005B699B">
      <w:pPr>
        <w:pStyle w:val="Acronym"/>
      </w:pPr>
      <w:r w:rsidRPr="00497789">
        <w:t>NWAU</w:t>
      </w:r>
      <w:r w:rsidRPr="00497789">
        <w:tab/>
        <w:t>national weighted activity unit</w:t>
      </w:r>
    </w:p>
    <w:p w14:paraId="71B57693" w14:textId="6EA83BEE" w:rsidR="005B699B" w:rsidRPr="000E1A59" w:rsidRDefault="005B699B" w:rsidP="005B699B">
      <w:pPr>
        <w:pStyle w:val="Acronym"/>
      </w:pPr>
      <w:r w:rsidRPr="000E1A59">
        <w:t>PARC</w:t>
      </w:r>
      <w:r w:rsidRPr="000E1A59">
        <w:tab/>
      </w:r>
      <w:r w:rsidR="00AE11B5">
        <w:t>P</w:t>
      </w:r>
      <w:r w:rsidRPr="000E1A59">
        <w:t xml:space="preserve">revention and </w:t>
      </w:r>
      <w:r w:rsidR="00AE11B5">
        <w:t>R</w:t>
      </w:r>
      <w:r w:rsidRPr="000E1A59">
        <w:t xml:space="preserve">ecovery </w:t>
      </w:r>
      <w:r w:rsidR="00AE11B5">
        <w:t>C</w:t>
      </w:r>
      <w:r w:rsidRPr="000E1A59">
        <w:t>are</w:t>
      </w:r>
    </w:p>
    <w:p w14:paraId="5992E9CD" w14:textId="77777777" w:rsidR="005B699B" w:rsidRPr="000E1A59" w:rsidRDefault="005B699B" w:rsidP="005B699B">
      <w:pPr>
        <w:pStyle w:val="Acronym"/>
      </w:pPr>
      <w:r w:rsidRPr="000E1A59">
        <w:t>PRNI</w:t>
      </w:r>
      <w:r w:rsidRPr="000E1A59">
        <w:tab/>
        <w:t xml:space="preserve">Privately Referred Non-Inpatient </w:t>
      </w:r>
    </w:p>
    <w:p w14:paraId="742035CF" w14:textId="77777777" w:rsidR="005B699B" w:rsidRDefault="005B699B" w:rsidP="005B699B">
      <w:pPr>
        <w:pStyle w:val="Acronym"/>
      </w:pPr>
      <w:r>
        <w:t>RUG-ADL</w:t>
      </w:r>
      <w:r>
        <w:tab/>
      </w:r>
      <w:r w:rsidRPr="00F0224F">
        <w:t>Resource Utilisation Groups – Activities of Daily Living</w:t>
      </w:r>
    </w:p>
    <w:p w14:paraId="5AFE8C1B" w14:textId="77777777" w:rsidR="005B699B" w:rsidRDefault="005B699B" w:rsidP="005B699B">
      <w:pPr>
        <w:pStyle w:val="Acronym"/>
      </w:pPr>
      <w:r w:rsidRPr="000E1A59">
        <w:t>STI</w:t>
      </w:r>
      <w:r w:rsidRPr="000E1A59">
        <w:tab/>
        <w:t>sexually transmissible infections</w:t>
      </w:r>
    </w:p>
    <w:p w14:paraId="7251D3A1" w14:textId="77777777" w:rsidR="005B699B" w:rsidRPr="002E3429" w:rsidRDefault="005B699B" w:rsidP="005B699B">
      <w:pPr>
        <w:pStyle w:val="Acronym"/>
      </w:pPr>
      <w:r w:rsidRPr="002E3429">
        <w:t>TAC</w:t>
      </w:r>
      <w:r>
        <w:tab/>
      </w:r>
      <w:r w:rsidRPr="002E3429">
        <w:t>Transport Accident Commission</w:t>
      </w:r>
    </w:p>
    <w:p w14:paraId="4830C6F1" w14:textId="77777777" w:rsidR="005B699B" w:rsidRPr="002E3429" w:rsidRDefault="005B699B" w:rsidP="005B699B">
      <w:pPr>
        <w:pStyle w:val="Acronym"/>
      </w:pPr>
      <w:r w:rsidRPr="000E1A59">
        <w:t>TCP</w:t>
      </w:r>
      <w:r w:rsidRPr="000E1A59">
        <w:tab/>
        <w:t>Transition Care Program</w:t>
      </w:r>
    </w:p>
    <w:p w14:paraId="124CE458" w14:textId="77777777" w:rsidR="005B699B" w:rsidRDefault="005B699B" w:rsidP="005B699B">
      <w:pPr>
        <w:pStyle w:val="Acronym"/>
      </w:pPr>
      <w:r>
        <w:t>Tier 2</w:t>
      </w:r>
      <w:r>
        <w:tab/>
        <w:t>n</w:t>
      </w:r>
      <w:r w:rsidRPr="000E1A59">
        <w:t>on-</w:t>
      </w:r>
      <w:r>
        <w:t>a</w:t>
      </w:r>
      <w:r w:rsidRPr="000E1A59">
        <w:t xml:space="preserve">dmitted </w:t>
      </w:r>
      <w:r>
        <w:t>s</w:t>
      </w:r>
      <w:r w:rsidRPr="000E1A59">
        <w:t xml:space="preserve">ervices </w:t>
      </w:r>
      <w:r>
        <w:t>c</w:t>
      </w:r>
      <w:r w:rsidRPr="000E1A59">
        <w:t>lassification</w:t>
      </w:r>
    </w:p>
    <w:p w14:paraId="2AE0C0D0" w14:textId="77777777" w:rsidR="005B699B" w:rsidRDefault="005B699B" w:rsidP="005B699B">
      <w:pPr>
        <w:pStyle w:val="Acronym"/>
      </w:pPr>
      <w:r w:rsidRPr="004B18E9">
        <w:t>UCC</w:t>
      </w:r>
      <w:r w:rsidRPr="004B18E9">
        <w:tab/>
        <w:t>ur</w:t>
      </w:r>
      <w:r w:rsidRPr="004B18E9">
        <w:rPr>
          <w:rFonts w:eastAsia="Arial" w:cs="Arial"/>
        </w:rPr>
        <w:t>gent care centre</w:t>
      </w:r>
    </w:p>
    <w:p w14:paraId="0B51B1EC" w14:textId="77777777" w:rsidR="005B699B" w:rsidRDefault="005B699B" w:rsidP="005B699B">
      <w:pPr>
        <w:pStyle w:val="Acronym"/>
      </w:pPr>
      <w:r>
        <w:t>UDG</w:t>
      </w:r>
      <w:r>
        <w:tab/>
        <w:t>Urgency Disposition Groups</w:t>
      </w:r>
    </w:p>
    <w:p w14:paraId="582373B7" w14:textId="77777777" w:rsidR="005B699B" w:rsidRPr="002E3429" w:rsidRDefault="005B699B" w:rsidP="005B699B">
      <w:pPr>
        <w:pStyle w:val="Acronym"/>
      </w:pPr>
      <w:r w:rsidRPr="002536F6">
        <w:t>VAED</w:t>
      </w:r>
      <w:r w:rsidRPr="002536F6">
        <w:tab/>
        <w:t>Victorian Admitted Episodes Dataset</w:t>
      </w:r>
    </w:p>
    <w:p w14:paraId="631B0A2C" w14:textId="77777777" w:rsidR="005B699B" w:rsidRPr="002E3429" w:rsidRDefault="005B699B" w:rsidP="005B699B">
      <w:pPr>
        <w:pStyle w:val="Acronym"/>
      </w:pPr>
      <w:r w:rsidRPr="002E3429">
        <w:t>VCDC</w:t>
      </w:r>
      <w:r>
        <w:tab/>
      </w:r>
      <w:r w:rsidRPr="002E3429">
        <w:t>Victorian Cost Data Collection</w:t>
      </w:r>
    </w:p>
    <w:p w14:paraId="1F6219E5" w14:textId="77777777" w:rsidR="005B699B" w:rsidRPr="002E3429" w:rsidRDefault="005B699B" w:rsidP="005B699B">
      <w:pPr>
        <w:pStyle w:val="Acronym"/>
      </w:pPr>
      <w:r w:rsidRPr="00D62151">
        <w:t>VEMD</w:t>
      </w:r>
      <w:r w:rsidRPr="00D62151">
        <w:tab/>
        <w:t>Emergency Minimum Dataset</w:t>
      </w:r>
    </w:p>
    <w:p w14:paraId="11882CDA" w14:textId="77777777" w:rsidR="005B699B" w:rsidRPr="002E3429" w:rsidRDefault="005B699B" w:rsidP="005B699B">
      <w:pPr>
        <w:pStyle w:val="Acronym"/>
      </w:pPr>
      <w:r>
        <w:t>VEP</w:t>
      </w:r>
      <w:r>
        <w:tab/>
      </w:r>
      <w:r w:rsidRPr="002E3429">
        <w:t xml:space="preserve">Victorian </w:t>
      </w:r>
      <w:r>
        <w:t>efficient price</w:t>
      </w:r>
    </w:p>
    <w:p w14:paraId="302D65B0" w14:textId="77777777" w:rsidR="005B699B" w:rsidRPr="002E3429" w:rsidRDefault="005B699B" w:rsidP="005B699B">
      <w:pPr>
        <w:pStyle w:val="Acronym"/>
      </w:pPr>
      <w:r w:rsidRPr="002E3429">
        <w:t>VINAH</w:t>
      </w:r>
      <w:r>
        <w:tab/>
      </w:r>
      <w:r w:rsidRPr="002E3429">
        <w:t>Victorian Integrated Non-Admitted Health</w:t>
      </w:r>
      <w:r>
        <w:t xml:space="preserve"> minimum dataset</w:t>
      </w:r>
    </w:p>
    <w:p w14:paraId="58A2D725" w14:textId="77777777" w:rsidR="005B699B" w:rsidRPr="002E3429" w:rsidRDefault="005B699B" w:rsidP="005B699B">
      <w:pPr>
        <w:pStyle w:val="Acronym"/>
      </w:pPr>
      <w:r w:rsidRPr="00CF7AAF">
        <w:t>VVED</w:t>
      </w:r>
      <w:r w:rsidRPr="00CF7AAF">
        <w:tab/>
        <w:t>Victorian Virtual Emergency Department</w:t>
      </w:r>
    </w:p>
    <w:p w14:paraId="7A2487D8" w14:textId="77777777" w:rsidR="005B699B" w:rsidRDefault="005B699B" w:rsidP="005B699B">
      <w:pPr>
        <w:pStyle w:val="Acronym"/>
      </w:pPr>
      <w:r w:rsidRPr="002E3429">
        <w:t>WAU</w:t>
      </w:r>
      <w:r>
        <w:tab/>
      </w:r>
      <w:r w:rsidRPr="002E3429">
        <w:t>weighted activity unit</w:t>
      </w:r>
    </w:p>
    <w:p w14:paraId="34004D85" w14:textId="667C6EC4" w:rsidR="00454A7D" w:rsidRPr="00CF0C4D" w:rsidRDefault="00454A7D" w:rsidP="00CF0C4D">
      <w:pPr>
        <w:pStyle w:val="Acronym"/>
      </w:pPr>
    </w:p>
    <w:p w14:paraId="600B3288" w14:textId="77777777" w:rsidR="007D262B" w:rsidRPr="00CF0C4D" w:rsidRDefault="007D262B">
      <w:pPr>
        <w:pStyle w:val="Acronym"/>
      </w:pPr>
    </w:p>
    <w:sectPr w:rsidR="007D262B" w:rsidRPr="00CF0C4D" w:rsidSect="00673624">
      <w:headerReference w:type="even" r:id="rId109"/>
      <w:headerReference w:type="default" r:id="rId110"/>
      <w:footerReference w:type="even" r:id="rId111"/>
      <w:footerReference w:type="default" r:id="rId112"/>
      <w:headerReference w:type="first" r:id="rId113"/>
      <w:footerReference w:type="first" r:id="rId114"/>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E7F9" w14:textId="77777777" w:rsidR="00B70C14" w:rsidRDefault="00B70C14">
      <w:r>
        <w:separator/>
      </w:r>
    </w:p>
    <w:p w14:paraId="62771A51" w14:textId="77777777" w:rsidR="00B70C14" w:rsidRDefault="00B70C14"/>
  </w:endnote>
  <w:endnote w:type="continuationSeparator" w:id="0">
    <w:p w14:paraId="4C2F1838" w14:textId="77777777" w:rsidR="00B70C14" w:rsidRDefault="00B70C14">
      <w:r>
        <w:continuationSeparator/>
      </w:r>
    </w:p>
    <w:p w14:paraId="45C103AB" w14:textId="77777777" w:rsidR="00B70C14" w:rsidRDefault="00B70C14"/>
  </w:endnote>
  <w:endnote w:type="continuationNotice" w:id="1">
    <w:p w14:paraId="31A9FF19" w14:textId="77777777" w:rsidR="00B70C14" w:rsidRDefault="00B70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porateSBQ-Regular">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7277" w14:textId="46348313" w:rsidR="00EB4BC7" w:rsidRDefault="00CE1ED7">
    <w:pPr>
      <w:pStyle w:val="Footer"/>
    </w:pPr>
    <w:r>
      <w:rPr>
        <w:noProof/>
      </w:rPr>
      <mc:AlternateContent>
        <mc:Choice Requires="wps">
          <w:drawing>
            <wp:anchor distT="0" distB="0" distL="0" distR="0" simplePos="0" relativeHeight="251660304" behindDoc="0" locked="0" layoutInCell="1" allowOverlap="1" wp14:anchorId="67954552" wp14:editId="69D0E658">
              <wp:simplePos x="635" y="635"/>
              <wp:positionH relativeFrom="page">
                <wp:align>center</wp:align>
              </wp:positionH>
              <wp:positionV relativeFrom="page">
                <wp:align>bottom</wp:align>
              </wp:positionV>
              <wp:extent cx="656590" cy="369570"/>
              <wp:effectExtent l="0" t="0" r="10160" b="0"/>
              <wp:wrapNone/>
              <wp:docPr id="9312971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045181" w14:textId="6AB7A058"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954552"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2045181" w14:textId="6AB7A058"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89BF" w14:textId="3142D7BE" w:rsidR="005B699B" w:rsidRDefault="00CE1ED7" w:rsidP="00785BA1">
    <w:pPr>
      <w:pStyle w:val="Footer"/>
    </w:pPr>
    <w:r>
      <w:rPr>
        <w:noProof/>
        <w:lang w:eastAsia="en-AU"/>
      </w:rPr>
      <mc:AlternateContent>
        <mc:Choice Requires="wps">
          <w:drawing>
            <wp:anchor distT="0" distB="0" distL="0" distR="0" simplePos="0" relativeHeight="251669520" behindDoc="0" locked="0" layoutInCell="1" allowOverlap="1" wp14:anchorId="6C5B70B5" wp14:editId="7BD30B5D">
              <wp:simplePos x="635" y="635"/>
              <wp:positionH relativeFrom="page">
                <wp:align>center</wp:align>
              </wp:positionH>
              <wp:positionV relativeFrom="page">
                <wp:align>bottom</wp:align>
              </wp:positionV>
              <wp:extent cx="656590" cy="369570"/>
              <wp:effectExtent l="0" t="0" r="10160" b="0"/>
              <wp:wrapNone/>
              <wp:docPr id="56954667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845F09F" w14:textId="3E2CE325"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B70B5" id="_x0000_t202" coordsize="21600,21600" o:spt="202" path="m,l,21600r21600,l21600,xe">
              <v:stroke joinstyle="miter"/>
              <v:path gradientshapeok="t" o:connecttype="rect"/>
            </v:shapetype>
            <v:shape id="Text Box 11" o:spid="_x0000_s1035" type="#_x0000_t202" alt="OFFICIAL" style="position:absolute;left:0;text-align:left;margin-left:0;margin-top:0;width:51.7pt;height:29.1pt;z-index:251669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845F09F" w14:textId="3E2CE325"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45" behindDoc="0" locked="0" layoutInCell="0" allowOverlap="1" wp14:anchorId="40E9248A" wp14:editId="4B2B9BF9">
              <wp:simplePos x="0" y="0"/>
              <wp:positionH relativeFrom="margin">
                <wp:posOffset>0</wp:posOffset>
              </wp:positionH>
              <wp:positionV relativeFrom="page">
                <wp:posOffset>7068820</wp:posOffset>
              </wp:positionV>
              <wp:extent cx="9569669" cy="190500"/>
              <wp:effectExtent l="0" t="0" r="0" b="0"/>
              <wp:wrapNone/>
              <wp:docPr id="25" name="Text Box 2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9569669"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D126D" w14:textId="77777777" w:rsidR="005B699B" w:rsidRPr="002C5B7C" w:rsidRDefault="005B699B" w:rsidP="00785B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9248A" id="Text Box 25" o:spid="_x0000_s1036" type="#_x0000_t202" alt="{&quot;HashCode&quot;:904758361,&quot;Height&quot;:841.0,&quot;Width&quot;:595.0,&quot;Placement&quot;:&quot;Footer&quot;,&quot;Index&quot;:&quot;OddAndEven&quot;,&quot;Section&quot;:3,&quot;Top&quot;:0.0,&quot;Left&quot;:0.0}" style="position:absolute;left:0;text-align:left;margin-left:0;margin-top:556.6pt;width:753.5pt;height: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" o:allowincell="f" filled="f" stroked="f" strokeweight=".5pt">
              <v:textbox inset=",0,,0">
                <w:txbxContent>
                  <w:p w14:paraId="35AD126D" w14:textId="77777777" w:rsidR="005B699B" w:rsidRPr="002C5B7C" w:rsidRDefault="005B699B" w:rsidP="00785BA1">
                    <w:pPr>
                      <w:spacing w:after="0"/>
                      <w:jc w:val="center"/>
                      <w:rPr>
                        <w:rFonts w:ascii="Arial Black" w:hAnsi="Arial Black"/>
                        <w:color w:val="000000"/>
                        <w:sz w:val="20"/>
                      </w:rPr>
                    </w:pPr>
                    <w:r>
                      <w:rPr>
                        <w:rFonts w:ascii="Arial Black" w:hAnsi="Arial Black"/>
                        <w:color w:val="000000"/>
                        <w:sz w:val="20"/>
                      </w:rPr>
                      <w:t>OFFICIAL</w:t>
                    </w:r>
                  </w:p>
                </w:txbxContent>
              </v:textbox>
              <w10:wrap anchorx="margin" anchory="page"/>
            </v:shape>
          </w:pict>
        </mc:Fallback>
      </mc:AlternateContent>
    </w:r>
    <w:r w:rsidR="005B699B">
      <w:rPr>
        <w:noProof/>
        <w:lang w:eastAsia="en-AU"/>
      </w:rPr>
      <mc:AlternateContent>
        <mc:Choice Requires="wps">
          <w:drawing>
            <wp:anchor distT="0" distB="0" distL="114300" distR="114300" simplePos="0" relativeHeight="251658243" behindDoc="0" locked="0" layoutInCell="0" allowOverlap="1" wp14:anchorId="630B7121" wp14:editId="48FFD861">
              <wp:simplePos x="0" y="0"/>
              <wp:positionH relativeFrom="page">
                <wp:align>right</wp:align>
              </wp:positionH>
              <wp:positionV relativeFrom="page">
                <wp:posOffset>10401300</wp:posOffset>
              </wp:positionV>
              <wp:extent cx="7560310" cy="190500"/>
              <wp:effectExtent l="0" t="0" r="0" b="0"/>
              <wp:wrapNone/>
              <wp:docPr id="12" name="Text Box 1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ECF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30B7121" id="Text Box 12" o:spid="_x0000_s1037" type="#_x0000_t202" alt="{&quot;HashCode&quot;:904758361,&quot;Height&quot;:841.0,&quot;Width&quot;:595.0,&quot;Placement&quot;:&quot;Footer&quot;,&quot;Index&quot;:&quot;OddAndEven&quot;,&quot;Section&quot;:3,&quot;Top&quot;:0.0,&quot;Left&quot;:0.0}" style="position:absolute;left:0;text-align:left;margin-left:544.1pt;margin-top:819pt;width:595.3pt;height:15pt;z-index:251658243;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" o:allowincell="f" filled="f" stroked="f" strokeweight=".5pt">
              <v:textbox inset=",0,,0">
                <w:txbxContent>
                  <w:p w14:paraId="22DECF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7E55" w14:textId="1E814490" w:rsidR="00CE1ED7" w:rsidRDefault="00CE1ED7">
    <w:pPr>
      <w:pStyle w:val="Footer"/>
    </w:pPr>
    <w:r>
      <w:rPr>
        <w:noProof/>
      </w:rPr>
      <mc:AlternateContent>
        <mc:Choice Requires="wps">
          <w:drawing>
            <wp:anchor distT="0" distB="0" distL="0" distR="0" simplePos="0" relativeHeight="251670544" behindDoc="0" locked="0" layoutInCell="1" allowOverlap="1" wp14:anchorId="6030144A" wp14:editId="4FEDBFDA">
              <wp:simplePos x="635" y="635"/>
              <wp:positionH relativeFrom="page">
                <wp:align>center</wp:align>
              </wp:positionH>
              <wp:positionV relativeFrom="page">
                <wp:align>bottom</wp:align>
              </wp:positionV>
              <wp:extent cx="656590" cy="369570"/>
              <wp:effectExtent l="0" t="0" r="10160" b="0"/>
              <wp:wrapNone/>
              <wp:docPr id="930751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9CB68D9" w14:textId="3B823E5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0144A" id="_x0000_t202" coordsize="21600,21600" o:spt="202" path="m,l,21600r21600,l21600,xe">
              <v:stroke joinstyle="miter"/>
              <v:path gradientshapeok="t" o:connecttype="rect"/>
            </v:shapetype>
            <v:shape id="_x0000_s1038" type="#_x0000_t202" alt="OFFICIAL" style="position:absolute;left:0;text-align:left;margin-left:0;margin-top:0;width:51.7pt;height:29.1pt;z-index:251670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9CB68D9" w14:textId="3B823E5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A116" w14:textId="38FF8AA3" w:rsidR="00CE1ED7" w:rsidRDefault="00CE1ED7">
    <w:pPr>
      <w:pStyle w:val="Footer"/>
    </w:pPr>
    <w:r>
      <w:rPr>
        <w:noProof/>
      </w:rPr>
      <mc:AlternateContent>
        <mc:Choice Requires="wps">
          <w:drawing>
            <wp:anchor distT="0" distB="0" distL="0" distR="0" simplePos="0" relativeHeight="251668496" behindDoc="0" locked="0" layoutInCell="1" allowOverlap="1" wp14:anchorId="3E765C9E" wp14:editId="5B5C239B">
              <wp:simplePos x="635" y="635"/>
              <wp:positionH relativeFrom="page">
                <wp:align>center</wp:align>
              </wp:positionH>
              <wp:positionV relativeFrom="page">
                <wp:align>bottom</wp:align>
              </wp:positionV>
              <wp:extent cx="656590" cy="369570"/>
              <wp:effectExtent l="0" t="0" r="10160" b="0"/>
              <wp:wrapNone/>
              <wp:docPr id="173006753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B9E3737" w14:textId="6FB90E06"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65C9E" id="_x0000_t202" coordsize="21600,21600" o:spt="202" path="m,l,21600r21600,l21600,xe">
              <v:stroke joinstyle="miter"/>
              <v:path gradientshapeok="t" o:connecttype="rect"/>
            </v:shapetype>
            <v:shape id="Text Box 10" o:spid="_x0000_s1039" type="#_x0000_t202" alt="OFFICIAL" style="position:absolute;left:0;text-align:left;margin-left:0;margin-top:0;width:51.7pt;height:29.1pt;z-index:251668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3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OrNz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B9E3737" w14:textId="6FB90E06"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813B" w14:textId="2A430A68" w:rsidR="00CE1ED7" w:rsidRDefault="00CE1ED7">
    <w:pPr>
      <w:pStyle w:val="Footer"/>
    </w:pPr>
    <w:r>
      <w:rPr>
        <w:noProof/>
      </w:rPr>
      <mc:AlternateContent>
        <mc:Choice Requires="wps">
          <w:drawing>
            <wp:anchor distT="0" distB="0" distL="0" distR="0" simplePos="0" relativeHeight="251672592" behindDoc="0" locked="0" layoutInCell="1" allowOverlap="1" wp14:anchorId="68F2FA51" wp14:editId="20776180">
              <wp:simplePos x="635" y="635"/>
              <wp:positionH relativeFrom="page">
                <wp:align>center</wp:align>
              </wp:positionH>
              <wp:positionV relativeFrom="page">
                <wp:align>bottom</wp:align>
              </wp:positionV>
              <wp:extent cx="656590" cy="369570"/>
              <wp:effectExtent l="0" t="0" r="10160" b="0"/>
              <wp:wrapNone/>
              <wp:docPr id="153399064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1085CA5" w14:textId="78D706D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2FA51" id="_x0000_t202" coordsize="21600,21600" o:spt="202" path="m,l,21600r21600,l21600,xe">
              <v:stroke joinstyle="miter"/>
              <v:path gradientshapeok="t" o:connecttype="rect"/>
            </v:shapetype>
            <v:shape id="Text Box 14" o:spid="_x0000_s1040" type="#_x0000_t202" alt="OFFICIAL" style="position:absolute;left:0;text-align:left;margin-left:0;margin-top:0;width:51.7pt;height:29.1pt;z-index:251672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1085CA5" w14:textId="78D706D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051C" w14:textId="0847675F" w:rsidR="00CE1ED7" w:rsidRDefault="00CE1ED7">
    <w:pPr>
      <w:pStyle w:val="Footer"/>
    </w:pPr>
    <w:r>
      <w:rPr>
        <w:noProof/>
      </w:rPr>
      <mc:AlternateContent>
        <mc:Choice Requires="wps">
          <w:drawing>
            <wp:anchor distT="0" distB="0" distL="0" distR="0" simplePos="0" relativeHeight="251673616" behindDoc="0" locked="0" layoutInCell="1" allowOverlap="1" wp14:anchorId="365564E1" wp14:editId="42B5A891">
              <wp:simplePos x="635" y="635"/>
              <wp:positionH relativeFrom="page">
                <wp:align>center</wp:align>
              </wp:positionH>
              <wp:positionV relativeFrom="page">
                <wp:align>bottom</wp:align>
              </wp:positionV>
              <wp:extent cx="656590" cy="369570"/>
              <wp:effectExtent l="0" t="0" r="10160" b="0"/>
              <wp:wrapNone/>
              <wp:docPr id="1795956754"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2CE054F" w14:textId="54AE6EF5"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564E1" id="_x0000_t202" coordsize="21600,21600" o:spt="202" path="m,l,21600r21600,l21600,xe">
              <v:stroke joinstyle="miter"/>
              <v:path gradientshapeok="t" o:connecttype="rect"/>
            </v:shapetype>
            <v:shape id="Text Box 15" o:spid="_x0000_s1041" type="#_x0000_t202" alt="OFFICIAL" style="position:absolute;left:0;text-align:left;margin-left:0;margin-top:0;width:51.7pt;height:29.1pt;z-index:251673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2mliQ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2CE054F" w14:textId="54AE6EF5"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DEB7" w14:textId="1D3F2933" w:rsidR="00CE1ED7" w:rsidRDefault="00CE1ED7">
    <w:pPr>
      <w:pStyle w:val="Footer"/>
    </w:pPr>
    <w:r>
      <w:rPr>
        <w:noProof/>
      </w:rPr>
      <mc:AlternateContent>
        <mc:Choice Requires="wps">
          <w:drawing>
            <wp:anchor distT="0" distB="0" distL="0" distR="0" simplePos="0" relativeHeight="251671568" behindDoc="0" locked="0" layoutInCell="1" allowOverlap="1" wp14:anchorId="1B1C385C" wp14:editId="70F561A9">
              <wp:simplePos x="635" y="635"/>
              <wp:positionH relativeFrom="page">
                <wp:align>center</wp:align>
              </wp:positionH>
              <wp:positionV relativeFrom="page">
                <wp:align>bottom</wp:align>
              </wp:positionV>
              <wp:extent cx="656590" cy="369570"/>
              <wp:effectExtent l="0" t="0" r="10160" b="0"/>
              <wp:wrapNone/>
              <wp:docPr id="8207701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BAC80C" w14:textId="3C995AA3"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C385C" id="_x0000_t202" coordsize="21600,21600" o:spt="202" path="m,l,21600r21600,l21600,xe">
              <v:stroke joinstyle="miter"/>
              <v:path gradientshapeok="t" o:connecttype="rect"/>
            </v:shapetype>
            <v:shape id="Text Box 13" o:spid="_x0000_s1042" type="#_x0000_t202" alt="OFFICIAL" style="position:absolute;left:0;text-align:left;margin-left:0;margin-top:0;width:51.7pt;height:29.1pt;z-index:251671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F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6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bai1BQ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74BAC80C" w14:textId="3C995AA3"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5BD6" w14:textId="1D5E945E" w:rsidR="00CE1ED7" w:rsidRDefault="00CE1ED7">
    <w:pPr>
      <w:pStyle w:val="Footer"/>
    </w:pPr>
    <w:r>
      <w:rPr>
        <w:noProof/>
      </w:rPr>
      <mc:AlternateContent>
        <mc:Choice Requires="wps">
          <w:drawing>
            <wp:anchor distT="0" distB="0" distL="0" distR="0" simplePos="0" relativeHeight="251675664" behindDoc="0" locked="0" layoutInCell="1" allowOverlap="1" wp14:anchorId="506EA2E7" wp14:editId="3E60FF5B">
              <wp:simplePos x="635" y="635"/>
              <wp:positionH relativeFrom="page">
                <wp:align>center</wp:align>
              </wp:positionH>
              <wp:positionV relativeFrom="page">
                <wp:align>bottom</wp:align>
              </wp:positionV>
              <wp:extent cx="656590" cy="369570"/>
              <wp:effectExtent l="0" t="0" r="10160" b="0"/>
              <wp:wrapNone/>
              <wp:docPr id="132883234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83F950" w14:textId="24003B1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6EA2E7" id="_x0000_t202" coordsize="21600,21600" o:spt="202" path="m,l,21600r21600,l21600,xe">
              <v:stroke joinstyle="miter"/>
              <v:path gradientshapeok="t" o:connecttype="rect"/>
            </v:shapetype>
            <v:shape id="Text Box 17" o:spid="_x0000_s1043" type="#_x0000_t202" alt="OFFICIAL" style="position:absolute;left:0;text-align:left;margin-left:0;margin-top:0;width:51.7pt;height:29.1pt;z-index:251675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c4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BcHOA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A83F950" w14:textId="24003B1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29C5" w14:textId="5B4A7EF2" w:rsidR="00CE1ED7" w:rsidRDefault="00CE1ED7">
    <w:pPr>
      <w:pStyle w:val="Footer"/>
    </w:pPr>
    <w:r>
      <w:rPr>
        <w:noProof/>
      </w:rPr>
      <mc:AlternateContent>
        <mc:Choice Requires="wps">
          <w:drawing>
            <wp:anchor distT="0" distB="0" distL="0" distR="0" simplePos="0" relativeHeight="251676688" behindDoc="0" locked="0" layoutInCell="1" allowOverlap="1" wp14:anchorId="53F4DF7B" wp14:editId="376E16B9">
              <wp:simplePos x="635" y="635"/>
              <wp:positionH relativeFrom="page">
                <wp:align>center</wp:align>
              </wp:positionH>
              <wp:positionV relativeFrom="page">
                <wp:align>bottom</wp:align>
              </wp:positionV>
              <wp:extent cx="656590" cy="369570"/>
              <wp:effectExtent l="0" t="0" r="10160" b="0"/>
              <wp:wrapNone/>
              <wp:docPr id="190816369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3F99AD0" w14:textId="29B4F23C"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4DF7B" id="_x0000_t202" coordsize="21600,21600" o:spt="202" path="m,l,21600r21600,l21600,xe">
              <v:stroke joinstyle="miter"/>
              <v:path gradientshapeok="t" o:connecttype="rect"/>
            </v:shapetype>
            <v:shape id="Text Box 18" o:spid="_x0000_s1044" type="#_x0000_t202" alt="OFFICIAL" style="position:absolute;left:0;text-align:left;margin-left:0;margin-top:0;width:51.7pt;height:29.1pt;z-index:251676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Ktb+v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53F99AD0" w14:textId="29B4F23C"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E221" w14:textId="609FDFA7" w:rsidR="00CE1ED7" w:rsidRDefault="00CE1ED7">
    <w:pPr>
      <w:pStyle w:val="Footer"/>
    </w:pPr>
    <w:r>
      <w:rPr>
        <w:noProof/>
      </w:rPr>
      <mc:AlternateContent>
        <mc:Choice Requires="wps">
          <w:drawing>
            <wp:anchor distT="0" distB="0" distL="0" distR="0" simplePos="0" relativeHeight="251674640" behindDoc="0" locked="0" layoutInCell="1" allowOverlap="1" wp14:anchorId="7053E96C" wp14:editId="54F91D1F">
              <wp:simplePos x="635" y="635"/>
              <wp:positionH relativeFrom="page">
                <wp:align>center</wp:align>
              </wp:positionH>
              <wp:positionV relativeFrom="page">
                <wp:align>bottom</wp:align>
              </wp:positionV>
              <wp:extent cx="656590" cy="369570"/>
              <wp:effectExtent l="0" t="0" r="10160" b="0"/>
              <wp:wrapNone/>
              <wp:docPr id="33172162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43DD08" w14:textId="708339D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3E96C" id="_x0000_t202" coordsize="21600,21600" o:spt="202" path="m,l,21600r21600,l21600,xe">
              <v:stroke joinstyle="miter"/>
              <v:path gradientshapeok="t" o:connecttype="rect"/>
            </v:shapetype>
            <v:shape id="Text Box 16" o:spid="_x0000_s1045" type="#_x0000_t202" alt="OFFICIAL" style="position:absolute;left:0;text-align:left;margin-left:0;margin-top:0;width:51.7pt;height:29.1pt;z-index:251674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yD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2lMg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3243DD08" w14:textId="708339D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9FE1" w14:textId="4668B261" w:rsidR="005B699B" w:rsidRDefault="00CE1ED7" w:rsidP="00785BA1">
    <w:pPr>
      <w:pStyle w:val="Footer"/>
    </w:pPr>
    <w:r>
      <w:rPr>
        <w:noProof/>
        <w:lang w:eastAsia="en-AU"/>
      </w:rPr>
      <mc:AlternateContent>
        <mc:Choice Requires="wps">
          <w:drawing>
            <wp:anchor distT="0" distB="0" distL="0" distR="0" simplePos="0" relativeHeight="251678736" behindDoc="0" locked="0" layoutInCell="1" allowOverlap="1" wp14:anchorId="39901492" wp14:editId="0B32201D">
              <wp:simplePos x="635" y="635"/>
              <wp:positionH relativeFrom="page">
                <wp:align>center</wp:align>
              </wp:positionH>
              <wp:positionV relativeFrom="page">
                <wp:align>bottom</wp:align>
              </wp:positionV>
              <wp:extent cx="656590" cy="369570"/>
              <wp:effectExtent l="0" t="0" r="10160" b="0"/>
              <wp:wrapNone/>
              <wp:docPr id="184715228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1807146" w14:textId="378628ED"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01492" id="_x0000_t202" coordsize="21600,21600" o:spt="202" path="m,l,21600r21600,l21600,xe">
              <v:stroke joinstyle="miter"/>
              <v:path gradientshapeok="t" o:connecttype="rect"/>
            </v:shapetype>
            <v:shape id="Text Box 20" o:spid="_x0000_s1046" type="#_x0000_t202" alt="OFFICIAL" style="position:absolute;left:0;text-align:left;margin-left:0;margin-top:0;width:51.7pt;height:29.1pt;z-index:251678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ndDQIAAB0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JIaR9cOqhNthXAm3Du5bqj3RvjwLJAYpnFJ&#10;teGJDt1CV3K4WJzVgD/+5o/5BDxFOetIMSW3JGnO2m+WCIniGgwcjF0yxvN8mlPcHsw9kA7H9CSc&#10;TCZ5MbSDqRHMK+l5FRtRSFhJ7Uq+G8z7cJYuvQepVquURDpyImzs1slYOuIVwXzpXwW6C+KBqHqE&#10;QU6ieAP8OTfe9G51CAR/YuUG5AVy0mAi6/Jeosh//U9Zt1e9/Ak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O3aWd0NAgAAHQQA&#10;AA4AAAAAAAAAAAAAAAAALgIAAGRycy9lMm9Eb2MueG1sUEsBAi0AFAAGAAgAAAAhAOsbVRTaAAAA&#10;BAEAAA8AAAAAAAAAAAAAAAAAZwQAAGRycy9kb3ducmV2LnhtbFBLBQYAAAAABAAEAPMAAABuBQAA&#10;AAA=&#10;" filled="f" stroked="f">
              <v:fill o:detectmouseclick="t"/>
              <v:textbox style="mso-fit-shape-to-text:t" inset="0,0,0,15pt">
                <w:txbxContent>
                  <w:p w14:paraId="01807146" w14:textId="378628ED"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53" behindDoc="0" locked="0" layoutInCell="0" allowOverlap="1" wp14:anchorId="1A1CCF77" wp14:editId="5E4FD3FB">
              <wp:simplePos x="0" y="0"/>
              <wp:positionH relativeFrom="page">
                <wp:posOffset>0</wp:posOffset>
              </wp:positionH>
              <wp:positionV relativeFrom="page">
                <wp:posOffset>10202342</wp:posOffset>
              </wp:positionV>
              <wp:extent cx="7560310" cy="190500"/>
              <wp:effectExtent l="0" t="0" r="0" b="0"/>
              <wp:wrapNone/>
              <wp:docPr id="14" name="Text Box 1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85ACA"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A1CCF77" id="_x0000_s1047" type="#_x0000_t202" alt="{&quot;HashCode&quot;:904758361,&quot;Height&quot;:841.0,&quot;Width&quot;:595.0,&quot;Placement&quot;:&quot;Footer&quot;,&quot;Index&quot;:&quot;OddAndEven&quot;,&quot;Section&quot;:3,&quot;Top&quot;:0.0,&quot;Left&quot;:0.0}" style="position:absolute;left:0;text-align:left;margin-left:0;margin-top:803.35pt;width:595.3pt;height:15pt;z-index:25165825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" o:allowincell="f" filled="f" stroked="f" strokeweight=".5pt">
              <v:textbox inset=",0,,0">
                <w:txbxContent>
                  <w:p w14:paraId="38A85ACA"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B219" w14:textId="3C89F230" w:rsidR="00431A70" w:rsidRDefault="00CE1ED7">
    <w:pPr>
      <w:pStyle w:val="Footer"/>
    </w:pPr>
    <w:r>
      <w:rPr>
        <w:noProof/>
      </w:rPr>
      <mc:AlternateContent>
        <mc:Choice Requires="wps">
          <w:drawing>
            <wp:anchor distT="0" distB="0" distL="0" distR="0" simplePos="0" relativeHeight="251661328" behindDoc="0" locked="0" layoutInCell="1" allowOverlap="1" wp14:anchorId="131CE89E" wp14:editId="5A639433">
              <wp:simplePos x="828675" y="9820275"/>
              <wp:positionH relativeFrom="page">
                <wp:align>center</wp:align>
              </wp:positionH>
              <wp:positionV relativeFrom="page">
                <wp:align>bottom</wp:align>
              </wp:positionV>
              <wp:extent cx="656590" cy="369570"/>
              <wp:effectExtent l="0" t="0" r="10160" b="0"/>
              <wp:wrapNone/>
              <wp:docPr id="17250541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F23A519" w14:textId="25818BB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CE89E"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4F23A519" w14:textId="25818BB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72C6" w14:textId="2526F393" w:rsidR="005B699B" w:rsidRDefault="00CE1ED7">
    <w:pPr>
      <w:pStyle w:val="Footer"/>
    </w:pPr>
    <w:r>
      <w:rPr>
        <w:noProof/>
        <w:lang w:eastAsia="en-AU"/>
      </w:rPr>
      <mc:AlternateContent>
        <mc:Choice Requires="wps">
          <w:drawing>
            <wp:anchor distT="0" distB="0" distL="0" distR="0" simplePos="0" relativeHeight="251679760" behindDoc="0" locked="0" layoutInCell="1" allowOverlap="1" wp14:anchorId="625B0313" wp14:editId="7E8D335E">
              <wp:simplePos x="635" y="635"/>
              <wp:positionH relativeFrom="page">
                <wp:align>center</wp:align>
              </wp:positionH>
              <wp:positionV relativeFrom="page">
                <wp:align>bottom</wp:align>
              </wp:positionV>
              <wp:extent cx="656590" cy="369570"/>
              <wp:effectExtent l="0" t="0" r="10160" b="0"/>
              <wp:wrapNone/>
              <wp:docPr id="164469767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8A4103E" w14:textId="390FD44B"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B0313" id="_x0000_t202" coordsize="21600,21600" o:spt="202" path="m,l,21600r21600,l21600,xe">
              <v:stroke joinstyle="miter"/>
              <v:path gradientshapeok="t" o:connecttype="rect"/>
            </v:shapetype>
            <v:shape id="Text Box 21" o:spid="_x0000_s1048" type="#_x0000_t202" alt="OFFICIAL" style="position:absolute;left:0;text-align:left;margin-left:0;margin-top:0;width:51.7pt;height:29.1pt;z-index:251679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ymDwIAAB0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IZxt9BdaKtEM6EeyfXDfXeCB+eBRLDNC6p&#10;NjzRoVvoSg4Xi7Ma8Mff/DGfgKcoZx0ppuSWJM1Z+80SIVFcg4GDsUvGeJ5Pc4rbg7kH0uGYnoST&#10;ySQvhnYwNYJ5JT2vYiMKCSupXcl3g3kfztKl9yDVapWSSEdOhI3dOhlLR7wimC/9q0B3QTwQVY8w&#10;yEkUb4A/58ab3q0OgeBPrERsz0BeICcNJrIu7yWK/Nf/lHV71cuf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N6Q8p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8A4103E" w14:textId="390FD44B"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54" behindDoc="0" locked="0" layoutInCell="0" allowOverlap="1" wp14:anchorId="37843686" wp14:editId="56305503">
              <wp:simplePos x="0" y="0"/>
              <wp:positionH relativeFrom="page">
                <wp:posOffset>1422</wp:posOffset>
              </wp:positionH>
              <wp:positionV relativeFrom="page">
                <wp:posOffset>10156444</wp:posOffset>
              </wp:positionV>
              <wp:extent cx="7560310" cy="190500"/>
              <wp:effectExtent l="0" t="0" r="0" b="0"/>
              <wp:wrapNone/>
              <wp:docPr id="8" name="Text Box 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DE1B1"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7843686" id="_x0000_s1049" type="#_x0000_t202" alt="{&quot;HashCode&quot;:904758361,&quot;Height&quot;:841.0,&quot;Width&quot;:595.0,&quot;Placement&quot;:&quot;Footer&quot;,&quot;Index&quot;:&quot;OddAndEven&quot;,&quot;Section&quot;:3,&quot;Top&quot;:0.0,&quot;Left&quot;:0.0}" style="position:absolute;left:0;text-align:left;margin-left:.1pt;margin-top:799.7pt;width:595.3pt;height:15pt;z-index:25165825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" o:allowincell="f" filled="f" stroked="f" strokeweight=".5pt">
              <v:textbox inset=",0,,0">
                <w:txbxContent>
                  <w:p w14:paraId="4ADDE1B1"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BE0B" w14:textId="3AA56307" w:rsidR="00CE1ED7" w:rsidRDefault="00CE1ED7">
    <w:pPr>
      <w:pStyle w:val="Footer"/>
    </w:pPr>
    <w:r>
      <w:rPr>
        <w:noProof/>
      </w:rPr>
      <mc:AlternateContent>
        <mc:Choice Requires="wps">
          <w:drawing>
            <wp:anchor distT="0" distB="0" distL="0" distR="0" simplePos="0" relativeHeight="251677712" behindDoc="0" locked="0" layoutInCell="1" allowOverlap="1" wp14:anchorId="75D4E253" wp14:editId="29DC8EBF">
              <wp:simplePos x="635" y="635"/>
              <wp:positionH relativeFrom="page">
                <wp:align>center</wp:align>
              </wp:positionH>
              <wp:positionV relativeFrom="page">
                <wp:align>bottom</wp:align>
              </wp:positionV>
              <wp:extent cx="656590" cy="369570"/>
              <wp:effectExtent l="0" t="0" r="10160" b="0"/>
              <wp:wrapNone/>
              <wp:docPr id="1542967115"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9BCCBE6" w14:textId="3AE7170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D4E253" id="_x0000_t202" coordsize="21600,21600" o:spt="202" path="m,l,21600r21600,l21600,xe">
              <v:stroke joinstyle="miter"/>
              <v:path gradientshapeok="t" o:connecttype="rect"/>
            </v:shapetype>
            <v:shape id="Text Box 19" o:spid="_x0000_s1050" type="#_x0000_t202" alt="OFFICIAL" style="position:absolute;left:0;text-align:left;margin-left:0;margin-top:0;width:51.7pt;height:29.1pt;z-index:251677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" filled="f" stroked="f">
              <v:fill o:detectmouseclick="t"/>
              <v:textbox style="mso-fit-shape-to-text:t" inset="0,0,0,15pt">
                <w:txbxContent>
                  <w:p w14:paraId="59BCCBE6" w14:textId="3AE7170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7082" w14:textId="7BD0ECA6" w:rsidR="005B699B" w:rsidRDefault="00CE1ED7" w:rsidP="00785BA1">
    <w:pPr>
      <w:pStyle w:val="Footer"/>
    </w:pPr>
    <w:r>
      <w:rPr>
        <w:noProof/>
        <w:lang w:eastAsia="en-AU"/>
      </w:rPr>
      <mc:AlternateContent>
        <mc:Choice Requires="wps">
          <w:drawing>
            <wp:anchor distT="0" distB="0" distL="0" distR="0" simplePos="0" relativeHeight="251681808" behindDoc="0" locked="0" layoutInCell="1" allowOverlap="1" wp14:anchorId="19138FEC" wp14:editId="3EC350FF">
              <wp:simplePos x="635" y="635"/>
              <wp:positionH relativeFrom="page">
                <wp:align>center</wp:align>
              </wp:positionH>
              <wp:positionV relativeFrom="page">
                <wp:align>bottom</wp:align>
              </wp:positionV>
              <wp:extent cx="656590" cy="369570"/>
              <wp:effectExtent l="0" t="0" r="10160" b="0"/>
              <wp:wrapNone/>
              <wp:docPr id="112975915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12CA1F8" w14:textId="284E5D1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38FEC" id="_x0000_t202" coordsize="21600,21600" o:spt="202" path="m,l,21600r21600,l21600,xe">
              <v:stroke joinstyle="miter"/>
              <v:path gradientshapeok="t" o:connecttype="rect"/>
            </v:shapetype>
            <v:shape id="Text Box 23" o:spid="_x0000_s1051" type="#_x0000_t202" alt="OFFICIAL" style="position:absolute;left:0;text-align:left;margin-left:0;margin-top:0;width:51.7pt;height:29.1pt;z-index:25168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EWDwIAAB0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Idxt9BdaKtEM6EeyfXDfXeCB+eBRLDNC6p&#10;NjzRoVvoSg4Xi7Ma8Mff/DGfgKcoZx0ppuSWJM1Z+80SIVFcg4GDsUvGeJ5Pc4rbg7kH0uGYnoST&#10;ySQvhnYwNYJ5JT2vYiMKCSupXcl3g3kfztKl9yDVapWSSEdOhI3dOhlLR7wimC/9q0B3QTwQVY8w&#10;yEkUb4A/58ab3q0OgeBPrERsz0BeICcNJrIu7yWK/Nf/lHV71cuf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NJghF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12CA1F8" w14:textId="284E5D1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55" behindDoc="0" locked="0" layoutInCell="0" allowOverlap="1" wp14:anchorId="5725CFD5" wp14:editId="60A2F405">
              <wp:simplePos x="0" y="0"/>
              <wp:positionH relativeFrom="page">
                <wp:posOffset>1513325</wp:posOffset>
              </wp:positionH>
              <wp:positionV relativeFrom="page">
                <wp:posOffset>7197402</wp:posOffset>
              </wp:positionV>
              <wp:extent cx="7560310" cy="190500"/>
              <wp:effectExtent l="0" t="0" r="0" b="0"/>
              <wp:wrapNone/>
              <wp:docPr id="16" name="Text Box 1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0F398"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725CFD5" id="_x0000_s1052" type="#_x0000_t202" alt="{&quot;HashCode&quot;:904758361,&quot;Height&quot;:841.0,&quot;Width&quot;:595.0,&quot;Placement&quot;:&quot;Footer&quot;,&quot;Index&quot;:&quot;OddAndEven&quot;,&quot;Section&quot;:3,&quot;Top&quot;:0.0,&quot;Left&quot;:0.0}" style="position:absolute;left:0;text-align:left;margin-left:119.15pt;margin-top:566.7pt;width:595.3pt;height:15pt;z-index:25165825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" o:allowincell="f" filled="f" stroked="f" strokeweight=".5pt">
              <v:textbox inset=",0,,0">
                <w:txbxContent>
                  <w:p w14:paraId="4800F398"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56" behindDoc="0" locked="0" layoutInCell="0" allowOverlap="1" wp14:anchorId="66785541" wp14:editId="316B9EF7">
              <wp:simplePos x="0" y="0"/>
              <wp:positionH relativeFrom="margin">
                <wp:align>center</wp:align>
              </wp:positionH>
              <wp:positionV relativeFrom="page">
                <wp:posOffset>10391775</wp:posOffset>
              </wp:positionV>
              <wp:extent cx="2762250" cy="266700"/>
              <wp:effectExtent l="0" t="0" r="0" b="0"/>
              <wp:wrapNone/>
              <wp:docPr id="9" name="Text Box 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B60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5541" id="_x0000_s1053" type="#_x0000_t202" alt="{&quot;HashCode&quot;:904758361,&quot;Height&quot;:841.0,&quot;Width&quot;:595.0,&quot;Placement&quot;:&quot;Footer&quot;,&quot;Index&quot;:&quot;OddAndEven&quot;,&quot;Section&quot;:3,&quot;Top&quot;:0.0,&quot;Left&quot;:0.0}" style="position:absolute;left:0;text-align:left;margin-left:0;margin-top:818.25pt;width:217.5pt;height:21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" o:allowincell="f" filled="f" stroked="f" strokeweight=".5pt">
              <v:textbox inset=",0,,0">
                <w:txbxContent>
                  <w:p w14:paraId="496B60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C3F" w14:textId="3BF9C889" w:rsidR="005B699B" w:rsidRPr="0031305A" w:rsidRDefault="00CE1ED7" w:rsidP="00785BA1">
    <w:pPr>
      <w:pStyle w:val="Header"/>
      <w:spacing w:after="0"/>
      <w:rPr>
        <w:b w:val="0"/>
        <w:bCs/>
        <w:color w:val="auto"/>
      </w:rPr>
    </w:pPr>
    <w:r>
      <w:rPr>
        <w:noProof/>
        <w:lang w:eastAsia="en-AU"/>
      </w:rPr>
      <mc:AlternateContent>
        <mc:Choice Requires="wps">
          <w:drawing>
            <wp:anchor distT="0" distB="0" distL="0" distR="0" simplePos="0" relativeHeight="251682832" behindDoc="0" locked="0" layoutInCell="1" allowOverlap="1" wp14:anchorId="788EF5E6" wp14:editId="20A9C501">
              <wp:simplePos x="635" y="635"/>
              <wp:positionH relativeFrom="page">
                <wp:align>center</wp:align>
              </wp:positionH>
              <wp:positionV relativeFrom="page">
                <wp:align>bottom</wp:align>
              </wp:positionV>
              <wp:extent cx="656590" cy="369570"/>
              <wp:effectExtent l="0" t="0" r="10160" b="0"/>
              <wp:wrapNone/>
              <wp:docPr id="109667122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8AAC631" w14:textId="5A8212E7"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EF5E6" id="_x0000_t202" coordsize="21600,21600" o:spt="202" path="m,l,21600r21600,l21600,xe">
              <v:stroke joinstyle="miter"/>
              <v:path gradientshapeok="t" o:connecttype="rect"/>
            </v:shapetype>
            <v:shape id="Text Box 24" o:spid="_x0000_s1054" type="#_x0000_t202" alt="OFFICIAL" style="position:absolute;margin-left:0;margin-top:0;width:51.7pt;height:29.1pt;z-index:25168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xCe96w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8AAC631" w14:textId="5A8212E7"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41" behindDoc="0" locked="0" layoutInCell="0" allowOverlap="1" wp14:anchorId="55415D89" wp14:editId="459E3170">
              <wp:simplePos x="0" y="0"/>
              <wp:positionH relativeFrom="page">
                <wp:posOffset>-5080</wp:posOffset>
              </wp:positionH>
              <wp:positionV relativeFrom="page">
                <wp:posOffset>7107484</wp:posOffset>
              </wp:positionV>
              <wp:extent cx="10668000" cy="190500"/>
              <wp:effectExtent l="0" t="0" r="0" b="0"/>
              <wp:wrapNone/>
              <wp:docPr id="2138593755" name="Text Box 213859375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0E703" w14:textId="2DBC1771" w:rsidR="007C3EDF" w:rsidRPr="002C5B7C" w:rsidRDefault="007C3EDF" w:rsidP="007C3ED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D89" id="Text Box 2138593755" o:spid="_x0000_s1055" type="#_x0000_t202" alt="{&quot;HashCode&quot;:904758361,&quot;Height&quot;:841.0,&quot;Width&quot;:595.0,&quot;Placement&quot;:&quot;Footer&quot;,&quot;Index&quot;:&quot;OddAndEven&quot;,&quot;Section&quot;:3,&quot;Top&quot;:0.0,&quot;Left&quot;:0.0}" style="position:absolute;margin-left:-.4pt;margin-top:559.65pt;width:840pt;height: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" o:allowincell="f" filled="f" stroked="f" strokeweight=".5pt">
              <v:textbox inset=",0,,0">
                <w:txbxContent>
                  <w:p w14:paraId="5150E703" w14:textId="2DBC1771" w:rsidR="007C3EDF" w:rsidRPr="002C5B7C" w:rsidRDefault="007C3EDF" w:rsidP="007C3EDF">
                    <w:pPr>
                      <w:spacing w:after="0"/>
                      <w:jc w:val="center"/>
                      <w:rPr>
                        <w:rFonts w:ascii="Arial Black" w:hAnsi="Arial Black"/>
                        <w:color w:val="000000"/>
                        <w:sz w:val="20"/>
                      </w:rPr>
                    </w:pP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42" behindDoc="0" locked="0" layoutInCell="0" allowOverlap="1" wp14:anchorId="4494C9B4" wp14:editId="1B0AE831">
              <wp:simplePos x="0" y="0"/>
              <wp:positionH relativeFrom="page">
                <wp:posOffset>-4166</wp:posOffset>
              </wp:positionH>
              <wp:positionV relativeFrom="page">
                <wp:posOffset>10236302</wp:posOffset>
              </wp:positionV>
              <wp:extent cx="7560310" cy="190500"/>
              <wp:effectExtent l="0" t="0" r="0" b="0"/>
              <wp:wrapNone/>
              <wp:docPr id="557721828" name="Text Box 55772182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F05D4"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4494C9B4" id="Text Box 557721828" o:spid="_x0000_s1056" type="#_x0000_t202" alt="{&quot;HashCode&quot;:904758361,&quot;Height&quot;:841.0,&quot;Width&quot;:595.0,&quot;Placement&quot;:&quot;Footer&quot;,&quot;Index&quot;:&quot;OddAndEven&quot;,&quot;Section&quot;:3,&quot;Top&quot;:0.0,&quot;Left&quot;:0.0}" style="position:absolute;margin-left:-.35pt;margin-top:806pt;width:595.3pt;height:1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" o:allowincell="f" filled="f" stroked="f" strokeweight=".5pt">
              <v:textbox inset=",0,,0">
                <w:txbxContent>
                  <w:p w14:paraId="597F05D4"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40" behindDoc="0" locked="0" layoutInCell="0" allowOverlap="1" wp14:anchorId="1A363E17" wp14:editId="762BDCB9">
              <wp:simplePos x="0" y="0"/>
              <wp:positionH relativeFrom="page">
                <wp:posOffset>-4166</wp:posOffset>
              </wp:positionH>
              <wp:positionV relativeFrom="page">
                <wp:posOffset>10236302</wp:posOffset>
              </wp:positionV>
              <wp:extent cx="7560310" cy="190500"/>
              <wp:effectExtent l="0" t="0" r="0" b="0"/>
              <wp:wrapNone/>
              <wp:docPr id="13" name="Text Box 1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A2C35"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A363E17" id="_x0000_s1057" type="#_x0000_t202" alt="{&quot;HashCode&quot;:904758361,&quot;Height&quot;:841.0,&quot;Width&quot;:595.0,&quot;Placement&quot;:&quot;Footer&quot;,&quot;Index&quot;:&quot;OddAndEven&quot;,&quot;Section&quot;:3,&quot;Top&quot;:0.0,&quot;Left&quot;:0.0}" style="position:absolute;margin-left:-.35pt;margin-top:806pt;width:595.3pt;height:1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" o:allowincell="f" filled="f" stroked="f" strokeweight=".5pt">
              <v:textbox inset=",0,,0">
                <w:txbxContent>
                  <w:p w14:paraId="24FA2C35"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8D60" w14:textId="5B507FDF" w:rsidR="00CE1ED7" w:rsidRDefault="00CE1ED7">
    <w:pPr>
      <w:pStyle w:val="Footer"/>
    </w:pPr>
    <w:r>
      <w:rPr>
        <w:noProof/>
      </w:rPr>
      <mc:AlternateContent>
        <mc:Choice Requires="wps">
          <w:drawing>
            <wp:anchor distT="0" distB="0" distL="0" distR="0" simplePos="0" relativeHeight="251680784" behindDoc="0" locked="0" layoutInCell="1" allowOverlap="1" wp14:anchorId="3A466E38" wp14:editId="19F56F22">
              <wp:simplePos x="635" y="635"/>
              <wp:positionH relativeFrom="page">
                <wp:align>center</wp:align>
              </wp:positionH>
              <wp:positionV relativeFrom="page">
                <wp:align>bottom</wp:align>
              </wp:positionV>
              <wp:extent cx="656590" cy="369570"/>
              <wp:effectExtent l="0" t="0" r="10160" b="0"/>
              <wp:wrapNone/>
              <wp:docPr id="20301180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3B43417" w14:textId="133F501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66E38" id="_x0000_t202" coordsize="21600,21600" o:spt="202" path="m,l,21600r21600,l21600,xe">
              <v:stroke joinstyle="miter"/>
              <v:path gradientshapeok="t" o:connecttype="rect"/>
            </v:shapetype>
            <v:shape id="Text Box 22" o:spid="_x0000_s1058" type="#_x0000_t202" alt="OFFICIAL" style="position:absolute;left:0;text-align:left;margin-left:0;margin-top:0;width:51.7pt;height:29.1pt;z-index:251680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KV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ZpPhvF3VJywlaUz4c7IdY3eG+H8s7BgGONC&#10;tf4JR9lQl3O6WJxVZH/8zR/yATyinHVQTM41JM1Z802DkCCuwbCDsYvGeJ5OU8T1ob0n6HCMJ2Fk&#10;NOG1vhnM0lL7Cj2vQiOEhJZol/PdYN77s3TxHqRarWISdGSE3+itkaF0wCuA+dK/CmsuiHtQ9UiD&#10;nET2BvhzbrjpzOrgAX9kJWB7BvICOTQYybq8lyDyX/9j1u1VL38C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tCwKV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63B43417" w14:textId="133F501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C51E" w14:textId="611EF939" w:rsidR="00CE1ED7" w:rsidRDefault="00CE1ED7">
    <w:pPr>
      <w:pStyle w:val="Footer"/>
    </w:pPr>
    <w:r>
      <w:rPr>
        <w:noProof/>
      </w:rPr>
      <mc:AlternateContent>
        <mc:Choice Requires="wps">
          <w:drawing>
            <wp:anchor distT="0" distB="0" distL="0" distR="0" simplePos="0" relativeHeight="251684880" behindDoc="0" locked="0" layoutInCell="1" allowOverlap="1" wp14:anchorId="7C4BEF59" wp14:editId="44D49661">
              <wp:simplePos x="635" y="635"/>
              <wp:positionH relativeFrom="page">
                <wp:align>center</wp:align>
              </wp:positionH>
              <wp:positionV relativeFrom="page">
                <wp:align>bottom</wp:align>
              </wp:positionV>
              <wp:extent cx="656590" cy="369570"/>
              <wp:effectExtent l="0" t="0" r="10160" b="0"/>
              <wp:wrapNone/>
              <wp:docPr id="108386022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BDC0F5B" w14:textId="1445D12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BEF59" id="_x0000_t202" coordsize="21600,21600" o:spt="202" path="m,l,21600r21600,l21600,xe">
              <v:stroke joinstyle="miter"/>
              <v:path gradientshapeok="t" o:connecttype="rect"/>
            </v:shapetype>
            <v:shape id="Text Box 26" o:spid="_x0000_s1059" type="#_x0000_t202" alt="OFFICIAL" style="position:absolute;left:0;text-align:left;margin-left:0;margin-top:0;width:51.7pt;height:29.1pt;z-index:25168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CoDwIAAB0EAAAOAAAAZHJzL2Uyb0RvYy54bWysU11v2jAUfZ+0/2D5fSS0go2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rfT2eRzhDW5XjbW+W+KWhaMnFuwEsES&#10;h7XzaIjUISX00rSqmyYy0+jfHEgMnuQ6YbB8v+1ZXaD57TD+loojtrJ0ItwZuarRey2cfxYWDGNc&#10;qNY/4Sgb6nJOZ4uziuzPv/lDPoBHlLMOism5hqQ5a75rEBLENRh2MLbRGM/SSYq43rf3BB2O8SSM&#10;jCa81jeDWVpqX6HnZWiEkNAS7XK+Hcx7f5Iu3oNUy2VMgo6M8Gu9MTKUDngFMF/6V2HNGXEPqh5p&#10;kJPI3gF/yg03nVnuPeCPrARsT0CeIYcGI1nn9xJE/vY/Zl1f9eIX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LSwqA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BDC0F5B" w14:textId="1445D12E"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3574" w14:textId="6CA18AD5" w:rsidR="007C3EDF" w:rsidRPr="0031305A" w:rsidRDefault="00CE1ED7" w:rsidP="00785BA1">
    <w:pPr>
      <w:pStyle w:val="Header"/>
      <w:spacing w:after="0"/>
      <w:rPr>
        <w:b w:val="0"/>
        <w:bCs/>
        <w:color w:val="auto"/>
      </w:rPr>
    </w:pPr>
    <w:r>
      <w:rPr>
        <w:noProof/>
        <w:lang w:eastAsia="en-AU"/>
      </w:rPr>
      <mc:AlternateContent>
        <mc:Choice Requires="wps">
          <w:drawing>
            <wp:anchor distT="0" distB="0" distL="0" distR="0" simplePos="0" relativeHeight="251685904" behindDoc="0" locked="0" layoutInCell="1" allowOverlap="1" wp14:anchorId="0C57F6F5" wp14:editId="757AD8B9">
              <wp:simplePos x="635" y="635"/>
              <wp:positionH relativeFrom="page">
                <wp:align>center</wp:align>
              </wp:positionH>
              <wp:positionV relativeFrom="page">
                <wp:align>bottom</wp:align>
              </wp:positionV>
              <wp:extent cx="656590" cy="369570"/>
              <wp:effectExtent l="0" t="0" r="10160" b="0"/>
              <wp:wrapNone/>
              <wp:docPr id="939529504"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690B42B" w14:textId="485C972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7F6F5" id="_x0000_t202" coordsize="21600,21600" o:spt="202" path="m,l,21600r21600,l21600,xe">
              <v:stroke joinstyle="miter"/>
              <v:path gradientshapeok="t" o:connecttype="rect"/>
            </v:shapetype>
            <v:shape id="Text Box 27" o:spid="_x0000_s1060" type="#_x0000_t202" alt="OFFICIAL" style="position:absolute;margin-left:0;margin-top:0;width:51.7pt;height:29.1pt;z-index:25168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0Y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aD5p2H8LRVHbGXpRLgzclWj91o4/ywsGMa4&#10;UK1/wlE21OWczhZnFdkff/OHfACPKGcdFJNzDUlz1nzTICSIazDsYGyjMZ6lkxRxvW/vCToc40kY&#10;GU14rW8Gs7TUvkLPy9AIIaEl2uV8O5j3/iRdvAeplsuYBB0Z4dd6Y2QoHfAKYL70r8KaM+IeVD3S&#10;ICeRvQH+lBtuOrPce8AfWQnYnoA8Qw4NRrLO7yWI/Nf/mHV91Yuf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4itGA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1690B42B" w14:textId="485C972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49" behindDoc="0" locked="0" layoutInCell="0" allowOverlap="1" wp14:anchorId="55415D89" wp14:editId="459E3170">
              <wp:simplePos x="0" y="0"/>
              <wp:positionH relativeFrom="page">
                <wp:posOffset>-5080</wp:posOffset>
              </wp:positionH>
              <wp:positionV relativeFrom="page">
                <wp:posOffset>7107484</wp:posOffset>
              </wp:positionV>
              <wp:extent cx="10668000" cy="190500"/>
              <wp:effectExtent l="0" t="0" r="0" b="0"/>
              <wp:wrapNone/>
              <wp:docPr id="266687220" name="Text Box 26668722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73440" w14:textId="77777777" w:rsidR="007C3EDF" w:rsidRPr="002C5B7C" w:rsidRDefault="007C3EDF" w:rsidP="007C3ED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D89" id="Text Box 266687220" o:spid="_x0000_s1061" type="#_x0000_t202" alt="{&quot;HashCode&quot;:904758361,&quot;Height&quot;:841.0,&quot;Width&quot;:595.0,&quot;Placement&quot;:&quot;Footer&quot;,&quot;Index&quot;:&quot;OddAndEven&quot;,&quot;Section&quot;:3,&quot;Top&quot;:0.0,&quot;Left&quot;:0.0}" style="position:absolute;margin-left:-.4pt;margin-top:559.65pt;width:840pt;height: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" o:allowincell="f" filled="f" stroked="f" strokeweight=".5pt">
              <v:textbox inset=",0,,0">
                <w:txbxContent>
                  <w:p w14:paraId="79373440" w14:textId="77777777" w:rsidR="007C3EDF" w:rsidRPr="002C5B7C" w:rsidRDefault="007C3EDF" w:rsidP="007C3EDF">
                    <w:pPr>
                      <w:spacing w:after="0"/>
                      <w:jc w:val="center"/>
                      <w:rPr>
                        <w:rFonts w:ascii="Arial Black" w:hAnsi="Arial Black"/>
                        <w:color w:val="000000"/>
                        <w:sz w:val="20"/>
                      </w:rPr>
                    </w:pP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50" behindDoc="0" locked="0" layoutInCell="0" allowOverlap="1" wp14:anchorId="4494C9B4" wp14:editId="1B0AE831">
              <wp:simplePos x="0" y="0"/>
              <wp:positionH relativeFrom="page">
                <wp:posOffset>-4166</wp:posOffset>
              </wp:positionH>
              <wp:positionV relativeFrom="page">
                <wp:posOffset>10236302</wp:posOffset>
              </wp:positionV>
              <wp:extent cx="7560310" cy="190500"/>
              <wp:effectExtent l="0" t="0" r="0" b="0"/>
              <wp:wrapNone/>
              <wp:docPr id="1410250209" name="Text Box 141025020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A359A"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4494C9B4" id="Text Box 1410250209" o:spid="_x0000_s1062" type="#_x0000_t202" alt="{&quot;HashCode&quot;:904758361,&quot;Height&quot;:841.0,&quot;Width&quot;:595.0,&quot;Placement&quot;:&quot;Footer&quot;,&quot;Index&quot;:&quot;OddAndEven&quot;,&quot;Section&quot;:3,&quot;Top&quot;:0.0,&quot;Left&quot;:0.0}" style="position:absolute;margin-left:-.35pt;margin-top:806pt;width:595.3pt;height:15pt;z-index:25165825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" o:allowincell="f" filled="f" stroked="f" strokeweight=".5pt">
              <v:textbox inset=",0,,0">
                <w:txbxContent>
                  <w:p w14:paraId="488A359A"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70EF" w14:textId="7D51D60E" w:rsidR="00CE1ED7" w:rsidRDefault="00CE1ED7">
    <w:pPr>
      <w:pStyle w:val="Footer"/>
    </w:pPr>
    <w:r>
      <w:rPr>
        <w:noProof/>
      </w:rPr>
      <mc:AlternateContent>
        <mc:Choice Requires="wps">
          <w:drawing>
            <wp:anchor distT="0" distB="0" distL="0" distR="0" simplePos="0" relativeHeight="251683856" behindDoc="0" locked="0" layoutInCell="1" allowOverlap="1" wp14:anchorId="478DD231" wp14:editId="4D53FE3F">
              <wp:simplePos x="635" y="635"/>
              <wp:positionH relativeFrom="page">
                <wp:align>center</wp:align>
              </wp:positionH>
              <wp:positionV relativeFrom="page">
                <wp:align>bottom</wp:align>
              </wp:positionV>
              <wp:extent cx="656590" cy="369570"/>
              <wp:effectExtent l="0" t="0" r="10160" b="0"/>
              <wp:wrapNone/>
              <wp:docPr id="130566213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4235C27" w14:textId="5B92F33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DD231" id="_x0000_t202" coordsize="21600,21600" o:spt="202" path="m,l,21600r21600,l21600,xe">
              <v:stroke joinstyle="miter"/>
              <v:path gradientshapeok="t" o:connecttype="rect"/>
            </v:shapetype>
            <v:shape id="_x0000_s1063" type="#_x0000_t202" alt="OFFICIAL" style="position:absolute;left:0;text-align:left;margin-left:0;margin-top:0;width:51.7pt;height:29.1pt;z-index:25168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pe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aD57TD+loojtrJ0ItwZuarRey2cfxYWDGNc&#10;qNY/4Sgb6nJOZ4uziuzPv/lDPoBHlLMOism5hqQ5a75rEBLENRh2MLbRGM/SSYq43rf3BB2O8SSM&#10;jCa81jeDWVpqX6HnZWiEkNAS7XK+Hcx7f5Iu3oNUy2VMgo6M8Gu9MTKUDngFMF/6V2HNGXEPqh5p&#10;kJPI3gF/yg03nVnuPeCPrARsT0CeIYcGI1nn9xJE/vY/Zl1f9eIX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El6Xg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04235C27" w14:textId="5B92F33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1E1E" w14:textId="00FEB46E" w:rsidR="005B699B" w:rsidRDefault="00CE1ED7" w:rsidP="00785BA1">
    <w:pPr>
      <w:pStyle w:val="Footer"/>
    </w:pPr>
    <w:r>
      <w:rPr>
        <w:noProof/>
        <w:lang w:eastAsia="en-AU"/>
      </w:rPr>
      <mc:AlternateContent>
        <mc:Choice Requires="wps">
          <w:drawing>
            <wp:anchor distT="0" distB="0" distL="0" distR="0" simplePos="0" relativeHeight="251687952" behindDoc="0" locked="0" layoutInCell="1" allowOverlap="1" wp14:anchorId="465CA1AC" wp14:editId="55C53A2A">
              <wp:simplePos x="635" y="635"/>
              <wp:positionH relativeFrom="page">
                <wp:align>center</wp:align>
              </wp:positionH>
              <wp:positionV relativeFrom="page">
                <wp:align>bottom</wp:align>
              </wp:positionV>
              <wp:extent cx="656590" cy="369570"/>
              <wp:effectExtent l="0" t="0" r="10160" b="0"/>
              <wp:wrapNone/>
              <wp:docPr id="549588425"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2D6EF87" w14:textId="4AAFDE97"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CA1AC" id="_x0000_t202" coordsize="21600,21600" o:spt="202" path="m,l,21600r21600,l21600,xe">
              <v:stroke joinstyle="miter"/>
              <v:path gradientshapeok="t" o:connecttype="rect"/>
            </v:shapetype>
            <v:shape id="Text Box 29" o:spid="_x0000_s1064" type="#_x0000_t202" alt="OFFICIAL" style="position:absolute;left:0;text-align:left;margin-left:0;margin-top:0;width:51.7pt;height:29.1pt;z-index:25168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noiD2A8CAAAd&#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42D6EF87" w14:textId="4AAFDE97"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51" behindDoc="0" locked="0" layoutInCell="0" allowOverlap="1" wp14:anchorId="766991AD" wp14:editId="4B068392">
              <wp:simplePos x="0" y="0"/>
              <wp:positionH relativeFrom="margin">
                <wp:posOffset>1526540</wp:posOffset>
              </wp:positionH>
              <wp:positionV relativeFrom="page">
                <wp:posOffset>10113747</wp:posOffset>
              </wp:positionV>
              <wp:extent cx="2762250" cy="266700"/>
              <wp:effectExtent l="0" t="0" r="0" b="0"/>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360C7"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991AD" id="_x0000_s1065" type="#_x0000_t202" alt="{&quot;HashCode&quot;:904758361,&quot;Height&quot;:841.0,&quot;Width&quot;:595.0,&quot;Placement&quot;:&quot;Footer&quot;,&quot;Index&quot;:&quot;OddAndEven&quot;,&quot;Section&quot;:3,&quot;Top&quot;:0.0,&quot;Left&quot;:0.0}" style="position:absolute;left:0;text-align:left;margin-left:120.2pt;margin-top:796.35pt;width:217.5pt;height:2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" o:allowincell="f" filled="f" stroked="f" strokeweight=".5pt">
              <v:textbox inset=",0,,0">
                <w:txbxContent>
                  <w:p w14:paraId="1FC360C7"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4CEF" w14:textId="00E4FAA1" w:rsidR="005B699B" w:rsidRPr="0031305A" w:rsidRDefault="00CE1ED7" w:rsidP="00785BA1">
    <w:pPr>
      <w:pStyle w:val="Header"/>
      <w:spacing w:after="0"/>
      <w:rPr>
        <w:b w:val="0"/>
        <w:bCs/>
        <w:color w:val="auto"/>
      </w:rPr>
    </w:pPr>
    <w:r>
      <w:rPr>
        <w:noProof/>
        <w:lang w:eastAsia="en-AU"/>
      </w:rPr>
      <mc:AlternateContent>
        <mc:Choice Requires="wps">
          <w:drawing>
            <wp:anchor distT="0" distB="0" distL="0" distR="0" simplePos="0" relativeHeight="251688976" behindDoc="0" locked="0" layoutInCell="1" allowOverlap="1" wp14:anchorId="6B6FB313" wp14:editId="0FF8CCE3">
              <wp:simplePos x="635" y="635"/>
              <wp:positionH relativeFrom="page">
                <wp:align>center</wp:align>
              </wp:positionH>
              <wp:positionV relativeFrom="page">
                <wp:align>bottom</wp:align>
              </wp:positionV>
              <wp:extent cx="656590" cy="369570"/>
              <wp:effectExtent l="0" t="0" r="10160" b="0"/>
              <wp:wrapNone/>
              <wp:docPr id="45116540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A81D0DD" w14:textId="713684F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FB313" id="_x0000_t202" coordsize="21600,21600" o:spt="202" path="m,l,21600r21600,l21600,xe">
              <v:stroke joinstyle="miter"/>
              <v:path gradientshapeok="t" o:connecttype="rect"/>
            </v:shapetype>
            <v:shape id="Text Box 30" o:spid="_x0000_s1066" type="#_x0000_t202" alt="OFFICIAL" style="position:absolute;margin-left:0;margin-top:0;width:51.7pt;height:29.1pt;z-index:25168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xOd53DgIAAB0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A81D0DD" w14:textId="713684F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44" behindDoc="0" locked="0" layoutInCell="0" allowOverlap="1" wp14:anchorId="53F25D44" wp14:editId="13F0E2C1">
              <wp:simplePos x="0" y="0"/>
              <wp:positionH relativeFrom="page">
                <wp:posOffset>-4166</wp:posOffset>
              </wp:positionH>
              <wp:positionV relativeFrom="page">
                <wp:posOffset>10236302</wp:posOffset>
              </wp:positionV>
              <wp:extent cx="7560310" cy="190500"/>
              <wp:effectExtent l="0" t="0" r="0" b="0"/>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0901D"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3F25D44" id="_x0000_s1067" type="#_x0000_t202" alt="{&quot;HashCode&quot;:904758361,&quot;Height&quot;:841.0,&quot;Width&quot;:595.0,&quot;Placement&quot;:&quot;Footer&quot;,&quot;Index&quot;:&quot;OddAndEven&quot;,&quot;Section&quot;:3,&quot;Top&quot;:0.0,&quot;Left&quot;:0.0}" style="position:absolute;margin-left:-.35pt;margin-top:806pt;width:595.3pt;height:15pt;z-index:2516582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" o:allowincell="f" filled="f" stroked="f" strokeweight=".5pt">
              <v:textbox inset=",0,,0">
                <w:txbxContent>
                  <w:p w14:paraId="1C80901D"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C286" w14:textId="2EEBCACD" w:rsidR="00EB4BC7" w:rsidRDefault="00CE1ED7">
    <w:pPr>
      <w:pStyle w:val="Footer"/>
    </w:pPr>
    <w:r>
      <w:rPr>
        <w:noProof/>
      </w:rPr>
      <mc:AlternateContent>
        <mc:Choice Requires="wps">
          <w:drawing>
            <wp:anchor distT="0" distB="0" distL="0" distR="0" simplePos="0" relativeHeight="251659280" behindDoc="0" locked="0" layoutInCell="1" allowOverlap="1" wp14:anchorId="26CFF9C9" wp14:editId="5FD56E71">
              <wp:simplePos x="828675" y="9991725"/>
              <wp:positionH relativeFrom="page">
                <wp:align>center</wp:align>
              </wp:positionH>
              <wp:positionV relativeFrom="page">
                <wp:align>bottom</wp:align>
              </wp:positionV>
              <wp:extent cx="656590" cy="369570"/>
              <wp:effectExtent l="0" t="0" r="10160" b="0"/>
              <wp:wrapNone/>
              <wp:docPr id="153308269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03EA1B5" w14:textId="1DCE5FF8"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FF9C9"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203EA1B5" w14:textId="1DCE5FF8"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EE38" w14:textId="1CFF0492" w:rsidR="00CE1ED7" w:rsidRDefault="00CE1ED7">
    <w:pPr>
      <w:pStyle w:val="Footer"/>
    </w:pPr>
    <w:r>
      <w:rPr>
        <w:noProof/>
      </w:rPr>
      <mc:AlternateContent>
        <mc:Choice Requires="wps">
          <w:drawing>
            <wp:anchor distT="0" distB="0" distL="0" distR="0" simplePos="0" relativeHeight="251686928" behindDoc="0" locked="0" layoutInCell="1" allowOverlap="1" wp14:anchorId="7E5F250F" wp14:editId="40DE51FC">
              <wp:simplePos x="635" y="635"/>
              <wp:positionH relativeFrom="page">
                <wp:align>center</wp:align>
              </wp:positionH>
              <wp:positionV relativeFrom="page">
                <wp:align>bottom</wp:align>
              </wp:positionV>
              <wp:extent cx="656590" cy="369570"/>
              <wp:effectExtent l="0" t="0" r="10160" b="0"/>
              <wp:wrapNone/>
              <wp:docPr id="565804004"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A11C34E" w14:textId="067E4FF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F250F" id="_x0000_t202" coordsize="21600,21600" o:spt="202" path="m,l,21600r21600,l21600,xe">
              <v:stroke joinstyle="miter"/>
              <v:path gradientshapeok="t" o:connecttype="rect"/>
            </v:shapetype>
            <v:shape id="Text Box 28" o:spid="_x0000_s1068" type="#_x0000_t202" alt="OFFICIAL" style="position:absolute;left:0;text-align:left;margin-left:0;margin-top:0;width:51.7pt;height:29.1pt;z-index:25168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" filled="f" stroked="f">
              <v:fill o:detectmouseclick="t"/>
              <v:textbox style="mso-fit-shape-to-text:t" inset="0,0,0,15pt">
                <w:txbxContent>
                  <w:p w14:paraId="2A11C34E" w14:textId="067E4FF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9522" w14:textId="37C63A3D" w:rsidR="00D63636" w:rsidRDefault="00CE1ED7">
    <w:pPr>
      <w:pStyle w:val="Footer"/>
    </w:pPr>
    <w:r>
      <w:rPr>
        <w:noProof/>
      </w:rPr>
      <mc:AlternateContent>
        <mc:Choice Requires="wps">
          <w:drawing>
            <wp:anchor distT="0" distB="0" distL="0" distR="0" simplePos="0" relativeHeight="251691024" behindDoc="0" locked="0" layoutInCell="1" allowOverlap="1" wp14:anchorId="4AB510D3" wp14:editId="0E4BADE8">
              <wp:simplePos x="635" y="635"/>
              <wp:positionH relativeFrom="page">
                <wp:align>center</wp:align>
              </wp:positionH>
              <wp:positionV relativeFrom="page">
                <wp:align>bottom</wp:align>
              </wp:positionV>
              <wp:extent cx="656590" cy="369570"/>
              <wp:effectExtent l="0" t="0" r="10160" b="0"/>
              <wp:wrapNone/>
              <wp:docPr id="1718538531"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47DFDD5" w14:textId="407F9FC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510D3" id="_x0000_t202" coordsize="21600,21600" o:spt="202" path="m,l,21600r21600,l21600,xe">
              <v:stroke joinstyle="miter"/>
              <v:path gradientshapeok="t" o:connecttype="rect"/>
            </v:shapetype>
            <v:shape id="Text Box 32" o:spid="_x0000_s1069" type="#_x0000_t202" alt="OFFICIAL" style="position:absolute;left:0;text-align:left;margin-left:0;margin-top:0;width:51.7pt;height:29.1pt;z-index:251691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" filled="f" stroked="f">
              <v:fill o:detectmouseclick="t"/>
              <v:textbox style="mso-fit-shape-to-text:t" inset="0,0,0,15pt">
                <w:txbxContent>
                  <w:p w14:paraId="147DFDD5" w14:textId="407F9FC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F24C" w14:textId="34C556AA" w:rsidR="00431A70" w:rsidRDefault="00CE1ED7">
    <w:pPr>
      <w:pStyle w:val="Footer"/>
    </w:pPr>
    <w:r>
      <w:rPr>
        <w:noProof/>
      </w:rPr>
      <mc:AlternateContent>
        <mc:Choice Requires="wps">
          <w:drawing>
            <wp:anchor distT="0" distB="0" distL="0" distR="0" simplePos="0" relativeHeight="251692048" behindDoc="0" locked="0" layoutInCell="1" allowOverlap="1" wp14:anchorId="119A7E45" wp14:editId="6BD7AF39">
              <wp:simplePos x="635" y="635"/>
              <wp:positionH relativeFrom="page">
                <wp:align>center</wp:align>
              </wp:positionH>
              <wp:positionV relativeFrom="page">
                <wp:align>bottom</wp:align>
              </wp:positionV>
              <wp:extent cx="656590" cy="369570"/>
              <wp:effectExtent l="0" t="0" r="10160" b="0"/>
              <wp:wrapNone/>
              <wp:docPr id="1460753777"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A23C759" w14:textId="59A38E47"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A7E45" id="_x0000_t202" coordsize="21600,21600" o:spt="202" path="m,l,21600r21600,l21600,xe">
              <v:stroke joinstyle="miter"/>
              <v:path gradientshapeok="t" o:connecttype="rect"/>
            </v:shapetype>
            <v:shape id="Text Box 33" o:spid="_x0000_s1070" type="#_x0000_t202" alt="OFFICIAL" style="position:absolute;left:0;text-align:left;margin-left:0;margin-top:0;width:51.7pt;height:29.1pt;z-index:251692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" filled="f" stroked="f">
              <v:fill o:detectmouseclick="t"/>
              <v:textbox style="mso-fit-shape-to-text:t" inset="0,0,0,15pt">
                <w:txbxContent>
                  <w:p w14:paraId="4A23C759" w14:textId="59A38E47"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8CE9" w14:textId="571735E8" w:rsidR="00CE1ED7" w:rsidRDefault="00CE1ED7">
    <w:pPr>
      <w:pStyle w:val="Footer"/>
    </w:pPr>
    <w:r>
      <w:rPr>
        <w:noProof/>
      </w:rPr>
      <mc:AlternateContent>
        <mc:Choice Requires="wps">
          <w:drawing>
            <wp:anchor distT="0" distB="0" distL="0" distR="0" simplePos="0" relativeHeight="251690000" behindDoc="0" locked="0" layoutInCell="1" allowOverlap="1" wp14:anchorId="307BE005" wp14:editId="4E0C67A0">
              <wp:simplePos x="635" y="635"/>
              <wp:positionH relativeFrom="page">
                <wp:align>center</wp:align>
              </wp:positionH>
              <wp:positionV relativeFrom="page">
                <wp:align>bottom</wp:align>
              </wp:positionV>
              <wp:extent cx="656590" cy="369570"/>
              <wp:effectExtent l="0" t="0" r="10160" b="0"/>
              <wp:wrapNone/>
              <wp:docPr id="118791049"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10991A4" w14:textId="3725086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BE005" id="_x0000_t202" coordsize="21600,21600" o:spt="202" path="m,l,21600r21600,l21600,xe">
              <v:stroke joinstyle="miter"/>
              <v:path gradientshapeok="t" o:connecttype="rect"/>
            </v:shapetype>
            <v:shape id="Text Box 31" o:spid="_x0000_s1071" type="#_x0000_t202" alt="OFFICIAL" style="position:absolute;left:0;text-align:left;margin-left:0;margin-top:0;width:51.7pt;height:29.1pt;z-index:2516900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" filled="f" stroked="f">
              <v:fill o:detectmouseclick="t"/>
              <v:textbox style="mso-fit-shape-to-text:t" inset="0,0,0,15pt">
                <w:txbxContent>
                  <w:p w14:paraId="110991A4" w14:textId="3725086F"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073D" w14:textId="393443CA" w:rsidR="00CE1ED7" w:rsidRDefault="00CE1ED7">
    <w:pPr>
      <w:pStyle w:val="Footer"/>
    </w:pPr>
    <w:r>
      <w:rPr>
        <w:noProof/>
      </w:rPr>
      <mc:AlternateContent>
        <mc:Choice Requires="wps">
          <w:drawing>
            <wp:anchor distT="0" distB="0" distL="0" distR="0" simplePos="0" relativeHeight="251663376" behindDoc="0" locked="0" layoutInCell="1" allowOverlap="1" wp14:anchorId="251981EA" wp14:editId="3A7B2114">
              <wp:simplePos x="635" y="635"/>
              <wp:positionH relativeFrom="page">
                <wp:align>center</wp:align>
              </wp:positionH>
              <wp:positionV relativeFrom="page">
                <wp:align>bottom</wp:align>
              </wp:positionV>
              <wp:extent cx="656590" cy="369570"/>
              <wp:effectExtent l="0" t="0" r="10160" b="0"/>
              <wp:wrapNone/>
              <wp:docPr id="20515343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89FB92" w14:textId="1384F25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981EA"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789FB92" w14:textId="1384F259"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A7E5" w14:textId="20896EAA" w:rsidR="00CE1ED7" w:rsidRDefault="00CE1ED7">
    <w:pPr>
      <w:pStyle w:val="Footer"/>
    </w:pPr>
    <w:r>
      <w:rPr>
        <w:noProof/>
      </w:rPr>
      <mc:AlternateContent>
        <mc:Choice Requires="wps">
          <w:drawing>
            <wp:anchor distT="0" distB="0" distL="0" distR="0" simplePos="0" relativeHeight="251664400" behindDoc="0" locked="0" layoutInCell="1" allowOverlap="1" wp14:anchorId="53673451" wp14:editId="4F02AF42">
              <wp:simplePos x="828675" y="9991725"/>
              <wp:positionH relativeFrom="page">
                <wp:align>center</wp:align>
              </wp:positionH>
              <wp:positionV relativeFrom="page">
                <wp:align>bottom</wp:align>
              </wp:positionV>
              <wp:extent cx="656590" cy="369570"/>
              <wp:effectExtent l="0" t="0" r="10160" b="0"/>
              <wp:wrapNone/>
              <wp:docPr id="1283542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34CD20E" w14:textId="55233A00"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73451"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234CD20E" w14:textId="55233A00"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6FE6" w14:textId="44AFE5B4" w:rsidR="00CE1ED7" w:rsidRDefault="00CE1ED7">
    <w:pPr>
      <w:pStyle w:val="Footer"/>
    </w:pPr>
    <w:r>
      <w:rPr>
        <w:noProof/>
      </w:rPr>
      <mc:AlternateContent>
        <mc:Choice Requires="wps">
          <w:drawing>
            <wp:anchor distT="0" distB="0" distL="0" distR="0" simplePos="0" relativeHeight="251662352" behindDoc="0" locked="0" layoutInCell="1" allowOverlap="1" wp14:anchorId="2B0C0BE0" wp14:editId="1CDBE5FB">
              <wp:simplePos x="828675" y="9991725"/>
              <wp:positionH relativeFrom="page">
                <wp:align>center</wp:align>
              </wp:positionH>
              <wp:positionV relativeFrom="page">
                <wp:align>bottom</wp:align>
              </wp:positionV>
              <wp:extent cx="656590" cy="369570"/>
              <wp:effectExtent l="0" t="0" r="10160" b="0"/>
              <wp:wrapNone/>
              <wp:docPr id="5335660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0769F0C" w14:textId="21C05D70"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C0BE0"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0769F0C" w14:textId="21C05D70"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E96D" w14:textId="2D0D8242" w:rsidR="00CE1ED7" w:rsidRDefault="00CE1ED7">
    <w:pPr>
      <w:pStyle w:val="Footer"/>
    </w:pPr>
    <w:r>
      <w:rPr>
        <w:noProof/>
      </w:rPr>
      <mc:AlternateContent>
        <mc:Choice Requires="wps">
          <w:drawing>
            <wp:anchor distT="0" distB="0" distL="0" distR="0" simplePos="0" relativeHeight="251666448" behindDoc="0" locked="0" layoutInCell="1" allowOverlap="1" wp14:anchorId="7A4AE036" wp14:editId="0C0E33BC">
              <wp:simplePos x="635" y="635"/>
              <wp:positionH relativeFrom="page">
                <wp:align>center</wp:align>
              </wp:positionH>
              <wp:positionV relativeFrom="page">
                <wp:align>bottom</wp:align>
              </wp:positionV>
              <wp:extent cx="656590" cy="369570"/>
              <wp:effectExtent l="0" t="0" r="10160" b="0"/>
              <wp:wrapNone/>
              <wp:docPr id="26669179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9E8AAE" w14:textId="623B202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AE036"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6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499E8AAE" w14:textId="623B2022"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DD82" w14:textId="5A991391" w:rsidR="00CE1ED7" w:rsidRDefault="00CE1ED7">
    <w:pPr>
      <w:pStyle w:val="Footer"/>
    </w:pPr>
    <w:r>
      <w:rPr>
        <w:noProof/>
      </w:rPr>
      <mc:AlternateContent>
        <mc:Choice Requires="wps">
          <w:drawing>
            <wp:anchor distT="0" distB="0" distL="0" distR="0" simplePos="0" relativeHeight="251667472" behindDoc="0" locked="0" layoutInCell="1" allowOverlap="1" wp14:anchorId="3D9093A4" wp14:editId="18170874">
              <wp:simplePos x="635" y="635"/>
              <wp:positionH relativeFrom="page">
                <wp:align>center</wp:align>
              </wp:positionH>
              <wp:positionV relativeFrom="page">
                <wp:align>bottom</wp:align>
              </wp:positionV>
              <wp:extent cx="656590" cy="369570"/>
              <wp:effectExtent l="0" t="0" r="10160" b="0"/>
              <wp:wrapNone/>
              <wp:docPr id="163038228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E47A68C" w14:textId="6DCD0626"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093A4"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7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E47A68C" w14:textId="6DCD0626"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E2BA" w14:textId="54E66FF5" w:rsidR="00CE1ED7" w:rsidRDefault="00CE1ED7">
    <w:pPr>
      <w:pStyle w:val="Footer"/>
    </w:pPr>
    <w:r>
      <w:rPr>
        <w:noProof/>
      </w:rPr>
      <mc:AlternateContent>
        <mc:Choice Requires="wps">
          <w:drawing>
            <wp:anchor distT="0" distB="0" distL="0" distR="0" simplePos="0" relativeHeight="251665424" behindDoc="0" locked="0" layoutInCell="1" allowOverlap="1" wp14:anchorId="2761F228" wp14:editId="760454D2">
              <wp:simplePos x="635" y="635"/>
              <wp:positionH relativeFrom="page">
                <wp:align>center</wp:align>
              </wp:positionH>
              <wp:positionV relativeFrom="page">
                <wp:align>bottom</wp:align>
              </wp:positionV>
              <wp:extent cx="656590" cy="369570"/>
              <wp:effectExtent l="0" t="0" r="10160" b="0"/>
              <wp:wrapNone/>
              <wp:docPr id="4796876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60F458B" w14:textId="42EBE985"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1F228"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5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60F458B" w14:textId="42EBE985" w:rsidR="00CE1ED7" w:rsidRPr="00CE1ED7" w:rsidRDefault="00CE1ED7" w:rsidP="00CE1ED7">
                    <w:pPr>
                      <w:spacing w:after="0"/>
                      <w:rPr>
                        <w:rFonts w:ascii="Arial Black" w:eastAsia="Arial Black" w:hAnsi="Arial Black" w:cs="Arial Black"/>
                        <w:noProof/>
                        <w:color w:val="000000"/>
                        <w:sz w:val="20"/>
                      </w:rPr>
                    </w:pPr>
                    <w:r w:rsidRPr="00CE1ED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63D4D" w14:textId="77777777" w:rsidR="00B70C14" w:rsidRDefault="00B70C14" w:rsidP="00207717">
      <w:pPr>
        <w:spacing w:before="120"/>
      </w:pPr>
      <w:r>
        <w:separator/>
      </w:r>
    </w:p>
  </w:footnote>
  <w:footnote w:type="continuationSeparator" w:id="0">
    <w:p w14:paraId="07F65F1E" w14:textId="77777777" w:rsidR="00B70C14" w:rsidRDefault="00B70C14">
      <w:r>
        <w:continuationSeparator/>
      </w:r>
    </w:p>
    <w:p w14:paraId="11ABAEDC" w14:textId="77777777" w:rsidR="00B70C14" w:rsidRDefault="00B70C14"/>
  </w:footnote>
  <w:footnote w:type="continuationNotice" w:id="1">
    <w:p w14:paraId="333FD8C3" w14:textId="77777777" w:rsidR="00B70C14" w:rsidRDefault="00B70C14">
      <w:pPr>
        <w:spacing w:after="0" w:line="240" w:lineRule="auto"/>
      </w:pPr>
    </w:p>
  </w:footnote>
  <w:footnote w:id="2">
    <w:p w14:paraId="4BD48833" w14:textId="72565D06" w:rsidR="00626EB7" w:rsidRDefault="00626EB7" w:rsidP="00626EB7">
      <w:pPr>
        <w:pStyle w:val="FootnoteText"/>
      </w:pPr>
      <w:r>
        <w:rPr>
          <w:rStyle w:val="FootnoteReference"/>
        </w:rPr>
        <w:footnoteRef/>
      </w:r>
      <w:r>
        <w:t xml:space="preserve"> Residential mental health care services remain eligible for block funding if they meet the criteria outlined in Independent Health and Aged Care Pricing Authority’s and General List of In-Scope Public Hospital Services for 2025–26. </w:t>
      </w:r>
      <w:r w:rsidR="00C6125D">
        <w:t>See &lt;</w:t>
      </w:r>
      <w:r w:rsidR="00C6125D" w:rsidRPr="00C6125D">
        <w:t>https://www.ihacpa.gov.au/resources/general-list-scope-public-hospital-services-eligibility-policy</w:t>
      </w:r>
      <w:r w:rsidR="00C6125D">
        <w:t>&gt;.</w:t>
      </w:r>
    </w:p>
  </w:footnote>
  <w:footnote w:id="3">
    <w:p w14:paraId="71C5295A" w14:textId="3ACFF935" w:rsidR="00974128" w:rsidRDefault="00974128" w:rsidP="00974128">
      <w:pPr>
        <w:pStyle w:val="FootnoteText"/>
      </w:pPr>
      <w:r>
        <w:rPr>
          <w:rStyle w:val="FootnoteReference"/>
        </w:rPr>
        <w:footnoteRef/>
      </w:r>
      <w:r w:rsidR="00C32701">
        <w:t xml:space="preserve"> </w:t>
      </w:r>
      <w:r w:rsidRPr="008D2E3B">
        <w:t xml:space="preserve">Pending final sign off at the time of drafting this, both the </w:t>
      </w:r>
      <w:r w:rsidR="00C32701">
        <w:t xml:space="preserve">Victorian </w:t>
      </w:r>
      <w:r w:rsidRPr="008D2E3B">
        <w:t xml:space="preserve">Department of Health and the Commonwealth Department of Veterans’ Affairs have agreed in principle to roll over the </w:t>
      </w:r>
      <w:r>
        <w:t>2023</w:t>
      </w:r>
      <w:r w:rsidR="00C32701">
        <w:t>–</w:t>
      </w:r>
      <w:r>
        <w:t>25</w:t>
      </w:r>
      <w:r w:rsidRPr="008D2E3B">
        <w:t xml:space="preserve"> Deed of Variation to the Hospitals Services Arrangement</w:t>
      </w:r>
      <w:r>
        <w:t xml:space="preserve"> to be in effect from 1 July 2025 to 30 June 2026</w:t>
      </w:r>
      <w:r w:rsidRPr="008D2E3B">
        <w:t>.</w:t>
      </w:r>
    </w:p>
  </w:footnote>
  <w:footnote w:id="4">
    <w:p w14:paraId="7DC0D8CA" w14:textId="0DFBCD3C" w:rsidR="005B699B" w:rsidRDefault="005B699B" w:rsidP="005B699B">
      <w:pPr>
        <w:pStyle w:val="FootnoteText"/>
      </w:pPr>
      <w:r w:rsidRPr="00B11F16">
        <w:rPr>
          <w:vertAlign w:val="superscript"/>
        </w:rPr>
        <w:footnoteRef/>
      </w:r>
      <w:r w:rsidRPr="00DD1351">
        <w:t xml:space="preserve"> Continued analysis of Statement of Priorities leave event data and other supporting measures will inform approaches to enhance patient experiences and improve Aboriginal health and wellbeing</w:t>
      </w:r>
      <w:r>
        <w:t xml:space="preserve">. </w:t>
      </w:r>
    </w:p>
  </w:footnote>
  <w:footnote w:id="5">
    <w:p w14:paraId="53EC0259" w14:textId="72F1EE47" w:rsidR="0070536C" w:rsidRDefault="0070536C">
      <w:pPr>
        <w:pStyle w:val="FootnoteText"/>
      </w:pPr>
      <w:r>
        <w:rPr>
          <w:rStyle w:val="FootnoteReference"/>
        </w:rPr>
        <w:footnoteRef/>
      </w:r>
      <w:r>
        <w:t xml:space="preserve"> Price is under review</w:t>
      </w:r>
    </w:p>
  </w:footnote>
  <w:footnote w:id="6">
    <w:p w14:paraId="468B9AD4" w14:textId="77777777" w:rsidR="00FF1419" w:rsidRDefault="00FF1419" w:rsidP="00FF1419">
      <w:pPr>
        <w:pStyle w:val="FootnoteText"/>
        <w:rPr>
          <w:lang w:val="en-US"/>
        </w:rPr>
      </w:pPr>
      <w:r w:rsidRPr="00CA2B41">
        <w:rPr>
          <w:vertAlign w:val="superscript"/>
        </w:rPr>
        <w:footnoteRef/>
      </w:r>
      <w:r>
        <w:t xml:space="preserve"> </w:t>
      </w:r>
      <w:r>
        <w:rPr>
          <w:rFonts w:eastAsia="Arial"/>
        </w:rPr>
        <w:t>State component only.</w:t>
      </w:r>
    </w:p>
  </w:footnote>
  <w:footnote w:id="7">
    <w:p w14:paraId="3A9F76CF" w14:textId="77777777" w:rsidR="00A97999" w:rsidRPr="00B00930" w:rsidRDefault="00A97999" w:rsidP="00A97999">
      <w:pPr>
        <w:pStyle w:val="FootnoteText"/>
      </w:pPr>
      <w:r w:rsidRPr="00B46238">
        <w:rPr>
          <w:vertAlign w:val="superscript"/>
        </w:rPr>
        <w:footnoteRef/>
      </w:r>
      <w:r w:rsidRPr="0048769F">
        <w:t xml:space="preserve"> </w:t>
      </w:r>
      <w:r w:rsidRPr="00B00930">
        <w:t>Where ‘HACC’ is referred to, the service relates to the Home and Community Care Program for Younger People (HACC-PYP).</w:t>
      </w:r>
    </w:p>
  </w:footnote>
  <w:footnote w:id="8">
    <w:p w14:paraId="5101AF30" w14:textId="77777777" w:rsidR="005B699B" w:rsidRDefault="005B699B" w:rsidP="005B699B">
      <w:pPr>
        <w:pStyle w:val="FootnoteText"/>
      </w:pPr>
      <w:r w:rsidRPr="004132DF">
        <w:rPr>
          <w:vertAlign w:val="superscript"/>
        </w:rPr>
        <w:footnoteRef/>
      </w:r>
      <w:r>
        <w:t xml:space="preserve"> Annual funding is generally calculated as follows:</w:t>
      </w:r>
    </w:p>
    <w:p w14:paraId="48AAA41F" w14:textId="77777777" w:rsidR="005B699B" w:rsidRDefault="005B699B" w:rsidP="005B699B">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9">
    <w:p w14:paraId="1CA77E27" w14:textId="77777777" w:rsidR="00FF1419" w:rsidRDefault="00FF1419" w:rsidP="00FF1419">
      <w:pPr>
        <w:pStyle w:val="FootnoteText"/>
      </w:pPr>
      <w:r w:rsidRPr="004132DF">
        <w:rPr>
          <w:vertAlign w:val="superscript"/>
        </w:rPr>
        <w:footnoteRef/>
      </w:r>
      <w:r>
        <w:t xml:space="preserve"> This supplement was previously referred to as HSUA 1 EBA – hostel.</w:t>
      </w:r>
    </w:p>
  </w:footnote>
  <w:footnote w:id="10">
    <w:p w14:paraId="65C03341" w14:textId="1EC5FF84" w:rsidR="009178FF" w:rsidRDefault="009178FF">
      <w:pPr>
        <w:pStyle w:val="FootnoteText"/>
      </w:pPr>
      <w:r>
        <w:rPr>
          <w:rStyle w:val="FootnoteReference"/>
        </w:rPr>
        <w:footnoteRef/>
      </w:r>
      <w:r>
        <w:t xml:space="preserve"> </w:t>
      </w:r>
      <w:r w:rsidR="007B35A5" w:rsidRPr="007B35A5">
        <w:t>An approach for ACCO services unit prices is to be determined</w:t>
      </w:r>
    </w:p>
  </w:footnote>
  <w:footnote w:id="11">
    <w:p w14:paraId="6E128117" w14:textId="77777777" w:rsidR="005B699B" w:rsidRDefault="005B699B" w:rsidP="005B699B">
      <w:pPr>
        <w:pStyle w:val="FootnoteText"/>
      </w:pPr>
      <w:r w:rsidRPr="004132DF">
        <w:rPr>
          <w:vertAlign w:val="superscript"/>
        </w:rPr>
        <w:footnoteRef/>
      </w:r>
      <w:r w:rsidRPr="004132DF">
        <w:rPr>
          <w:vertAlign w:val="superscript"/>
        </w:rPr>
        <w:t xml:space="preserve"> </w:t>
      </w:r>
      <w:r>
        <w:t>Annual funding is generally calculated as follows:</w:t>
      </w:r>
    </w:p>
    <w:p w14:paraId="56EF3ACD" w14:textId="77777777" w:rsidR="005B699B" w:rsidRDefault="005B699B" w:rsidP="005B699B">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12">
    <w:p w14:paraId="03BC812A" w14:textId="77777777" w:rsidR="00361611" w:rsidRDefault="00361611" w:rsidP="00361611">
      <w:pPr>
        <w:pStyle w:val="FootnoteText"/>
      </w:pPr>
      <w:r w:rsidRPr="004132DF">
        <w:rPr>
          <w:vertAlign w:val="superscript"/>
        </w:rPr>
        <w:footnoteRef/>
      </w:r>
      <w:r>
        <w:t xml:space="preserve"> This supplement was previously referred to as HSUA 1 EBA – hostel.</w:t>
      </w:r>
    </w:p>
  </w:footnote>
  <w:footnote w:id="13">
    <w:p w14:paraId="02BC1331" w14:textId="60249766" w:rsidR="00E90518" w:rsidRDefault="00E90518">
      <w:pPr>
        <w:pStyle w:val="FootnoteText"/>
      </w:pPr>
      <w:r>
        <w:rPr>
          <w:rStyle w:val="FootnoteReference"/>
        </w:rPr>
        <w:footnoteRef/>
      </w:r>
      <w:r>
        <w:t xml:space="preserve"> Excludes Albury NSW </w:t>
      </w:r>
      <w:r w:rsidR="00081FAC">
        <w:t>local hospital network funding contributions from New South Wales</w:t>
      </w:r>
    </w:p>
  </w:footnote>
  <w:footnote w:id="14">
    <w:p w14:paraId="4EEA7AD9" w14:textId="46313EBF" w:rsidR="00081FAC" w:rsidRDefault="00081FAC">
      <w:pPr>
        <w:pStyle w:val="FootnoteText"/>
      </w:pPr>
      <w:r>
        <w:rPr>
          <w:rStyle w:val="FootnoteReference"/>
        </w:rPr>
        <w:footnoteRef/>
      </w:r>
      <w:r>
        <w:t xml:space="preserve"> Health service classified in National Efficient Cost Determination as rural or regional local hospital network </w:t>
      </w:r>
      <w:r w:rsidR="00A56401">
        <w:t>delivering low volume of community mental health services</w:t>
      </w:r>
      <w:r w:rsidR="0099118B">
        <w:t>.</w:t>
      </w:r>
    </w:p>
  </w:footnote>
  <w:footnote w:id="15">
    <w:p w14:paraId="59D9EDC2" w14:textId="622F7EFA" w:rsidR="0099118B" w:rsidRDefault="0099118B">
      <w:pPr>
        <w:pStyle w:val="FootnoteText"/>
      </w:pPr>
      <w:r>
        <w:rPr>
          <w:rStyle w:val="FootnoteReference"/>
        </w:rPr>
        <w:footnoteRef/>
      </w:r>
      <w:r>
        <w:t xml:space="preserve"> </w:t>
      </w:r>
      <w:r w:rsidR="002B3D68">
        <w:t xml:space="preserve">Health service classified in National Efficient Cost Determination as a rural or regional </w:t>
      </w:r>
      <w:r w:rsidR="00DE30AE">
        <w:t>local hospital network delivering a low volume of community mental health services.</w:t>
      </w:r>
    </w:p>
  </w:footnote>
  <w:footnote w:id="16">
    <w:p w14:paraId="2137D98E" w14:textId="140B5866" w:rsidR="00DE30AE" w:rsidRDefault="00DE30AE">
      <w:pPr>
        <w:pStyle w:val="FootnoteText"/>
      </w:pPr>
      <w:r>
        <w:rPr>
          <w:rStyle w:val="FootnoteReference"/>
        </w:rPr>
        <w:footnoteRef/>
      </w:r>
      <w:r>
        <w:t xml:space="preserve"> Health service classified </w:t>
      </w:r>
      <w:r w:rsidR="006E0CAD">
        <w:t>in</w:t>
      </w:r>
      <w:r>
        <w:t xml:space="preserve"> National Efficient Cost Determination as a rural or </w:t>
      </w:r>
      <w:r w:rsidR="006E0CAD">
        <w:t>regional local hospital network delivering a low volume of community mental health services.</w:t>
      </w:r>
    </w:p>
  </w:footnote>
  <w:footnote w:id="17">
    <w:p w14:paraId="3F58CC0C" w14:textId="10B71BCC" w:rsidR="00C33B7A" w:rsidRDefault="00C33B7A">
      <w:pPr>
        <w:pStyle w:val="FootnoteText"/>
      </w:pPr>
      <w:r>
        <w:rPr>
          <w:rStyle w:val="FootnoteReference"/>
        </w:rPr>
        <w:footnoteRef/>
      </w:r>
      <w:r>
        <w:t xml:space="preserve"> </w:t>
      </w:r>
      <w:r w:rsidR="006442F0">
        <w:t xml:space="preserve">Health service </w:t>
      </w:r>
      <w:r w:rsidR="000F11BB">
        <w:t xml:space="preserve">classified in </w:t>
      </w:r>
      <w:r w:rsidR="00733A9E">
        <w:t xml:space="preserve">National Efficient </w:t>
      </w:r>
      <w:r w:rsidR="00703B97">
        <w:t>Cost Determination as a standalone hospital providing specialist mental health ser</w:t>
      </w:r>
      <w:r w:rsidR="00733A9E">
        <w:t>vices (community mental health services only).</w:t>
      </w:r>
    </w:p>
  </w:footnote>
  <w:footnote w:id="18">
    <w:p w14:paraId="36733F0A" w14:textId="73C66D35" w:rsidR="0095530C" w:rsidRDefault="0095530C">
      <w:pPr>
        <w:pStyle w:val="FootnoteText"/>
      </w:pPr>
      <w:r>
        <w:rPr>
          <w:rStyle w:val="FootnoteReference"/>
        </w:rPr>
        <w:footnoteRef/>
      </w:r>
      <w:r>
        <w:t xml:space="preserve"> </w:t>
      </w:r>
      <w:r w:rsidR="002A2921">
        <w:t>Budget will be included i</w:t>
      </w:r>
      <w:r w:rsidR="0018382A">
        <w:t>n an addendum.</w:t>
      </w:r>
    </w:p>
  </w:footnote>
  <w:footnote w:id="19">
    <w:p w14:paraId="657A6275" w14:textId="64764F45" w:rsidR="00216560" w:rsidRDefault="00216560">
      <w:pPr>
        <w:pStyle w:val="FootnoteText"/>
      </w:pPr>
      <w:r>
        <w:rPr>
          <w:rStyle w:val="FootnoteReference"/>
        </w:rPr>
        <w:footnoteRef/>
      </w:r>
      <w:r>
        <w:t xml:space="preserve"> </w:t>
      </w:r>
      <w:r w:rsidRPr="00A06CA4">
        <w:t>Draft information pending finalisation of SOP</w:t>
      </w:r>
      <w:r>
        <w:t>.</w:t>
      </w:r>
    </w:p>
  </w:footnote>
  <w:footnote w:id="20">
    <w:p w14:paraId="151C6CCB" w14:textId="7335ADDF" w:rsidR="0085584F" w:rsidRDefault="0085584F" w:rsidP="0085584F">
      <w:pPr>
        <w:pStyle w:val="FootnoteText"/>
      </w:pPr>
      <w:r>
        <w:rPr>
          <w:rStyle w:val="FootnoteReference"/>
        </w:rPr>
        <w:footnoteRef/>
      </w:r>
      <w:r>
        <w:t xml:space="preserve"> Bed numbers in </w:t>
      </w:r>
      <w:r w:rsidRPr="00010DA5">
        <w:t>M</w:t>
      </w:r>
      <w:r>
        <w:t xml:space="preserve">ental </w:t>
      </w:r>
      <w:r w:rsidRPr="00010DA5">
        <w:t>H</w:t>
      </w:r>
      <w:r>
        <w:t>ealth</w:t>
      </w:r>
      <w:r w:rsidR="001F7C7B">
        <w:t xml:space="preserve"> and</w:t>
      </w:r>
      <w:r>
        <w:t xml:space="preserve"> </w:t>
      </w:r>
      <w:r w:rsidRPr="00010DA5">
        <w:t xml:space="preserve">AOD hubs and </w:t>
      </w:r>
      <w:r>
        <w:t>those</w:t>
      </w:r>
      <w:r w:rsidRPr="00010DA5">
        <w:t xml:space="preserve"> under private contract</w:t>
      </w:r>
      <w:r>
        <w:t xml:space="preserve">s are not included. </w:t>
      </w:r>
    </w:p>
  </w:footnote>
  <w:footnote w:id="21">
    <w:p w14:paraId="0A0106DA" w14:textId="77777777" w:rsidR="00EC31C7" w:rsidRDefault="00EC31C7" w:rsidP="0085584F">
      <w:pPr>
        <w:pStyle w:val="FootnoteText"/>
      </w:pPr>
      <w:r>
        <w:rPr>
          <w:rStyle w:val="FootnoteReference"/>
        </w:rPr>
        <w:footnoteRef/>
      </w:r>
      <w:r>
        <w:t xml:space="preserve"> Bed numbers will reduce after the completion of planned capital works in 2025–26. </w:t>
      </w:r>
    </w:p>
  </w:footnote>
  <w:footnote w:id="22">
    <w:p w14:paraId="5D12399A" w14:textId="249141F6" w:rsidR="00EC31C7" w:rsidRDefault="00EC31C7">
      <w:pPr>
        <w:pStyle w:val="FootnoteText"/>
      </w:pPr>
      <w:r>
        <w:rPr>
          <w:rStyle w:val="FootnoteReference"/>
        </w:rPr>
        <w:footnoteRef/>
      </w:r>
      <w:r>
        <w:t xml:space="preserve"> 10 Hospital in the Home beds to be operational in 2025-26</w:t>
      </w:r>
    </w:p>
  </w:footnote>
  <w:footnote w:id="23">
    <w:p w14:paraId="14BC2CE1" w14:textId="1E88E795" w:rsidR="00D231B7" w:rsidRDefault="00D231B7" w:rsidP="0085584F">
      <w:pPr>
        <w:pStyle w:val="FootnoteText"/>
      </w:pPr>
      <w:r w:rsidRPr="00540C26">
        <w:rPr>
          <w:rStyle w:val="FootnoteReference"/>
        </w:rPr>
        <w:footnoteRef/>
      </w:r>
      <w:r w:rsidRPr="00540C26">
        <w:t xml:space="preserve"> 20</w:t>
      </w:r>
      <w:r w:rsidR="005D137F" w:rsidRPr="00540C26">
        <w:t xml:space="preserve"> beds will be available</w:t>
      </w:r>
      <w:r w:rsidRPr="00540C26">
        <w:t xml:space="preserve"> after the completion of planned capital works in 2025–26.</w:t>
      </w:r>
    </w:p>
  </w:footnote>
  <w:footnote w:id="24">
    <w:p w14:paraId="1A90400E" w14:textId="48E4CDAC" w:rsidR="00707436" w:rsidRDefault="00707436" w:rsidP="00707436">
      <w:pPr>
        <w:pStyle w:val="FootnoteText"/>
      </w:pPr>
      <w:r w:rsidRPr="00540C26">
        <w:rPr>
          <w:rStyle w:val="FootnoteReference"/>
        </w:rPr>
        <w:footnoteRef/>
      </w:r>
      <w:r w:rsidRPr="00540C26">
        <w:t xml:space="preserve"> </w:t>
      </w:r>
      <w:r w:rsidR="00F65DC5" w:rsidRPr="00540C26">
        <w:t>20</w:t>
      </w:r>
      <w:r w:rsidRPr="00540C26">
        <w:t xml:space="preserve"> extra</w:t>
      </w:r>
      <w:r w:rsidR="00F65DC5" w:rsidRPr="00540C26">
        <w:t xml:space="preserve"> YPARC</w:t>
      </w:r>
      <w:r w:rsidRPr="00540C26">
        <w:t xml:space="preserve"> beds</w:t>
      </w:r>
      <w:r w:rsidR="00F65DC5" w:rsidRPr="00540C26">
        <w:t xml:space="preserve"> </w:t>
      </w:r>
      <w:r w:rsidRPr="00540C26">
        <w:t>to be made operational in 2025-26</w:t>
      </w:r>
      <w:r w:rsidR="00F65DC5" w:rsidRPr="00540C26">
        <w:t>, 10 beds at</w:t>
      </w:r>
      <w:r w:rsidRPr="00540C26">
        <w:t xml:space="preserve"> Austin Health and </w:t>
      </w:r>
      <w:r w:rsidR="00207B88" w:rsidRPr="00540C26">
        <w:t xml:space="preserve">10 beds at </w:t>
      </w:r>
      <w:r w:rsidRPr="00540C26">
        <w:t>Latrobe Regional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C35C" w14:textId="064B6621" w:rsidR="005F424B" w:rsidRDefault="00DD3464" w:rsidP="00A43A31">
    <w:pPr>
      <w:pStyle w:val="Header"/>
      <w:tabs>
        <w:tab w:val="left" w:pos="7298"/>
        <w:tab w:val="left" w:pos="8931"/>
      </w:tabs>
    </w:pPr>
    <w:r w:rsidRPr="00342BA9">
      <w:t xml:space="preserve">Policy and </w:t>
    </w:r>
    <w:r>
      <w:t>f</w:t>
    </w:r>
    <w:r w:rsidRPr="00342BA9">
      <w:t xml:space="preserve">unding </w:t>
    </w:r>
    <w:r>
      <w:t>g</w:t>
    </w:r>
    <w:r w:rsidRPr="00342BA9">
      <w:t xml:space="preserve">uidelines </w:t>
    </w:r>
    <w:r w:rsidR="0D86BE0E">
      <w:t>2025–26</w:t>
    </w:r>
    <w:r w:rsidRPr="00342BA9">
      <w:t xml:space="preserve">: </w:t>
    </w:r>
    <w:r>
      <w:t>f</w:t>
    </w:r>
    <w:r w:rsidRPr="00342BA9">
      <w:t xml:space="preserve">unding </w:t>
    </w:r>
    <w:r>
      <w:t>r</w:t>
    </w:r>
    <w:r w:rsidRPr="00342BA9">
      <w:t>ules</w:t>
    </w:r>
    <w:r>
      <w:tab/>
    </w:r>
    <w:r w:rsidR="00A43A31">
      <w:tab/>
    </w:r>
    <w:r w:rsidRPr="00AE6427">
      <w:fldChar w:fldCharType="begin"/>
    </w:r>
    <w:r w:rsidRPr="00AE6427">
      <w:instrText xml:space="preserve"> PAGE </w:instrText>
    </w:r>
    <w:r w:rsidRPr="00AE6427">
      <w:fldChar w:fldCharType="separate"/>
    </w:r>
    <w:r>
      <w:t>10</w:t>
    </w:r>
    <w:r w:rsidRPr="00AE6427">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8FB0" w14:textId="77777777" w:rsidR="005B699B" w:rsidRDefault="005B69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01A6" w14:textId="3F1F4E44" w:rsidR="005B699B" w:rsidRPr="0037564B" w:rsidRDefault="005B699B" w:rsidP="00252E66">
    <w:pPr>
      <w:pStyle w:val="Header"/>
      <w:tabs>
        <w:tab w:val="left" w:pos="8789"/>
        <w:tab w:val="left" w:pos="9072"/>
        <w:tab w:val="left" w:pos="13750"/>
        <w:tab w:val="left" w:pos="13892"/>
      </w:tabs>
      <w:rPr>
        <w:b w:val="0"/>
        <w:color w:val="auto"/>
      </w:rPr>
    </w:pPr>
    <w:r w:rsidRPr="007B446A">
      <w:t>Policy and funding guidelines 202</w:t>
    </w:r>
    <w:r w:rsidR="008A5F31">
      <w:t>5</w:t>
    </w:r>
    <w:r w:rsidRPr="007B446A">
      <w:t>–2</w:t>
    </w:r>
    <w:r w:rsidR="008A5F31">
      <w:t>6</w:t>
    </w:r>
    <w:r w:rsidRPr="007B446A">
      <w:t xml:space="preserve">: </w:t>
    </w:r>
    <w:r w:rsidR="00252E66">
      <w:t>f</w:t>
    </w:r>
    <w:r w:rsidR="00252E66" w:rsidRPr="007B446A">
      <w:t xml:space="preserve">unding </w:t>
    </w:r>
    <w:r w:rsidR="00252E66">
      <w:t>r</w:t>
    </w:r>
    <w:r w:rsidR="00252E66" w:rsidRPr="007B446A">
      <w:t>ules</w:t>
    </w:r>
    <w:r>
      <w:tab/>
    </w:r>
    <w:r w:rsidR="00252E66">
      <w:tab/>
    </w:r>
    <w:r w:rsidR="00252E66">
      <w:rPr>
        <w:color w:val="auto"/>
      </w:rPr>
      <w:tab/>
    </w:r>
    <w:r w:rsidRPr="00DE6C85">
      <w:rPr>
        <w:b w:val="0"/>
        <w:bCs/>
      </w:rPr>
      <w:fldChar w:fldCharType="begin"/>
    </w:r>
    <w:r w:rsidRPr="00DE6C85">
      <w:rPr>
        <w:bCs/>
      </w:rPr>
      <w:instrText xml:space="preserve"> PAGE </w:instrText>
    </w:r>
    <w:r w:rsidRPr="00DE6C85">
      <w:rPr>
        <w:b w:val="0"/>
        <w:bCs/>
      </w:rPr>
      <w:fldChar w:fldCharType="separate"/>
    </w:r>
    <w:r w:rsidR="00D90316">
      <w:rPr>
        <w:b w:val="0"/>
      </w:rPr>
      <w:t>117</w:t>
    </w:r>
    <w:r w:rsidRPr="00DE6C85">
      <w:rPr>
        <w:b w:val="0"/>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7520E686" w14:textId="77777777" w:rsidTr="00B728DA">
      <w:trPr>
        <w:trHeight w:val="300"/>
      </w:trPr>
      <w:tc>
        <w:tcPr>
          <w:tcW w:w="4760" w:type="dxa"/>
        </w:tcPr>
        <w:p w14:paraId="2E96F55C" w14:textId="77777777" w:rsidR="005B699B" w:rsidRDefault="005B699B" w:rsidP="00B728DA">
          <w:pPr>
            <w:pStyle w:val="Header"/>
            <w:ind w:left="-115"/>
          </w:pPr>
        </w:p>
      </w:tc>
      <w:tc>
        <w:tcPr>
          <w:tcW w:w="4760" w:type="dxa"/>
        </w:tcPr>
        <w:p w14:paraId="704F8B9B" w14:textId="77777777" w:rsidR="005B699B" w:rsidRDefault="005B699B" w:rsidP="00B728DA">
          <w:pPr>
            <w:pStyle w:val="Header"/>
            <w:jc w:val="center"/>
          </w:pPr>
        </w:p>
      </w:tc>
      <w:tc>
        <w:tcPr>
          <w:tcW w:w="4760" w:type="dxa"/>
        </w:tcPr>
        <w:p w14:paraId="36ABBA90" w14:textId="77777777" w:rsidR="005B699B" w:rsidRDefault="005B699B" w:rsidP="00B728DA">
          <w:pPr>
            <w:pStyle w:val="Header"/>
            <w:ind w:right="-115"/>
            <w:jc w:val="right"/>
          </w:pPr>
        </w:p>
      </w:tc>
    </w:tr>
  </w:tbl>
  <w:p w14:paraId="0A389613" w14:textId="77777777" w:rsidR="005B699B" w:rsidRDefault="005B69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A803" w14:textId="6F441342" w:rsidR="00AA30BB" w:rsidRPr="0037564B" w:rsidRDefault="00252E66" w:rsidP="00252E66">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tab/>
    </w:r>
    <w:r w:rsidRPr="00DE6C85">
      <w:rPr>
        <w:b w:val="0"/>
        <w:bCs/>
      </w:rPr>
      <w:fldChar w:fldCharType="begin"/>
    </w:r>
    <w:r w:rsidRPr="00DE6C85">
      <w:rPr>
        <w:bCs/>
      </w:rPr>
      <w:instrText xml:space="preserve"> PAGE </w:instrText>
    </w:r>
    <w:r w:rsidRPr="00DE6C85">
      <w:rPr>
        <w:b w:val="0"/>
        <w:bCs/>
      </w:rPr>
      <w:fldChar w:fldCharType="separate"/>
    </w:r>
    <w:r w:rsidR="003835DE">
      <w:rPr>
        <w:bCs/>
        <w:noProof/>
      </w:rPr>
      <w:t>113</w:t>
    </w:r>
    <w:r w:rsidRPr="00DE6C85">
      <w:rPr>
        <w:b w:val="0"/>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5EDD58C4" w14:textId="77777777" w:rsidTr="00B728DA">
      <w:trPr>
        <w:trHeight w:val="300"/>
      </w:trPr>
      <w:tc>
        <w:tcPr>
          <w:tcW w:w="4760" w:type="dxa"/>
        </w:tcPr>
        <w:p w14:paraId="30F890AD" w14:textId="77777777" w:rsidR="005B699B" w:rsidRDefault="005B699B" w:rsidP="00B728DA">
          <w:pPr>
            <w:pStyle w:val="Header"/>
            <w:ind w:left="-115"/>
          </w:pPr>
        </w:p>
      </w:tc>
      <w:tc>
        <w:tcPr>
          <w:tcW w:w="4760" w:type="dxa"/>
        </w:tcPr>
        <w:p w14:paraId="4AD300F5" w14:textId="77777777" w:rsidR="005B699B" w:rsidRDefault="005B699B" w:rsidP="00B728DA">
          <w:pPr>
            <w:pStyle w:val="Header"/>
            <w:jc w:val="center"/>
          </w:pPr>
        </w:p>
      </w:tc>
      <w:tc>
        <w:tcPr>
          <w:tcW w:w="4760" w:type="dxa"/>
        </w:tcPr>
        <w:p w14:paraId="1BD8951E" w14:textId="77777777" w:rsidR="005B699B" w:rsidRDefault="005B699B" w:rsidP="00B728DA">
          <w:pPr>
            <w:pStyle w:val="Header"/>
            <w:ind w:right="-115"/>
            <w:jc w:val="right"/>
          </w:pPr>
        </w:p>
      </w:tc>
    </w:tr>
  </w:tbl>
  <w:p w14:paraId="6CA3523C" w14:textId="77777777" w:rsidR="005B699B" w:rsidRDefault="005B69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6B26" w14:textId="6BAE915B" w:rsidR="005B699B" w:rsidRPr="002705DA" w:rsidRDefault="005B699B" w:rsidP="00785BA1">
    <w:pPr>
      <w:pStyle w:val="Header"/>
      <w:tabs>
        <w:tab w:val="left" w:pos="8931"/>
        <w:tab w:val="left" w:pos="13750"/>
        <w:tab w:val="left" w:pos="13892"/>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E00A" w14:textId="6BA954EC" w:rsidR="005B699B" w:rsidRPr="00732DE2" w:rsidRDefault="005B699B" w:rsidP="00785BA1">
    <w:pPr>
      <w:pStyle w:val="Header"/>
      <w:tabs>
        <w:tab w:val="left" w:pos="8931"/>
      </w:tabs>
    </w:pPr>
    <w:r w:rsidRPr="007B446A">
      <w:t>Policy and funding guidelines 202</w:t>
    </w:r>
    <w:r w:rsidR="008A5F31">
      <w:t>5</w:t>
    </w:r>
    <w:r w:rsidRPr="007B446A">
      <w:t>–2</w:t>
    </w:r>
    <w:r w:rsidR="008A5F31">
      <w:t>6</w:t>
    </w:r>
    <w:r w:rsidRPr="007B446A">
      <w:t xml:space="preserve">: </w:t>
    </w:r>
    <w:r>
      <w:t>f</w:t>
    </w:r>
    <w:r w:rsidRPr="007B446A">
      <w:t>unding rules</w:t>
    </w:r>
    <w:r w:rsidR="00A87AD4">
      <w:tab/>
    </w:r>
    <w:r w:rsidRPr="00DE6C85">
      <w:rPr>
        <w:bCs/>
      </w:rPr>
      <w:fldChar w:fldCharType="begin"/>
    </w:r>
    <w:r w:rsidRPr="00DE6C85">
      <w:rPr>
        <w:bCs/>
      </w:rPr>
      <w:instrText xml:space="preserve"> PAGE </w:instrText>
    </w:r>
    <w:r w:rsidRPr="00DE6C85">
      <w:rPr>
        <w:bCs/>
      </w:rPr>
      <w:fldChar w:fldCharType="separate"/>
    </w:r>
    <w:r w:rsidR="003835DE">
      <w:rPr>
        <w:bCs/>
        <w:noProof/>
      </w:rPr>
      <w:t>118</w:t>
    </w:r>
    <w:r w:rsidRPr="00DE6C85">
      <w:rPr>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A663" w14:textId="77777777" w:rsidR="005B699B" w:rsidRDefault="005B699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F0A6" w14:textId="77777777" w:rsidR="00431A70" w:rsidRPr="00454A7D" w:rsidRDefault="00431A70" w:rsidP="00785BA1">
    <w:pPr>
      <w:pStyle w:val="Header"/>
      <w:tabs>
        <w:tab w:val="left" w:pos="8931"/>
        <w:tab w:val="left" w:pos="13750"/>
        <w:tab w:val="left" w:pos="13892"/>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30C2" w14:textId="762B8A1A" w:rsidR="00562811" w:rsidRPr="0051568D" w:rsidRDefault="00673624" w:rsidP="0017674D">
    <w:pPr>
      <w:pStyle w:val="Header"/>
    </w:pPr>
    <w:r w:rsidRPr="007B446A">
      <w:t>Policy and funding guidelines 202</w:t>
    </w:r>
    <w:r>
      <w:t>4</w:t>
    </w:r>
    <w:r w:rsidRPr="007B446A">
      <w:t>–2</w:t>
    </w:r>
    <w:r>
      <w:t>5</w:t>
    </w:r>
    <w:r w:rsidRPr="007B446A">
      <w:t xml:space="preserve">: </w:t>
    </w:r>
    <w:r>
      <w:t>f</w:t>
    </w:r>
    <w:r w:rsidRPr="007B446A">
      <w:t>unding rules</w:t>
    </w:r>
    <w:r>
      <w:t xml:space="preserv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926C70">
      <w:rPr>
        <w:bCs/>
        <w:noProof/>
      </w:rPr>
      <w:t>131</w:t>
    </w:r>
    <w:r w:rsidR="00562811"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1873" w14:textId="28A77740" w:rsidR="005B699B" w:rsidRDefault="005B699B" w:rsidP="00785BA1">
    <w:pPr>
      <w:pStyle w:val="Header"/>
      <w:tabs>
        <w:tab w:val="left" w:pos="8931"/>
      </w:tabs>
    </w:pPr>
    <w:r w:rsidRPr="00342BA9">
      <w:t xml:space="preserve">Policy and </w:t>
    </w:r>
    <w:r>
      <w:t>f</w:t>
    </w:r>
    <w:r w:rsidRPr="00342BA9">
      <w:t xml:space="preserve">unding </w:t>
    </w:r>
    <w:r>
      <w:t>g</w:t>
    </w:r>
    <w:r w:rsidRPr="00342BA9">
      <w:t>uidelines 202</w:t>
    </w:r>
    <w:r w:rsidR="00B27A83">
      <w:t>5</w:t>
    </w:r>
    <w:r w:rsidRPr="00342BA9">
      <w:t>–2</w:t>
    </w:r>
    <w:r w:rsidR="00B27A83">
      <w:t>6</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2</w:t>
    </w:r>
    <w:r w:rsidRPr="00AE6427">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6EB4" w14:textId="77777777" w:rsidR="00DE5C64" w:rsidRDefault="00DE5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45C8" w14:textId="3B0C6E72" w:rsidR="005B699B" w:rsidRDefault="005B699B" w:rsidP="00785BA1">
    <w:pPr>
      <w:pStyle w:val="Header"/>
      <w:tabs>
        <w:tab w:val="left" w:pos="8931"/>
      </w:tabs>
    </w:pPr>
    <w:r w:rsidRPr="00342BA9">
      <w:t xml:space="preserve">Policy and </w:t>
    </w:r>
    <w:r>
      <w:t>f</w:t>
    </w:r>
    <w:r w:rsidRPr="00342BA9">
      <w:t xml:space="preserve">unding </w:t>
    </w:r>
    <w:r>
      <w:t>g</w:t>
    </w:r>
    <w:r w:rsidRPr="00342BA9">
      <w:t>uidelines 202</w:t>
    </w:r>
    <w:r w:rsidR="005934FE">
      <w:t>5</w:t>
    </w:r>
    <w:r w:rsidRPr="00342BA9">
      <w:t>–2</w:t>
    </w:r>
    <w:r w:rsidR="005934FE">
      <w:t>6</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2</w:t>
    </w:r>
    <w:r w:rsidRPr="00AE642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37BB" w14:textId="77777777" w:rsidR="005B699B" w:rsidRDefault="005B699B" w:rsidP="00785BA1">
    <w:pPr>
      <w:pStyle w:val="Header"/>
      <w:tabs>
        <w:tab w:val="left" w:pos="8931"/>
        <w:tab w:val="left" w:pos="13892"/>
      </w:tabs>
    </w:pPr>
    <w:r w:rsidRPr="00695D13">
      <w:t>Policy and funding guidelines 202</w:t>
    </w:r>
    <w:r>
      <w:t>4</w:t>
    </w:r>
    <w:r w:rsidRPr="00695D13">
      <w:t>–2</w:t>
    </w:r>
    <w:r>
      <w:t>5</w:t>
    </w:r>
    <w:r w:rsidRPr="00695D13">
      <w:t xml:space="preserve">: </w:t>
    </w:r>
    <w:r>
      <w:t>f</w:t>
    </w:r>
    <w:r w:rsidRPr="00695D13">
      <w:t>unding rules</w:t>
    </w:r>
    <w:r>
      <w:rPr>
        <w:color w:val="auto"/>
      </w:rPr>
      <w:tab/>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7</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5D521BD7" w14:textId="77777777" w:rsidTr="00B728DA">
      <w:trPr>
        <w:trHeight w:val="300"/>
      </w:trPr>
      <w:tc>
        <w:tcPr>
          <w:tcW w:w="4760" w:type="dxa"/>
        </w:tcPr>
        <w:p w14:paraId="78E43220" w14:textId="77777777" w:rsidR="005B699B" w:rsidRDefault="005B699B" w:rsidP="00B728DA">
          <w:pPr>
            <w:pStyle w:val="Header"/>
            <w:ind w:left="-115"/>
          </w:pPr>
        </w:p>
      </w:tc>
      <w:tc>
        <w:tcPr>
          <w:tcW w:w="4760" w:type="dxa"/>
        </w:tcPr>
        <w:p w14:paraId="6563DD66" w14:textId="77777777" w:rsidR="005B699B" w:rsidRDefault="005B699B" w:rsidP="00B728DA">
          <w:pPr>
            <w:pStyle w:val="Header"/>
            <w:jc w:val="center"/>
          </w:pPr>
        </w:p>
      </w:tc>
      <w:tc>
        <w:tcPr>
          <w:tcW w:w="4760" w:type="dxa"/>
        </w:tcPr>
        <w:p w14:paraId="433181EC" w14:textId="77777777" w:rsidR="005B699B" w:rsidRDefault="005B699B" w:rsidP="00B728DA">
          <w:pPr>
            <w:pStyle w:val="Header"/>
            <w:ind w:right="-115"/>
            <w:jc w:val="right"/>
          </w:pPr>
        </w:p>
      </w:tc>
    </w:tr>
  </w:tbl>
  <w:p w14:paraId="3202F088" w14:textId="77777777" w:rsidR="005B699B" w:rsidRDefault="005B69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68C0" w14:textId="3996C8F2" w:rsidR="00DE5C64" w:rsidRPr="0037564B" w:rsidRDefault="00673624" w:rsidP="00FB44E2">
    <w:pPr>
      <w:pStyle w:val="Header"/>
      <w:tabs>
        <w:tab w:val="left" w:pos="12474"/>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tab/>
    </w:r>
    <w:r w:rsidRPr="00DE6C85">
      <w:rPr>
        <w:b w:val="0"/>
        <w:bCs/>
      </w:rPr>
      <w:fldChar w:fldCharType="begin"/>
    </w:r>
    <w:r w:rsidRPr="00DE6C85">
      <w:rPr>
        <w:bCs/>
      </w:rPr>
      <w:instrText xml:space="preserve"> PAGE </w:instrText>
    </w:r>
    <w:r w:rsidRPr="00DE6C85">
      <w:rPr>
        <w:b w:val="0"/>
        <w:bCs/>
      </w:rPr>
      <w:fldChar w:fldCharType="separate"/>
    </w:r>
    <w:r w:rsidR="003835DE">
      <w:rPr>
        <w:bCs/>
        <w:noProof/>
      </w:rPr>
      <w:t>86</w:t>
    </w:r>
    <w:r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F411" w14:textId="61206A61" w:rsidR="00DE5C64" w:rsidRPr="00333328" w:rsidRDefault="00673624" w:rsidP="00785BA1">
    <w:pPr>
      <w:pStyle w:val="Header"/>
      <w:tabs>
        <w:tab w:val="left" w:pos="8931"/>
      </w:tabs>
      <w:rPr>
        <w:b w:val="0"/>
        <w:color w:val="auto"/>
      </w:rPr>
    </w:pPr>
    <w:r w:rsidRPr="00342BA9">
      <w:t xml:space="preserve">Policy and </w:t>
    </w:r>
    <w:r>
      <w:t>f</w:t>
    </w:r>
    <w:r w:rsidRPr="00342BA9">
      <w:t xml:space="preserve">unding </w:t>
    </w:r>
    <w:r>
      <w:t>g</w:t>
    </w:r>
    <w:r w:rsidRPr="00342BA9">
      <w:t>uidelines 202</w:t>
    </w:r>
    <w:r w:rsidR="008A5F31">
      <w:t>5</w:t>
    </w:r>
    <w:r>
      <w:t>–2</w:t>
    </w:r>
    <w:r w:rsidR="008A5F31">
      <w:t>6</w:t>
    </w:r>
    <w:r w:rsidRPr="00342BA9">
      <w:t xml:space="preserve">: </w:t>
    </w:r>
    <w:r>
      <w:t>f</w:t>
    </w:r>
    <w:r w:rsidRPr="00342BA9">
      <w:t xml:space="preserve">unding </w:t>
    </w:r>
    <w:r>
      <w:t>r</w:t>
    </w:r>
    <w:r w:rsidRPr="00342BA9">
      <w:t>u</w:t>
    </w:r>
    <w:r>
      <w:t>les</w:t>
    </w:r>
    <w:r>
      <w:tab/>
    </w:r>
    <w:r w:rsidRPr="00AE6427">
      <w:fldChar w:fldCharType="begin"/>
    </w:r>
    <w:r w:rsidRPr="00AE6427">
      <w:instrText xml:space="preserve"> PAGE </w:instrText>
    </w:r>
    <w:r w:rsidRPr="00AE6427">
      <w:fldChar w:fldCharType="separate"/>
    </w:r>
    <w:r w:rsidR="003835DE">
      <w:rPr>
        <w:noProof/>
      </w:rPr>
      <w:t>91</w:t>
    </w:r>
    <w:r w:rsidRPr="00AE642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DE23" w14:textId="66B755D3" w:rsidR="005B699B" w:rsidRDefault="005B699B" w:rsidP="00785BA1">
    <w:pPr>
      <w:pStyle w:val="Header"/>
      <w:tabs>
        <w:tab w:val="left" w:pos="8931"/>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4F05" w14:textId="2B1F4F6A" w:rsidR="005B699B" w:rsidRPr="0037564B" w:rsidRDefault="005B699B" w:rsidP="00785BA1">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rsidR="00216560">
      <w:tab/>
    </w:r>
    <w:r w:rsidRPr="00DE6C85">
      <w:rPr>
        <w:b w:val="0"/>
        <w:bCs/>
      </w:rPr>
      <w:fldChar w:fldCharType="begin"/>
    </w:r>
    <w:r w:rsidRPr="00DE6C85">
      <w:rPr>
        <w:bCs/>
      </w:rPr>
      <w:instrText xml:space="preserve"> PAGE </w:instrText>
    </w:r>
    <w:r w:rsidRPr="00DE6C85">
      <w:rPr>
        <w:b w:val="0"/>
        <w:bCs/>
      </w:rPr>
      <w:fldChar w:fldCharType="separate"/>
    </w:r>
    <w:r>
      <w:rPr>
        <w:b w:val="0"/>
        <w:bCs/>
      </w:rPr>
      <w:t>142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1875"/>
    <w:multiLevelType w:val="hybridMultilevel"/>
    <w:tmpl w:val="EB5009F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3D0698B"/>
    <w:multiLevelType w:val="hybridMultilevel"/>
    <w:tmpl w:val="7558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069DA"/>
    <w:multiLevelType w:val="hybridMultilevel"/>
    <w:tmpl w:val="38C6965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A52C6"/>
    <w:multiLevelType w:val="hybridMultilevel"/>
    <w:tmpl w:val="5E4A9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8D43DB"/>
    <w:multiLevelType w:val="multilevel"/>
    <w:tmpl w:val="B33A2DBC"/>
    <w:numStyleLink w:val="ZZNumbersdigit"/>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6A3DA8"/>
    <w:multiLevelType w:val="multilevel"/>
    <w:tmpl w:val="4FACDD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595959" w:themeColor="text1" w:themeTint="A6"/>
      </w:rPr>
    </w:lvl>
    <w:lvl w:ilvl="2">
      <w:start w:val="1"/>
      <w:numFmt w:val="decimal"/>
      <w:lvlText w:val="%1.%2.%3"/>
      <w:lvlJc w:val="left"/>
      <w:pPr>
        <w:ind w:left="1134" w:hanging="113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0AD7469"/>
    <w:multiLevelType w:val="hybridMultilevel"/>
    <w:tmpl w:val="3DCC3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AA7129"/>
    <w:multiLevelType w:val="multilevel"/>
    <w:tmpl w:val="54468906"/>
    <w:styleLink w:val="ZZBox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8FD69E0"/>
    <w:multiLevelType w:val="multilevel"/>
    <w:tmpl w:val="381629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lvl>
    <w:lvl w:ilvl="2">
      <w:start w:val="1"/>
      <w:numFmt w:val="decimal"/>
      <w:pStyle w:val="Heading3"/>
      <w:lvlText w:val="%1.4.%3"/>
      <w:lvlJc w:val="left"/>
      <w:pPr>
        <w:ind w:left="720" w:hanging="720"/>
      </w:pPr>
    </w:lvl>
    <w:lvl w:ilvl="3">
      <w:start w:val="1"/>
      <w:numFmt w:val="decimal"/>
      <w:lvlText w:val=""/>
      <w:lvlJc w:val="left"/>
      <w:pPr>
        <w:ind w:left="720" w:hanging="36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C952770"/>
    <w:multiLevelType w:val="hybridMultilevel"/>
    <w:tmpl w:val="6690157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C10DD"/>
    <w:multiLevelType w:val="singleLevel"/>
    <w:tmpl w:val="B8EA5F86"/>
    <w:lvl w:ilvl="0">
      <w:start w:val="1"/>
      <w:numFmt w:val="bullet"/>
      <w:pStyle w:val="Tablebullet1"/>
      <w:lvlText w:val=""/>
      <w:lvlJc w:val="left"/>
      <w:pPr>
        <w:ind w:left="360" w:hanging="360"/>
      </w:pPr>
      <w:rPr>
        <w:rFonts w:ascii="Symbol" w:hAnsi="Symbol" w:hint="default"/>
      </w:rPr>
    </w:lvl>
  </w:abstractNum>
  <w:abstractNum w:abstractNumId="13" w15:restartNumberingAfterBreak="0">
    <w:nsid w:val="26C05633"/>
    <w:multiLevelType w:val="hybridMultilevel"/>
    <w:tmpl w:val="D8BA01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9C1828"/>
    <w:multiLevelType w:val="hybridMultilevel"/>
    <w:tmpl w:val="DAD4A45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A2B11"/>
    <w:multiLevelType w:val="hybridMultilevel"/>
    <w:tmpl w:val="8A94ED12"/>
    <w:lvl w:ilvl="0" w:tplc="3E06BF8C">
      <w:start w:val="1"/>
      <w:numFmt w:val="decimal"/>
      <w:suff w:val="nothing"/>
      <w:lvlText w:val=""/>
      <w:lvlJc w:val="left"/>
      <w:pPr>
        <w:ind w:left="0" w:firstLine="0"/>
      </w:pPr>
    </w:lvl>
    <w:lvl w:ilvl="1" w:tplc="FE36FEAC">
      <w:start w:val="1"/>
      <w:numFmt w:val="bullet"/>
      <w:lvlRestart w:val="0"/>
      <w:lvlText w:val="•"/>
      <w:lvlJc w:val="left"/>
      <w:pPr>
        <w:ind w:left="284" w:hanging="284"/>
      </w:pPr>
      <w:rPr>
        <w:rFonts w:hint="default"/>
      </w:rPr>
    </w:lvl>
    <w:lvl w:ilvl="2" w:tplc="92CAF36A">
      <w:start w:val="1"/>
      <w:numFmt w:val="decimal"/>
      <w:lvlRestart w:val="1"/>
      <w:lvlText w:val="%3."/>
      <w:lvlJc w:val="left"/>
      <w:pPr>
        <w:tabs>
          <w:tab w:val="num" w:pos="397"/>
        </w:tabs>
        <w:ind w:left="397" w:hanging="397"/>
      </w:pPr>
    </w:lvl>
    <w:lvl w:ilvl="3" w:tplc="B1DE03C4">
      <w:start w:val="1"/>
      <w:numFmt w:val="lowerRoman"/>
      <w:lvlRestart w:val="1"/>
      <w:lvlText w:val="%4."/>
      <w:lvlJc w:val="left"/>
      <w:pPr>
        <w:tabs>
          <w:tab w:val="num" w:pos="397"/>
        </w:tabs>
        <w:ind w:left="397" w:hanging="397"/>
      </w:pPr>
    </w:lvl>
    <w:lvl w:ilvl="4" w:tplc="C9BCA8F8">
      <w:start w:val="1"/>
      <w:numFmt w:val="decimal"/>
      <w:lvlRestart w:val="0"/>
      <w:lvlText w:val=""/>
      <w:lvlJc w:val="left"/>
      <w:pPr>
        <w:ind w:left="0" w:firstLine="0"/>
      </w:pPr>
    </w:lvl>
    <w:lvl w:ilvl="5" w:tplc="B02E8214">
      <w:start w:val="1"/>
      <w:numFmt w:val="decimal"/>
      <w:lvlRestart w:val="0"/>
      <w:lvlText w:val=""/>
      <w:lvlJc w:val="left"/>
      <w:pPr>
        <w:ind w:left="0" w:firstLine="0"/>
      </w:pPr>
    </w:lvl>
    <w:lvl w:ilvl="6" w:tplc="9E163FBA">
      <w:start w:val="1"/>
      <w:numFmt w:val="decimal"/>
      <w:lvlRestart w:val="0"/>
      <w:lvlText w:val=""/>
      <w:lvlJc w:val="left"/>
      <w:pPr>
        <w:ind w:left="0" w:firstLine="0"/>
      </w:pPr>
    </w:lvl>
    <w:lvl w:ilvl="7" w:tplc="40BE326A">
      <w:start w:val="1"/>
      <w:numFmt w:val="decimal"/>
      <w:lvlRestart w:val="0"/>
      <w:lvlText w:val=""/>
      <w:lvlJc w:val="left"/>
      <w:pPr>
        <w:ind w:left="0" w:firstLine="0"/>
      </w:pPr>
    </w:lvl>
    <w:lvl w:ilvl="8" w:tplc="59081CD0">
      <w:start w:val="1"/>
      <w:numFmt w:val="decimal"/>
      <w:lvlRestart w:val="0"/>
      <w:lvlText w:val=""/>
      <w:lvlJc w:val="left"/>
      <w:pPr>
        <w:ind w:left="0" w:firstLine="0"/>
      </w:pPr>
    </w:lvl>
  </w:abstractNum>
  <w:abstractNum w:abstractNumId="16" w15:restartNumberingAfterBreak="0">
    <w:nsid w:val="30BC56EA"/>
    <w:multiLevelType w:val="hybridMultilevel"/>
    <w:tmpl w:val="3CCA804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C2A5B"/>
    <w:multiLevelType w:val="hybridMultilevel"/>
    <w:tmpl w:val="5644CC3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Tablebullet2"/>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22B2BAC"/>
    <w:multiLevelType w:val="hybridMultilevel"/>
    <w:tmpl w:val="DF6CB00A"/>
    <w:lvl w:ilvl="0" w:tplc="097411C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8743C4"/>
    <w:multiLevelType w:val="hybridMultilevel"/>
    <w:tmpl w:val="079C54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33F5B"/>
    <w:multiLevelType w:val="hybridMultilevel"/>
    <w:tmpl w:val="900A455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51EDA"/>
    <w:multiLevelType w:val="hybridMultilevel"/>
    <w:tmpl w:val="8234AD5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5A06B4"/>
    <w:multiLevelType w:val="hybridMultilevel"/>
    <w:tmpl w:val="9D7E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373BCF"/>
    <w:multiLevelType w:val="hybridMultilevel"/>
    <w:tmpl w:val="7834EB2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44088"/>
    <w:multiLevelType w:val="hybridMultilevel"/>
    <w:tmpl w:val="C764DBD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1C065CFC"/>
    <w:styleLink w:val="ZZTablebullets"/>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6CF20CA8"/>
    <w:styleLink w:val="ZZ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973C14"/>
    <w:multiLevelType w:val="hybridMultilevel"/>
    <w:tmpl w:val="0FB4D2E4"/>
    <w:styleLink w:val="CurrentList1"/>
    <w:lvl w:ilvl="0" w:tplc="FFFFFFFF">
      <w:start w:val="1"/>
      <w:numFmt w:val="lowerRoman"/>
      <w:lvlText w:val="%1."/>
      <w:lvlJc w:val="right"/>
      <w:pPr>
        <w:ind w:left="749" w:hanging="360"/>
      </w:p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30" w15:restartNumberingAfterBreak="0">
    <w:nsid w:val="5AB1142E"/>
    <w:multiLevelType w:val="hybridMultilevel"/>
    <w:tmpl w:val="C1F8E890"/>
    <w:styleLink w:val="ZZTablebullets105pt"/>
    <w:lvl w:ilvl="0" w:tplc="DC7299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B6C68FC"/>
    <w:multiLevelType w:val="hybridMultilevel"/>
    <w:tmpl w:val="BA3C111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663EC2"/>
    <w:multiLevelType w:val="hybridMultilevel"/>
    <w:tmpl w:val="C1243384"/>
    <w:styleLink w:val="ZZTablenoteroman"/>
    <w:lvl w:ilvl="0" w:tplc="FFFFFFFF">
      <w:start w:val="1"/>
      <w:numFmt w:val="bullet"/>
      <w:lvlText w:val=""/>
      <w:lvlJc w:val="left"/>
      <w:pPr>
        <w:ind w:left="360" w:hanging="360"/>
      </w:pPr>
      <w:rPr>
        <w:rFonts w:ascii="Symbol" w:hAnsi="Symbol" w:hint="default"/>
      </w:rPr>
    </w:lvl>
    <w:lvl w:ilvl="1" w:tplc="94A2821C">
      <w:start w:val="1"/>
      <w:numFmt w:val="bullet"/>
      <w:pStyle w:val="Bullet2"/>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F672510"/>
    <w:multiLevelType w:val="hybridMultilevel"/>
    <w:tmpl w:val="19D8C8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247698"/>
    <w:multiLevelType w:val="hybridMultilevel"/>
    <w:tmpl w:val="1398EF24"/>
    <w:lvl w:ilvl="0" w:tplc="55C258B0">
      <w:start w:val="1"/>
      <w:numFmt w:val="bullet"/>
      <w:pStyle w:val="Tablebullet9pt"/>
      <w:lvlText w:val="•"/>
      <w:lvlJc w:val="left"/>
      <w:pPr>
        <w:ind w:left="227" w:hanging="227"/>
      </w:pPr>
      <w:rPr>
        <w:rFonts w:ascii="Calibri" w:hAnsi="Calibri" w:hint="default"/>
      </w:rPr>
    </w:lvl>
    <w:lvl w:ilvl="1" w:tplc="BC20A024">
      <w:start w:val="1"/>
      <w:numFmt w:val="decimal"/>
      <w:lvlRestart w:val="0"/>
      <w:lvlText w:val=""/>
      <w:lvlJc w:val="left"/>
      <w:pPr>
        <w:ind w:left="0" w:firstLine="0"/>
      </w:pPr>
    </w:lvl>
    <w:lvl w:ilvl="2" w:tplc="06F078C0">
      <w:start w:val="1"/>
      <w:numFmt w:val="decimal"/>
      <w:lvlRestart w:val="0"/>
      <w:lvlText w:val=""/>
      <w:lvlJc w:val="left"/>
      <w:pPr>
        <w:ind w:left="0" w:firstLine="0"/>
      </w:pPr>
    </w:lvl>
    <w:lvl w:ilvl="3" w:tplc="C1C2E074">
      <w:start w:val="1"/>
      <w:numFmt w:val="decimal"/>
      <w:lvlRestart w:val="0"/>
      <w:lvlText w:val=""/>
      <w:lvlJc w:val="left"/>
      <w:pPr>
        <w:ind w:left="0" w:firstLine="0"/>
      </w:pPr>
    </w:lvl>
    <w:lvl w:ilvl="4" w:tplc="5A12BDC2">
      <w:start w:val="1"/>
      <w:numFmt w:val="decimal"/>
      <w:lvlRestart w:val="0"/>
      <w:lvlText w:val=""/>
      <w:lvlJc w:val="left"/>
      <w:pPr>
        <w:ind w:left="0" w:firstLine="0"/>
      </w:pPr>
    </w:lvl>
    <w:lvl w:ilvl="5" w:tplc="40FC5E4A">
      <w:start w:val="1"/>
      <w:numFmt w:val="decimal"/>
      <w:lvlRestart w:val="0"/>
      <w:lvlText w:val=""/>
      <w:lvlJc w:val="left"/>
      <w:pPr>
        <w:ind w:left="0" w:firstLine="0"/>
      </w:pPr>
    </w:lvl>
    <w:lvl w:ilvl="6" w:tplc="91747F7E">
      <w:start w:val="1"/>
      <w:numFmt w:val="decimal"/>
      <w:lvlRestart w:val="0"/>
      <w:lvlText w:val=""/>
      <w:lvlJc w:val="left"/>
      <w:pPr>
        <w:ind w:left="0" w:firstLine="0"/>
      </w:pPr>
    </w:lvl>
    <w:lvl w:ilvl="7" w:tplc="9E465B2E">
      <w:start w:val="1"/>
      <w:numFmt w:val="decimal"/>
      <w:lvlRestart w:val="0"/>
      <w:lvlText w:val=""/>
      <w:lvlJc w:val="left"/>
      <w:pPr>
        <w:ind w:left="0" w:firstLine="0"/>
      </w:pPr>
    </w:lvl>
    <w:lvl w:ilvl="8" w:tplc="4A3C4388">
      <w:start w:val="1"/>
      <w:numFmt w:val="decimal"/>
      <w:lvlRestart w:val="0"/>
      <w:lvlText w:val=""/>
      <w:lvlJc w:val="left"/>
      <w:pPr>
        <w:ind w:left="0" w:firstLine="0"/>
      </w:pPr>
    </w:lvl>
  </w:abstractNum>
  <w:abstractNum w:abstractNumId="36" w15:restartNumberingAfterBreak="0">
    <w:nsid w:val="73EB3D29"/>
    <w:multiLevelType w:val="hybridMultilevel"/>
    <w:tmpl w:val="2C9EE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8D66D9"/>
    <w:multiLevelType w:val="hybridMultilevel"/>
    <w:tmpl w:val="A61E4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C421ED"/>
    <w:multiLevelType w:val="hybridMultilevel"/>
    <w:tmpl w:val="01906DBA"/>
    <w:lvl w:ilvl="0" w:tplc="0288960C">
      <w:start w:val="1"/>
      <w:numFmt w:val="lowerRoman"/>
      <w:pStyle w:val="Tablenoteroman"/>
      <w:lvlText w:val="%1."/>
      <w:lvlJc w:val="right"/>
      <w:pPr>
        <w:ind w:left="749" w:hanging="360"/>
      </w:pPr>
      <w:rPr>
        <w:b w:val="0"/>
        <w:bCs/>
      </w:r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39" w15:restartNumberingAfterBreak="0">
    <w:nsid w:val="7EBD623E"/>
    <w:multiLevelType w:val="hybridMultilevel"/>
    <w:tmpl w:val="4B64B20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5791053">
    <w:abstractNumId w:val="18"/>
  </w:num>
  <w:num w:numId="2" w16cid:durableId="1958678138">
    <w:abstractNumId w:val="28"/>
  </w:num>
  <w:num w:numId="3" w16cid:durableId="567348673">
    <w:abstractNumId w:val="27"/>
  </w:num>
  <w:num w:numId="4" w16cid:durableId="948663205">
    <w:abstractNumId w:val="31"/>
  </w:num>
  <w:num w:numId="5" w16cid:durableId="1104885484">
    <w:abstractNumId w:val="19"/>
  </w:num>
  <w:num w:numId="6" w16cid:durableId="367535064">
    <w:abstractNumId w:val="6"/>
  </w:num>
  <w:num w:numId="7" w16cid:durableId="132377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472789">
    <w:abstractNumId w:val="30"/>
  </w:num>
  <w:num w:numId="9" w16cid:durableId="2141536474">
    <w:abstractNumId w:val="9"/>
  </w:num>
  <w:num w:numId="10" w16cid:durableId="1840536388">
    <w:abstractNumId w:val="5"/>
  </w:num>
  <w:num w:numId="11" w16cid:durableId="165860550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677651">
    <w:abstractNumId w:val="7"/>
  </w:num>
  <w:num w:numId="13" w16cid:durableId="1657807814">
    <w:abstractNumId w:val="35"/>
  </w:num>
  <w:num w:numId="14" w16cid:durableId="1262571510">
    <w:abstractNumId w:val="34"/>
  </w:num>
  <w:num w:numId="15" w16cid:durableId="1584073352">
    <w:abstractNumId w:val="13"/>
  </w:num>
  <w:num w:numId="16" w16cid:durableId="1240334658">
    <w:abstractNumId w:val="33"/>
  </w:num>
  <w:num w:numId="17" w16cid:durableId="1024594169">
    <w:abstractNumId w:val="23"/>
  </w:num>
  <w:num w:numId="18" w16cid:durableId="457918459">
    <w:abstractNumId w:val="11"/>
  </w:num>
  <w:num w:numId="19" w16cid:durableId="586421292">
    <w:abstractNumId w:val="3"/>
  </w:num>
  <w:num w:numId="20" w16cid:durableId="775248192">
    <w:abstractNumId w:val="22"/>
  </w:num>
  <w:num w:numId="21" w16cid:durableId="283928443">
    <w:abstractNumId w:val="14"/>
  </w:num>
  <w:num w:numId="22" w16cid:durableId="1987121727">
    <w:abstractNumId w:val="17"/>
  </w:num>
  <w:num w:numId="23" w16cid:durableId="250546375">
    <w:abstractNumId w:val="32"/>
  </w:num>
  <w:num w:numId="24" w16cid:durableId="1436906635">
    <w:abstractNumId w:val="21"/>
  </w:num>
  <w:num w:numId="25" w16cid:durableId="1152333151">
    <w:abstractNumId w:val="20"/>
  </w:num>
  <w:num w:numId="26" w16cid:durableId="732502939">
    <w:abstractNumId w:val="16"/>
  </w:num>
  <w:num w:numId="27" w16cid:durableId="386955888">
    <w:abstractNumId w:val="39"/>
  </w:num>
  <w:num w:numId="28" w16cid:durableId="91705557">
    <w:abstractNumId w:val="25"/>
  </w:num>
  <w:num w:numId="29" w16cid:durableId="1668053038">
    <w:abstractNumId w:val="26"/>
  </w:num>
  <w:num w:numId="30" w16cid:durableId="1488939945">
    <w:abstractNumId w:val="0"/>
  </w:num>
  <w:num w:numId="31" w16cid:durableId="1171065325">
    <w:abstractNumId w:val="4"/>
  </w:num>
  <w:num w:numId="32" w16cid:durableId="883829835">
    <w:abstractNumId w:val="37"/>
  </w:num>
  <w:num w:numId="33" w16cid:durableId="396245729">
    <w:abstractNumId w:val="8"/>
  </w:num>
  <w:num w:numId="34" w16cid:durableId="944656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0513666">
    <w:abstractNumId w:val="10"/>
  </w:num>
  <w:num w:numId="36" w16cid:durableId="687678571">
    <w:abstractNumId w:val="12"/>
  </w:num>
  <w:num w:numId="37" w16cid:durableId="1065034126">
    <w:abstractNumId w:val="38"/>
  </w:num>
  <w:num w:numId="38" w16cid:durableId="1351570683">
    <w:abstractNumId w:val="10"/>
  </w:num>
  <w:num w:numId="39" w16cid:durableId="419260001">
    <w:abstractNumId w:val="36"/>
  </w:num>
  <w:num w:numId="40" w16cid:durableId="377366036">
    <w:abstractNumId w:val="29"/>
  </w:num>
  <w:num w:numId="41" w16cid:durableId="740833016">
    <w:abstractNumId w:val="2"/>
  </w:num>
  <w:num w:numId="42" w16cid:durableId="661809023">
    <w:abstractNumId w:val="10"/>
  </w:num>
  <w:num w:numId="43" w16cid:durableId="202711818">
    <w:abstractNumId w:val="10"/>
  </w:num>
  <w:num w:numId="44" w16cid:durableId="205458075">
    <w:abstractNumId w:val="10"/>
  </w:num>
  <w:num w:numId="45" w16cid:durableId="545528051">
    <w:abstractNumId w:val="10"/>
  </w:num>
  <w:num w:numId="46" w16cid:durableId="60669797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134"/>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32"/>
    <w:rsid w:val="00000719"/>
    <w:rsid w:val="00000A08"/>
    <w:rsid w:val="00000F36"/>
    <w:rsid w:val="00001700"/>
    <w:rsid w:val="00001817"/>
    <w:rsid w:val="00001845"/>
    <w:rsid w:val="00001897"/>
    <w:rsid w:val="00001BAE"/>
    <w:rsid w:val="000021F8"/>
    <w:rsid w:val="00002243"/>
    <w:rsid w:val="000025D8"/>
    <w:rsid w:val="000027EB"/>
    <w:rsid w:val="00002870"/>
    <w:rsid w:val="00002B27"/>
    <w:rsid w:val="00002C5E"/>
    <w:rsid w:val="00002C5F"/>
    <w:rsid w:val="00002CC9"/>
    <w:rsid w:val="00002D68"/>
    <w:rsid w:val="00002DB9"/>
    <w:rsid w:val="00002FA1"/>
    <w:rsid w:val="000033F7"/>
    <w:rsid w:val="00003403"/>
    <w:rsid w:val="00003855"/>
    <w:rsid w:val="000038AD"/>
    <w:rsid w:val="000039C4"/>
    <w:rsid w:val="00004466"/>
    <w:rsid w:val="00004687"/>
    <w:rsid w:val="00004818"/>
    <w:rsid w:val="00004AAE"/>
    <w:rsid w:val="00004D30"/>
    <w:rsid w:val="00004FE3"/>
    <w:rsid w:val="0000525D"/>
    <w:rsid w:val="000052E5"/>
    <w:rsid w:val="00005347"/>
    <w:rsid w:val="0000563E"/>
    <w:rsid w:val="00005C9A"/>
    <w:rsid w:val="00005D20"/>
    <w:rsid w:val="00005FC3"/>
    <w:rsid w:val="00007236"/>
    <w:rsid w:val="000072B6"/>
    <w:rsid w:val="000072D7"/>
    <w:rsid w:val="00007425"/>
    <w:rsid w:val="00007D87"/>
    <w:rsid w:val="0001021B"/>
    <w:rsid w:val="00010316"/>
    <w:rsid w:val="00010D29"/>
    <w:rsid w:val="00010E96"/>
    <w:rsid w:val="00010EB4"/>
    <w:rsid w:val="00010F0A"/>
    <w:rsid w:val="00010FD7"/>
    <w:rsid w:val="00011103"/>
    <w:rsid w:val="00011120"/>
    <w:rsid w:val="000113F9"/>
    <w:rsid w:val="0001181B"/>
    <w:rsid w:val="00011D89"/>
    <w:rsid w:val="0001207E"/>
    <w:rsid w:val="00012130"/>
    <w:rsid w:val="00012742"/>
    <w:rsid w:val="00012DA8"/>
    <w:rsid w:val="00013218"/>
    <w:rsid w:val="00013373"/>
    <w:rsid w:val="00013A3D"/>
    <w:rsid w:val="00013A89"/>
    <w:rsid w:val="00013C10"/>
    <w:rsid w:val="00013C67"/>
    <w:rsid w:val="00013F54"/>
    <w:rsid w:val="000140D0"/>
    <w:rsid w:val="00014168"/>
    <w:rsid w:val="00014264"/>
    <w:rsid w:val="000143DA"/>
    <w:rsid w:val="0001451B"/>
    <w:rsid w:val="0001468F"/>
    <w:rsid w:val="0001472F"/>
    <w:rsid w:val="00014B4A"/>
    <w:rsid w:val="00015056"/>
    <w:rsid w:val="000152D7"/>
    <w:rsid w:val="00015401"/>
    <w:rsid w:val="000154FD"/>
    <w:rsid w:val="0001553D"/>
    <w:rsid w:val="0001566D"/>
    <w:rsid w:val="00015926"/>
    <w:rsid w:val="000161AB"/>
    <w:rsid w:val="0001631D"/>
    <w:rsid w:val="00016654"/>
    <w:rsid w:val="00016AA7"/>
    <w:rsid w:val="00016B2D"/>
    <w:rsid w:val="00016C50"/>
    <w:rsid w:val="00016D04"/>
    <w:rsid w:val="000170AC"/>
    <w:rsid w:val="00017379"/>
    <w:rsid w:val="0001738F"/>
    <w:rsid w:val="00017401"/>
    <w:rsid w:val="00017448"/>
    <w:rsid w:val="00017645"/>
    <w:rsid w:val="00017665"/>
    <w:rsid w:val="00017F6A"/>
    <w:rsid w:val="000201F7"/>
    <w:rsid w:val="000202DD"/>
    <w:rsid w:val="00020339"/>
    <w:rsid w:val="00020BC2"/>
    <w:rsid w:val="00020D1A"/>
    <w:rsid w:val="000210C4"/>
    <w:rsid w:val="000212BA"/>
    <w:rsid w:val="000214A6"/>
    <w:rsid w:val="0002177F"/>
    <w:rsid w:val="00021A5E"/>
    <w:rsid w:val="00021C1A"/>
    <w:rsid w:val="00021F47"/>
    <w:rsid w:val="000221FD"/>
    <w:rsid w:val="00022271"/>
    <w:rsid w:val="0002236C"/>
    <w:rsid w:val="000227EF"/>
    <w:rsid w:val="00022BF8"/>
    <w:rsid w:val="00022C33"/>
    <w:rsid w:val="00022F13"/>
    <w:rsid w:val="000230B1"/>
    <w:rsid w:val="00023185"/>
    <w:rsid w:val="00023352"/>
    <w:rsid w:val="000233AC"/>
    <w:rsid w:val="000234CE"/>
    <w:rsid w:val="000235E8"/>
    <w:rsid w:val="00023650"/>
    <w:rsid w:val="0002380B"/>
    <w:rsid w:val="0002386E"/>
    <w:rsid w:val="00023A57"/>
    <w:rsid w:val="00023C8A"/>
    <w:rsid w:val="00024042"/>
    <w:rsid w:val="00024404"/>
    <w:rsid w:val="00024485"/>
    <w:rsid w:val="000247E5"/>
    <w:rsid w:val="000249DC"/>
    <w:rsid w:val="00024D1C"/>
    <w:rsid w:val="00024D89"/>
    <w:rsid w:val="00024FEB"/>
    <w:rsid w:val="00025024"/>
    <w:rsid w:val="000250B6"/>
    <w:rsid w:val="000250EC"/>
    <w:rsid w:val="000253ED"/>
    <w:rsid w:val="0002554E"/>
    <w:rsid w:val="00025A7E"/>
    <w:rsid w:val="00026540"/>
    <w:rsid w:val="00026905"/>
    <w:rsid w:val="0002697B"/>
    <w:rsid w:val="00026F0E"/>
    <w:rsid w:val="00026F11"/>
    <w:rsid w:val="0002715F"/>
    <w:rsid w:val="00027ACA"/>
    <w:rsid w:val="00027BEB"/>
    <w:rsid w:val="00027C7A"/>
    <w:rsid w:val="00027F18"/>
    <w:rsid w:val="00030360"/>
    <w:rsid w:val="000305DB"/>
    <w:rsid w:val="00030CDD"/>
    <w:rsid w:val="00031026"/>
    <w:rsid w:val="000314E4"/>
    <w:rsid w:val="00031575"/>
    <w:rsid w:val="00031588"/>
    <w:rsid w:val="000319EC"/>
    <w:rsid w:val="00031F33"/>
    <w:rsid w:val="0003238B"/>
    <w:rsid w:val="00032602"/>
    <w:rsid w:val="00032934"/>
    <w:rsid w:val="0003299B"/>
    <w:rsid w:val="00032BC0"/>
    <w:rsid w:val="00032D03"/>
    <w:rsid w:val="0003301E"/>
    <w:rsid w:val="000338B2"/>
    <w:rsid w:val="00033A03"/>
    <w:rsid w:val="00033BB1"/>
    <w:rsid w:val="00033BED"/>
    <w:rsid w:val="00033D81"/>
    <w:rsid w:val="00033DC9"/>
    <w:rsid w:val="0003401E"/>
    <w:rsid w:val="000341A1"/>
    <w:rsid w:val="00034203"/>
    <w:rsid w:val="0003435B"/>
    <w:rsid w:val="000345AB"/>
    <w:rsid w:val="000346EF"/>
    <w:rsid w:val="000348D9"/>
    <w:rsid w:val="00034AEC"/>
    <w:rsid w:val="00035079"/>
    <w:rsid w:val="00035298"/>
    <w:rsid w:val="000355E3"/>
    <w:rsid w:val="00035B05"/>
    <w:rsid w:val="00036338"/>
    <w:rsid w:val="00036691"/>
    <w:rsid w:val="00036AD2"/>
    <w:rsid w:val="00036CC6"/>
    <w:rsid w:val="00036CC7"/>
    <w:rsid w:val="00036D5A"/>
    <w:rsid w:val="00037366"/>
    <w:rsid w:val="0003798B"/>
    <w:rsid w:val="00037B46"/>
    <w:rsid w:val="00037DF2"/>
    <w:rsid w:val="000400D3"/>
    <w:rsid w:val="00040252"/>
    <w:rsid w:val="00040254"/>
    <w:rsid w:val="000406AB"/>
    <w:rsid w:val="00040A72"/>
    <w:rsid w:val="00041176"/>
    <w:rsid w:val="00041213"/>
    <w:rsid w:val="00041716"/>
    <w:rsid w:val="0004175B"/>
    <w:rsid w:val="00041BF0"/>
    <w:rsid w:val="00041F45"/>
    <w:rsid w:val="0004205D"/>
    <w:rsid w:val="00042174"/>
    <w:rsid w:val="00042258"/>
    <w:rsid w:val="00042362"/>
    <w:rsid w:val="0004284B"/>
    <w:rsid w:val="00042A8A"/>
    <w:rsid w:val="00042C8A"/>
    <w:rsid w:val="000430DA"/>
    <w:rsid w:val="000431EB"/>
    <w:rsid w:val="000432AF"/>
    <w:rsid w:val="00043430"/>
    <w:rsid w:val="00043551"/>
    <w:rsid w:val="00043B3B"/>
    <w:rsid w:val="00043EB1"/>
    <w:rsid w:val="00043F26"/>
    <w:rsid w:val="00044169"/>
    <w:rsid w:val="00044591"/>
    <w:rsid w:val="00044ABD"/>
    <w:rsid w:val="00044BC8"/>
    <w:rsid w:val="00044D9D"/>
    <w:rsid w:val="00044E71"/>
    <w:rsid w:val="0004514E"/>
    <w:rsid w:val="00045217"/>
    <w:rsid w:val="000452C4"/>
    <w:rsid w:val="0004536B"/>
    <w:rsid w:val="000455BE"/>
    <w:rsid w:val="000456B3"/>
    <w:rsid w:val="000458E3"/>
    <w:rsid w:val="00045F12"/>
    <w:rsid w:val="00045F89"/>
    <w:rsid w:val="00046072"/>
    <w:rsid w:val="000463A7"/>
    <w:rsid w:val="0004640C"/>
    <w:rsid w:val="000466EF"/>
    <w:rsid w:val="00046AFC"/>
    <w:rsid w:val="00046B68"/>
    <w:rsid w:val="000470D7"/>
    <w:rsid w:val="000475E4"/>
    <w:rsid w:val="0004784F"/>
    <w:rsid w:val="00047A09"/>
    <w:rsid w:val="00047C79"/>
    <w:rsid w:val="00047E07"/>
    <w:rsid w:val="00050609"/>
    <w:rsid w:val="0005076B"/>
    <w:rsid w:val="00050EA7"/>
    <w:rsid w:val="000511C9"/>
    <w:rsid w:val="00051A59"/>
    <w:rsid w:val="00051E52"/>
    <w:rsid w:val="00051F15"/>
    <w:rsid w:val="00051FFE"/>
    <w:rsid w:val="0005248A"/>
    <w:rsid w:val="00052681"/>
    <w:rsid w:val="000526FA"/>
    <w:rsid w:val="000527DD"/>
    <w:rsid w:val="00052829"/>
    <w:rsid w:val="00052C7B"/>
    <w:rsid w:val="00052CB6"/>
    <w:rsid w:val="00052DA8"/>
    <w:rsid w:val="0005342D"/>
    <w:rsid w:val="000534B9"/>
    <w:rsid w:val="000539FB"/>
    <w:rsid w:val="00054728"/>
    <w:rsid w:val="00054A39"/>
    <w:rsid w:val="00054A71"/>
    <w:rsid w:val="000553E4"/>
    <w:rsid w:val="000554EF"/>
    <w:rsid w:val="000554FF"/>
    <w:rsid w:val="0005565A"/>
    <w:rsid w:val="0005569C"/>
    <w:rsid w:val="000558B8"/>
    <w:rsid w:val="000559DE"/>
    <w:rsid w:val="00055AE4"/>
    <w:rsid w:val="00055D93"/>
    <w:rsid w:val="00055DD1"/>
    <w:rsid w:val="00055DD9"/>
    <w:rsid w:val="00055F1A"/>
    <w:rsid w:val="000560DB"/>
    <w:rsid w:val="000561C0"/>
    <w:rsid w:val="0005631E"/>
    <w:rsid w:val="0005639C"/>
    <w:rsid w:val="00056686"/>
    <w:rsid w:val="000566EC"/>
    <w:rsid w:val="00056A43"/>
    <w:rsid w:val="00056B3D"/>
    <w:rsid w:val="00056D0D"/>
    <w:rsid w:val="00056EC4"/>
    <w:rsid w:val="00057413"/>
    <w:rsid w:val="000578B2"/>
    <w:rsid w:val="00057C2E"/>
    <w:rsid w:val="00057D2C"/>
    <w:rsid w:val="00057D42"/>
    <w:rsid w:val="00057DC4"/>
    <w:rsid w:val="00060076"/>
    <w:rsid w:val="00060123"/>
    <w:rsid w:val="00060173"/>
    <w:rsid w:val="00060748"/>
    <w:rsid w:val="00060959"/>
    <w:rsid w:val="00060A4E"/>
    <w:rsid w:val="00060C8F"/>
    <w:rsid w:val="00060CFF"/>
    <w:rsid w:val="000612E0"/>
    <w:rsid w:val="000614B9"/>
    <w:rsid w:val="000614D6"/>
    <w:rsid w:val="00061545"/>
    <w:rsid w:val="000615A5"/>
    <w:rsid w:val="00061697"/>
    <w:rsid w:val="000616F6"/>
    <w:rsid w:val="00061B0F"/>
    <w:rsid w:val="000626C3"/>
    <w:rsid w:val="0006298A"/>
    <w:rsid w:val="00063039"/>
    <w:rsid w:val="0006318D"/>
    <w:rsid w:val="00063577"/>
    <w:rsid w:val="00063726"/>
    <w:rsid w:val="00063768"/>
    <w:rsid w:val="00063AF1"/>
    <w:rsid w:val="00063B46"/>
    <w:rsid w:val="00064044"/>
    <w:rsid w:val="00064475"/>
    <w:rsid w:val="00064AE7"/>
    <w:rsid w:val="0006537D"/>
    <w:rsid w:val="00065448"/>
    <w:rsid w:val="00065727"/>
    <w:rsid w:val="00065771"/>
    <w:rsid w:val="0006591E"/>
    <w:rsid w:val="00065AA1"/>
    <w:rsid w:val="00065E37"/>
    <w:rsid w:val="00065EE6"/>
    <w:rsid w:val="00065F25"/>
    <w:rsid w:val="000663CD"/>
    <w:rsid w:val="000663F3"/>
    <w:rsid w:val="0006643C"/>
    <w:rsid w:val="00066808"/>
    <w:rsid w:val="00066A18"/>
    <w:rsid w:val="00066F24"/>
    <w:rsid w:val="0006720F"/>
    <w:rsid w:val="00067420"/>
    <w:rsid w:val="000674C4"/>
    <w:rsid w:val="00067AB4"/>
    <w:rsid w:val="00067CB1"/>
    <w:rsid w:val="00070272"/>
    <w:rsid w:val="00070362"/>
    <w:rsid w:val="00070426"/>
    <w:rsid w:val="00070BA8"/>
    <w:rsid w:val="00070CBB"/>
    <w:rsid w:val="00070FEC"/>
    <w:rsid w:val="00071218"/>
    <w:rsid w:val="0007156B"/>
    <w:rsid w:val="0007175B"/>
    <w:rsid w:val="000723BA"/>
    <w:rsid w:val="000725E3"/>
    <w:rsid w:val="00072AD3"/>
    <w:rsid w:val="00072C05"/>
    <w:rsid w:val="00072D9E"/>
    <w:rsid w:val="000730A8"/>
    <w:rsid w:val="000733FE"/>
    <w:rsid w:val="00073C39"/>
    <w:rsid w:val="00073DF6"/>
    <w:rsid w:val="00073E90"/>
    <w:rsid w:val="00074219"/>
    <w:rsid w:val="0007478A"/>
    <w:rsid w:val="00074A06"/>
    <w:rsid w:val="00074D5D"/>
    <w:rsid w:val="00074ED5"/>
    <w:rsid w:val="000752F3"/>
    <w:rsid w:val="000753C2"/>
    <w:rsid w:val="000754C0"/>
    <w:rsid w:val="0007597E"/>
    <w:rsid w:val="00075BA8"/>
    <w:rsid w:val="00075F83"/>
    <w:rsid w:val="00076095"/>
    <w:rsid w:val="00076119"/>
    <w:rsid w:val="00076C3F"/>
    <w:rsid w:val="000773CF"/>
    <w:rsid w:val="0007769D"/>
    <w:rsid w:val="0007770E"/>
    <w:rsid w:val="00077CF8"/>
    <w:rsid w:val="0008029F"/>
    <w:rsid w:val="000803BC"/>
    <w:rsid w:val="00080418"/>
    <w:rsid w:val="000804B8"/>
    <w:rsid w:val="0008055D"/>
    <w:rsid w:val="000805AE"/>
    <w:rsid w:val="0008060E"/>
    <w:rsid w:val="00080DAE"/>
    <w:rsid w:val="0008166F"/>
    <w:rsid w:val="0008171A"/>
    <w:rsid w:val="00081CC5"/>
    <w:rsid w:val="00081FAC"/>
    <w:rsid w:val="0008204A"/>
    <w:rsid w:val="0008223A"/>
    <w:rsid w:val="00082804"/>
    <w:rsid w:val="00082813"/>
    <w:rsid w:val="00082875"/>
    <w:rsid w:val="00082EAA"/>
    <w:rsid w:val="0008372C"/>
    <w:rsid w:val="00083D55"/>
    <w:rsid w:val="00083D7F"/>
    <w:rsid w:val="00083E01"/>
    <w:rsid w:val="00083E6C"/>
    <w:rsid w:val="00084016"/>
    <w:rsid w:val="0008410D"/>
    <w:rsid w:val="00084B44"/>
    <w:rsid w:val="00084C62"/>
    <w:rsid w:val="0008508E"/>
    <w:rsid w:val="000851E5"/>
    <w:rsid w:val="0008596F"/>
    <w:rsid w:val="00085C12"/>
    <w:rsid w:val="00085D00"/>
    <w:rsid w:val="00085DB9"/>
    <w:rsid w:val="00085F53"/>
    <w:rsid w:val="000863A2"/>
    <w:rsid w:val="000867F3"/>
    <w:rsid w:val="00086970"/>
    <w:rsid w:val="00086992"/>
    <w:rsid w:val="00086C97"/>
    <w:rsid w:val="00086CD1"/>
    <w:rsid w:val="0008710F"/>
    <w:rsid w:val="000872AA"/>
    <w:rsid w:val="0008741C"/>
    <w:rsid w:val="00087951"/>
    <w:rsid w:val="00087C39"/>
    <w:rsid w:val="0009026C"/>
    <w:rsid w:val="000906E2"/>
    <w:rsid w:val="00090BAB"/>
    <w:rsid w:val="00090E7C"/>
    <w:rsid w:val="00090F5C"/>
    <w:rsid w:val="0009113B"/>
    <w:rsid w:val="00091491"/>
    <w:rsid w:val="000917AC"/>
    <w:rsid w:val="0009194A"/>
    <w:rsid w:val="00091C34"/>
    <w:rsid w:val="00091F00"/>
    <w:rsid w:val="000921EA"/>
    <w:rsid w:val="00092296"/>
    <w:rsid w:val="0009247F"/>
    <w:rsid w:val="00092961"/>
    <w:rsid w:val="00092B4E"/>
    <w:rsid w:val="00092BA0"/>
    <w:rsid w:val="00092C4D"/>
    <w:rsid w:val="00092DA3"/>
    <w:rsid w:val="00093395"/>
    <w:rsid w:val="00093402"/>
    <w:rsid w:val="000934E4"/>
    <w:rsid w:val="0009363E"/>
    <w:rsid w:val="00093858"/>
    <w:rsid w:val="0009396E"/>
    <w:rsid w:val="00093ED7"/>
    <w:rsid w:val="0009405B"/>
    <w:rsid w:val="00094271"/>
    <w:rsid w:val="000943BE"/>
    <w:rsid w:val="000943E4"/>
    <w:rsid w:val="000948D5"/>
    <w:rsid w:val="00094997"/>
    <w:rsid w:val="00094B65"/>
    <w:rsid w:val="00094DA3"/>
    <w:rsid w:val="00094FC3"/>
    <w:rsid w:val="000952A5"/>
    <w:rsid w:val="00095AFB"/>
    <w:rsid w:val="00095DF9"/>
    <w:rsid w:val="000963B8"/>
    <w:rsid w:val="000963E8"/>
    <w:rsid w:val="0009668E"/>
    <w:rsid w:val="00096CD1"/>
    <w:rsid w:val="000973B8"/>
    <w:rsid w:val="00097622"/>
    <w:rsid w:val="00097893"/>
    <w:rsid w:val="000979A5"/>
    <w:rsid w:val="00097D59"/>
    <w:rsid w:val="000A012C"/>
    <w:rsid w:val="000A055E"/>
    <w:rsid w:val="000A0729"/>
    <w:rsid w:val="000A096E"/>
    <w:rsid w:val="000A09EC"/>
    <w:rsid w:val="000A0EB9"/>
    <w:rsid w:val="000A1139"/>
    <w:rsid w:val="000A11A6"/>
    <w:rsid w:val="000A139F"/>
    <w:rsid w:val="000A161C"/>
    <w:rsid w:val="000A16D3"/>
    <w:rsid w:val="000A17D7"/>
    <w:rsid w:val="000A186C"/>
    <w:rsid w:val="000A1956"/>
    <w:rsid w:val="000A1AF5"/>
    <w:rsid w:val="000A1EA4"/>
    <w:rsid w:val="000A1ED9"/>
    <w:rsid w:val="000A1FB3"/>
    <w:rsid w:val="000A2476"/>
    <w:rsid w:val="000A2ED7"/>
    <w:rsid w:val="000A361A"/>
    <w:rsid w:val="000A364D"/>
    <w:rsid w:val="000A3EB1"/>
    <w:rsid w:val="000A3EE3"/>
    <w:rsid w:val="000A413F"/>
    <w:rsid w:val="000A41CF"/>
    <w:rsid w:val="000A44F5"/>
    <w:rsid w:val="000A4BAB"/>
    <w:rsid w:val="000A5124"/>
    <w:rsid w:val="000A54A5"/>
    <w:rsid w:val="000A5843"/>
    <w:rsid w:val="000A5FB0"/>
    <w:rsid w:val="000A63EF"/>
    <w:rsid w:val="000A641A"/>
    <w:rsid w:val="000A64B2"/>
    <w:rsid w:val="000A6539"/>
    <w:rsid w:val="000A6673"/>
    <w:rsid w:val="000A6688"/>
    <w:rsid w:val="000A6A3B"/>
    <w:rsid w:val="000A6AB2"/>
    <w:rsid w:val="000A7670"/>
    <w:rsid w:val="000B0614"/>
    <w:rsid w:val="000B0DC8"/>
    <w:rsid w:val="000B0EAE"/>
    <w:rsid w:val="000B0F83"/>
    <w:rsid w:val="000B12B0"/>
    <w:rsid w:val="000B1AD6"/>
    <w:rsid w:val="000B1B29"/>
    <w:rsid w:val="000B1CD5"/>
    <w:rsid w:val="000B1CD6"/>
    <w:rsid w:val="000B1D5D"/>
    <w:rsid w:val="000B1E5F"/>
    <w:rsid w:val="000B208D"/>
    <w:rsid w:val="000B2101"/>
    <w:rsid w:val="000B28E6"/>
    <w:rsid w:val="000B30D9"/>
    <w:rsid w:val="000B3145"/>
    <w:rsid w:val="000B37A4"/>
    <w:rsid w:val="000B3B14"/>
    <w:rsid w:val="000B3D87"/>
    <w:rsid w:val="000B3EDB"/>
    <w:rsid w:val="000B4219"/>
    <w:rsid w:val="000B43CD"/>
    <w:rsid w:val="000B480F"/>
    <w:rsid w:val="000B4922"/>
    <w:rsid w:val="000B4E30"/>
    <w:rsid w:val="000B5418"/>
    <w:rsid w:val="000B543D"/>
    <w:rsid w:val="000B55EE"/>
    <w:rsid w:val="000B55F9"/>
    <w:rsid w:val="000B56CD"/>
    <w:rsid w:val="000B5BF7"/>
    <w:rsid w:val="000B5C2B"/>
    <w:rsid w:val="000B5C72"/>
    <w:rsid w:val="000B5F2F"/>
    <w:rsid w:val="000B5F93"/>
    <w:rsid w:val="000B60BF"/>
    <w:rsid w:val="000B66C6"/>
    <w:rsid w:val="000B6BC8"/>
    <w:rsid w:val="000B6E14"/>
    <w:rsid w:val="000B6F20"/>
    <w:rsid w:val="000B6F27"/>
    <w:rsid w:val="000B70A1"/>
    <w:rsid w:val="000B715C"/>
    <w:rsid w:val="000B7741"/>
    <w:rsid w:val="000B7A6D"/>
    <w:rsid w:val="000C0085"/>
    <w:rsid w:val="000C025D"/>
    <w:rsid w:val="000C0303"/>
    <w:rsid w:val="000C0616"/>
    <w:rsid w:val="000C08AD"/>
    <w:rsid w:val="000C09BD"/>
    <w:rsid w:val="000C0CF1"/>
    <w:rsid w:val="000C0EF6"/>
    <w:rsid w:val="000C0F51"/>
    <w:rsid w:val="000C1344"/>
    <w:rsid w:val="000C15E4"/>
    <w:rsid w:val="000C1781"/>
    <w:rsid w:val="000C1C51"/>
    <w:rsid w:val="000C1E2D"/>
    <w:rsid w:val="000C27B4"/>
    <w:rsid w:val="000C2F61"/>
    <w:rsid w:val="000C355A"/>
    <w:rsid w:val="000C355E"/>
    <w:rsid w:val="000C3572"/>
    <w:rsid w:val="000C35F7"/>
    <w:rsid w:val="000C3ED4"/>
    <w:rsid w:val="000C3FB1"/>
    <w:rsid w:val="000C42EA"/>
    <w:rsid w:val="000C4546"/>
    <w:rsid w:val="000C5061"/>
    <w:rsid w:val="000C508C"/>
    <w:rsid w:val="000C50F7"/>
    <w:rsid w:val="000C5208"/>
    <w:rsid w:val="000C568E"/>
    <w:rsid w:val="000C56B7"/>
    <w:rsid w:val="000C5996"/>
    <w:rsid w:val="000C610B"/>
    <w:rsid w:val="000C62D8"/>
    <w:rsid w:val="000C6487"/>
    <w:rsid w:val="000C6B4A"/>
    <w:rsid w:val="000C70B7"/>
    <w:rsid w:val="000C7147"/>
    <w:rsid w:val="000C7162"/>
    <w:rsid w:val="000C74C3"/>
    <w:rsid w:val="000C76A4"/>
    <w:rsid w:val="000C77C5"/>
    <w:rsid w:val="000C7C20"/>
    <w:rsid w:val="000C7E1F"/>
    <w:rsid w:val="000C7EBF"/>
    <w:rsid w:val="000C7F0E"/>
    <w:rsid w:val="000D0255"/>
    <w:rsid w:val="000D04AB"/>
    <w:rsid w:val="000D06C0"/>
    <w:rsid w:val="000D07F9"/>
    <w:rsid w:val="000D08ED"/>
    <w:rsid w:val="000D0C0F"/>
    <w:rsid w:val="000D1242"/>
    <w:rsid w:val="000D150C"/>
    <w:rsid w:val="000D15EC"/>
    <w:rsid w:val="000D1739"/>
    <w:rsid w:val="000D1B1A"/>
    <w:rsid w:val="000D216D"/>
    <w:rsid w:val="000D228E"/>
    <w:rsid w:val="000D2294"/>
    <w:rsid w:val="000D22C8"/>
    <w:rsid w:val="000D2AAE"/>
    <w:rsid w:val="000D2ABA"/>
    <w:rsid w:val="000D2CA5"/>
    <w:rsid w:val="000D2D1F"/>
    <w:rsid w:val="000D2DC1"/>
    <w:rsid w:val="000D3217"/>
    <w:rsid w:val="000D37F0"/>
    <w:rsid w:val="000D3E57"/>
    <w:rsid w:val="000D4378"/>
    <w:rsid w:val="000D468F"/>
    <w:rsid w:val="000D4845"/>
    <w:rsid w:val="000D4CD6"/>
    <w:rsid w:val="000D4E1B"/>
    <w:rsid w:val="000D4E82"/>
    <w:rsid w:val="000D54D9"/>
    <w:rsid w:val="000D5B0C"/>
    <w:rsid w:val="000D5ECF"/>
    <w:rsid w:val="000D6083"/>
    <w:rsid w:val="000D62F3"/>
    <w:rsid w:val="000D62F7"/>
    <w:rsid w:val="000D668B"/>
    <w:rsid w:val="000D6B38"/>
    <w:rsid w:val="000D6F42"/>
    <w:rsid w:val="000D71D4"/>
    <w:rsid w:val="000D728B"/>
    <w:rsid w:val="000D7378"/>
    <w:rsid w:val="000D747E"/>
    <w:rsid w:val="000D757F"/>
    <w:rsid w:val="000D76FD"/>
    <w:rsid w:val="000E03C3"/>
    <w:rsid w:val="000E0970"/>
    <w:rsid w:val="000E0C3D"/>
    <w:rsid w:val="000E0C7C"/>
    <w:rsid w:val="000E0ED2"/>
    <w:rsid w:val="000E0F47"/>
    <w:rsid w:val="000E14B6"/>
    <w:rsid w:val="000E15F1"/>
    <w:rsid w:val="000E1682"/>
    <w:rsid w:val="000E1862"/>
    <w:rsid w:val="000E1A55"/>
    <w:rsid w:val="000E1B7E"/>
    <w:rsid w:val="000E1BAD"/>
    <w:rsid w:val="000E1C03"/>
    <w:rsid w:val="000E1F7D"/>
    <w:rsid w:val="000E22AE"/>
    <w:rsid w:val="000E23D2"/>
    <w:rsid w:val="000E23DB"/>
    <w:rsid w:val="000E2B88"/>
    <w:rsid w:val="000E2D47"/>
    <w:rsid w:val="000E3110"/>
    <w:rsid w:val="000E3337"/>
    <w:rsid w:val="000E33A1"/>
    <w:rsid w:val="000E374E"/>
    <w:rsid w:val="000E3ACA"/>
    <w:rsid w:val="000E3C13"/>
    <w:rsid w:val="000E3CC7"/>
    <w:rsid w:val="000E3DEF"/>
    <w:rsid w:val="000E4239"/>
    <w:rsid w:val="000E43CA"/>
    <w:rsid w:val="000E45CE"/>
    <w:rsid w:val="000E467C"/>
    <w:rsid w:val="000E4C2D"/>
    <w:rsid w:val="000E4C62"/>
    <w:rsid w:val="000E4CAA"/>
    <w:rsid w:val="000E516D"/>
    <w:rsid w:val="000E5224"/>
    <w:rsid w:val="000E5840"/>
    <w:rsid w:val="000E5C2A"/>
    <w:rsid w:val="000E6664"/>
    <w:rsid w:val="000E690D"/>
    <w:rsid w:val="000E6920"/>
    <w:rsid w:val="000E6A88"/>
    <w:rsid w:val="000E6BD4"/>
    <w:rsid w:val="000E6CBE"/>
    <w:rsid w:val="000E6D6D"/>
    <w:rsid w:val="000E6E63"/>
    <w:rsid w:val="000E6FD0"/>
    <w:rsid w:val="000E77E5"/>
    <w:rsid w:val="000E7857"/>
    <w:rsid w:val="000E7DD9"/>
    <w:rsid w:val="000E7F01"/>
    <w:rsid w:val="000F000C"/>
    <w:rsid w:val="000F04A2"/>
    <w:rsid w:val="000F04E5"/>
    <w:rsid w:val="000F101D"/>
    <w:rsid w:val="000F118C"/>
    <w:rsid w:val="000F11BB"/>
    <w:rsid w:val="000F1630"/>
    <w:rsid w:val="000F18F7"/>
    <w:rsid w:val="000F19BB"/>
    <w:rsid w:val="000F1F1E"/>
    <w:rsid w:val="000F1FBD"/>
    <w:rsid w:val="000F223D"/>
    <w:rsid w:val="000F2259"/>
    <w:rsid w:val="000F225A"/>
    <w:rsid w:val="000F2DDA"/>
    <w:rsid w:val="000F2EA0"/>
    <w:rsid w:val="000F3043"/>
    <w:rsid w:val="000F324A"/>
    <w:rsid w:val="000F33DE"/>
    <w:rsid w:val="000F35DF"/>
    <w:rsid w:val="000F3FB9"/>
    <w:rsid w:val="000F42B8"/>
    <w:rsid w:val="000F4577"/>
    <w:rsid w:val="000F4A96"/>
    <w:rsid w:val="000F5213"/>
    <w:rsid w:val="000F56BD"/>
    <w:rsid w:val="000F56EA"/>
    <w:rsid w:val="000F5719"/>
    <w:rsid w:val="000F5769"/>
    <w:rsid w:val="000F5BD3"/>
    <w:rsid w:val="000F5D2B"/>
    <w:rsid w:val="000F5F51"/>
    <w:rsid w:val="000F6402"/>
    <w:rsid w:val="000F66E9"/>
    <w:rsid w:val="000F6A3C"/>
    <w:rsid w:val="000F6D47"/>
    <w:rsid w:val="000F7545"/>
    <w:rsid w:val="000F76A4"/>
    <w:rsid w:val="000F7CFF"/>
    <w:rsid w:val="000F7DE7"/>
    <w:rsid w:val="000F7F4A"/>
    <w:rsid w:val="0010055D"/>
    <w:rsid w:val="0010084F"/>
    <w:rsid w:val="0010090D"/>
    <w:rsid w:val="0010090F"/>
    <w:rsid w:val="00100A4C"/>
    <w:rsid w:val="00100A6C"/>
    <w:rsid w:val="00100A88"/>
    <w:rsid w:val="00100A9F"/>
    <w:rsid w:val="00100EB8"/>
    <w:rsid w:val="00101001"/>
    <w:rsid w:val="00101012"/>
    <w:rsid w:val="001010A3"/>
    <w:rsid w:val="00101117"/>
    <w:rsid w:val="00101294"/>
    <w:rsid w:val="001014D4"/>
    <w:rsid w:val="0010152F"/>
    <w:rsid w:val="00101546"/>
    <w:rsid w:val="001016A2"/>
    <w:rsid w:val="001019AF"/>
    <w:rsid w:val="00101BD8"/>
    <w:rsid w:val="00101C92"/>
    <w:rsid w:val="00101FA1"/>
    <w:rsid w:val="00102024"/>
    <w:rsid w:val="001020EC"/>
    <w:rsid w:val="00102301"/>
    <w:rsid w:val="00102795"/>
    <w:rsid w:val="00102BAB"/>
    <w:rsid w:val="00102F46"/>
    <w:rsid w:val="00103276"/>
    <w:rsid w:val="00103870"/>
    <w:rsid w:val="0010392D"/>
    <w:rsid w:val="00103C2B"/>
    <w:rsid w:val="00103D32"/>
    <w:rsid w:val="00103E62"/>
    <w:rsid w:val="00103FD0"/>
    <w:rsid w:val="001041F4"/>
    <w:rsid w:val="0010447F"/>
    <w:rsid w:val="00104555"/>
    <w:rsid w:val="0010456C"/>
    <w:rsid w:val="0010469B"/>
    <w:rsid w:val="0010494D"/>
    <w:rsid w:val="00104CF7"/>
    <w:rsid w:val="00104FE3"/>
    <w:rsid w:val="0010510F"/>
    <w:rsid w:val="0010578E"/>
    <w:rsid w:val="00105798"/>
    <w:rsid w:val="00105C18"/>
    <w:rsid w:val="00105F40"/>
    <w:rsid w:val="001066D5"/>
    <w:rsid w:val="00106931"/>
    <w:rsid w:val="00106EC1"/>
    <w:rsid w:val="0010714F"/>
    <w:rsid w:val="00107246"/>
    <w:rsid w:val="0010794E"/>
    <w:rsid w:val="00107FEB"/>
    <w:rsid w:val="001102D6"/>
    <w:rsid w:val="00110430"/>
    <w:rsid w:val="00110597"/>
    <w:rsid w:val="0011062E"/>
    <w:rsid w:val="0011092F"/>
    <w:rsid w:val="00110A0A"/>
    <w:rsid w:val="00110CA1"/>
    <w:rsid w:val="00110E39"/>
    <w:rsid w:val="00110E3A"/>
    <w:rsid w:val="00111415"/>
    <w:rsid w:val="0011193B"/>
    <w:rsid w:val="00111C11"/>
    <w:rsid w:val="00111D77"/>
    <w:rsid w:val="00111ED1"/>
    <w:rsid w:val="00111F7A"/>
    <w:rsid w:val="001120C5"/>
    <w:rsid w:val="0011216A"/>
    <w:rsid w:val="001124F9"/>
    <w:rsid w:val="00112AFF"/>
    <w:rsid w:val="00113034"/>
    <w:rsid w:val="001131B7"/>
    <w:rsid w:val="0011336C"/>
    <w:rsid w:val="001137EF"/>
    <w:rsid w:val="00113C3B"/>
    <w:rsid w:val="00113DBF"/>
    <w:rsid w:val="00114144"/>
    <w:rsid w:val="00114666"/>
    <w:rsid w:val="00114CC3"/>
    <w:rsid w:val="00114E77"/>
    <w:rsid w:val="001155F7"/>
    <w:rsid w:val="001161B1"/>
    <w:rsid w:val="0011624B"/>
    <w:rsid w:val="00116A8B"/>
    <w:rsid w:val="00116B9F"/>
    <w:rsid w:val="00116C01"/>
    <w:rsid w:val="0011706B"/>
    <w:rsid w:val="00117516"/>
    <w:rsid w:val="0011754D"/>
    <w:rsid w:val="0011784B"/>
    <w:rsid w:val="0012044D"/>
    <w:rsid w:val="001205DB"/>
    <w:rsid w:val="00120756"/>
    <w:rsid w:val="00120B39"/>
    <w:rsid w:val="00120BB4"/>
    <w:rsid w:val="00120BD3"/>
    <w:rsid w:val="00120E40"/>
    <w:rsid w:val="001214E7"/>
    <w:rsid w:val="0012162F"/>
    <w:rsid w:val="0012182F"/>
    <w:rsid w:val="00121B41"/>
    <w:rsid w:val="00121B89"/>
    <w:rsid w:val="0012214C"/>
    <w:rsid w:val="001221CE"/>
    <w:rsid w:val="0012232E"/>
    <w:rsid w:val="001224CE"/>
    <w:rsid w:val="0012270F"/>
    <w:rsid w:val="00122FEA"/>
    <w:rsid w:val="00123197"/>
    <w:rsid w:val="001232BD"/>
    <w:rsid w:val="001232D2"/>
    <w:rsid w:val="00123420"/>
    <w:rsid w:val="00123691"/>
    <w:rsid w:val="001236DC"/>
    <w:rsid w:val="001237AA"/>
    <w:rsid w:val="00123ACC"/>
    <w:rsid w:val="00123C2F"/>
    <w:rsid w:val="00123C87"/>
    <w:rsid w:val="00123D2D"/>
    <w:rsid w:val="001245E7"/>
    <w:rsid w:val="00124913"/>
    <w:rsid w:val="00124BA2"/>
    <w:rsid w:val="00124ED5"/>
    <w:rsid w:val="00125531"/>
    <w:rsid w:val="00125BBA"/>
    <w:rsid w:val="00125C7A"/>
    <w:rsid w:val="00125CDC"/>
    <w:rsid w:val="00125D56"/>
    <w:rsid w:val="00125E87"/>
    <w:rsid w:val="00125F44"/>
    <w:rsid w:val="0012612F"/>
    <w:rsid w:val="001261E5"/>
    <w:rsid w:val="0012648D"/>
    <w:rsid w:val="0012686B"/>
    <w:rsid w:val="00126DBF"/>
    <w:rsid w:val="00127343"/>
    <w:rsid w:val="001275E5"/>
    <w:rsid w:val="00127685"/>
    <w:rsid w:val="001276FA"/>
    <w:rsid w:val="001278DF"/>
    <w:rsid w:val="00127E81"/>
    <w:rsid w:val="00127F6F"/>
    <w:rsid w:val="00130858"/>
    <w:rsid w:val="0013085B"/>
    <w:rsid w:val="001308DE"/>
    <w:rsid w:val="00130AC8"/>
    <w:rsid w:val="00130E30"/>
    <w:rsid w:val="0013123C"/>
    <w:rsid w:val="00131281"/>
    <w:rsid w:val="00131448"/>
    <w:rsid w:val="0013154B"/>
    <w:rsid w:val="001316BD"/>
    <w:rsid w:val="00131782"/>
    <w:rsid w:val="0013195C"/>
    <w:rsid w:val="00131DB1"/>
    <w:rsid w:val="00131DBD"/>
    <w:rsid w:val="00131E6E"/>
    <w:rsid w:val="00132426"/>
    <w:rsid w:val="001326AC"/>
    <w:rsid w:val="00132BB7"/>
    <w:rsid w:val="00132EDA"/>
    <w:rsid w:val="00133127"/>
    <w:rsid w:val="0013328C"/>
    <w:rsid w:val="00133A52"/>
    <w:rsid w:val="00133D8D"/>
    <w:rsid w:val="00133D8F"/>
    <w:rsid w:val="0013412E"/>
    <w:rsid w:val="0013418D"/>
    <w:rsid w:val="001349D5"/>
    <w:rsid w:val="00134A46"/>
    <w:rsid w:val="00134B2E"/>
    <w:rsid w:val="00134EF7"/>
    <w:rsid w:val="001352DD"/>
    <w:rsid w:val="00135362"/>
    <w:rsid w:val="0013547D"/>
    <w:rsid w:val="001355ED"/>
    <w:rsid w:val="00135C8D"/>
    <w:rsid w:val="00135D76"/>
    <w:rsid w:val="001360AE"/>
    <w:rsid w:val="001362D2"/>
    <w:rsid w:val="00136498"/>
    <w:rsid w:val="001364E6"/>
    <w:rsid w:val="0013678F"/>
    <w:rsid w:val="00136964"/>
    <w:rsid w:val="00136E1C"/>
    <w:rsid w:val="00136F37"/>
    <w:rsid w:val="001372E1"/>
    <w:rsid w:val="001373B5"/>
    <w:rsid w:val="001375BD"/>
    <w:rsid w:val="0013772D"/>
    <w:rsid w:val="00137AAE"/>
    <w:rsid w:val="00137C0D"/>
    <w:rsid w:val="00137C3E"/>
    <w:rsid w:val="00137FD1"/>
    <w:rsid w:val="0014011C"/>
    <w:rsid w:val="00140430"/>
    <w:rsid w:val="001404BB"/>
    <w:rsid w:val="00140AB1"/>
    <w:rsid w:val="00140B2B"/>
    <w:rsid w:val="00140DD9"/>
    <w:rsid w:val="00140E57"/>
    <w:rsid w:val="00140F65"/>
    <w:rsid w:val="00141186"/>
    <w:rsid w:val="00141779"/>
    <w:rsid w:val="001420C8"/>
    <w:rsid w:val="001426E5"/>
    <w:rsid w:val="001426F3"/>
    <w:rsid w:val="001426FE"/>
    <w:rsid w:val="00142E55"/>
    <w:rsid w:val="00143454"/>
    <w:rsid w:val="0014360D"/>
    <w:rsid w:val="00143849"/>
    <w:rsid w:val="001438CD"/>
    <w:rsid w:val="00143913"/>
    <w:rsid w:val="001447B3"/>
    <w:rsid w:val="00144DAB"/>
    <w:rsid w:val="00145DBD"/>
    <w:rsid w:val="00145FD9"/>
    <w:rsid w:val="001469FF"/>
    <w:rsid w:val="00146A83"/>
    <w:rsid w:val="00146E63"/>
    <w:rsid w:val="00146E72"/>
    <w:rsid w:val="00146FA3"/>
    <w:rsid w:val="0014716E"/>
    <w:rsid w:val="0014756F"/>
    <w:rsid w:val="001479B8"/>
    <w:rsid w:val="00147ACB"/>
    <w:rsid w:val="00147C99"/>
    <w:rsid w:val="00147CA4"/>
    <w:rsid w:val="00147D8F"/>
    <w:rsid w:val="00147E94"/>
    <w:rsid w:val="0015042E"/>
    <w:rsid w:val="001504A6"/>
    <w:rsid w:val="0015057B"/>
    <w:rsid w:val="00150744"/>
    <w:rsid w:val="00150890"/>
    <w:rsid w:val="001508EF"/>
    <w:rsid w:val="001509A1"/>
    <w:rsid w:val="00150B99"/>
    <w:rsid w:val="00150C31"/>
    <w:rsid w:val="00150F9F"/>
    <w:rsid w:val="0015184B"/>
    <w:rsid w:val="00151CDA"/>
    <w:rsid w:val="00151EA9"/>
    <w:rsid w:val="00152073"/>
    <w:rsid w:val="001520EF"/>
    <w:rsid w:val="00152329"/>
    <w:rsid w:val="00152618"/>
    <w:rsid w:val="001526B8"/>
    <w:rsid w:val="00152AFC"/>
    <w:rsid w:val="00152B10"/>
    <w:rsid w:val="00152E8D"/>
    <w:rsid w:val="0015326E"/>
    <w:rsid w:val="001533CC"/>
    <w:rsid w:val="0015397B"/>
    <w:rsid w:val="00153B99"/>
    <w:rsid w:val="00153CAC"/>
    <w:rsid w:val="00153E16"/>
    <w:rsid w:val="001549FB"/>
    <w:rsid w:val="00154AC1"/>
    <w:rsid w:val="00154BD2"/>
    <w:rsid w:val="00154E87"/>
    <w:rsid w:val="00154EF9"/>
    <w:rsid w:val="001550A1"/>
    <w:rsid w:val="00155402"/>
    <w:rsid w:val="00155A0E"/>
    <w:rsid w:val="00155F43"/>
    <w:rsid w:val="00156598"/>
    <w:rsid w:val="00156610"/>
    <w:rsid w:val="00156B9F"/>
    <w:rsid w:val="00156E24"/>
    <w:rsid w:val="00156FF3"/>
    <w:rsid w:val="0015714B"/>
    <w:rsid w:val="001571E9"/>
    <w:rsid w:val="001576F0"/>
    <w:rsid w:val="0015797B"/>
    <w:rsid w:val="00157AF9"/>
    <w:rsid w:val="00157CCD"/>
    <w:rsid w:val="00157CFA"/>
    <w:rsid w:val="00157D3B"/>
    <w:rsid w:val="001602F3"/>
    <w:rsid w:val="00160585"/>
    <w:rsid w:val="00160D05"/>
    <w:rsid w:val="00160DFC"/>
    <w:rsid w:val="001612AB"/>
    <w:rsid w:val="0016132A"/>
    <w:rsid w:val="0016151F"/>
    <w:rsid w:val="00161623"/>
    <w:rsid w:val="00161649"/>
    <w:rsid w:val="001616A0"/>
    <w:rsid w:val="00161746"/>
    <w:rsid w:val="00161795"/>
    <w:rsid w:val="00161939"/>
    <w:rsid w:val="001619F3"/>
    <w:rsid w:val="00161AA0"/>
    <w:rsid w:val="00161B56"/>
    <w:rsid w:val="00161D2E"/>
    <w:rsid w:val="00161F3E"/>
    <w:rsid w:val="00162093"/>
    <w:rsid w:val="0016220B"/>
    <w:rsid w:val="001622E3"/>
    <w:rsid w:val="00162740"/>
    <w:rsid w:val="00162B7F"/>
    <w:rsid w:val="00162CA9"/>
    <w:rsid w:val="00162FC1"/>
    <w:rsid w:val="00163000"/>
    <w:rsid w:val="001631C1"/>
    <w:rsid w:val="0016336E"/>
    <w:rsid w:val="00163653"/>
    <w:rsid w:val="0016382D"/>
    <w:rsid w:val="00163B9C"/>
    <w:rsid w:val="0016408A"/>
    <w:rsid w:val="00164246"/>
    <w:rsid w:val="00164292"/>
    <w:rsid w:val="001646C2"/>
    <w:rsid w:val="0016481A"/>
    <w:rsid w:val="0016511F"/>
    <w:rsid w:val="00165128"/>
    <w:rsid w:val="001651CB"/>
    <w:rsid w:val="00165224"/>
    <w:rsid w:val="00165459"/>
    <w:rsid w:val="00165482"/>
    <w:rsid w:val="0016567D"/>
    <w:rsid w:val="001656C0"/>
    <w:rsid w:val="00165A57"/>
    <w:rsid w:val="00165AB5"/>
    <w:rsid w:val="00165B5F"/>
    <w:rsid w:val="00165C8A"/>
    <w:rsid w:val="00165CBD"/>
    <w:rsid w:val="001662FA"/>
    <w:rsid w:val="001667C6"/>
    <w:rsid w:val="00166D27"/>
    <w:rsid w:val="001672BA"/>
    <w:rsid w:val="00167D11"/>
    <w:rsid w:val="0017011A"/>
    <w:rsid w:val="001703CD"/>
    <w:rsid w:val="001704B6"/>
    <w:rsid w:val="00170F6D"/>
    <w:rsid w:val="00170FF1"/>
    <w:rsid w:val="001712C2"/>
    <w:rsid w:val="001713DF"/>
    <w:rsid w:val="00171453"/>
    <w:rsid w:val="001717F2"/>
    <w:rsid w:val="0017180B"/>
    <w:rsid w:val="00171967"/>
    <w:rsid w:val="00171CAB"/>
    <w:rsid w:val="001724A6"/>
    <w:rsid w:val="001724EC"/>
    <w:rsid w:val="0017284B"/>
    <w:rsid w:val="0017288C"/>
    <w:rsid w:val="00172B8D"/>
    <w:rsid w:val="00172BAF"/>
    <w:rsid w:val="00173411"/>
    <w:rsid w:val="0017357C"/>
    <w:rsid w:val="00173DBF"/>
    <w:rsid w:val="00174105"/>
    <w:rsid w:val="001747AD"/>
    <w:rsid w:val="00174BD8"/>
    <w:rsid w:val="00174C1D"/>
    <w:rsid w:val="00174C77"/>
    <w:rsid w:val="00174FEF"/>
    <w:rsid w:val="00175296"/>
    <w:rsid w:val="00175335"/>
    <w:rsid w:val="001755B6"/>
    <w:rsid w:val="00175649"/>
    <w:rsid w:val="00175738"/>
    <w:rsid w:val="00175D00"/>
    <w:rsid w:val="00175D22"/>
    <w:rsid w:val="00175D93"/>
    <w:rsid w:val="0017674D"/>
    <w:rsid w:val="00176B27"/>
    <w:rsid w:val="00176B68"/>
    <w:rsid w:val="00176F7A"/>
    <w:rsid w:val="001771DD"/>
    <w:rsid w:val="00177289"/>
    <w:rsid w:val="00177625"/>
    <w:rsid w:val="001777F3"/>
    <w:rsid w:val="00177995"/>
    <w:rsid w:val="001779BE"/>
    <w:rsid w:val="00177A8C"/>
    <w:rsid w:val="00177B78"/>
    <w:rsid w:val="00177C35"/>
    <w:rsid w:val="00177C7E"/>
    <w:rsid w:val="00177DD2"/>
    <w:rsid w:val="00180444"/>
    <w:rsid w:val="001805FD"/>
    <w:rsid w:val="0018094C"/>
    <w:rsid w:val="00180985"/>
    <w:rsid w:val="00180A9E"/>
    <w:rsid w:val="00180B53"/>
    <w:rsid w:val="00180BA0"/>
    <w:rsid w:val="00180DC5"/>
    <w:rsid w:val="0018120A"/>
    <w:rsid w:val="0018160B"/>
    <w:rsid w:val="00181709"/>
    <w:rsid w:val="00181912"/>
    <w:rsid w:val="00181CA1"/>
    <w:rsid w:val="00182320"/>
    <w:rsid w:val="0018232A"/>
    <w:rsid w:val="0018244E"/>
    <w:rsid w:val="001824F4"/>
    <w:rsid w:val="0018261C"/>
    <w:rsid w:val="00182ADB"/>
    <w:rsid w:val="00182EBF"/>
    <w:rsid w:val="00183460"/>
    <w:rsid w:val="001836C7"/>
    <w:rsid w:val="0018382A"/>
    <w:rsid w:val="001839A7"/>
    <w:rsid w:val="0018403C"/>
    <w:rsid w:val="00184427"/>
    <w:rsid w:val="0018442F"/>
    <w:rsid w:val="00184AD3"/>
    <w:rsid w:val="00184AF3"/>
    <w:rsid w:val="00184BDA"/>
    <w:rsid w:val="00185468"/>
    <w:rsid w:val="001859A3"/>
    <w:rsid w:val="00185FF5"/>
    <w:rsid w:val="00186053"/>
    <w:rsid w:val="001868D2"/>
    <w:rsid w:val="00186A99"/>
    <w:rsid w:val="00186B00"/>
    <w:rsid w:val="00186B33"/>
    <w:rsid w:val="00186D65"/>
    <w:rsid w:val="0018726B"/>
    <w:rsid w:val="00187705"/>
    <w:rsid w:val="00187EC8"/>
    <w:rsid w:val="00190113"/>
    <w:rsid w:val="0019025A"/>
    <w:rsid w:val="001905DD"/>
    <w:rsid w:val="00190A26"/>
    <w:rsid w:val="00190D2F"/>
    <w:rsid w:val="00190DBB"/>
    <w:rsid w:val="00191257"/>
    <w:rsid w:val="00191313"/>
    <w:rsid w:val="00191679"/>
    <w:rsid w:val="001919FB"/>
    <w:rsid w:val="00191BF1"/>
    <w:rsid w:val="00191E8E"/>
    <w:rsid w:val="001924BC"/>
    <w:rsid w:val="001925AF"/>
    <w:rsid w:val="0019274D"/>
    <w:rsid w:val="0019292C"/>
    <w:rsid w:val="00192C6C"/>
    <w:rsid w:val="00192C8B"/>
    <w:rsid w:val="00192CA0"/>
    <w:rsid w:val="00192CFF"/>
    <w:rsid w:val="00192F9D"/>
    <w:rsid w:val="001934D1"/>
    <w:rsid w:val="00193599"/>
    <w:rsid w:val="00193C6F"/>
    <w:rsid w:val="00193DDC"/>
    <w:rsid w:val="00193E1C"/>
    <w:rsid w:val="00194029"/>
    <w:rsid w:val="001940A2"/>
    <w:rsid w:val="001944C4"/>
    <w:rsid w:val="0019472D"/>
    <w:rsid w:val="001948F6"/>
    <w:rsid w:val="00194957"/>
    <w:rsid w:val="00194EBB"/>
    <w:rsid w:val="0019537C"/>
    <w:rsid w:val="00195408"/>
    <w:rsid w:val="00195708"/>
    <w:rsid w:val="00195A9E"/>
    <w:rsid w:val="00195D08"/>
    <w:rsid w:val="00195F5D"/>
    <w:rsid w:val="001962D4"/>
    <w:rsid w:val="001963DF"/>
    <w:rsid w:val="001968BF"/>
    <w:rsid w:val="00196D69"/>
    <w:rsid w:val="00196EB8"/>
    <w:rsid w:val="00196EF7"/>
    <w:rsid w:val="00196EFB"/>
    <w:rsid w:val="00196F11"/>
    <w:rsid w:val="00196F8A"/>
    <w:rsid w:val="00197056"/>
    <w:rsid w:val="0019737C"/>
    <w:rsid w:val="00197660"/>
    <w:rsid w:val="00197663"/>
    <w:rsid w:val="001977C2"/>
    <w:rsid w:val="001979FF"/>
    <w:rsid w:val="00197B17"/>
    <w:rsid w:val="001A001E"/>
    <w:rsid w:val="001A0139"/>
    <w:rsid w:val="001A02B0"/>
    <w:rsid w:val="001A03E9"/>
    <w:rsid w:val="001A0C3C"/>
    <w:rsid w:val="001A0D88"/>
    <w:rsid w:val="001A0FF7"/>
    <w:rsid w:val="001A11F3"/>
    <w:rsid w:val="001A1517"/>
    <w:rsid w:val="001A1595"/>
    <w:rsid w:val="001A16FB"/>
    <w:rsid w:val="001A1950"/>
    <w:rsid w:val="001A1A33"/>
    <w:rsid w:val="001A1A7C"/>
    <w:rsid w:val="001A1B8A"/>
    <w:rsid w:val="001A1BC9"/>
    <w:rsid w:val="001A1C54"/>
    <w:rsid w:val="001A1E7F"/>
    <w:rsid w:val="001A1EA7"/>
    <w:rsid w:val="001A1F88"/>
    <w:rsid w:val="001A235A"/>
    <w:rsid w:val="001A245A"/>
    <w:rsid w:val="001A2C05"/>
    <w:rsid w:val="001A32F6"/>
    <w:rsid w:val="001A33A4"/>
    <w:rsid w:val="001A3412"/>
    <w:rsid w:val="001A37D4"/>
    <w:rsid w:val="001A388C"/>
    <w:rsid w:val="001A3AAF"/>
    <w:rsid w:val="001A3ACE"/>
    <w:rsid w:val="001A3B9D"/>
    <w:rsid w:val="001A3D0C"/>
    <w:rsid w:val="001A3FD7"/>
    <w:rsid w:val="001A400A"/>
    <w:rsid w:val="001A439B"/>
    <w:rsid w:val="001A44EA"/>
    <w:rsid w:val="001A45C0"/>
    <w:rsid w:val="001A4B5E"/>
    <w:rsid w:val="001A5383"/>
    <w:rsid w:val="001A580F"/>
    <w:rsid w:val="001A5A45"/>
    <w:rsid w:val="001A5D6B"/>
    <w:rsid w:val="001A6272"/>
    <w:rsid w:val="001A6304"/>
    <w:rsid w:val="001A6780"/>
    <w:rsid w:val="001A6881"/>
    <w:rsid w:val="001A68F9"/>
    <w:rsid w:val="001A6ABB"/>
    <w:rsid w:val="001A6B90"/>
    <w:rsid w:val="001A6C65"/>
    <w:rsid w:val="001A6D95"/>
    <w:rsid w:val="001A6E95"/>
    <w:rsid w:val="001A6FC2"/>
    <w:rsid w:val="001A742C"/>
    <w:rsid w:val="001A744C"/>
    <w:rsid w:val="001A7715"/>
    <w:rsid w:val="001A7AE7"/>
    <w:rsid w:val="001B03D7"/>
    <w:rsid w:val="001B04E0"/>
    <w:rsid w:val="001B058F"/>
    <w:rsid w:val="001B07EC"/>
    <w:rsid w:val="001B097B"/>
    <w:rsid w:val="001B0B37"/>
    <w:rsid w:val="001B0E78"/>
    <w:rsid w:val="001B1587"/>
    <w:rsid w:val="001B1CA9"/>
    <w:rsid w:val="001B2187"/>
    <w:rsid w:val="001B2221"/>
    <w:rsid w:val="001B2A32"/>
    <w:rsid w:val="001B2D24"/>
    <w:rsid w:val="001B30FF"/>
    <w:rsid w:val="001B3194"/>
    <w:rsid w:val="001B3499"/>
    <w:rsid w:val="001B3592"/>
    <w:rsid w:val="001B37A1"/>
    <w:rsid w:val="001B3A77"/>
    <w:rsid w:val="001B3C7C"/>
    <w:rsid w:val="001B42F6"/>
    <w:rsid w:val="001B468D"/>
    <w:rsid w:val="001B4DAF"/>
    <w:rsid w:val="001B572D"/>
    <w:rsid w:val="001B5B12"/>
    <w:rsid w:val="001B5EAA"/>
    <w:rsid w:val="001B5F92"/>
    <w:rsid w:val="001B604E"/>
    <w:rsid w:val="001B6181"/>
    <w:rsid w:val="001B623F"/>
    <w:rsid w:val="001B63AE"/>
    <w:rsid w:val="001B6418"/>
    <w:rsid w:val="001B67F9"/>
    <w:rsid w:val="001B6995"/>
    <w:rsid w:val="001B6A7C"/>
    <w:rsid w:val="001B6B96"/>
    <w:rsid w:val="001B6C61"/>
    <w:rsid w:val="001B738B"/>
    <w:rsid w:val="001B73A3"/>
    <w:rsid w:val="001B759D"/>
    <w:rsid w:val="001B75BA"/>
    <w:rsid w:val="001B7817"/>
    <w:rsid w:val="001B7E0B"/>
    <w:rsid w:val="001C043A"/>
    <w:rsid w:val="001C09DB"/>
    <w:rsid w:val="001C09DC"/>
    <w:rsid w:val="001C0AF0"/>
    <w:rsid w:val="001C0DC6"/>
    <w:rsid w:val="001C11F9"/>
    <w:rsid w:val="001C12DE"/>
    <w:rsid w:val="001C12E3"/>
    <w:rsid w:val="001C13AC"/>
    <w:rsid w:val="001C153A"/>
    <w:rsid w:val="001C17CB"/>
    <w:rsid w:val="001C26A4"/>
    <w:rsid w:val="001C277E"/>
    <w:rsid w:val="001C2986"/>
    <w:rsid w:val="001C2A72"/>
    <w:rsid w:val="001C2BFB"/>
    <w:rsid w:val="001C3080"/>
    <w:rsid w:val="001C3102"/>
    <w:rsid w:val="001C31B7"/>
    <w:rsid w:val="001C3538"/>
    <w:rsid w:val="001C3755"/>
    <w:rsid w:val="001C4109"/>
    <w:rsid w:val="001C4165"/>
    <w:rsid w:val="001C444F"/>
    <w:rsid w:val="001C47BA"/>
    <w:rsid w:val="001C4F7B"/>
    <w:rsid w:val="001C52D2"/>
    <w:rsid w:val="001C5AD6"/>
    <w:rsid w:val="001C5B69"/>
    <w:rsid w:val="001C5B86"/>
    <w:rsid w:val="001C5FBA"/>
    <w:rsid w:val="001C600B"/>
    <w:rsid w:val="001C6177"/>
    <w:rsid w:val="001C623C"/>
    <w:rsid w:val="001C62A6"/>
    <w:rsid w:val="001C6399"/>
    <w:rsid w:val="001C63EC"/>
    <w:rsid w:val="001C64EE"/>
    <w:rsid w:val="001C66E0"/>
    <w:rsid w:val="001C68BB"/>
    <w:rsid w:val="001C6A2A"/>
    <w:rsid w:val="001C71F6"/>
    <w:rsid w:val="001C7230"/>
    <w:rsid w:val="001C7764"/>
    <w:rsid w:val="001C7771"/>
    <w:rsid w:val="001C7798"/>
    <w:rsid w:val="001C7838"/>
    <w:rsid w:val="001C7988"/>
    <w:rsid w:val="001C7AEB"/>
    <w:rsid w:val="001C7C1C"/>
    <w:rsid w:val="001D001A"/>
    <w:rsid w:val="001D03F6"/>
    <w:rsid w:val="001D05EA"/>
    <w:rsid w:val="001D05EC"/>
    <w:rsid w:val="001D0B75"/>
    <w:rsid w:val="001D0D0A"/>
    <w:rsid w:val="001D0DCF"/>
    <w:rsid w:val="001D0FC1"/>
    <w:rsid w:val="001D175D"/>
    <w:rsid w:val="001D17DC"/>
    <w:rsid w:val="001D1972"/>
    <w:rsid w:val="001D1D84"/>
    <w:rsid w:val="001D229A"/>
    <w:rsid w:val="001D2693"/>
    <w:rsid w:val="001D2931"/>
    <w:rsid w:val="001D2A96"/>
    <w:rsid w:val="001D2D8B"/>
    <w:rsid w:val="001D2D8E"/>
    <w:rsid w:val="001D2DA9"/>
    <w:rsid w:val="001D2E4F"/>
    <w:rsid w:val="001D2E72"/>
    <w:rsid w:val="001D32D9"/>
    <w:rsid w:val="001D39A5"/>
    <w:rsid w:val="001D39C1"/>
    <w:rsid w:val="001D3AB2"/>
    <w:rsid w:val="001D3C09"/>
    <w:rsid w:val="001D3E2C"/>
    <w:rsid w:val="001D3F43"/>
    <w:rsid w:val="001D400D"/>
    <w:rsid w:val="001D4203"/>
    <w:rsid w:val="001D44E8"/>
    <w:rsid w:val="001D469D"/>
    <w:rsid w:val="001D4934"/>
    <w:rsid w:val="001D4AEB"/>
    <w:rsid w:val="001D4CFC"/>
    <w:rsid w:val="001D4DEF"/>
    <w:rsid w:val="001D5146"/>
    <w:rsid w:val="001D5B22"/>
    <w:rsid w:val="001D60BB"/>
    <w:rsid w:val="001D60EC"/>
    <w:rsid w:val="001D61C3"/>
    <w:rsid w:val="001D6375"/>
    <w:rsid w:val="001D63FF"/>
    <w:rsid w:val="001D6C96"/>
    <w:rsid w:val="001D6F59"/>
    <w:rsid w:val="001D72DA"/>
    <w:rsid w:val="001D78B8"/>
    <w:rsid w:val="001E075D"/>
    <w:rsid w:val="001E0B2E"/>
    <w:rsid w:val="001E0BF4"/>
    <w:rsid w:val="001E0C2B"/>
    <w:rsid w:val="001E0EB3"/>
    <w:rsid w:val="001E12D0"/>
    <w:rsid w:val="001E1802"/>
    <w:rsid w:val="001E1D24"/>
    <w:rsid w:val="001E1E1E"/>
    <w:rsid w:val="001E214F"/>
    <w:rsid w:val="001E2506"/>
    <w:rsid w:val="001E2992"/>
    <w:rsid w:val="001E2E11"/>
    <w:rsid w:val="001E31F5"/>
    <w:rsid w:val="001E337B"/>
    <w:rsid w:val="001E3433"/>
    <w:rsid w:val="001E34AF"/>
    <w:rsid w:val="001E35C7"/>
    <w:rsid w:val="001E3A0C"/>
    <w:rsid w:val="001E3BDC"/>
    <w:rsid w:val="001E3FF8"/>
    <w:rsid w:val="001E4292"/>
    <w:rsid w:val="001E44DF"/>
    <w:rsid w:val="001E4797"/>
    <w:rsid w:val="001E4876"/>
    <w:rsid w:val="001E4A9E"/>
    <w:rsid w:val="001E4C53"/>
    <w:rsid w:val="001E4DFD"/>
    <w:rsid w:val="001E5007"/>
    <w:rsid w:val="001E509C"/>
    <w:rsid w:val="001E5174"/>
    <w:rsid w:val="001E52DD"/>
    <w:rsid w:val="001E553B"/>
    <w:rsid w:val="001E5A57"/>
    <w:rsid w:val="001E5B19"/>
    <w:rsid w:val="001E5E0C"/>
    <w:rsid w:val="001E60B5"/>
    <w:rsid w:val="001E6173"/>
    <w:rsid w:val="001E627C"/>
    <w:rsid w:val="001E68A5"/>
    <w:rsid w:val="001E6A4F"/>
    <w:rsid w:val="001E6B5A"/>
    <w:rsid w:val="001E6BB0"/>
    <w:rsid w:val="001E6C73"/>
    <w:rsid w:val="001E6D80"/>
    <w:rsid w:val="001E6ED6"/>
    <w:rsid w:val="001E6F88"/>
    <w:rsid w:val="001E71CC"/>
    <w:rsid w:val="001E7282"/>
    <w:rsid w:val="001E73D0"/>
    <w:rsid w:val="001E79A9"/>
    <w:rsid w:val="001E79BD"/>
    <w:rsid w:val="001E7C6C"/>
    <w:rsid w:val="001E7DAE"/>
    <w:rsid w:val="001E7DDA"/>
    <w:rsid w:val="001E7E5C"/>
    <w:rsid w:val="001F0061"/>
    <w:rsid w:val="001F008D"/>
    <w:rsid w:val="001F0092"/>
    <w:rsid w:val="001F0155"/>
    <w:rsid w:val="001F08DD"/>
    <w:rsid w:val="001F0B5B"/>
    <w:rsid w:val="001F0D87"/>
    <w:rsid w:val="001F0EA8"/>
    <w:rsid w:val="001F15A8"/>
    <w:rsid w:val="001F19EA"/>
    <w:rsid w:val="001F19F5"/>
    <w:rsid w:val="001F1B9F"/>
    <w:rsid w:val="001F1DC5"/>
    <w:rsid w:val="001F220A"/>
    <w:rsid w:val="001F26D4"/>
    <w:rsid w:val="001F296C"/>
    <w:rsid w:val="001F2C6E"/>
    <w:rsid w:val="001F2D6B"/>
    <w:rsid w:val="001F36F5"/>
    <w:rsid w:val="001F3826"/>
    <w:rsid w:val="001F38EF"/>
    <w:rsid w:val="001F3F4F"/>
    <w:rsid w:val="001F40F1"/>
    <w:rsid w:val="001F45DA"/>
    <w:rsid w:val="001F4A5C"/>
    <w:rsid w:val="001F4B49"/>
    <w:rsid w:val="001F4C48"/>
    <w:rsid w:val="001F507D"/>
    <w:rsid w:val="001F54C5"/>
    <w:rsid w:val="001F562B"/>
    <w:rsid w:val="001F563E"/>
    <w:rsid w:val="001F5B3C"/>
    <w:rsid w:val="001F64E5"/>
    <w:rsid w:val="001F6569"/>
    <w:rsid w:val="001F6A37"/>
    <w:rsid w:val="001F6E46"/>
    <w:rsid w:val="001F6E63"/>
    <w:rsid w:val="001F7437"/>
    <w:rsid w:val="001F74CA"/>
    <w:rsid w:val="001F761D"/>
    <w:rsid w:val="001F76A6"/>
    <w:rsid w:val="001F778E"/>
    <w:rsid w:val="001F788B"/>
    <w:rsid w:val="001F7AF6"/>
    <w:rsid w:val="001F7C3E"/>
    <w:rsid w:val="001F7C7B"/>
    <w:rsid w:val="001F7C91"/>
    <w:rsid w:val="001F7D34"/>
    <w:rsid w:val="00200013"/>
    <w:rsid w:val="00200330"/>
    <w:rsid w:val="002003AE"/>
    <w:rsid w:val="0020054C"/>
    <w:rsid w:val="002005B0"/>
    <w:rsid w:val="00200E72"/>
    <w:rsid w:val="00200FA6"/>
    <w:rsid w:val="00201288"/>
    <w:rsid w:val="002012CA"/>
    <w:rsid w:val="002019DD"/>
    <w:rsid w:val="00201A43"/>
    <w:rsid w:val="00201B42"/>
    <w:rsid w:val="00201FDB"/>
    <w:rsid w:val="00202048"/>
    <w:rsid w:val="00202053"/>
    <w:rsid w:val="00202965"/>
    <w:rsid w:val="002029D4"/>
    <w:rsid w:val="00202A93"/>
    <w:rsid w:val="00202D0A"/>
    <w:rsid w:val="00202E6B"/>
    <w:rsid w:val="00203072"/>
    <w:rsid w:val="00203309"/>
    <w:rsid w:val="002033B7"/>
    <w:rsid w:val="002033BF"/>
    <w:rsid w:val="002034AE"/>
    <w:rsid w:val="00203729"/>
    <w:rsid w:val="00203C0E"/>
    <w:rsid w:val="00204284"/>
    <w:rsid w:val="00204387"/>
    <w:rsid w:val="0020445E"/>
    <w:rsid w:val="0020446E"/>
    <w:rsid w:val="002045CA"/>
    <w:rsid w:val="00204E47"/>
    <w:rsid w:val="00204ED1"/>
    <w:rsid w:val="002053AD"/>
    <w:rsid w:val="00205456"/>
    <w:rsid w:val="002054E3"/>
    <w:rsid w:val="00206463"/>
    <w:rsid w:val="00206557"/>
    <w:rsid w:val="002066D0"/>
    <w:rsid w:val="00206735"/>
    <w:rsid w:val="002069DB"/>
    <w:rsid w:val="00206EC6"/>
    <w:rsid w:val="00206F2F"/>
    <w:rsid w:val="00207034"/>
    <w:rsid w:val="00207454"/>
    <w:rsid w:val="00207717"/>
    <w:rsid w:val="00207989"/>
    <w:rsid w:val="00207A1B"/>
    <w:rsid w:val="00207B88"/>
    <w:rsid w:val="00207F55"/>
    <w:rsid w:val="0021007F"/>
    <w:rsid w:val="0021042E"/>
    <w:rsid w:val="0021053D"/>
    <w:rsid w:val="002107C3"/>
    <w:rsid w:val="00210A92"/>
    <w:rsid w:val="00210BD8"/>
    <w:rsid w:val="00210CE7"/>
    <w:rsid w:val="00210DAA"/>
    <w:rsid w:val="0021117E"/>
    <w:rsid w:val="00211308"/>
    <w:rsid w:val="0021146F"/>
    <w:rsid w:val="002115EB"/>
    <w:rsid w:val="0021165D"/>
    <w:rsid w:val="002120B1"/>
    <w:rsid w:val="00212549"/>
    <w:rsid w:val="00212622"/>
    <w:rsid w:val="00212867"/>
    <w:rsid w:val="00212A39"/>
    <w:rsid w:val="00212B95"/>
    <w:rsid w:val="00212BD5"/>
    <w:rsid w:val="00212C20"/>
    <w:rsid w:val="00212CDC"/>
    <w:rsid w:val="00212D25"/>
    <w:rsid w:val="0021327F"/>
    <w:rsid w:val="00213292"/>
    <w:rsid w:val="00213497"/>
    <w:rsid w:val="00213567"/>
    <w:rsid w:val="00213A24"/>
    <w:rsid w:val="00213AF0"/>
    <w:rsid w:val="00213E90"/>
    <w:rsid w:val="00213FA5"/>
    <w:rsid w:val="00213FD6"/>
    <w:rsid w:val="00214A7E"/>
    <w:rsid w:val="00215875"/>
    <w:rsid w:val="00215CC8"/>
    <w:rsid w:val="002162D8"/>
    <w:rsid w:val="00216560"/>
    <w:rsid w:val="0021676F"/>
    <w:rsid w:val="00216C03"/>
    <w:rsid w:val="00216FFC"/>
    <w:rsid w:val="002172F4"/>
    <w:rsid w:val="002174B6"/>
    <w:rsid w:val="00217648"/>
    <w:rsid w:val="002176CA"/>
    <w:rsid w:val="0022030A"/>
    <w:rsid w:val="0022036C"/>
    <w:rsid w:val="0022065F"/>
    <w:rsid w:val="002206B3"/>
    <w:rsid w:val="00220734"/>
    <w:rsid w:val="00220977"/>
    <w:rsid w:val="00220A1A"/>
    <w:rsid w:val="00220A75"/>
    <w:rsid w:val="00220C04"/>
    <w:rsid w:val="00220C06"/>
    <w:rsid w:val="00220D7E"/>
    <w:rsid w:val="00221531"/>
    <w:rsid w:val="0022175C"/>
    <w:rsid w:val="0022189C"/>
    <w:rsid w:val="00221CF7"/>
    <w:rsid w:val="00221D50"/>
    <w:rsid w:val="00221F27"/>
    <w:rsid w:val="00221F2C"/>
    <w:rsid w:val="00222725"/>
    <w:rsid w:val="0022278D"/>
    <w:rsid w:val="0022315F"/>
    <w:rsid w:val="00223362"/>
    <w:rsid w:val="002242E8"/>
    <w:rsid w:val="002250DE"/>
    <w:rsid w:val="0022511C"/>
    <w:rsid w:val="002252AA"/>
    <w:rsid w:val="0022567B"/>
    <w:rsid w:val="0022588A"/>
    <w:rsid w:val="0022592B"/>
    <w:rsid w:val="00225DEC"/>
    <w:rsid w:val="00225EBD"/>
    <w:rsid w:val="00225EEE"/>
    <w:rsid w:val="0022616D"/>
    <w:rsid w:val="0022628B"/>
    <w:rsid w:val="00226852"/>
    <w:rsid w:val="0022699E"/>
    <w:rsid w:val="00226D94"/>
    <w:rsid w:val="00226E47"/>
    <w:rsid w:val="0022701F"/>
    <w:rsid w:val="00227071"/>
    <w:rsid w:val="002273F1"/>
    <w:rsid w:val="002274FC"/>
    <w:rsid w:val="0022754D"/>
    <w:rsid w:val="00227921"/>
    <w:rsid w:val="00227C68"/>
    <w:rsid w:val="00230AB6"/>
    <w:rsid w:val="00230F47"/>
    <w:rsid w:val="002310FD"/>
    <w:rsid w:val="00231127"/>
    <w:rsid w:val="002313F9"/>
    <w:rsid w:val="00231CD9"/>
    <w:rsid w:val="0023214F"/>
    <w:rsid w:val="002323FF"/>
    <w:rsid w:val="00232644"/>
    <w:rsid w:val="002327D3"/>
    <w:rsid w:val="00232B8F"/>
    <w:rsid w:val="00232BCA"/>
    <w:rsid w:val="00232C3A"/>
    <w:rsid w:val="00233007"/>
    <w:rsid w:val="002331DA"/>
    <w:rsid w:val="002333F5"/>
    <w:rsid w:val="00233555"/>
    <w:rsid w:val="00233724"/>
    <w:rsid w:val="0023383C"/>
    <w:rsid w:val="002339B3"/>
    <w:rsid w:val="00233F83"/>
    <w:rsid w:val="00234279"/>
    <w:rsid w:val="0023441B"/>
    <w:rsid w:val="00234458"/>
    <w:rsid w:val="0023455A"/>
    <w:rsid w:val="0023472D"/>
    <w:rsid w:val="00234798"/>
    <w:rsid w:val="00234AA3"/>
    <w:rsid w:val="00234C84"/>
    <w:rsid w:val="00234D25"/>
    <w:rsid w:val="00234E59"/>
    <w:rsid w:val="00234FA6"/>
    <w:rsid w:val="002353CB"/>
    <w:rsid w:val="00235677"/>
    <w:rsid w:val="00235E2C"/>
    <w:rsid w:val="00235EE8"/>
    <w:rsid w:val="00236020"/>
    <w:rsid w:val="00236031"/>
    <w:rsid w:val="002365B4"/>
    <w:rsid w:val="002366BC"/>
    <w:rsid w:val="002367F4"/>
    <w:rsid w:val="002372D6"/>
    <w:rsid w:val="002374A5"/>
    <w:rsid w:val="00237711"/>
    <w:rsid w:val="00237797"/>
    <w:rsid w:val="00237AE7"/>
    <w:rsid w:val="00237B2B"/>
    <w:rsid w:val="00237F3A"/>
    <w:rsid w:val="00237FAA"/>
    <w:rsid w:val="00240008"/>
    <w:rsid w:val="0024046C"/>
    <w:rsid w:val="00240559"/>
    <w:rsid w:val="002407A0"/>
    <w:rsid w:val="0024082D"/>
    <w:rsid w:val="0024093A"/>
    <w:rsid w:val="00240C7A"/>
    <w:rsid w:val="002411B7"/>
    <w:rsid w:val="0024134A"/>
    <w:rsid w:val="002413CB"/>
    <w:rsid w:val="0024163B"/>
    <w:rsid w:val="00241698"/>
    <w:rsid w:val="002417A9"/>
    <w:rsid w:val="00241E17"/>
    <w:rsid w:val="002421AB"/>
    <w:rsid w:val="0024265F"/>
    <w:rsid w:val="0024278E"/>
    <w:rsid w:val="002427AD"/>
    <w:rsid w:val="002429CF"/>
    <w:rsid w:val="00242A87"/>
    <w:rsid w:val="00242D2D"/>
    <w:rsid w:val="00242EBE"/>
    <w:rsid w:val="00242F9D"/>
    <w:rsid w:val="002430AB"/>
    <w:rsid w:val="002432E1"/>
    <w:rsid w:val="00243CBD"/>
    <w:rsid w:val="00243F0F"/>
    <w:rsid w:val="00244292"/>
    <w:rsid w:val="002444A9"/>
    <w:rsid w:val="002446E1"/>
    <w:rsid w:val="0024482A"/>
    <w:rsid w:val="0024483F"/>
    <w:rsid w:val="00244AF8"/>
    <w:rsid w:val="00244BB4"/>
    <w:rsid w:val="002456A4"/>
    <w:rsid w:val="00245A77"/>
    <w:rsid w:val="00245C75"/>
    <w:rsid w:val="00245EF0"/>
    <w:rsid w:val="00246207"/>
    <w:rsid w:val="002465F4"/>
    <w:rsid w:val="00246BED"/>
    <w:rsid w:val="00246C5E"/>
    <w:rsid w:val="00246EA5"/>
    <w:rsid w:val="00246FC7"/>
    <w:rsid w:val="00247109"/>
    <w:rsid w:val="00247525"/>
    <w:rsid w:val="0024757A"/>
    <w:rsid w:val="002475FA"/>
    <w:rsid w:val="00247C49"/>
    <w:rsid w:val="002503E1"/>
    <w:rsid w:val="00250960"/>
    <w:rsid w:val="002509DB"/>
    <w:rsid w:val="00250C5F"/>
    <w:rsid w:val="00250E73"/>
    <w:rsid w:val="00251033"/>
    <w:rsid w:val="002510DC"/>
    <w:rsid w:val="002511F4"/>
    <w:rsid w:val="00251343"/>
    <w:rsid w:val="002516DE"/>
    <w:rsid w:val="00251773"/>
    <w:rsid w:val="00251DAF"/>
    <w:rsid w:val="00251E12"/>
    <w:rsid w:val="00252790"/>
    <w:rsid w:val="00252A65"/>
    <w:rsid w:val="00252DDF"/>
    <w:rsid w:val="00252E66"/>
    <w:rsid w:val="00252F39"/>
    <w:rsid w:val="002536A4"/>
    <w:rsid w:val="00253DE5"/>
    <w:rsid w:val="00253FA6"/>
    <w:rsid w:val="002541FE"/>
    <w:rsid w:val="00254863"/>
    <w:rsid w:val="00254A77"/>
    <w:rsid w:val="00254D47"/>
    <w:rsid w:val="00254F58"/>
    <w:rsid w:val="00255177"/>
    <w:rsid w:val="002553D2"/>
    <w:rsid w:val="00255461"/>
    <w:rsid w:val="002555E3"/>
    <w:rsid w:val="00255620"/>
    <w:rsid w:val="00255BE5"/>
    <w:rsid w:val="00255EDE"/>
    <w:rsid w:val="00256009"/>
    <w:rsid w:val="002560E2"/>
    <w:rsid w:val="002561F5"/>
    <w:rsid w:val="00256260"/>
    <w:rsid w:val="002565CF"/>
    <w:rsid w:val="0025662A"/>
    <w:rsid w:val="002566AE"/>
    <w:rsid w:val="00256CCA"/>
    <w:rsid w:val="00256E7E"/>
    <w:rsid w:val="00257223"/>
    <w:rsid w:val="0025727E"/>
    <w:rsid w:val="0025790D"/>
    <w:rsid w:val="00257A26"/>
    <w:rsid w:val="00257D67"/>
    <w:rsid w:val="00257D6B"/>
    <w:rsid w:val="002602A5"/>
    <w:rsid w:val="0026040B"/>
    <w:rsid w:val="002608E9"/>
    <w:rsid w:val="00260C5E"/>
    <w:rsid w:val="00260CDB"/>
    <w:rsid w:val="00260D80"/>
    <w:rsid w:val="0026151A"/>
    <w:rsid w:val="00261642"/>
    <w:rsid w:val="0026190F"/>
    <w:rsid w:val="00261A17"/>
    <w:rsid w:val="00261A60"/>
    <w:rsid w:val="00262015"/>
    <w:rsid w:val="002620BC"/>
    <w:rsid w:val="0026244B"/>
    <w:rsid w:val="00262552"/>
    <w:rsid w:val="00262802"/>
    <w:rsid w:val="00262815"/>
    <w:rsid w:val="00262BE9"/>
    <w:rsid w:val="002634A9"/>
    <w:rsid w:val="0026374E"/>
    <w:rsid w:val="00263A90"/>
    <w:rsid w:val="00263F5B"/>
    <w:rsid w:val="0026408B"/>
    <w:rsid w:val="0026455A"/>
    <w:rsid w:val="0026456E"/>
    <w:rsid w:val="00264B05"/>
    <w:rsid w:val="00265182"/>
    <w:rsid w:val="00265277"/>
    <w:rsid w:val="0026527F"/>
    <w:rsid w:val="0026531A"/>
    <w:rsid w:val="00265B29"/>
    <w:rsid w:val="00265CD2"/>
    <w:rsid w:val="00265E69"/>
    <w:rsid w:val="00265F7D"/>
    <w:rsid w:val="002666E6"/>
    <w:rsid w:val="00266EF2"/>
    <w:rsid w:val="00266F4A"/>
    <w:rsid w:val="00267080"/>
    <w:rsid w:val="00267521"/>
    <w:rsid w:val="002677E1"/>
    <w:rsid w:val="00267A46"/>
    <w:rsid w:val="00267B43"/>
    <w:rsid w:val="00267C3E"/>
    <w:rsid w:val="00267CDD"/>
    <w:rsid w:val="002700F3"/>
    <w:rsid w:val="00270179"/>
    <w:rsid w:val="002708B7"/>
    <w:rsid w:val="002708ED"/>
    <w:rsid w:val="002709BB"/>
    <w:rsid w:val="00270AD5"/>
    <w:rsid w:val="00270B9C"/>
    <w:rsid w:val="00270E32"/>
    <w:rsid w:val="00270F24"/>
    <w:rsid w:val="00270F89"/>
    <w:rsid w:val="002711AF"/>
    <w:rsid w:val="0027131C"/>
    <w:rsid w:val="002713B7"/>
    <w:rsid w:val="0027153E"/>
    <w:rsid w:val="0027161C"/>
    <w:rsid w:val="002718FF"/>
    <w:rsid w:val="00271A19"/>
    <w:rsid w:val="00271A1D"/>
    <w:rsid w:val="0027216B"/>
    <w:rsid w:val="00272571"/>
    <w:rsid w:val="00272582"/>
    <w:rsid w:val="00272649"/>
    <w:rsid w:val="00272A06"/>
    <w:rsid w:val="00272A12"/>
    <w:rsid w:val="00272AD9"/>
    <w:rsid w:val="00272AE5"/>
    <w:rsid w:val="00272B50"/>
    <w:rsid w:val="00273278"/>
    <w:rsid w:val="0027337F"/>
    <w:rsid w:val="00273A46"/>
    <w:rsid w:val="00273BAC"/>
    <w:rsid w:val="00274094"/>
    <w:rsid w:val="00274314"/>
    <w:rsid w:val="00274785"/>
    <w:rsid w:val="0027490E"/>
    <w:rsid w:val="002749C3"/>
    <w:rsid w:val="00274B30"/>
    <w:rsid w:val="00274C82"/>
    <w:rsid w:val="00275183"/>
    <w:rsid w:val="00275521"/>
    <w:rsid w:val="002757CC"/>
    <w:rsid w:val="00275A8C"/>
    <w:rsid w:val="00275C1B"/>
    <w:rsid w:val="00275EB3"/>
    <w:rsid w:val="00275F52"/>
    <w:rsid w:val="00276160"/>
    <w:rsid w:val="002763B3"/>
    <w:rsid w:val="00276F81"/>
    <w:rsid w:val="0027724F"/>
    <w:rsid w:val="00277298"/>
    <w:rsid w:val="002775A7"/>
    <w:rsid w:val="00277D98"/>
    <w:rsid w:val="002802E3"/>
    <w:rsid w:val="00280431"/>
    <w:rsid w:val="00280A1A"/>
    <w:rsid w:val="00280A87"/>
    <w:rsid w:val="00280C5A"/>
    <w:rsid w:val="00280F68"/>
    <w:rsid w:val="00280FFE"/>
    <w:rsid w:val="002810CA"/>
    <w:rsid w:val="00281277"/>
    <w:rsid w:val="0028148D"/>
    <w:rsid w:val="00281949"/>
    <w:rsid w:val="00281B83"/>
    <w:rsid w:val="002820BA"/>
    <w:rsid w:val="002820C5"/>
    <w:rsid w:val="0028213D"/>
    <w:rsid w:val="00282490"/>
    <w:rsid w:val="002824CF"/>
    <w:rsid w:val="00282871"/>
    <w:rsid w:val="00282C1B"/>
    <w:rsid w:val="00282C46"/>
    <w:rsid w:val="00282CE4"/>
    <w:rsid w:val="00282D8E"/>
    <w:rsid w:val="00282DEE"/>
    <w:rsid w:val="00282F1A"/>
    <w:rsid w:val="0028350A"/>
    <w:rsid w:val="0028358F"/>
    <w:rsid w:val="0028383D"/>
    <w:rsid w:val="00283861"/>
    <w:rsid w:val="002838FE"/>
    <w:rsid w:val="00283ABE"/>
    <w:rsid w:val="00283B7B"/>
    <w:rsid w:val="00285387"/>
    <w:rsid w:val="00285454"/>
    <w:rsid w:val="002854DE"/>
    <w:rsid w:val="00285501"/>
    <w:rsid w:val="0028564C"/>
    <w:rsid w:val="00285C5D"/>
    <w:rsid w:val="00285D82"/>
    <w:rsid w:val="00285E7E"/>
    <w:rsid w:val="00285EDB"/>
    <w:rsid w:val="00285FD9"/>
    <w:rsid w:val="002862F1"/>
    <w:rsid w:val="002864F1"/>
    <w:rsid w:val="00286941"/>
    <w:rsid w:val="002869B7"/>
    <w:rsid w:val="00286A11"/>
    <w:rsid w:val="00286A61"/>
    <w:rsid w:val="00287639"/>
    <w:rsid w:val="00287CC7"/>
    <w:rsid w:val="00290AC2"/>
    <w:rsid w:val="00290B77"/>
    <w:rsid w:val="00290CCF"/>
    <w:rsid w:val="0029130D"/>
    <w:rsid w:val="00291373"/>
    <w:rsid w:val="002913B7"/>
    <w:rsid w:val="0029163A"/>
    <w:rsid w:val="002916FF"/>
    <w:rsid w:val="00291905"/>
    <w:rsid w:val="00291BDE"/>
    <w:rsid w:val="00291E71"/>
    <w:rsid w:val="002922C5"/>
    <w:rsid w:val="00292404"/>
    <w:rsid w:val="0029263E"/>
    <w:rsid w:val="002929BD"/>
    <w:rsid w:val="00292ADF"/>
    <w:rsid w:val="00292CDF"/>
    <w:rsid w:val="00292D95"/>
    <w:rsid w:val="00293207"/>
    <w:rsid w:val="0029322E"/>
    <w:rsid w:val="00293888"/>
    <w:rsid w:val="00293C88"/>
    <w:rsid w:val="00293E91"/>
    <w:rsid w:val="00294150"/>
    <w:rsid w:val="00294157"/>
    <w:rsid w:val="002942F8"/>
    <w:rsid w:val="0029437F"/>
    <w:rsid w:val="002947B8"/>
    <w:rsid w:val="0029493F"/>
    <w:rsid w:val="0029501F"/>
    <w:rsid w:val="002951AC"/>
    <w:rsid w:val="00295596"/>
    <w:rsid w:val="0029597D"/>
    <w:rsid w:val="00295B12"/>
    <w:rsid w:val="00295B13"/>
    <w:rsid w:val="00296136"/>
    <w:rsid w:val="002962C3"/>
    <w:rsid w:val="0029655D"/>
    <w:rsid w:val="002965DC"/>
    <w:rsid w:val="00296E8B"/>
    <w:rsid w:val="00296FEE"/>
    <w:rsid w:val="0029740B"/>
    <w:rsid w:val="00297461"/>
    <w:rsid w:val="0029752B"/>
    <w:rsid w:val="002976B9"/>
    <w:rsid w:val="002977CF"/>
    <w:rsid w:val="00297DF0"/>
    <w:rsid w:val="00297FC9"/>
    <w:rsid w:val="002A0050"/>
    <w:rsid w:val="002A01D0"/>
    <w:rsid w:val="002A0A9C"/>
    <w:rsid w:val="002A0AC1"/>
    <w:rsid w:val="002A106C"/>
    <w:rsid w:val="002A10F3"/>
    <w:rsid w:val="002A1C60"/>
    <w:rsid w:val="002A24D9"/>
    <w:rsid w:val="002A25DD"/>
    <w:rsid w:val="002A2921"/>
    <w:rsid w:val="002A2D63"/>
    <w:rsid w:val="002A2E6A"/>
    <w:rsid w:val="002A304F"/>
    <w:rsid w:val="002A3274"/>
    <w:rsid w:val="002A3E82"/>
    <w:rsid w:val="002A4317"/>
    <w:rsid w:val="002A4323"/>
    <w:rsid w:val="002A46A3"/>
    <w:rsid w:val="002A483C"/>
    <w:rsid w:val="002A4CA5"/>
    <w:rsid w:val="002A557C"/>
    <w:rsid w:val="002A5936"/>
    <w:rsid w:val="002A5D2F"/>
    <w:rsid w:val="002A5E37"/>
    <w:rsid w:val="002A5E3F"/>
    <w:rsid w:val="002A5E8A"/>
    <w:rsid w:val="002A5EBA"/>
    <w:rsid w:val="002A6502"/>
    <w:rsid w:val="002A6979"/>
    <w:rsid w:val="002A698E"/>
    <w:rsid w:val="002A69B1"/>
    <w:rsid w:val="002A6B22"/>
    <w:rsid w:val="002A6D37"/>
    <w:rsid w:val="002A6FA2"/>
    <w:rsid w:val="002A70AF"/>
    <w:rsid w:val="002A70BB"/>
    <w:rsid w:val="002A7864"/>
    <w:rsid w:val="002A7AD2"/>
    <w:rsid w:val="002A7D76"/>
    <w:rsid w:val="002B0171"/>
    <w:rsid w:val="002B06F3"/>
    <w:rsid w:val="002B0994"/>
    <w:rsid w:val="002B09EB"/>
    <w:rsid w:val="002B0B86"/>
    <w:rsid w:val="002B0B97"/>
    <w:rsid w:val="002B0C7C"/>
    <w:rsid w:val="002B0E74"/>
    <w:rsid w:val="002B1020"/>
    <w:rsid w:val="002B1471"/>
    <w:rsid w:val="002B1729"/>
    <w:rsid w:val="002B1C59"/>
    <w:rsid w:val="002B1E4F"/>
    <w:rsid w:val="002B245D"/>
    <w:rsid w:val="002B26D9"/>
    <w:rsid w:val="002B29A9"/>
    <w:rsid w:val="002B2CAB"/>
    <w:rsid w:val="002B2E39"/>
    <w:rsid w:val="002B2F2D"/>
    <w:rsid w:val="002B303A"/>
    <w:rsid w:val="002B323F"/>
    <w:rsid w:val="002B3600"/>
    <w:rsid w:val="002B36C7"/>
    <w:rsid w:val="002B3D5C"/>
    <w:rsid w:val="002B3D68"/>
    <w:rsid w:val="002B420F"/>
    <w:rsid w:val="002B43B2"/>
    <w:rsid w:val="002B44C4"/>
    <w:rsid w:val="002B4533"/>
    <w:rsid w:val="002B48BA"/>
    <w:rsid w:val="002B4980"/>
    <w:rsid w:val="002B4DD4"/>
    <w:rsid w:val="002B5212"/>
    <w:rsid w:val="002B5277"/>
    <w:rsid w:val="002B5375"/>
    <w:rsid w:val="002B53F5"/>
    <w:rsid w:val="002B5800"/>
    <w:rsid w:val="002B5D6C"/>
    <w:rsid w:val="002B5DAF"/>
    <w:rsid w:val="002B6136"/>
    <w:rsid w:val="002B6517"/>
    <w:rsid w:val="002B6B50"/>
    <w:rsid w:val="002B6C4F"/>
    <w:rsid w:val="002B6D0C"/>
    <w:rsid w:val="002B6DD7"/>
    <w:rsid w:val="002B6DED"/>
    <w:rsid w:val="002B715D"/>
    <w:rsid w:val="002B7450"/>
    <w:rsid w:val="002B76F3"/>
    <w:rsid w:val="002B77C1"/>
    <w:rsid w:val="002B77D4"/>
    <w:rsid w:val="002B7840"/>
    <w:rsid w:val="002B79A3"/>
    <w:rsid w:val="002B7A3A"/>
    <w:rsid w:val="002B7A79"/>
    <w:rsid w:val="002B7B1D"/>
    <w:rsid w:val="002C0565"/>
    <w:rsid w:val="002C07B1"/>
    <w:rsid w:val="002C0927"/>
    <w:rsid w:val="002C0C12"/>
    <w:rsid w:val="002C0E83"/>
    <w:rsid w:val="002C0ED7"/>
    <w:rsid w:val="002C1209"/>
    <w:rsid w:val="002C130B"/>
    <w:rsid w:val="002C1851"/>
    <w:rsid w:val="002C19A0"/>
    <w:rsid w:val="002C19B7"/>
    <w:rsid w:val="002C22EA"/>
    <w:rsid w:val="002C239B"/>
    <w:rsid w:val="002C2646"/>
    <w:rsid w:val="002C266D"/>
    <w:rsid w:val="002C2728"/>
    <w:rsid w:val="002C2C35"/>
    <w:rsid w:val="002C2FD0"/>
    <w:rsid w:val="002C31D9"/>
    <w:rsid w:val="002C3515"/>
    <w:rsid w:val="002C3837"/>
    <w:rsid w:val="002C3FB8"/>
    <w:rsid w:val="002C4282"/>
    <w:rsid w:val="002C44A7"/>
    <w:rsid w:val="002C494B"/>
    <w:rsid w:val="002C4E85"/>
    <w:rsid w:val="002C568D"/>
    <w:rsid w:val="002C58EA"/>
    <w:rsid w:val="002C5B7C"/>
    <w:rsid w:val="002C5F0B"/>
    <w:rsid w:val="002C6779"/>
    <w:rsid w:val="002C68EC"/>
    <w:rsid w:val="002C6A6D"/>
    <w:rsid w:val="002C6FB7"/>
    <w:rsid w:val="002C7056"/>
    <w:rsid w:val="002C7715"/>
    <w:rsid w:val="002C7995"/>
    <w:rsid w:val="002C7E5B"/>
    <w:rsid w:val="002D06BF"/>
    <w:rsid w:val="002D0C44"/>
    <w:rsid w:val="002D1014"/>
    <w:rsid w:val="002D1DAA"/>
    <w:rsid w:val="002D1E0D"/>
    <w:rsid w:val="002D208C"/>
    <w:rsid w:val="002D27D4"/>
    <w:rsid w:val="002D2E6A"/>
    <w:rsid w:val="002D2EEE"/>
    <w:rsid w:val="002D362C"/>
    <w:rsid w:val="002D43F0"/>
    <w:rsid w:val="002D45AA"/>
    <w:rsid w:val="002D46B7"/>
    <w:rsid w:val="002D4829"/>
    <w:rsid w:val="002D4832"/>
    <w:rsid w:val="002D49FE"/>
    <w:rsid w:val="002D4A15"/>
    <w:rsid w:val="002D4A49"/>
    <w:rsid w:val="002D4A9D"/>
    <w:rsid w:val="002D4FD2"/>
    <w:rsid w:val="002D5006"/>
    <w:rsid w:val="002D53C2"/>
    <w:rsid w:val="002D5679"/>
    <w:rsid w:val="002D5769"/>
    <w:rsid w:val="002D59A4"/>
    <w:rsid w:val="002D5CA8"/>
    <w:rsid w:val="002D5EB9"/>
    <w:rsid w:val="002D60BD"/>
    <w:rsid w:val="002D6960"/>
    <w:rsid w:val="002D6EC9"/>
    <w:rsid w:val="002D704C"/>
    <w:rsid w:val="002D742E"/>
    <w:rsid w:val="002D77F2"/>
    <w:rsid w:val="002D789E"/>
    <w:rsid w:val="002D7B5F"/>
    <w:rsid w:val="002D7C61"/>
    <w:rsid w:val="002D7D19"/>
    <w:rsid w:val="002D7E54"/>
    <w:rsid w:val="002E00AA"/>
    <w:rsid w:val="002E01D0"/>
    <w:rsid w:val="002E028B"/>
    <w:rsid w:val="002E05B5"/>
    <w:rsid w:val="002E0808"/>
    <w:rsid w:val="002E0847"/>
    <w:rsid w:val="002E0877"/>
    <w:rsid w:val="002E0A35"/>
    <w:rsid w:val="002E0D9B"/>
    <w:rsid w:val="002E0E37"/>
    <w:rsid w:val="002E161D"/>
    <w:rsid w:val="002E1BD0"/>
    <w:rsid w:val="002E1D92"/>
    <w:rsid w:val="002E22FF"/>
    <w:rsid w:val="002E2572"/>
    <w:rsid w:val="002E28A2"/>
    <w:rsid w:val="002E2AF2"/>
    <w:rsid w:val="002E2CFE"/>
    <w:rsid w:val="002E2D54"/>
    <w:rsid w:val="002E3100"/>
    <w:rsid w:val="002E315D"/>
    <w:rsid w:val="002E35AE"/>
    <w:rsid w:val="002E39D2"/>
    <w:rsid w:val="002E45AA"/>
    <w:rsid w:val="002E45CA"/>
    <w:rsid w:val="002E46D9"/>
    <w:rsid w:val="002E472F"/>
    <w:rsid w:val="002E4B8A"/>
    <w:rsid w:val="002E57C5"/>
    <w:rsid w:val="002E59A8"/>
    <w:rsid w:val="002E5A5C"/>
    <w:rsid w:val="002E6254"/>
    <w:rsid w:val="002E62FF"/>
    <w:rsid w:val="002E6821"/>
    <w:rsid w:val="002E6851"/>
    <w:rsid w:val="002E6C95"/>
    <w:rsid w:val="002E72A9"/>
    <w:rsid w:val="002E77C5"/>
    <w:rsid w:val="002E7C36"/>
    <w:rsid w:val="002F024F"/>
    <w:rsid w:val="002F026F"/>
    <w:rsid w:val="002F0649"/>
    <w:rsid w:val="002F0A6B"/>
    <w:rsid w:val="002F1017"/>
    <w:rsid w:val="002F1B93"/>
    <w:rsid w:val="002F1C43"/>
    <w:rsid w:val="002F1D7B"/>
    <w:rsid w:val="002F20F1"/>
    <w:rsid w:val="002F2415"/>
    <w:rsid w:val="002F26CA"/>
    <w:rsid w:val="002F2F8E"/>
    <w:rsid w:val="002F32F3"/>
    <w:rsid w:val="002F392F"/>
    <w:rsid w:val="002F39EB"/>
    <w:rsid w:val="002F3D32"/>
    <w:rsid w:val="002F3F30"/>
    <w:rsid w:val="002F42C4"/>
    <w:rsid w:val="002F432C"/>
    <w:rsid w:val="002F434D"/>
    <w:rsid w:val="002F44A2"/>
    <w:rsid w:val="002F4677"/>
    <w:rsid w:val="002F4A22"/>
    <w:rsid w:val="002F4C77"/>
    <w:rsid w:val="002F4F0C"/>
    <w:rsid w:val="002F50B6"/>
    <w:rsid w:val="002F511D"/>
    <w:rsid w:val="002F523F"/>
    <w:rsid w:val="002F5251"/>
    <w:rsid w:val="002F531D"/>
    <w:rsid w:val="002F53A4"/>
    <w:rsid w:val="002F59EA"/>
    <w:rsid w:val="002F5AD0"/>
    <w:rsid w:val="002F5B06"/>
    <w:rsid w:val="002F5F31"/>
    <w:rsid w:val="002F5F46"/>
    <w:rsid w:val="002F5FB2"/>
    <w:rsid w:val="002F614B"/>
    <w:rsid w:val="002F64C4"/>
    <w:rsid w:val="002F742B"/>
    <w:rsid w:val="002F764B"/>
    <w:rsid w:val="002F7835"/>
    <w:rsid w:val="002F7B91"/>
    <w:rsid w:val="002F7D41"/>
    <w:rsid w:val="003000FB"/>
    <w:rsid w:val="00300253"/>
    <w:rsid w:val="00300420"/>
    <w:rsid w:val="00300439"/>
    <w:rsid w:val="00300A77"/>
    <w:rsid w:val="00300B86"/>
    <w:rsid w:val="00300C52"/>
    <w:rsid w:val="00300FC1"/>
    <w:rsid w:val="003010C6"/>
    <w:rsid w:val="003012E2"/>
    <w:rsid w:val="003018FD"/>
    <w:rsid w:val="00301DE4"/>
    <w:rsid w:val="00302216"/>
    <w:rsid w:val="0030228F"/>
    <w:rsid w:val="00302532"/>
    <w:rsid w:val="00302A66"/>
    <w:rsid w:val="00302B32"/>
    <w:rsid w:val="00302F23"/>
    <w:rsid w:val="003031C1"/>
    <w:rsid w:val="003039AC"/>
    <w:rsid w:val="003039FD"/>
    <w:rsid w:val="00303E53"/>
    <w:rsid w:val="003042BA"/>
    <w:rsid w:val="003046C1"/>
    <w:rsid w:val="00304955"/>
    <w:rsid w:val="00304F0E"/>
    <w:rsid w:val="00304F77"/>
    <w:rsid w:val="0030511D"/>
    <w:rsid w:val="003053B3"/>
    <w:rsid w:val="003057AE"/>
    <w:rsid w:val="003059E6"/>
    <w:rsid w:val="00305A93"/>
    <w:rsid w:val="00305C38"/>
    <w:rsid w:val="00305CC1"/>
    <w:rsid w:val="00305E68"/>
    <w:rsid w:val="00305FBD"/>
    <w:rsid w:val="00306112"/>
    <w:rsid w:val="003061C6"/>
    <w:rsid w:val="003064F1"/>
    <w:rsid w:val="00306524"/>
    <w:rsid w:val="00306892"/>
    <w:rsid w:val="003068C7"/>
    <w:rsid w:val="00306B1B"/>
    <w:rsid w:val="00306BA2"/>
    <w:rsid w:val="00306E5F"/>
    <w:rsid w:val="003072A2"/>
    <w:rsid w:val="0030757D"/>
    <w:rsid w:val="0030799C"/>
    <w:rsid w:val="00307B41"/>
    <w:rsid w:val="00307D5D"/>
    <w:rsid w:val="00307DBC"/>
    <w:rsid w:val="00307E14"/>
    <w:rsid w:val="0031027D"/>
    <w:rsid w:val="00310E53"/>
    <w:rsid w:val="0031127B"/>
    <w:rsid w:val="00311445"/>
    <w:rsid w:val="003115EB"/>
    <w:rsid w:val="0031177F"/>
    <w:rsid w:val="0031188E"/>
    <w:rsid w:val="00311CC6"/>
    <w:rsid w:val="003120B7"/>
    <w:rsid w:val="00312333"/>
    <w:rsid w:val="003123F3"/>
    <w:rsid w:val="00312417"/>
    <w:rsid w:val="0031250B"/>
    <w:rsid w:val="00312A89"/>
    <w:rsid w:val="00312E0E"/>
    <w:rsid w:val="003133CB"/>
    <w:rsid w:val="00313A52"/>
    <w:rsid w:val="00313D3F"/>
    <w:rsid w:val="00314054"/>
    <w:rsid w:val="003140EC"/>
    <w:rsid w:val="003141EE"/>
    <w:rsid w:val="003142AC"/>
    <w:rsid w:val="003142EB"/>
    <w:rsid w:val="0031434E"/>
    <w:rsid w:val="003143F4"/>
    <w:rsid w:val="003144BC"/>
    <w:rsid w:val="003145C8"/>
    <w:rsid w:val="00314790"/>
    <w:rsid w:val="00314A58"/>
    <w:rsid w:val="00314BD6"/>
    <w:rsid w:val="00314EA9"/>
    <w:rsid w:val="00314EF0"/>
    <w:rsid w:val="00315567"/>
    <w:rsid w:val="003159F6"/>
    <w:rsid w:val="00315F1B"/>
    <w:rsid w:val="0031603E"/>
    <w:rsid w:val="00316271"/>
    <w:rsid w:val="00316291"/>
    <w:rsid w:val="003164BD"/>
    <w:rsid w:val="003166E0"/>
    <w:rsid w:val="00316B7E"/>
    <w:rsid w:val="00316E4A"/>
    <w:rsid w:val="00316F27"/>
    <w:rsid w:val="00316F28"/>
    <w:rsid w:val="003175CD"/>
    <w:rsid w:val="00317CD1"/>
    <w:rsid w:val="00317D98"/>
    <w:rsid w:val="00317F65"/>
    <w:rsid w:val="0032018C"/>
    <w:rsid w:val="0032056C"/>
    <w:rsid w:val="003209E7"/>
    <w:rsid w:val="00320BCF"/>
    <w:rsid w:val="00320E6D"/>
    <w:rsid w:val="00320EB3"/>
    <w:rsid w:val="0032110C"/>
    <w:rsid w:val="003211C1"/>
    <w:rsid w:val="00321209"/>
    <w:rsid w:val="00321346"/>
    <w:rsid w:val="003214D3"/>
    <w:rsid w:val="003214F1"/>
    <w:rsid w:val="003216FC"/>
    <w:rsid w:val="003217DF"/>
    <w:rsid w:val="00321A07"/>
    <w:rsid w:val="00321AC6"/>
    <w:rsid w:val="00321FF5"/>
    <w:rsid w:val="003222F5"/>
    <w:rsid w:val="00322329"/>
    <w:rsid w:val="0032247B"/>
    <w:rsid w:val="00322615"/>
    <w:rsid w:val="0032262E"/>
    <w:rsid w:val="003226F1"/>
    <w:rsid w:val="003229FA"/>
    <w:rsid w:val="00322E4B"/>
    <w:rsid w:val="0032343F"/>
    <w:rsid w:val="0032381E"/>
    <w:rsid w:val="00323995"/>
    <w:rsid w:val="0032408C"/>
    <w:rsid w:val="00324402"/>
    <w:rsid w:val="00324851"/>
    <w:rsid w:val="00325387"/>
    <w:rsid w:val="003253E7"/>
    <w:rsid w:val="0032545F"/>
    <w:rsid w:val="00325AE4"/>
    <w:rsid w:val="00326D2A"/>
    <w:rsid w:val="00327427"/>
    <w:rsid w:val="00327870"/>
    <w:rsid w:val="00327E51"/>
    <w:rsid w:val="00327FA6"/>
    <w:rsid w:val="00330202"/>
    <w:rsid w:val="00330468"/>
    <w:rsid w:val="0033089D"/>
    <w:rsid w:val="0033099B"/>
    <w:rsid w:val="00330CB7"/>
    <w:rsid w:val="00330F8E"/>
    <w:rsid w:val="003314DD"/>
    <w:rsid w:val="00331B0E"/>
    <w:rsid w:val="00331C9A"/>
    <w:rsid w:val="00331EFD"/>
    <w:rsid w:val="003320F6"/>
    <w:rsid w:val="00332450"/>
    <w:rsid w:val="00332559"/>
    <w:rsid w:val="00332588"/>
    <w:rsid w:val="0033259D"/>
    <w:rsid w:val="0033297E"/>
    <w:rsid w:val="00332CD6"/>
    <w:rsid w:val="00332D19"/>
    <w:rsid w:val="00332F13"/>
    <w:rsid w:val="00332F1E"/>
    <w:rsid w:val="00333314"/>
    <w:rsid w:val="003333D2"/>
    <w:rsid w:val="003334DE"/>
    <w:rsid w:val="003335AB"/>
    <w:rsid w:val="0033374B"/>
    <w:rsid w:val="003339F9"/>
    <w:rsid w:val="00333C55"/>
    <w:rsid w:val="00333FA8"/>
    <w:rsid w:val="00334507"/>
    <w:rsid w:val="00334686"/>
    <w:rsid w:val="0033473C"/>
    <w:rsid w:val="003348F1"/>
    <w:rsid w:val="00334AAE"/>
    <w:rsid w:val="00334AC8"/>
    <w:rsid w:val="00335133"/>
    <w:rsid w:val="00335308"/>
    <w:rsid w:val="00335511"/>
    <w:rsid w:val="00335898"/>
    <w:rsid w:val="00335B6E"/>
    <w:rsid w:val="00335C04"/>
    <w:rsid w:val="00335C6B"/>
    <w:rsid w:val="00335D15"/>
    <w:rsid w:val="00335E97"/>
    <w:rsid w:val="003368D1"/>
    <w:rsid w:val="00336A11"/>
    <w:rsid w:val="00336D1B"/>
    <w:rsid w:val="00336FFB"/>
    <w:rsid w:val="00337055"/>
    <w:rsid w:val="00337339"/>
    <w:rsid w:val="00337370"/>
    <w:rsid w:val="00337A94"/>
    <w:rsid w:val="00340345"/>
    <w:rsid w:val="003403F9"/>
    <w:rsid w:val="00340477"/>
    <w:rsid w:val="003406C6"/>
    <w:rsid w:val="00340B4C"/>
    <w:rsid w:val="00340DAB"/>
    <w:rsid w:val="0034136E"/>
    <w:rsid w:val="00341505"/>
    <w:rsid w:val="003416A1"/>
    <w:rsid w:val="0034175D"/>
    <w:rsid w:val="003418CC"/>
    <w:rsid w:val="00341D81"/>
    <w:rsid w:val="00342521"/>
    <w:rsid w:val="00342546"/>
    <w:rsid w:val="00343317"/>
    <w:rsid w:val="003434EE"/>
    <w:rsid w:val="00343605"/>
    <w:rsid w:val="00343655"/>
    <w:rsid w:val="00343AF6"/>
    <w:rsid w:val="00343C5B"/>
    <w:rsid w:val="00344204"/>
    <w:rsid w:val="0034452B"/>
    <w:rsid w:val="00344640"/>
    <w:rsid w:val="00344708"/>
    <w:rsid w:val="00344868"/>
    <w:rsid w:val="00345163"/>
    <w:rsid w:val="003459BD"/>
    <w:rsid w:val="00345ACE"/>
    <w:rsid w:val="00345E90"/>
    <w:rsid w:val="00345F09"/>
    <w:rsid w:val="0034638A"/>
    <w:rsid w:val="00346E34"/>
    <w:rsid w:val="00346E80"/>
    <w:rsid w:val="00346E82"/>
    <w:rsid w:val="0034702B"/>
    <w:rsid w:val="003471C5"/>
    <w:rsid w:val="0034727B"/>
    <w:rsid w:val="0035035B"/>
    <w:rsid w:val="003504A7"/>
    <w:rsid w:val="00350509"/>
    <w:rsid w:val="00350911"/>
    <w:rsid w:val="00350CB2"/>
    <w:rsid w:val="00350D38"/>
    <w:rsid w:val="00350D64"/>
    <w:rsid w:val="00350F2F"/>
    <w:rsid w:val="00351153"/>
    <w:rsid w:val="00351310"/>
    <w:rsid w:val="0035156B"/>
    <w:rsid w:val="00351845"/>
    <w:rsid w:val="00351916"/>
    <w:rsid w:val="00351AE3"/>
    <w:rsid w:val="00351B36"/>
    <w:rsid w:val="00352096"/>
    <w:rsid w:val="003523C1"/>
    <w:rsid w:val="00352499"/>
    <w:rsid w:val="003525A0"/>
    <w:rsid w:val="00352AB3"/>
    <w:rsid w:val="00352DFE"/>
    <w:rsid w:val="00352EA7"/>
    <w:rsid w:val="00352FF3"/>
    <w:rsid w:val="003535AF"/>
    <w:rsid w:val="003536D7"/>
    <w:rsid w:val="00353C6C"/>
    <w:rsid w:val="003544B3"/>
    <w:rsid w:val="00354652"/>
    <w:rsid w:val="003547B1"/>
    <w:rsid w:val="00354862"/>
    <w:rsid w:val="00354B02"/>
    <w:rsid w:val="00354CEF"/>
    <w:rsid w:val="00354FF3"/>
    <w:rsid w:val="00355EE8"/>
    <w:rsid w:val="003562EE"/>
    <w:rsid w:val="003565E4"/>
    <w:rsid w:val="003569F5"/>
    <w:rsid w:val="00356A39"/>
    <w:rsid w:val="00356C25"/>
    <w:rsid w:val="00356E80"/>
    <w:rsid w:val="00357093"/>
    <w:rsid w:val="003574D5"/>
    <w:rsid w:val="0035780E"/>
    <w:rsid w:val="00357B4E"/>
    <w:rsid w:val="00357B67"/>
    <w:rsid w:val="00357DEF"/>
    <w:rsid w:val="00357FB5"/>
    <w:rsid w:val="00360041"/>
    <w:rsid w:val="003609AD"/>
    <w:rsid w:val="00360B2E"/>
    <w:rsid w:val="00360B44"/>
    <w:rsid w:val="00360B64"/>
    <w:rsid w:val="00360D48"/>
    <w:rsid w:val="00360D62"/>
    <w:rsid w:val="003614CB"/>
    <w:rsid w:val="003614E1"/>
    <w:rsid w:val="00361611"/>
    <w:rsid w:val="00361935"/>
    <w:rsid w:val="00361D12"/>
    <w:rsid w:val="00362280"/>
    <w:rsid w:val="00362420"/>
    <w:rsid w:val="003628E8"/>
    <w:rsid w:val="00362D5E"/>
    <w:rsid w:val="00362DA3"/>
    <w:rsid w:val="003630A5"/>
    <w:rsid w:val="00363106"/>
    <w:rsid w:val="00363133"/>
    <w:rsid w:val="00363229"/>
    <w:rsid w:val="00363805"/>
    <w:rsid w:val="003639CA"/>
    <w:rsid w:val="00363A9F"/>
    <w:rsid w:val="00363B67"/>
    <w:rsid w:val="0036403C"/>
    <w:rsid w:val="00364DDE"/>
    <w:rsid w:val="00365792"/>
    <w:rsid w:val="003657E0"/>
    <w:rsid w:val="00365839"/>
    <w:rsid w:val="00366352"/>
    <w:rsid w:val="003663DB"/>
    <w:rsid w:val="003667A8"/>
    <w:rsid w:val="00366CEF"/>
    <w:rsid w:val="00366E22"/>
    <w:rsid w:val="00366FF2"/>
    <w:rsid w:val="0036732A"/>
    <w:rsid w:val="003673F6"/>
    <w:rsid w:val="003678A8"/>
    <w:rsid w:val="00367A67"/>
    <w:rsid w:val="00367D15"/>
    <w:rsid w:val="00367F13"/>
    <w:rsid w:val="003701BB"/>
    <w:rsid w:val="003704F0"/>
    <w:rsid w:val="00370678"/>
    <w:rsid w:val="00370865"/>
    <w:rsid w:val="00371659"/>
    <w:rsid w:val="003716FA"/>
    <w:rsid w:val="003716FD"/>
    <w:rsid w:val="003718E5"/>
    <w:rsid w:val="003718F7"/>
    <w:rsid w:val="00371A5E"/>
    <w:rsid w:val="00371B08"/>
    <w:rsid w:val="00371F1D"/>
    <w:rsid w:val="0037204B"/>
    <w:rsid w:val="00372320"/>
    <w:rsid w:val="003728A8"/>
    <w:rsid w:val="003735B6"/>
    <w:rsid w:val="00373CF9"/>
    <w:rsid w:val="003744CF"/>
    <w:rsid w:val="003745A1"/>
    <w:rsid w:val="00374709"/>
    <w:rsid w:val="00374717"/>
    <w:rsid w:val="00374742"/>
    <w:rsid w:val="00374FC0"/>
    <w:rsid w:val="00375232"/>
    <w:rsid w:val="003758C7"/>
    <w:rsid w:val="00376350"/>
    <w:rsid w:val="00376444"/>
    <w:rsid w:val="0037676C"/>
    <w:rsid w:val="003767AE"/>
    <w:rsid w:val="00376847"/>
    <w:rsid w:val="00376D35"/>
    <w:rsid w:val="00376E41"/>
    <w:rsid w:val="003772D5"/>
    <w:rsid w:val="00377487"/>
    <w:rsid w:val="00377754"/>
    <w:rsid w:val="00377E95"/>
    <w:rsid w:val="00377F4B"/>
    <w:rsid w:val="00380082"/>
    <w:rsid w:val="0038026F"/>
    <w:rsid w:val="003808CE"/>
    <w:rsid w:val="00380B74"/>
    <w:rsid w:val="00380CAD"/>
    <w:rsid w:val="00381043"/>
    <w:rsid w:val="00381064"/>
    <w:rsid w:val="0038153E"/>
    <w:rsid w:val="00382754"/>
    <w:rsid w:val="003829E5"/>
    <w:rsid w:val="0038328D"/>
    <w:rsid w:val="00383303"/>
    <w:rsid w:val="003833F8"/>
    <w:rsid w:val="003833FA"/>
    <w:rsid w:val="00383445"/>
    <w:rsid w:val="00383506"/>
    <w:rsid w:val="003835DE"/>
    <w:rsid w:val="00383958"/>
    <w:rsid w:val="003839B1"/>
    <w:rsid w:val="00384677"/>
    <w:rsid w:val="0038476E"/>
    <w:rsid w:val="00384834"/>
    <w:rsid w:val="00384A89"/>
    <w:rsid w:val="00384DF8"/>
    <w:rsid w:val="003852D3"/>
    <w:rsid w:val="00385377"/>
    <w:rsid w:val="0038544E"/>
    <w:rsid w:val="00385545"/>
    <w:rsid w:val="00385578"/>
    <w:rsid w:val="003858D9"/>
    <w:rsid w:val="003859E0"/>
    <w:rsid w:val="00385A16"/>
    <w:rsid w:val="00386109"/>
    <w:rsid w:val="0038651D"/>
    <w:rsid w:val="00386944"/>
    <w:rsid w:val="003869B0"/>
    <w:rsid w:val="00386A18"/>
    <w:rsid w:val="00386F22"/>
    <w:rsid w:val="00386F6B"/>
    <w:rsid w:val="003872FB"/>
    <w:rsid w:val="00387397"/>
    <w:rsid w:val="00387EAF"/>
    <w:rsid w:val="00387F6D"/>
    <w:rsid w:val="003900BA"/>
    <w:rsid w:val="0039015C"/>
    <w:rsid w:val="00390225"/>
    <w:rsid w:val="00390447"/>
    <w:rsid w:val="00390627"/>
    <w:rsid w:val="003909F5"/>
    <w:rsid w:val="00390FC3"/>
    <w:rsid w:val="003911CF"/>
    <w:rsid w:val="003919DE"/>
    <w:rsid w:val="00391E82"/>
    <w:rsid w:val="00392045"/>
    <w:rsid w:val="003921EA"/>
    <w:rsid w:val="0039247C"/>
    <w:rsid w:val="00392620"/>
    <w:rsid w:val="003934AE"/>
    <w:rsid w:val="00393732"/>
    <w:rsid w:val="003939A2"/>
    <w:rsid w:val="00393D1B"/>
    <w:rsid w:val="003949D5"/>
    <w:rsid w:val="00394A92"/>
    <w:rsid w:val="00394CE9"/>
    <w:rsid w:val="00394D08"/>
    <w:rsid w:val="00394F44"/>
    <w:rsid w:val="00394F52"/>
    <w:rsid w:val="0039500E"/>
    <w:rsid w:val="0039530E"/>
    <w:rsid w:val="00395531"/>
    <w:rsid w:val="00395634"/>
    <w:rsid w:val="003956CC"/>
    <w:rsid w:val="0039595A"/>
    <w:rsid w:val="00395A65"/>
    <w:rsid w:val="00395A95"/>
    <w:rsid w:val="00395B52"/>
    <w:rsid w:val="00395BF5"/>
    <w:rsid w:val="00395C4E"/>
    <w:rsid w:val="00395C9A"/>
    <w:rsid w:val="00395E03"/>
    <w:rsid w:val="0039610B"/>
    <w:rsid w:val="003964C7"/>
    <w:rsid w:val="003966FB"/>
    <w:rsid w:val="003967EF"/>
    <w:rsid w:val="00396B26"/>
    <w:rsid w:val="00396B86"/>
    <w:rsid w:val="0039704E"/>
    <w:rsid w:val="0039707B"/>
    <w:rsid w:val="00397DAB"/>
    <w:rsid w:val="003A0376"/>
    <w:rsid w:val="003A0573"/>
    <w:rsid w:val="003A07EF"/>
    <w:rsid w:val="003A0853"/>
    <w:rsid w:val="003A0B66"/>
    <w:rsid w:val="003A0E6D"/>
    <w:rsid w:val="003A0E76"/>
    <w:rsid w:val="003A0EB7"/>
    <w:rsid w:val="003A14FA"/>
    <w:rsid w:val="003A1ED9"/>
    <w:rsid w:val="003A22D1"/>
    <w:rsid w:val="003A26BD"/>
    <w:rsid w:val="003A26C9"/>
    <w:rsid w:val="003A2E97"/>
    <w:rsid w:val="003A3096"/>
    <w:rsid w:val="003A309F"/>
    <w:rsid w:val="003A32CC"/>
    <w:rsid w:val="003A3464"/>
    <w:rsid w:val="003A38F7"/>
    <w:rsid w:val="003A3AF0"/>
    <w:rsid w:val="003A4499"/>
    <w:rsid w:val="003A4C46"/>
    <w:rsid w:val="003A4C63"/>
    <w:rsid w:val="003A4CF3"/>
    <w:rsid w:val="003A4D7D"/>
    <w:rsid w:val="003A4FAD"/>
    <w:rsid w:val="003A530B"/>
    <w:rsid w:val="003A5BFE"/>
    <w:rsid w:val="003A60EC"/>
    <w:rsid w:val="003A6421"/>
    <w:rsid w:val="003A677C"/>
    <w:rsid w:val="003A6B67"/>
    <w:rsid w:val="003A6D97"/>
    <w:rsid w:val="003A722C"/>
    <w:rsid w:val="003A78EB"/>
    <w:rsid w:val="003B00A8"/>
    <w:rsid w:val="003B0174"/>
    <w:rsid w:val="003B03DB"/>
    <w:rsid w:val="003B08BC"/>
    <w:rsid w:val="003B091C"/>
    <w:rsid w:val="003B092F"/>
    <w:rsid w:val="003B0AB4"/>
    <w:rsid w:val="003B0F8A"/>
    <w:rsid w:val="003B13B6"/>
    <w:rsid w:val="003B14C3"/>
    <w:rsid w:val="003B15E6"/>
    <w:rsid w:val="003B16E4"/>
    <w:rsid w:val="003B17EA"/>
    <w:rsid w:val="003B1AE9"/>
    <w:rsid w:val="003B1F90"/>
    <w:rsid w:val="003B22EF"/>
    <w:rsid w:val="003B2433"/>
    <w:rsid w:val="003B2BA6"/>
    <w:rsid w:val="003B2C0D"/>
    <w:rsid w:val="003B2C6D"/>
    <w:rsid w:val="003B304C"/>
    <w:rsid w:val="003B3DF2"/>
    <w:rsid w:val="003B408A"/>
    <w:rsid w:val="003B409E"/>
    <w:rsid w:val="003B47C5"/>
    <w:rsid w:val="003B48D6"/>
    <w:rsid w:val="003B4CF4"/>
    <w:rsid w:val="003B5181"/>
    <w:rsid w:val="003B5336"/>
    <w:rsid w:val="003B55F3"/>
    <w:rsid w:val="003B565B"/>
    <w:rsid w:val="003B595E"/>
    <w:rsid w:val="003B5B09"/>
    <w:rsid w:val="003B61E9"/>
    <w:rsid w:val="003B6219"/>
    <w:rsid w:val="003B63C0"/>
    <w:rsid w:val="003B6408"/>
    <w:rsid w:val="003B663A"/>
    <w:rsid w:val="003B6D4D"/>
    <w:rsid w:val="003B6DED"/>
    <w:rsid w:val="003B73D1"/>
    <w:rsid w:val="003B76E9"/>
    <w:rsid w:val="003B7812"/>
    <w:rsid w:val="003B7C6E"/>
    <w:rsid w:val="003B7DC4"/>
    <w:rsid w:val="003C00AB"/>
    <w:rsid w:val="003C00FD"/>
    <w:rsid w:val="003C047A"/>
    <w:rsid w:val="003C08A2"/>
    <w:rsid w:val="003C096A"/>
    <w:rsid w:val="003C11B6"/>
    <w:rsid w:val="003C11CF"/>
    <w:rsid w:val="003C13FD"/>
    <w:rsid w:val="003C15A0"/>
    <w:rsid w:val="003C18C6"/>
    <w:rsid w:val="003C1F92"/>
    <w:rsid w:val="003C2045"/>
    <w:rsid w:val="003C218F"/>
    <w:rsid w:val="003C21B6"/>
    <w:rsid w:val="003C22B4"/>
    <w:rsid w:val="003C29DC"/>
    <w:rsid w:val="003C3177"/>
    <w:rsid w:val="003C3A57"/>
    <w:rsid w:val="003C3AD6"/>
    <w:rsid w:val="003C3DBA"/>
    <w:rsid w:val="003C3FC8"/>
    <w:rsid w:val="003C41B2"/>
    <w:rsid w:val="003C43A1"/>
    <w:rsid w:val="003C44D0"/>
    <w:rsid w:val="003C46D0"/>
    <w:rsid w:val="003C46FF"/>
    <w:rsid w:val="003C4BED"/>
    <w:rsid w:val="003C4FC0"/>
    <w:rsid w:val="003C53A9"/>
    <w:rsid w:val="003C55F4"/>
    <w:rsid w:val="003C59BD"/>
    <w:rsid w:val="003C5A65"/>
    <w:rsid w:val="003C5DE7"/>
    <w:rsid w:val="003C63D0"/>
    <w:rsid w:val="003C66DA"/>
    <w:rsid w:val="003C68F6"/>
    <w:rsid w:val="003C7262"/>
    <w:rsid w:val="003C7843"/>
    <w:rsid w:val="003C7897"/>
    <w:rsid w:val="003C78E2"/>
    <w:rsid w:val="003C7A3F"/>
    <w:rsid w:val="003C7D4D"/>
    <w:rsid w:val="003D021E"/>
    <w:rsid w:val="003D058F"/>
    <w:rsid w:val="003D06A5"/>
    <w:rsid w:val="003D0BF4"/>
    <w:rsid w:val="003D0CF4"/>
    <w:rsid w:val="003D0EB9"/>
    <w:rsid w:val="003D10BB"/>
    <w:rsid w:val="003D142D"/>
    <w:rsid w:val="003D1C55"/>
    <w:rsid w:val="003D1D31"/>
    <w:rsid w:val="003D231C"/>
    <w:rsid w:val="003D251C"/>
    <w:rsid w:val="003D25E8"/>
    <w:rsid w:val="003D2766"/>
    <w:rsid w:val="003D2A74"/>
    <w:rsid w:val="003D2B57"/>
    <w:rsid w:val="003D2DC6"/>
    <w:rsid w:val="003D2F50"/>
    <w:rsid w:val="003D3004"/>
    <w:rsid w:val="003D30AE"/>
    <w:rsid w:val="003D369A"/>
    <w:rsid w:val="003D3A5F"/>
    <w:rsid w:val="003D3D88"/>
    <w:rsid w:val="003D3E79"/>
    <w:rsid w:val="003D3E8F"/>
    <w:rsid w:val="003D3EEF"/>
    <w:rsid w:val="003D3FFB"/>
    <w:rsid w:val="003D4589"/>
    <w:rsid w:val="003D48CA"/>
    <w:rsid w:val="003D48D4"/>
    <w:rsid w:val="003D48F9"/>
    <w:rsid w:val="003D5093"/>
    <w:rsid w:val="003D54C5"/>
    <w:rsid w:val="003D55F7"/>
    <w:rsid w:val="003D5620"/>
    <w:rsid w:val="003D5902"/>
    <w:rsid w:val="003D6188"/>
    <w:rsid w:val="003D6475"/>
    <w:rsid w:val="003D6856"/>
    <w:rsid w:val="003D68A7"/>
    <w:rsid w:val="003D6B70"/>
    <w:rsid w:val="003D6E17"/>
    <w:rsid w:val="003D6EE6"/>
    <w:rsid w:val="003D7012"/>
    <w:rsid w:val="003D71C1"/>
    <w:rsid w:val="003D750B"/>
    <w:rsid w:val="003D750D"/>
    <w:rsid w:val="003D78B1"/>
    <w:rsid w:val="003D7975"/>
    <w:rsid w:val="003D7BEE"/>
    <w:rsid w:val="003D7C1A"/>
    <w:rsid w:val="003D7C33"/>
    <w:rsid w:val="003D7E57"/>
    <w:rsid w:val="003E01EE"/>
    <w:rsid w:val="003E0619"/>
    <w:rsid w:val="003E0EB5"/>
    <w:rsid w:val="003E1663"/>
    <w:rsid w:val="003E1723"/>
    <w:rsid w:val="003E1A66"/>
    <w:rsid w:val="003E21FF"/>
    <w:rsid w:val="003E23B1"/>
    <w:rsid w:val="003E2591"/>
    <w:rsid w:val="003E2688"/>
    <w:rsid w:val="003E26D7"/>
    <w:rsid w:val="003E27F7"/>
    <w:rsid w:val="003E284E"/>
    <w:rsid w:val="003E2B9F"/>
    <w:rsid w:val="003E2CB4"/>
    <w:rsid w:val="003E2EE1"/>
    <w:rsid w:val="003E3205"/>
    <w:rsid w:val="003E375C"/>
    <w:rsid w:val="003E37E4"/>
    <w:rsid w:val="003E3AD3"/>
    <w:rsid w:val="003E3AF4"/>
    <w:rsid w:val="003E4086"/>
    <w:rsid w:val="003E428A"/>
    <w:rsid w:val="003E47A8"/>
    <w:rsid w:val="003E4829"/>
    <w:rsid w:val="003E4981"/>
    <w:rsid w:val="003E49D8"/>
    <w:rsid w:val="003E5122"/>
    <w:rsid w:val="003E523C"/>
    <w:rsid w:val="003E57A7"/>
    <w:rsid w:val="003E57C6"/>
    <w:rsid w:val="003E57F6"/>
    <w:rsid w:val="003E5865"/>
    <w:rsid w:val="003E5A50"/>
    <w:rsid w:val="003E5A75"/>
    <w:rsid w:val="003E6106"/>
    <w:rsid w:val="003E612F"/>
    <w:rsid w:val="003E6291"/>
    <w:rsid w:val="003E639E"/>
    <w:rsid w:val="003E6A54"/>
    <w:rsid w:val="003E6A62"/>
    <w:rsid w:val="003E6F98"/>
    <w:rsid w:val="003E70E7"/>
    <w:rsid w:val="003E71E5"/>
    <w:rsid w:val="003E7375"/>
    <w:rsid w:val="003E7474"/>
    <w:rsid w:val="003E7762"/>
    <w:rsid w:val="003F034B"/>
    <w:rsid w:val="003F041D"/>
    <w:rsid w:val="003F0445"/>
    <w:rsid w:val="003F0564"/>
    <w:rsid w:val="003F05B1"/>
    <w:rsid w:val="003F0CF0"/>
    <w:rsid w:val="003F0D3A"/>
    <w:rsid w:val="003F1256"/>
    <w:rsid w:val="003F13BA"/>
    <w:rsid w:val="003F1413"/>
    <w:rsid w:val="003F14B1"/>
    <w:rsid w:val="003F1977"/>
    <w:rsid w:val="003F199A"/>
    <w:rsid w:val="003F1A5A"/>
    <w:rsid w:val="003F2053"/>
    <w:rsid w:val="003F2483"/>
    <w:rsid w:val="003F267E"/>
    <w:rsid w:val="003F2B20"/>
    <w:rsid w:val="003F3074"/>
    <w:rsid w:val="003F30C0"/>
    <w:rsid w:val="003F3289"/>
    <w:rsid w:val="003F3331"/>
    <w:rsid w:val="003F33E2"/>
    <w:rsid w:val="003F387B"/>
    <w:rsid w:val="003F3C62"/>
    <w:rsid w:val="003F3C83"/>
    <w:rsid w:val="003F3DB0"/>
    <w:rsid w:val="003F4009"/>
    <w:rsid w:val="003F4820"/>
    <w:rsid w:val="003F4CDD"/>
    <w:rsid w:val="003F4FD1"/>
    <w:rsid w:val="003F541C"/>
    <w:rsid w:val="003F58F9"/>
    <w:rsid w:val="003F5AAC"/>
    <w:rsid w:val="003F5CB9"/>
    <w:rsid w:val="003F5EE9"/>
    <w:rsid w:val="003F6157"/>
    <w:rsid w:val="003F61DC"/>
    <w:rsid w:val="003F6304"/>
    <w:rsid w:val="003F65B3"/>
    <w:rsid w:val="003F6C6A"/>
    <w:rsid w:val="003F6DA5"/>
    <w:rsid w:val="003F6E99"/>
    <w:rsid w:val="003F757A"/>
    <w:rsid w:val="003F7653"/>
    <w:rsid w:val="003F7904"/>
    <w:rsid w:val="003F7A31"/>
    <w:rsid w:val="003F7CFA"/>
    <w:rsid w:val="00400143"/>
    <w:rsid w:val="0040074F"/>
    <w:rsid w:val="00400879"/>
    <w:rsid w:val="00401061"/>
    <w:rsid w:val="00401269"/>
    <w:rsid w:val="004013C7"/>
    <w:rsid w:val="00401ADF"/>
    <w:rsid w:val="00401F7B"/>
    <w:rsid w:val="00401FCF"/>
    <w:rsid w:val="004020D3"/>
    <w:rsid w:val="004021B3"/>
    <w:rsid w:val="00402258"/>
    <w:rsid w:val="00402404"/>
    <w:rsid w:val="00402424"/>
    <w:rsid w:val="004028C2"/>
    <w:rsid w:val="00402DC5"/>
    <w:rsid w:val="00402EBF"/>
    <w:rsid w:val="00402FB7"/>
    <w:rsid w:val="00403095"/>
    <w:rsid w:val="004035DD"/>
    <w:rsid w:val="00403750"/>
    <w:rsid w:val="0040392A"/>
    <w:rsid w:val="004039B9"/>
    <w:rsid w:val="004041E3"/>
    <w:rsid w:val="004046C1"/>
    <w:rsid w:val="004047B0"/>
    <w:rsid w:val="004050F1"/>
    <w:rsid w:val="0040535D"/>
    <w:rsid w:val="0040572E"/>
    <w:rsid w:val="00406285"/>
    <w:rsid w:val="00406B8F"/>
    <w:rsid w:val="00406BE7"/>
    <w:rsid w:val="00406D4C"/>
    <w:rsid w:val="00406E09"/>
    <w:rsid w:val="004074C5"/>
    <w:rsid w:val="00407A62"/>
    <w:rsid w:val="00407CA1"/>
    <w:rsid w:val="00410174"/>
    <w:rsid w:val="0041075C"/>
    <w:rsid w:val="00410AE9"/>
    <w:rsid w:val="004115A2"/>
    <w:rsid w:val="00411DA0"/>
    <w:rsid w:val="00411F37"/>
    <w:rsid w:val="00411F58"/>
    <w:rsid w:val="00411F6B"/>
    <w:rsid w:val="00412ECC"/>
    <w:rsid w:val="00412FE7"/>
    <w:rsid w:val="00413177"/>
    <w:rsid w:val="004132DF"/>
    <w:rsid w:val="00413399"/>
    <w:rsid w:val="00413B43"/>
    <w:rsid w:val="00413D09"/>
    <w:rsid w:val="00413F23"/>
    <w:rsid w:val="00414235"/>
    <w:rsid w:val="004148F9"/>
    <w:rsid w:val="00414E26"/>
    <w:rsid w:val="0041568A"/>
    <w:rsid w:val="00415913"/>
    <w:rsid w:val="0041677B"/>
    <w:rsid w:val="004168EB"/>
    <w:rsid w:val="004168ED"/>
    <w:rsid w:val="00416B3D"/>
    <w:rsid w:val="00416FD4"/>
    <w:rsid w:val="0041742A"/>
    <w:rsid w:val="004177BD"/>
    <w:rsid w:val="00417EE8"/>
    <w:rsid w:val="004206D0"/>
    <w:rsid w:val="0042084E"/>
    <w:rsid w:val="00420B08"/>
    <w:rsid w:val="00420D93"/>
    <w:rsid w:val="00420F42"/>
    <w:rsid w:val="00421553"/>
    <w:rsid w:val="00421B24"/>
    <w:rsid w:val="00421DB1"/>
    <w:rsid w:val="00421EEF"/>
    <w:rsid w:val="00421F9D"/>
    <w:rsid w:val="00422ABA"/>
    <w:rsid w:val="00422C20"/>
    <w:rsid w:val="00422E09"/>
    <w:rsid w:val="00422E2D"/>
    <w:rsid w:val="00422F7D"/>
    <w:rsid w:val="00423AEA"/>
    <w:rsid w:val="00423FF3"/>
    <w:rsid w:val="004243E0"/>
    <w:rsid w:val="00424790"/>
    <w:rsid w:val="004249B0"/>
    <w:rsid w:val="00424B67"/>
    <w:rsid w:val="00424D65"/>
    <w:rsid w:val="004255A5"/>
    <w:rsid w:val="004259C1"/>
    <w:rsid w:val="00425A43"/>
    <w:rsid w:val="00425C20"/>
    <w:rsid w:val="00425CA7"/>
    <w:rsid w:val="00425CF4"/>
    <w:rsid w:val="00425FE6"/>
    <w:rsid w:val="00426415"/>
    <w:rsid w:val="004264B4"/>
    <w:rsid w:val="004264CB"/>
    <w:rsid w:val="00426C01"/>
    <w:rsid w:val="00426F5D"/>
    <w:rsid w:val="00427980"/>
    <w:rsid w:val="00427AAB"/>
    <w:rsid w:val="00427B27"/>
    <w:rsid w:val="00427BF2"/>
    <w:rsid w:val="00427CF5"/>
    <w:rsid w:val="00427D37"/>
    <w:rsid w:val="00427D5F"/>
    <w:rsid w:val="00430060"/>
    <w:rsid w:val="00430071"/>
    <w:rsid w:val="00430393"/>
    <w:rsid w:val="0043047B"/>
    <w:rsid w:val="00430539"/>
    <w:rsid w:val="00430BB9"/>
    <w:rsid w:val="00430C1E"/>
    <w:rsid w:val="00430C49"/>
    <w:rsid w:val="00430F78"/>
    <w:rsid w:val="004310B2"/>
    <w:rsid w:val="0043123E"/>
    <w:rsid w:val="00431806"/>
    <w:rsid w:val="00431A01"/>
    <w:rsid w:val="00431A5A"/>
    <w:rsid w:val="00431A70"/>
    <w:rsid w:val="00431BE8"/>
    <w:rsid w:val="00431E02"/>
    <w:rsid w:val="00431EED"/>
    <w:rsid w:val="00431F42"/>
    <w:rsid w:val="004321A0"/>
    <w:rsid w:val="0043289C"/>
    <w:rsid w:val="00432927"/>
    <w:rsid w:val="00432B74"/>
    <w:rsid w:val="00432C03"/>
    <w:rsid w:val="00432FB2"/>
    <w:rsid w:val="00433C09"/>
    <w:rsid w:val="004345CD"/>
    <w:rsid w:val="0043474E"/>
    <w:rsid w:val="0043479C"/>
    <w:rsid w:val="0043554C"/>
    <w:rsid w:val="00435E15"/>
    <w:rsid w:val="0043629F"/>
    <w:rsid w:val="0043663B"/>
    <w:rsid w:val="00436EFE"/>
    <w:rsid w:val="00437ABB"/>
    <w:rsid w:val="00437C63"/>
    <w:rsid w:val="004400E5"/>
    <w:rsid w:val="0044068E"/>
    <w:rsid w:val="004408AA"/>
    <w:rsid w:val="00440ABF"/>
    <w:rsid w:val="00440EDD"/>
    <w:rsid w:val="004412CB"/>
    <w:rsid w:val="00441674"/>
    <w:rsid w:val="00441A4A"/>
    <w:rsid w:val="004421F2"/>
    <w:rsid w:val="0044256A"/>
    <w:rsid w:val="00442632"/>
    <w:rsid w:val="004426C6"/>
    <w:rsid w:val="00442A06"/>
    <w:rsid w:val="00442A5B"/>
    <w:rsid w:val="00442C1A"/>
    <w:rsid w:val="00442C6B"/>
    <w:rsid w:val="00442C6C"/>
    <w:rsid w:val="00442E5C"/>
    <w:rsid w:val="0044382F"/>
    <w:rsid w:val="004438B2"/>
    <w:rsid w:val="00443A25"/>
    <w:rsid w:val="00443A39"/>
    <w:rsid w:val="00443C55"/>
    <w:rsid w:val="00443CBE"/>
    <w:rsid w:val="00443E8A"/>
    <w:rsid w:val="004441BC"/>
    <w:rsid w:val="004441D5"/>
    <w:rsid w:val="00444487"/>
    <w:rsid w:val="00444FC8"/>
    <w:rsid w:val="00445013"/>
    <w:rsid w:val="0044514F"/>
    <w:rsid w:val="00445620"/>
    <w:rsid w:val="0044567C"/>
    <w:rsid w:val="00445B31"/>
    <w:rsid w:val="00445B44"/>
    <w:rsid w:val="00445B53"/>
    <w:rsid w:val="0044601F"/>
    <w:rsid w:val="0044615A"/>
    <w:rsid w:val="004463E8"/>
    <w:rsid w:val="00446618"/>
    <w:rsid w:val="004468B4"/>
    <w:rsid w:val="00446970"/>
    <w:rsid w:val="00446AC4"/>
    <w:rsid w:val="00446D86"/>
    <w:rsid w:val="004477D8"/>
    <w:rsid w:val="00447E1C"/>
    <w:rsid w:val="00450576"/>
    <w:rsid w:val="0045060B"/>
    <w:rsid w:val="0045060E"/>
    <w:rsid w:val="00450A5C"/>
    <w:rsid w:val="00451706"/>
    <w:rsid w:val="004517F3"/>
    <w:rsid w:val="0045183A"/>
    <w:rsid w:val="00451996"/>
    <w:rsid w:val="00451A1D"/>
    <w:rsid w:val="00451D32"/>
    <w:rsid w:val="00451EB0"/>
    <w:rsid w:val="00451EBE"/>
    <w:rsid w:val="00452262"/>
    <w:rsid w:val="0045230A"/>
    <w:rsid w:val="00452480"/>
    <w:rsid w:val="00452497"/>
    <w:rsid w:val="004528E8"/>
    <w:rsid w:val="00452A6F"/>
    <w:rsid w:val="0045302C"/>
    <w:rsid w:val="00453568"/>
    <w:rsid w:val="00453639"/>
    <w:rsid w:val="004537E5"/>
    <w:rsid w:val="004539D4"/>
    <w:rsid w:val="00453BE7"/>
    <w:rsid w:val="00453DB2"/>
    <w:rsid w:val="00454119"/>
    <w:rsid w:val="004543AA"/>
    <w:rsid w:val="00454455"/>
    <w:rsid w:val="00454648"/>
    <w:rsid w:val="00454A7D"/>
    <w:rsid w:val="00454AD0"/>
    <w:rsid w:val="00455031"/>
    <w:rsid w:val="004550B1"/>
    <w:rsid w:val="004551D2"/>
    <w:rsid w:val="00455597"/>
    <w:rsid w:val="0045559C"/>
    <w:rsid w:val="00455CE2"/>
    <w:rsid w:val="00455D39"/>
    <w:rsid w:val="00455D9E"/>
    <w:rsid w:val="004568B4"/>
    <w:rsid w:val="00456923"/>
    <w:rsid w:val="00456BEE"/>
    <w:rsid w:val="00456E2C"/>
    <w:rsid w:val="00456E46"/>
    <w:rsid w:val="00456F23"/>
    <w:rsid w:val="00456F70"/>
    <w:rsid w:val="0045704E"/>
    <w:rsid w:val="00457221"/>
    <w:rsid w:val="00457337"/>
    <w:rsid w:val="00457582"/>
    <w:rsid w:val="00457A87"/>
    <w:rsid w:val="00457AE9"/>
    <w:rsid w:val="00457B2C"/>
    <w:rsid w:val="00457CDC"/>
    <w:rsid w:val="00457F26"/>
    <w:rsid w:val="00460186"/>
    <w:rsid w:val="0046057B"/>
    <w:rsid w:val="004605C2"/>
    <w:rsid w:val="0046061B"/>
    <w:rsid w:val="00460796"/>
    <w:rsid w:val="00460C99"/>
    <w:rsid w:val="00461111"/>
    <w:rsid w:val="004613A4"/>
    <w:rsid w:val="0046190A"/>
    <w:rsid w:val="00461A82"/>
    <w:rsid w:val="00461C0D"/>
    <w:rsid w:val="0046253D"/>
    <w:rsid w:val="004627FE"/>
    <w:rsid w:val="00462C37"/>
    <w:rsid w:val="00462DC7"/>
    <w:rsid w:val="00462E3D"/>
    <w:rsid w:val="0046351D"/>
    <w:rsid w:val="00463C3A"/>
    <w:rsid w:val="00463D74"/>
    <w:rsid w:val="00464432"/>
    <w:rsid w:val="00464795"/>
    <w:rsid w:val="00465706"/>
    <w:rsid w:val="00465852"/>
    <w:rsid w:val="00465DB6"/>
    <w:rsid w:val="0046649A"/>
    <w:rsid w:val="004666A8"/>
    <w:rsid w:val="00466897"/>
    <w:rsid w:val="00466D51"/>
    <w:rsid w:val="00466E79"/>
    <w:rsid w:val="0046739E"/>
    <w:rsid w:val="0046749F"/>
    <w:rsid w:val="00467D07"/>
    <w:rsid w:val="00467D74"/>
    <w:rsid w:val="00470133"/>
    <w:rsid w:val="004703CE"/>
    <w:rsid w:val="004706CD"/>
    <w:rsid w:val="00470D17"/>
    <w:rsid w:val="00470D43"/>
    <w:rsid w:val="00470D7D"/>
    <w:rsid w:val="00470F47"/>
    <w:rsid w:val="004711CD"/>
    <w:rsid w:val="004715BA"/>
    <w:rsid w:val="004716C8"/>
    <w:rsid w:val="00471A3F"/>
    <w:rsid w:val="00471E6B"/>
    <w:rsid w:val="004722D9"/>
    <w:rsid w:val="0047254D"/>
    <w:rsid w:val="004726BE"/>
    <w:rsid w:val="00472B3A"/>
    <w:rsid w:val="00472DEC"/>
    <w:rsid w:val="00473019"/>
    <w:rsid w:val="00473186"/>
    <w:rsid w:val="00473687"/>
    <w:rsid w:val="0047372D"/>
    <w:rsid w:val="0047399F"/>
    <w:rsid w:val="00473B41"/>
    <w:rsid w:val="00473BA3"/>
    <w:rsid w:val="00473D37"/>
    <w:rsid w:val="00473E22"/>
    <w:rsid w:val="00473FA6"/>
    <w:rsid w:val="00474235"/>
    <w:rsid w:val="0047437D"/>
    <w:rsid w:val="004743DD"/>
    <w:rsid w:val="0047458E"/>
    <w:rsid w:val="0047459F"/>
    <w:rsid w:val="00474935"/>
    <w:rsid w:val="00474BA3"/>
    <w:rsid w:val="00474CEA"/>
    <w:rsid w:val="00474D24"/>
    <w:rsid w:val="00474E21"/>
    <w:rsid w:val="00474FAF"/>
    <w:rsid w:val="00475261"/>
    <w:rsid w:val="00475278"/>
    <w:rsid w:val="0047558E"/>
    <w:rsid w:val="004758C2"/>
    <w:rsid w:val="00475B6A"/>
    <w:rsid w:val="00475CE3"/>
    <w:rsid w:val="00475F12"/>
    <w:rsid w:val="00475FF6"/>
    <w:rsid w:val="00476378"/>
    <w:rsid w:val="004765EA"/>
    <w:rsid w:val="004766B0"/>
    <w:rsid w:val="00476A37"/>
    <w:rsid w:val="00476AAA"/>
    <w:rsid w:val="00476B27"/>
    <w:rsid w:val="00476B3D"/>
    <w:rsid w:val="00477337"/>
    <w:rsid w:val="004773B2"/>
    <w:rsid w:val="0047752D"/>
    <w:rsid w:val="00477AC0"/>
    <w:rsid w:val="00480351"/>
    <w:rsid w:val="0048052C"/>
    <w:rsid w:val="004807B0"/>
    <w:rsid w:val="004808E3"/>
    <w:rsid w:val="00480D57"/>
    <w:rsid w:val="004810C7"/>
    <w:rsid w:val="0048111F"/>
    <w:rsid w:val="00481585"/>
    <w:rsid w:val="00481793"/>
    <w:rsid w:val="00482446"/>
    <w:rsid w:val="00482E6C"/>
    <w:rsid w:val="00482FF7"/>
    <w:rsid w:val="004834DB"/>
    <w:rsid w:val="004835C4"/>
    <w:rsid w:val="00483968"/>
    <w:rsid w:val="00483B68"/>
    <w:rsid w:val="00483D32"/>
    <w:rsid w:val="004841BE"/>
    <w:rsid w:val="00484769"/>
    <w:rsid w:val="004847E1"/>
    <w:rsid w:val="00484AF2"/>
    <w:rsid w:val="00484B45"/>
    <w:rsid w:val="00484D9E"/>
    <w:rsid w:val="00484F86"/>
    <w:rsid w:val="004852CF"/>
    <w:rsid w:val="004858A1"/>
    <w:rsid w:val="00485A59"/>
    <w:rsid w:val="00485B40"/>
    <w:rsid w:val="00485BCD"/>
    <w:rsid w:val="00486147"/>
    <w:rsid w:val="00486381"/>
    <w:rsid w:val="0048642B"/>
    <w:rsid w:val="00486BED"/>
    <w:rsid w:val="00486DEF"/>
    <w:rsid w:val="00486EC0"/>
    <w:rsid w:val="0048705A"/>
    <w:rsid w:val="004871F8"/>
    <w:rsid w:val="00487A41"/>
    <w:rsid w:val="00487A8C"/>
    <w:rsid w:val="00487B1D"/>
    <w:rsid w:val="00487B4A"/>
    <w:rsid w:val="00487B9B"/>
    <w:rsid w:val="004900C0"/>
    <w:rsid w:val="004902FC"/>
    <w:rsid w:val="004905B5"/>
    <w:rsid w:val="004906BA"/>
    <w:rsid w:val="00490746"/>
    <w:rsid w:val="00490852"/>
    <w:rsid w:val="00490CDC"/>
    <w:rsid w:val="00490E49"/>
    <w:rsid w:val="00490F7A"/>
    <w:rsid w:val="00491176"/>
    <w:rsid w:val="004915A6"/>
    <w:rsid w:val="004916B6"/>
    <w:rsid w:val="00491743"/>
    <w:rsid w:val="00491935"/>
    <w:rsid w:val="00491988"/>
    <w:rsid w:val="00491C36"/>
    <w:rsid w:val="00491C9C"/>
    <w:rsid w:val="00491EF7"/>
    <w:rsid w:val="00492CEB"/>
    <w:rsid w:val="00492F30"/>
    <w:rsid w:val="00493043"/>
    <w:rsid w:val="0049390A"/>
    <w:rsid w:val="00493A38"/>
    <w:rsid w:val="00493A41"/>
    <w:rsid w:val="00493AFA"/>
    <w:rsid w:val="004942CF"/>
    <w:rsid w:val="0049467D"/>
    <w:rsid w:val="004946F4"/>
    <w:rsid w:val="00494814"/>
    <w:rsid w:val="0049487E"/>
    <w:rsid w:val="00494D86"/>
    <w:rsid w:val="00495055"/>
    <w:rsid w:val="0049518B"/>
    <w:rsid w:val="004952ED"/>
    <w:rsid w:val="00495A28"/>
    <w:rsid w:val="00495A5B"/>
    <w:rsid w:val="00495B30"/>
    <w:rsid w:val="00495C2E"/>
    <w:rsid w:val="00495EE6"/>
    <w:rsid w:val="00496560"/>
    <w:rsid w:val="00496825"/>
    <w:rsid w:val="00496A76"/>
    <w:rsid w:val="00497713"/>
    <w:rsid w:val="00497777"/>
    <w:rsid w:val="00497804"/>
    <w:rsid w:val="004979E9"/>
    <w:rsid w:val="00497A6B"/>
    <w:rsid w:val="00497D62"/>
    <w:rsid w:val="00497EE6"/>
    <w:rsid w:val="004A0759"/>
    <w:rsid w:val="004A0CEB"/>
    <w:rsid w:val="004A118A"/>
    <w:rsid w:val="004A1514"/>
    <w:rsid w:val="004A160D"/>
    <w:rsid w:val="004A1649"/>
    <w:rsid w:val="004A193F"/>
    <w:rsid w:val="004A1F88"/>
    <w:rsid w:val="004A1F91"/>
    <w:rsid w:val="004A2251"/>
    <w:rsid w:val="004A2283"/>
    <w:rsid w:val="004A235E"/>
    <w:rsid w:val="004A24B1"/>
    <w:rsid w:val="004A25FE"/>
    <w:rsid w:val="004A28A2"/>
    <w:rsid w:val="004A3424"/>
    <w:rsid w:val="004A3A0F"/>
    <w:rsid w:val="004A3B10"/>
    <w:rsid w:val="004A3E81"/>
    <w:rsid w:val="004A3FAE"/>
    <w:rsid w:val="004A40BC"/>
    <w:rsid w:val="004A4195"/>
    <w:rsid w:val="004A453C"/>
    <w:rsid w:val="004A45AE"/>
    <w:rsid w:val="004A4605"/>
    <w:rsid w:val="004A4B29"/>
    <w:rsid w:val="004A4F56"/>
    <w:rsid w:val="004A5B9C"/>
    <w:rsid w:val="004A5BCB"/>
    <w:rsid w:val="004A5C00"/>
    <w:rsid w:val="004A5C62"/>
    <w:rsid w:val="004A5CE5"/>
    <w:rsid w:val="004A5D2D"/>
    <w:rsid w:val="004A6077"/>
    <w:rsid w:val="004A6566"/>
    <w:rsid w:val="004A659E"/>
    <w:rsid w:val="004A66CF"/>
    <w:rsid w:val="004A6A86"/>
    <w:rsid w:val="004A6BC0"/>
    <w:rsid w:val="004A707D"/>
    <w:rsid w:val="004A70FD"/>
    <w:rsid w:val="004A7294"/>
    <w:rsid w:val="004A7415"/>
    <w:rsid w:val="004A76EF"/>
    <w:rsid w:val="004A78C3"/>
    <w:rsid w:val="004A7EE4"/>
    <w:rsid w:val="004A7F2A"/>
    <w:rsid w:val="004B067A"/>
    <w:rsid w:val="004B0927"/>
    <w:rsid w:val="004B0974"/>
    <w:rsid w:val="004B139D"/>
    <w:rsid w:val="004B1F7D"/>
    <w:rsid w:val="004B22DC"/>
    <w:rsid w:val="004B2329"/>
    <w:rsid w:val="004B250A"/>
    <w:rsid w:val="004B274E"/>
    <w:rsid w:val="004B2821"/>
    <w:rsid w:val="004B2D79"/>
    <w:rsid w:val="004B3F6F"/>
    <w:rsid w:val="004B4185"/>
    <w:rsid w:val="004B4264"/>
    <w:rsid w:val="004B42DD"/>
    <w:rsid w:val="004B44CF"/>
    <w:rsid w:val="004B45B8"/>
    <w:rsid w:val="004B470E"/>
    <w:rsid w:val="004B497F"/>
    <w:rsid w:val="004B4A10"/>
    <w:rsid w:val="004B4A40"/>
    <w:rsid w:val="004B4B13"/>
    <w:rsid w:val="004B4E86"/>
    <w:rsid w:val="004B4F82"/>
    <w:rsid w:val="004B4FF4"/>
    <w:rsid w:val="004B5348"/>
    <w:rsid w:val="004B57AD"/>
    <w:rsid w:val="004B5CD9"/>
    <w:rsid w:val="004B641C"/>
    <w:rsid w:val="004B6535"/>
    <w:rsid w:val="004B66B8"/>
    <w:rsid w:val="004B6A18"/>
    <w:rsid w:val="004B6DE8"/>
    <w:rsid w:val="004B7269"/>
    <w:rsid w:val="004B77C5"/>
    <w:rsid w:val="004B7B54"/>
    <w:rsid w:val="004B7D24"/>
    <w:rsid w:val="004C0416"/>
    <w:rsid w:val="004C0A0F"/>
    <w:rsid w:val="004C0C98"/>
    <w:rsid w:val="004C101D"/>
    <w:rsid w:val="004C1356"/>
    <w:rsid w:val="004C1421"/>
    <w:rsid w:val="004C14E6"/>
    <w:rsid w:val="004C16FD"/>
    <w:rsid w:val="004C17FC"/>
    <w:rsid w:val="004C195A"/>
    <w:rsid w:val="004C1B75"/>
    <w:rsid w:val="004C1D06"/>
    <w:rsid w:val="004C210B"/>
    <w:rsid w:val="004C2568"/>
    <w:rsid w:val="004C27F3"/>
    <w:rsid w:val="004C2BAB"/>
    <w:rsid w:val="004C2F87"/>
    <w:rsid w:val="004C3798"/>
    <w:rsid w:val="004C37A0"/>
    <w:rsid w:val="004C3886"/>
    <w:rsid w:val="004C3D50"/>
    <w:rsid w:val="004C3F4F"/>
    <w:rsid w:val="004C3FA2"/>
    <w:rsid w:val="004C45E6"/>
    <w:rsid w:val="004C47E5"/>
    <w:rsid w:val="004C4B9A"/>
    <w:rsid w:val="004C4FC9"/>
    <w:rsid w:val="004C5016"/>
    <w:rsid w:val="004C5240"/>
    <w:rsid w:val="004C5541"/>
    <w:rsid w:val="004C577A"/>
    <w:rsid w:val="004C57B8"/>
    <w:rsid w:val="004C5B59"/>
    <w:rsid w:val="004C5BC6"/>
    <w:rsid w:val="004C6565"/>
    <w:rsid w:val="004C6791"/>
    <w:rsid w:val="004C69AC"/>
    <w:rsid w:val="004C6C71"/>
    <w:rsid w:val="004C6EB8"/>
    <w:rsid w:val="004C6EEE"/>
    <w:rsid w:val="004C702B"/>
    <w:rsid w:val="004C7359"/>
    <w:rsid w:val="004C73EA"/>
    <w:rsid w:val="004C7897"/>
    <w:rsid w:val="004C78D4"/>
    <w:rsid w:val="004C7D25"/>
    <w:rsid w:val="004D0033"/>
    <w:rsid w:val="004D003C"/>
    <w:rsid w:val="004D016B"/>
    <w:rsid w:val="004D0421"/>
    <w:rsid w:val="004D0666"/>
    <w:rsid w:val="004D091B"/>
    <w:rsid w:val="004D0A71"/>
    <w:rsid w:val="004D0C6A"/>
    <w:rsid w:val="004D0C81"/>
    <w:rsid w:val="004D11F1"/>
    <w:rsid w:val="004D131E"/>
    <w:rsid w:val="004D14A2"/>
    <w:rsid w:val="004D1B22"/>
    <w:rsid w:val="004D2156"/>
    <w:rsid w:val="004D22A1"/>
    <w:rsid w:val="004D23CC"/>
    <w:rsid w:val="004D2445"/>
    <w:rsid w:val="004D282F"/>
    <w:rsid w:val="004D29CD"/>
    <w:rsid w:val="004D2B48"/>
    <w:rsid w:val="004D2BFD"/>
    <w:rsid w:val="004D2E15"/>
    <w:rsid w:val="004D2E78"/>
    <w:rsid w:val="004D303A"/>
    <w:rsid w:val="004D32E7"/>
    <w:rsid w:val="004D36F2"/>
    <w:rsid w:val="004D372C"/>
    <w:rsid w:val="004D377E"/>
    <w:rsid w:val="004D380E"/>
    <w:rsid w:val="004D3880"/>
    <w:rsid w:val="004D39DC"/>
    <w:rsid w:val="004D3A54"/>
    <w:rsid w:val="004D3C2F"/>
    <w:rsid w:val="004D4515"/>
    <w:rsid w:val="004D48E9"/>
    <w:rsid w:val="004D4A8E"/>
    <w:rsid w:val="004D4CEE"/>
    <w:rsid w:val="004D509D"/>
    <w:rsid w:val="004D54CF"/>
    <w:rsid w:val="004D56A2"/>
    <w:rsid w:val="004D5A18"/>
    <w:rsid w:val="004D5D83"/>
    <w:rsid w:val="004D5DDD"/>
    <w:rsid w:val="004D686B"/>
    <w:rsid w:val="004D73B2"/>
    <w:rsid w:val="004D7431"/>
    <w:rsid w:val="004D78EE"/>
    <w:rsid w:val="004D7C2C"/>
    <w:rsid w:val="004D7F00"/>
    <w:rsid w:val="004E04CA"/>
    <w:rsid w:val="004E05CF"/>
    <w:rsid w:val="004E08B3"/>
    <w:rsid w:val="004E0AAA"/>
    <w:rsid w:val="004E0AE9"/>
    <w:rsid w:val="004E0E0A"/>
    <w:rsid w:val="004E1106"/>
    <w:rsid w:val="004E138F"/>
    <w:rsid w:val="004E15ED"/>
    <w:rsid w:val="004E1ABD"/>
    <w:rsid w:val="004E2514"/>
    <w:rsid w:val="004E254D"/>
    <w:rsid w:val="004E2E18"/>
    <w:rsid w:val="004E304B"/>
    <w:rsid w:val="004E3CD3"/>
    <w:rsid w:val="004E44CD"/>
    <w:rsid w:val="004E4649"/>
    <w:rsid w:val="004E48B8"/>
    <w:rsid w:val="004E4E92"/>
    <w:rsid w:val="004E535D"/>
    <w:rsid w:val="004E54D4"/>
    <w:rsid w:val="004E55B5"/>
    <w:rsid w:val="004E56A4"/>
    <w:rsid w:val="004E59CD"/>
    <w:rsid w:val="004E5C2B"/>
    <w:rsid w:val="004E5E55"/>
    <w:rsid w:val="004E6673"/>
    <w:rsid w:val="004E68E6"/>
    <w:rsid w:val="004E6A2C"/>
    <w:rsid w:val="004E7059"/>
    <w:rsid w:val="004E7202"/>
    <w:rsid w:val="004E7320"/>
    <w:rsid w:val="004E7372"/>
    <w:rsid w:val="004E7686"/>
    <w:rsid w:val="004E7AB9"/>
    <w:rsid w:val="004E7AEC"/>
    <w:rsid w:val="004E7CE7"/>
    <w:rsid w:val="004E7FC5"/>
    <w:rsid w:val="004F0019"/>
    <w:rsid w:val="004F00DD"/>
    <w:rsid w:val="004F0142"/>
    <w:rsid w:val="004F0610"/>
    <w:rsid w:val="004F0A09"/>
    <w:rsid w:val="004F0A3F"/>
    <w:rsid w:val="004F0B8E"/>
    <w:rsid w:val="004F0D45"/>
    <w:rsid w:val="004F18F2"/>
    <w:rsid w:val="004F1AF5"/>
    <w:rsid w:val="004F1BD1"/>
    <w:rsid w:val="004F1BEB"/>
    <w:rsid w:val="004F1C26"/>
    <w:rsid w:val="004F1CA5"/>
    <w:rsid w:val="004F1E05"/>
    <w:rsid w:val="004F2133"/>
    <w:rsid w:val="004F23F9"/>
    <w:rsid w:val="004F2454"/>
    <w:rsid w:val="004F2CE4"/>
    <w:rsid w:val="004F2D09"/>
    <w:rsid w:val="004F2ECA"/>
    <w:rsid w:val="004F30E9"/>
    <w:rsid w:val="004F3DA5"/>
    <w:rsid w:val="004F433D"/>
    <w:rsid w:val="004F45C2"/>
    <w:rsid w:val="004F47B5"/>
    <w:rsid w:val="004F49D2"/>
    <w:rsid w:val="004F4A81"/>
    <w:rsid w:val="004F4B1D"/>
    <w:rsid w:val="004F4BE4"/>
    <w:rsid w:val="004F4C8E"/>
    <w:rsid w:val="004F4CEF"/>
    <w:rsid w:val="004F5251"/>
    <w:rsid w:val="004F534F"/>
    <w:rsid w:val="004F5398"/>
    <w:rsid w:val="004F5459"/>
    <w:rsid w:val="004F55EA"/>
    <w:rsid w:val="004F55F1"/>
    <w:rsid w:val="004F5999"/>
    <w:rsid w:val="004F5A4E"/>
    <w:rsid w:val="004F5DBD"/>
    <w:rsid w:val="004F5E4E"/>
    <w:rsid w:val="004F5F67"/>
    <w:rsid w:val="004F5FA5"/>
    <w:rsid w:val="004F6014"/>
    <w:rsid w:val="004F6034"/>
    <w:rsid w:val="004F6216"/>
    <w:rsid w:val="004F6495"/>
    <w:rsid w:val="004F6936"/>
    <w:rsid w:val="004F699E"/>
    <w:rsid w:val="004F6D0B"/>
    <w:rsid w:val="004F6E65"/>
    <w:rsid w:val="004F71AA"/>
    <w:rsid w:val="004F74BD"/>
    <w:rsid w:val="004F7559"/>
    <w:rsid w:val="004F776C"/>
    <w:rsid w:val="004F7E93"/>
    <w:rsid w:val="0050015B"/>
    <w:rsid w:val="0050032B"/>
    <w:rsid w:val="005008FD"/>
    <w:rsid w:val="00500FAB"/>
    <w:rsid w:val="005015D2"/>
    <w:rsid w:val="00501BEB"/>
    <w:rsid w:val="00501C96"/>
    <w:rsid w:val="00501F32"/>
    <w:rsid w:val="00502B7F"/>
    <w:rsid w:val="00502BCB"/>
    <w:rsid w:val="00502C6B"/>
    <w:rsid w:val="00502D40"/>
    <w:rsid w:val="00503A19"/>
    <w:rsid w:val="00503A8E"/>
    <w:rsid w:val="00503C6F"/>
    <w:rsid w:val="00503DC6"/>
    <w:rsid w:val="00503E1C"/>
    <w:rsid w:val="00503EB6"/>
    <w:rsid w:val="00503FDE"/>
    <w:rsid w:val="00504061"/>
    <w:rsid w:val="005042E0"/>
    <w:rsid w:val="0050465B"/>
    <w:rsid w:val="00504B57"/>
    <w:rsid w:val="00504B5E"/>
    <w:rsid w:val="00504D16"/>
    <w:rsid w:val="005050D3"/>
    <w:rsid w:val="00505200"/>
    <w:rsid w:val="0050524C"/>
    <w:rsid w:val="005052F3"/>
    <w:rsid w:val="0050543B"/>
    <w:rsid w:val="005055FF"/>
    <w:rsid w:val="00505851"/>
    <w:rsid w:val="00505907"/>
    <w:rsid w:val="00505B1D"/>
    <w:rsid w:val="005061B7"/>
    <w:rsid w:val="005065E9"/>
    <w:rsid w:val="0050671F"/>
    <w:rsid w:val="00506785"/>
    <w:rsid w:val="00506A64"/>
    <w:rsid w:val="00506AC5"/>
    <w:rsid w:val="00506F5D"/>
    <w:rsid w:val="005074A8"/>
    <w:rsid w:val="005074E6"/>
    <w:rsid w:val="005076CB"/>
    <w:rsid w:val="00507EB8"/>
    <w:rsid w:val="00507EBA"/>
    <w:rsid w:val="0051001F"/>
    <w:rsid w:val="005105BD"/>
    <w:rsid w:val="00510643"/>
    <w:rsid w:val="00510A9E"/>
    <w:rsid w:val="00510AA2"/>
    <w:rsid w:val="00510C37"/>
    <w:rsid w:val="00510C49"/>
    <w:rsid w:val="00510F6C"/>
    <w:rsid w:val="0051116D"/>
    <w:rsid w:val="005111E0"/>
    <w:rsid w:val="00511629"/>
    <w:rsid w:val="00511879"/>
    <w:rsid w:val="00511AB2"/>
    <w:rsid w:val="00511DF1"/>
    <w:rsid w:val="00511F96"/>
    <w:rsid w:val="005126D0"/>
    <w:rsid w:val="0051277B"/>
    <w:rsid w:val="005128CB"/>
    <w:rsid w:val="005128E2"/>
    <w:rsid w:val="00512906"/>
    <w:rsid w:val="00512D86"/>
    <w:rsid w:val="00513026"/>
    <w:rsid w:val="00513182"/>
    <w:rsid w:val="0051341C"/>
    <w:rsid w:val="00513514"/>
    <w:rsid w:val="00513B1C"/>
    <w:rsid w:val="00513EC1"/>
    <w:rsid w:val="005142C3"/>
    <w:rsid w:val="0051431F"/>
    <w:rsid w:val="00514537"/>
    <w:rsid w:val="00514667"/>
    <w:rsid w:val="00514D75"/>
    <w:rsid w:val="005151B1"/>
    <w:rsid w:val="0051568D"/>
    <w:rsid w:val="005159AB"/>
    <w:rsid w:val="00515D22"/>
    <w:rsid w:val="005166F4"/>
    <w:rsid w:val="00516960"/>
    <w:rsid w:val="00516966"/>
    <w:rsid w:val="00516A55"/>
    <w:rsid w:val="00516DDC"/>
    <w:rsid w:val="00517064"/>
    <w:rsid w:val="00517A8F"/>
    <w:rsid w:val="00517C86"/>
    <w:rsid w:val="005204F6"/>
    <w:rsid w:val="00520EAF"/>
    <w:rsid w:val="005210D9"/>
    <w:rsid w:val="00521447"/>
    <w:rsid w:val="005216FC"/>
    <w:rsid w:val="00521CA9"/>
    <w:rsid w:val="00521EB7"/>
    <w:rsid w:val="00521F35"/>
    <w:rsid w:val="005223A4"/>
    <w:rsid w:val="00522984"/>
    <w:rsid w:val="00522A17"/>
    <w:rsid w:val="00522A28"/>
    <w:rsid w:val="00522A8D"/>
    <w:rsid w:val="005232E2"/>
    <w:rsid w:val="005235A1"/>
    <w:rsid w:val="0052377D"/>
    <w:rsid w:val="00523A2F"/>
    <w:rsid w:val="00523AC2"/>
    <w:rsid w:val="00523C69"/>
    <w:rsid w:val="00523C9F"/>
    <w:rsid w:val="0052444E"/>
    <w:rsid w:val="0052450E"/>
    <w:rsid w:val="00524627"/>
    <w:rsid w:val="00524BEA"/>
    <w:rsid w:val="00524D65"/>
    <w:rsid w:val="00524D7D"/>
    <w:rsid w:val="005250D6"/>
    <w:rsid w:val="005252A3"/>
    <w:rsid w:val="00525339"/>
    <w:rsid w:val="005258B4"/>
    <w:rsid w:val="00525A66"/>
    <w:rsid w:val="00525C48"/>
    <w:rsid w:val="00525C4B"/>
    <w:rsid w:val="00525DDF"/>
    <w:rsid w:val="005263FB"/>
    <w:rsid w:val="00526566"/>
    <w:rsid w:val="00526584"/>
    <w:rsid w:val="00526A45"/>
    <w:rsid w:val="00526AC7"/>
    <w:rsid w:val="00526C0C"/>
    <w:rsid w:val="00526C15"/>
    <w:rsid w:val="00526D85"/>
    <w:rsid w:val="00526E5F"/>
    <w:rsid w:val="005271C5"/>
    <w:rsid w:val="00527444"/>
    <w:rsid w:val="005277C0"/>
    <w:rsid w:val="00527BC5"/>
    <w:rsid w:val="00527C1D"/>
    <w:rsid w:val="00530211"/>
    <w:rsid w:val="005305FF"/>
    <w:rsid w:val="00531120"/>
    <w:rsid w:val="00531328"/>
    <w:rsid w:val="005315AC"/>
    <w:rsid w:val="0053178E"/>
    <w:rsid w:val="005317A5"/>
    <w:rsid w:val="005318D3"/>
    <w:rsid w:val="005318D6"/>
    <w:rsid w:val="00532522"/>
    <w:rsid w:val="005327A3"/>
    <w:rsid w:val="00532870"/>
    <w:rsid w:val="0053288D"/>
    <w:rsid w:val="00532A7A"/>
    <w:rsid w:val="00532D8F"/>
    <w:rsid w:val="00532EA3"/>
    <w:rsid w:val="00532FFD"/>
    <w:rsid w:val="00533382"/>
    <w:rsid w:val="00533405"/>
    <w:rsid w:val="00533E57"/>
    <w:rsid w:val="005355D8"/>
    <w:rsid w:val="005355FF"/>
    <w:rsid w:val="00535745"/>
    <w:rsid w:val="00535888"/>
    <w:rsid w:val="005359F4"/>
    <w:rsid w:val="00535DC7"/>
    <w:rsid w:val="00536293"/>
    <w:rsid w:val="00536499"/>
    <w:rsid w:val="005365DA"/>
    <w:rsid w:val="005368FF"/>
    <w:rsid w:val="00536B8B"/>
    <w:rsid w:val="00536D42"/>
    <w:rsid w:val="0053740D"/>
    <w:rsid w:val="0053748F"/>
    <w:rsid w:val="00537535"/>
    <w:rsid w:val="005375DA"/>
    <w:rsid w:val="005375FB"/>
    <w:rsid w:val="005377AE"/>
    <w:rsid w:val="0053797C"/>
    <w:rsid w:val="00537A82"/>
    <w:rsid w:val="00537BF0"/>
    <w:rsid w:val="00540176"/>
    <w:rsid w:val="005402D7"/>
    <w:rsid w:val="0054099C"/>
    <w:rsid w:val="00540AD2"/>
    <w:rsid w:val="00540B0B"/>
    <w:rsid w:val="00540BA5"/>
    <w:rsid w:val="00540C26"/>
    <w:rsid w:val="0054111A"/>
    <w:rsid w:val="00541263"/>
    <w:rsid w:val="00541350"/>
    <w:rsid w:val="0054190E"/>
    <w:rsid w:val="00541C64"/>
    <w:rsid w:val="00541D79"/>
    <w:rsid w:val="005426D0"/>
    <w:rsid w:val="00542A03"/>
    <w:rsid w:val="00542BB2"/>
    <w:rsid w:val="00543255"/>
    <w:rsid w:val="00543382"/>
    <w:rsid w:val="0054369C"/>
    <w:rsid w:val="00543840"/>
    <w:rsid w:val="005438AF"/>
    <w:rsid w:val="00543903"/>
    <w:rsid w:val="00543AE6"/>
    <w:rsid w:val="00543BCC"/>
    <w:rsid w:val="00543F11"/>
    <w:rsid w:val="00543F26"/>
    <w:rsid w:val="00544135"/>
    <w:rsid w:val="00544284"/>
    <w:rsid w:val="0054430C"/>
    <w:rsid w:val="00544347"/>
    <w:rsid w:val="00544542"/>
    <w:rsid w:val="0054474B"/>
    <w:rsid w:val="00544BB5"/>
    <w:rsid w:val="0054536C"/>
    <w:rsid w:val="00545528"/>
    <w:rsid w:val="00545563"/>
    <w:rsid w:val="005455B8"/>
    <w:rsid w:val="00545910"/>
    <w:rsid w:val="00546305"/>
    <w:rsid w:val="00546653"/>
    <w:rsid w:val="00547382"/>
    <w:rsid w:val="00547454"/>
    <w:rsid w:val="0054746C"/>
    <w:rsid w:val="00547572"/>
    <w:rsid w:val="005476DC"/>
    <w:rsid w:val="00547A95"/>
    <w:rsid w:val="00547C54"/>
    <w:rsid w:val="00547D86"/>
    <w:rsid w:val="00547FDF"/>
    <w:rsid w:val="0055007A"/>
    <w:rsid w:val="00550796"/>
    <w:rsid w:val="005509C2"/>
    <w:rsid w:val="00550C3F"/>
    <w:rsid w:val="00550D97"/>
    <w:rsid w:val="00551161"/>
    <w:rsid w:val="0055119B"/>
    <w:rsid w:val="005513E3"/>
    <w:rsid w:val="0055182A"/>
    <w:rsid w:val="0055186A"/>
    <w:rsid w:val="00551B0E"/>
    <w:rsid w:val="00551B22"/>
    <w:rsid w:val="00551B5B"/>
    <w:rsid w:val="00551D5B"/>
    <w:rsid w:val="00552217"/>
    <w:rsid w:val="005524CC"/>
    <w:rsid w:val="005524CD"/>
    <w:rsid w:val="00552583"/>
    <w:rsid w:val="0055284D"/>
    <w:rsid w:val="00552A3B"/>
    <w:rsid w:val="00552D09"/>
    <w:rsid w:val="00553220"/>
    <w:rsid w:val="0055380A"/>
    <w:rsid w:val="005538D2"/>
    <w:rsid w:val="00553AE9"/>
    <w:rsid w:val="0055402D"/>
    <w:rsid w:val="0055425D"/>
    <w:rsid w:val="00554D13"/>
    <w:rsid w:val="00554DFA"/>
    <w:rsid w:val="00554E36"/>
    <w:rsid w:val="00554EBB"/>
    <w:rsid w:val="00555154"/>
    <w:rsid w:val="00555416"/>
    <w:rsid w:val="00555A81"/>
    <w:rsid w:val="00555B43"/>
    <w:rsid w:val="00555CC1"/>
    <w:rsid w:val="00555D6D"/>
    <w:rsid w:val="00555EAA"/>
    <w:rsid w:val="00556142"/>
    <w:rsid w:val="00556740"/>
    <w:rsid w:val="005567E6"/>
    <w:rsid w:val="005569DB"/>
    <w:rsid w:val="00556A85"/>
    <w:rsid w:val="00556B3D"/>
    <w:rsid w:val="00556C90"/>
    <w:rsid w:val="00556CD7"/>
    <w:rsid w:val="00556CFC"/>
    <w:rsid w:val="00556EDF"/>
    <w:rsid w:val="0055705E"/>
    <w:rsid w:val="0055716F"/>
    <w:rsid w:val="00557221"/>
    <w:rsid w:val="00557402"/>
    <w:rsid w:val="00557654"/>
    <w:rsid w:val="005577C2"/>
    <w:rsid w:val="00560381"/>
    <w:rsid w:val="00560442"/>
    <w:rsid w:val="00560D62"/>
    <w:rsid w:val="005611DC"/>
    <w:rsid w:val="00561202"/>
    <w:rsid w:val="00561424"/>
    <w:rsid w:val="0056145D"/>
    <w:rsid w:val="00561958"/>
    <w:rsid w:val="00561A63"/>
    <w:rsid w:val="00561AAB"/>
    <w:rsid w:val="00561C24"/>
    <w:rsid w:val="00562507"/>
    <w:rsid w:val="0056259F"/>
    <w:rsid w:val="005625B9"/>
    <w:rsid w:val="00562811"/>
    <w:rsid w:val="00562926"/>
    <w:rsid w:val="005629BF"/>
    <w:rsid w:val="00562DA4"/>
    <w:rsid w:val="00562E52"/>
    <w:rsid w:val="0056312B"/>
    <w:rsid w:val="00563520"/>
    <w:rsid w:val="00563BA8"/>
    <w:rsid w:val="00563DF7"/>
    <w:rsid w:val="00563F79"/>
    <w:rsid w:val="005643E3"/>
    <w:rsid w:val="0056457D"/>
    <w:rsid w:val="005647A8"/>
    <w:rsid w:val="00564BE2"/>
    <w:rsid w:val="00564F33"/>
    <w:rsid w:val="00564FF2"/>
    <w:rsid w:val="005651B3"/>
    <w:rsid w:val="005652FD"/>
    <w:rsid w:val="00565543"/>
    <w:rsid w:val="005657B4"/>
    <w:rsid w:val="0056590A"/>
    <w:rsid w:val="00565C7A"/>
    <w:rsid w:val="00565E25"/>
    <w:rsid w:val="00565F30"/>
    <w:rsid w:val="00565FC8"/>
    <w:rsid w:val="0056601E"/>
    <w:rsid w:val="00566287"/>
    <w:rsid w:val="00566A11"/>
    <w:rsid w:val="00566A24"/>
    <w:rsid w:val="00566D94"/>
    <w:rsid w:val="00567009"/>
    <w:rsid w:val="005672D9"/>
    <w:rsid w:val="0056792E"/>
    <w:rsid w:val="00567E6B"/>
    <w:rsid w:val="00570074"/>
    <w:rsid w:val="00570388"/>
    <w:rsid w:val="00570678"/>
    <w:rsid w:val="005708D0"/>
    <w:rsid w:val="00571199"/>
    <w:rsid w:val="005713D0"/>
    <w:rsid w:val="005714E0"/>
    <w:rsid w:val="005715BC"/>
    <w:rsid w:val="0057163D"/>
    <w:rsid w:val="005717DA"/>
    <w:rsid w:val="0057196A"/>
    <w:rsid w:val="00571A89"/>
    <w:rsid w:val="00571C55"/>
    <w:rsid w:val="00572031"/>
    <w:rsid w:val="005721B5"/>
    <w:rsid w:val="00572282"/>
    <w:rsid w:val="005726BE"/>
    <w:rsid w:val="00572851"/>
    <w:rsid w:val="005732C7"/>
    <w:rsid w:val="00573365"/>
    <w:rsid w:val="00573665"/>
    <w:rsid w:val="0057369D"/>
    <w:rsid w:val="00573CE3"/>
    <w:rsid w:val="00573D47"/>
    <w:rsid w:val="00573D94"/>
    <w:rsid w:val="00573D9E"/>
    <w:rsid w:val="00573E7F"/>
    <w:rsid w:val="00573EB5"/>
    <w:rsid w:val="005741CA"/>
    <w:rsid w:val="00574313"/>
    <w:rsid w:val="00574375"/>
    <w:rsid w:val="005745A3"/>
    <w:rsid w:val="0057478C"/>
    <w:rsid w:val="00574968"/>
    <w:rsid w:val="005749FF"/>
    <w:rsid w:val="00574A39"/>
    <w:rsid w:val="00574B11"/>
    <w:rsid w:val="00574C86"/>
    <w:rsid w:val="00574DE4"/>
    <w:rsid w:val="00574EBE"/>
    <w:rsid w:val="005750FD"/>
    <w:rsid w:val="00575319"/>
    <w:rsid w:val="00575686"/>
    <w:rsid w:val="005758C6"/>
    <w:rsid w:val="00575AB8"/>
    <w:rsid w:val="00576156"/>
    <w:rsid w:val="005763E7"/>
    <w:rsid w:val="00576683"/>
    <w:rsid w:val="0057696B"/>
    <w:rsid w:val="00576B95"/>
    <w:rsid w:val="00576C01"/>
    <w:rsid w:val="00576E84"/>
    <w:rsid w:val="00576EEC"/>
    <w:rsid w:val="0057712C"/>
    <w:rsid w:val="0057735E"/>
    <w:rsid w:val="00577560"/>
    <w:rsid w:val="005801F5"/>
    <w:rsid w:val="0058021E"/>
    <w:rsid w:val="00580311"/>
    <w:rsid w:val="00580315"/>
    <w:rsid w:val="00580394"/>
    <w:rsid w:val="005803F6"/>
    <w:rsid w:val="0058094B"/>
    <w:rsid w:val="005809CD"/>
    <w:rsid w:val="00580AC8"/>
    <w:rsid w:val="00580BD3"/>
    <w:rsid w:val="00580EB0"/>
    <w:rsid w:val="005810A2"/>
    <w:rsid w:val="00581C38"/>
    <w:rsid w:val="00582267"/>
    <w:rsid w:val="00582323"/>
    <w:rsid w:val="00582776"/>
    <w:rsid w:val="00582B8C"/>
    <w:rsid w:val="00582E9B"/>
    <w:rsid w:val="00582EA7"/>
    <w:rsid w:val="0058314C"/>
    <w:rsid w:val="00583214"/>
    <w:rsid w:val="0058373E"/>
    <w:rsid w:val="00583E1F"/>
    <w:rsid w:val="00584E9E"/>
    <w:rsid w:val="0058503C"/>
    <w:rsid w:val="005850A0"/>
    <w:rsid w:val="0058543D"/>
    <w:rsid w:val="0058576E"/>
    <w:rsid w:val="00585864"/>
    <w:rsid w:val="00585AB4"/>
    <w:rsid w:val="0058602B"/>
    <w:rsid w:val="00586155"/>
    <w:rsid w:val="005861C7"/>
    <w:rsid w:val="005863F7"/>
    <w:rsid w:val="00586799"/>
    <w:rsid w:val="005869F9"/>
    <w:rsid w:val="00586A6C"/>
    <w:rsid w:val="00586C79"/>
    <w:rsid w:val="00586C87"/>
    <w:rsid w:val="00586E8E"/>
    <w:rsid w:val="00587125"/>
    <w:rsid w:val="0058719C"/>
    <w:rsid w:val="0058757E"/>
    <w:rsid w:val="00587ACF"/>
    <w:rsid w:val="00587C90"/>
    <w:rsid w:val="005900CF"/>
    <w:rsid w:val="00590DF6"/>
    <w:rsid w:val="0059112C"/>
    <w:rsid w:val="005916D9"/>
    <w:rsid w:val="00591740"/>
    <w:rsid w:val="005918ED"/>
    <w:rsid w:val="00591926"/>
    <w:rsid w:val="00591A00"/>
    <w:rsid w:val="00591C30"/>
    <w:rsid w:val="00591D2F"/>
    <w:rsid w:val="00592031"/>
    <w:rsid w:val="00592330"/>
    <w:rsid w:val="005929EA"/>
    <w:rsid w:val="00592CB2"/>
    <w:rsid w:val="00592DC4"/>
    <w:rsid w:val="005934FE"/>
    <w:rsid w:val="005938A4"/>
    <w:rsid w:val="00593CD6"/>
    <w:rsid w:val="005941BF"/>
    <w:rsid w:val="005941EB"/>
    <w:rsid w:val="00594933"/>
    <w:rsid w:val="00594A8F"/>
    <w:rsid w:val="00594B2C"/>
    <w:rsid w:val="0059564A"/>
    <w:rsid w:val="0059590E"/>
    <w:rsid w:val="00595B86"/>
    <w:rsid w:val="00595DDC"/>
    <w:rsid w:val="00595E09"/>
    <w:rsid w:val="005962B3"/>
    <w:rsid w:val="00596318"/>
    <w:rsid w:val="005965A2"/>
    <w:rsid w:val="005966D8"/>
    <w:rsid w:val="00596A4B"/>
    <w:rsid w:val="00596BCB"/>
    <w:rsid w:val="00596C2A"/>
    <w:rsid w:val="00596C46"/>
    <w:rsid w:val="00596DCB"/>
    <w:rsid w:val="00597437"/>
    <w:rsid w:val="00597507"/>
    <w:rsid w:val="00597765"/>
    <w:rsid w:val="00597B5E"/>
    <w:rsid w:val="00597BE3"/>
    <w:rsid w:val="00597CB5"/>
    <w:rsid w:val="00597D1A"/>
    <w:rsid w:val="00597FD7"/>
    <w:rsid w:val="005A023D"/>
    <w:rsid w:val="005A03D2"/>
    <w:rsid w:val="005A0436"/>
    <w:rsid w:val="005A0442"/>
    <w:rsid w:val="005A07BF"/>
    <w:rsid w:val="005A0B0B"/>
    <w:rsid w:val="005A0C0E"/>
    <w:rsid w:val="005A0E7A"/>
    <w:rsid w:val="005A1319"/>
    <w:rsid w:val="005A1396"/>
    <w:rsid w:val="005A17C9"/>
    <w:rsid w:val="005A1840"/>
    <w:rsid w:val="005A185A"/>
    <w:rsid w:val="005A1C4A"/>
    <w:rsid w:val="005A1D8C"/>
    <w:rsid w:val="005A219F"/>
    <w:rsid w:val="005A2399"/>
    <w:rsid w:val="005A24C5"/>
    <w:rsid w:val="005A2605"/>
    <w:rsid w:val="005A29B9"/>
    <w:rsid w:val="005A2A87"/>
    <w:rsid w:val="005A2EFA"/>
    <w:rsid w:val="005A30F3"/>
    <w:rsid w:val="005A328D"/>
    <w:rsid w:val="005A396E"/>
    <w:rsid w:val="005A3FE0"/>
    <w:rsid w:val="005A4630"/>
    <w:rsid w:val="005A479D"/>
    <w:rsid w:val="005A4A35"/>
    <w:rsid w:val="005A4DF3"/>
    <w:rsid w:val="005A4EA5"/>
    <w:rsid w:val="005A5411"/>
    <w:rsid w:val="005A5A77"/>
    <w:rsid w:val="005A5C14"/>
    <w:rsid w:val="005A5F35"/>
    <w:rsid w:val="005A64D0"/>
    <w:rsid w:val="005A6D6B"/>
    <w:rsid w:val="005A6EC4"/>
    <w:rsid w:val="005A6F2C"/>
    <w:rsid w:val="005A79CE"/>
    <w:rsid w:val="005A7C49"/>
    <w:rsid w:val="005A7F8D"/>
    <w:rsid w:val="005B0146"/>
    <w:rsid w:val="005B0940"/>
    <w:rsid w:val="005B0AFE"/>
    <w:rsid w:val="005B0D1C"/>
    <w:rsid w:val="005B13B0"/>
    <w:rsid w:val="005B1C6D"/>
    <w:rsid w:val="005B21B6"/>
    <w:rsid w:val="005B2519"/>
    <w:rsid w:val="005B2C8A"/>
    <w:rsid w:val="005B2E82"/>
    <w:rsid w:val="005B2F9A"/>
    <w:rsid w:val="005B3430"/>
    <w:rsid w:val="005B34C0"/>
    <w:rsid w:val="005B366E"/>
    <w:rsid w:val="005B3719"/>
    <w:rsid w:val="005B38E4"/>
    <w:rsid w:val="005B3A08"/>
    <w:rsid w:val="005B3A14"/>
    <w:rsid w:val="005B3A15"/>
    <w:rsid w:val="005B3A9D"/>
    <w:rsid w:val="005B3BEA"/>
    <w:rsid w:val="005B4F4B"/>
    <w:rsid w:val="005B5092"/>
    <w:rsid w:val="005B52A7"/>
    <w:rsid w:val="005B52FA"/>
    <w:rsid w:val="005B5413"/>
    <w:rsid w:val="005B5492"/>
    <w:rsid w:val="005B56F0"/>
    <w:rsid w:val="005B574C"/>
    <w:rsid w:val="005B57A6"/>
    <w:rsid w:val="005B6139"/>
    <w:rsid w:val="005B6273"/>
    <w:rsid w:val="005B658E"/>
    <w:rsid w:val="005B699B"/>
    <w:rsid w:val="005B6AA0"/>
    <w:rsid w:val="005B71FB"/>
    <w:rsid w:val="005B78CD"/>
    <w:rsid w:val="005B7953"/>
    <w:rsid w:val="005B7A63"/>
    <w:rsid w:val="005B7D7E"/>
    <w:rsid w:val="005B7EFB"/>
    <w:rsid w:val="005B7FE0"/>
    <w:rsid w:val="005BE39C"/>
    <w:rsid w:val="005C001D"/>
    <w:rsid w:val="005C052B"/>
    <w:rsid w:val="005C0955"/>
    <w:rsid w:val="005C0D2B"/>
    <w:rsid w:val="005C13C0"/>
    <w:rsid w:val="005C1413"/>
    <w:rsid w:val="005C15A7"/>
    <w:rsid w:val="005C17FA"/>
    <w:rsid w:val="005C203F"/>
    <w:rsid w:val="005C2591"/>
    <w:rsid w:val="005C2A28"/>
    <w:rsid w:val="005C2D8D"/>
    <w:rsid w:val="005C2E2B"/>
    <w:rsid w:val="005C31F6"/>
    <w:rsid w:val="005C3704"/>
    <w:rsid w:val="005C38E3"/>
    <w:rsid w:val="005C3E17"/>
    <w:rsid w:val="005C4046"/>
    <w:rsid w:val="005C40CF"/>
    <w:rsid w:val="005C40F9"/>
    <w:rsid w:val="005C42CA"/>
    <w:rsid w:val="005C4461"/>
    <w:rsid w:val="005C46E0"/>
    <w:rsid w:val="005C46F6"/>
    <w:rsid w:val="005C49C6"/>
    <w:rsid w:val="005C49DA"/>
    <w:rsid w:val="005C4C71"/>
    <w:rsid w:val="005C4D2F"/>
    <w:rsid w:val="005C50F3"/>
    <w:rsid w:val="005C5255"/>
    <w:rsid w:val="005C52F3"/>
    <w:rsid w:val="005C53A4"/>
    <w:rsid w:val="005C5497"/>
    <w:rsid w:val="005C54B5"/>
    <w:rsid w:val="005C54E5"/>
    <w:rsid w:val="005C5683"/>
    <w:rsid w:val="005C5D1E"/>
    <w:rsid w:val="005C5D80"/>
    <w:rsid w:val="005C5D91"/>
    <w:rsid w:val="005C6601"/>
    <w:rsid w:val="005C685C"/>
    <w:rsid w:val="005C6887"/>
    <w:rsid w:val="005C689B"/>
    <w:rsid w:val="005C6F1E"/>
    <w:rsid w:val="005C7236"/>
    <w:rsid w:val="005C7661"/>
    <w:rsid w:val="005D005F"/>
    <w:rsid w:val="005D035C"/>
    <w:rsid w:val="005D05C7"/>
    <w:rsid w:val="005D05FD"/>
    <w:rsid w:val="005D07B8"/>
    <w:rsid w:val="005D07DE"/>
    <w:rsid w:val="005D0BDB"/>
    <w:rsid w:val="005D0C54"/>
    <w:rsid w:val="005D1076"/>
    <w:rsid w:val="005D113E"/>
    <w:rsid w:val="005D1301"/>
    <w:rsid w:val="005D137F"/>
    <w:rsid w:val="005D1595"/>
    <w:rsid w:val="005D182F"/>
    <w:rsid w:val="005D194A"/>
    <w:rsid w:val="005D195B"/>
    <w:rsid w:val="005D1ED9"/>
    <w:rsid w:val="005D1F79"/>
    <w:rsid w:val="005D246D"/>
    <w:rsid w:val="005D248E"/>
    <w:rsid w:val="005D2A74"/>
    <w:rsid w:val="005D2B19"/>
    <w:rsid w:val="005D3438"/>
    <w:rsid w:val="005D37AE"/>
    <w:rsid w:val="005D3CFB"/>
    <w:rsid w:val="005D3FB2"/>
    <w:rsid w:val="005D423B"/>
    <w:rsid w:val="005D472A"/>
    <w:rsid w:val="005D4777"/>
    <w:rsid w:val="005D48F2"/>
    <w:rsid w:val="005D4B53"/>
    <w:rsid w:val="005D4BF7"/>
    <w:rsid w:val="005D4E24"/>
    <w:rsid w:val="005D5539"/>
    <w:rsid w:val="005D55A1"/>
    <w:rsid w:val="005D560E"/>
    <w:rsid w:val="005D5766"/>
    <w:rsid w:val="005D58A9"/>
    <w:rsid w:val="005D6204"/>
    <w:rsid w:val="005D6597"/>
    <w:rsid w:val="005D6B7C"/>
    <w:rsid w:val="005D6BE8"/>
    <w:rsid w:val="005D6E15"/>
    <w:rsid w:val="005D6E2D"/>
    <w:rsid w:val="005D7497"/>
    <w:rsid w:val="005D754B"/>
    <w:rsid w:val="005D7743"/>
    <w:rsid w:val="005D7D2C"/>
    <w:rsid w:val="005D7E86"/>
    <w:rsid w:val="005E015C"/>
    <w:rsid w:val="005E0682"/>
    <w:rsid w:val="005E0C0E"/>
    <w:rsid w:val="005E0C39"/>
    <w:rsid w:val="005E1075"/>
    <w:rsid w:val="005E1147"/>
    <w:rsid w:val="005E1491"/>
    <w:rsid w:val="005E14E7"/>
    <w:rsid w:val="005E2223"/>
    <w:rsid w:val="005E2679"/>
    <w:rsid w:val="005E26A3"/>
    <w:rsid w:val="005E28B1"/>
    <w:rsid w:val="005E2E62"/>
    <w:rsid w:val="005E2ECB"/>
    <w:rsid w:val="005E2EF7"/>
    <w:rsid w:val="005E30C9"/>
    <w:rsid w:val="005E36C1"/>
    <w:rsid w:val="005E3A35"/>
    <w:rsid w:val="005E40A8"/>
    <w:rsid w:val="005E411A"/>
    <w:rsid w:val="005E441C"/>
    <w:rsid w:val="005E4450"/>
    <w:rsid w:val="005E447E"/>
    <w:rsid w:val="005E497C"/>
    <w:rsid w:val="005E4A61"/>
    <w:rsid w:val="005E4D16"/>
    <w:rsid w:val="005E4E23"/>
    <w:rsid w:val="005E4FD1"/>
    <w:rsid w:val="005E5332"/>
    <w:rsid w:val="005E5547"/>
    <w:rsid w:val="005E56AF"/>
    <w:rsid w:val="005E5724"/>
    <w:rsid w:val="005E5864"/>
    <w:rsid w:val="005E5D00"/>
    <w:rsid w:val="005E616A"/>
    <w:rsid w:val="005E6638"/>
    <w:rsid w:val="005E68AE"/>
    <w:rsid w:val="005E71F5"/>
    <w:rsid w:val="005E7808"/>
    <w:rsid w:val="005E784C"/>
    <w:rsid w:val="005E78D4"/>
    <w:rsid w:val="005E7D5B"/>
    <w:rsid w:val="005F00B9"/>
    <w:rsid w:val="005F017F"/>
    <w:rsid w:val="005F0431"/>
    <w:rsid w:val="005F04BF"/>
    <w:rsid w:val="005F0775"/>
    <w:rsid w:val="005F0A2A"/>
    <w:rsid w:val="005F0CF5"/>
    <w:rsid w:val="005F0D49"/>
    <w:rsid w:val="005F1000"/>
    <w:rsid w:val="005F1097"/>
    <w:rsid w:val="005F1359"/>
    <w:rsid w:val="005F1960"/>
    <w:rsid w:val="005F1BBB"/>
    <w:rsid w:val="005F1F48"/>
    <w:rsid w:val="005F2131"/>
    <w:rsid w:val="005F21EB"/>
    <w:rsid w:val="005F22B7"/>
    <w:rsid w:val="005F27AA"/>
    <w:rsid w:val="005F299A"/>
    <w:rsid w:val="005F29D1"/>
    <w:rsid w:val="005F2C53"/>
    <w:rsid w:val="005F2F8E"/>
    <w:rsid w:val="005F3300"/>
    <w:rsid w:val="005F3347"/>
    <w:rsid w:val="005F37A0"/>
    <w:rsid w:val="005F37EA"/>
    <w:rsid w:val="005F3840"/>
    <w:rsid w:val="005F39EC"/>
    <w:rsid w:val="005F3BB4"/>
    <w:rsid w:val="005F3C66"/>
    <w:rsid w:val="005F405B"/>
    <w:rsid w:val="005F40DE"/>
    <w:rsid w:val="005F424B"/>
    <w:rsid w:val="005F43DC"/>
    <w:rsid w:val="005F471C"/>
    <w:rsid w:val="005F49DB"/>
    <w:rsid w:val="005F4AAE"/>
    <w:rsid w:val="005F4EE9"/>
    <w:rsid w:val="005F5A3F"/>
    <w:rsid w:val="005F5B03"/>
    <w:rsid w:val="005F60D0"/>
    <w:rsid w:val="005F62CB"/>
    <w:rsid w:val="005F6498"/>
    <w:rsid w:val="005F64CF"/>
    <w:rsid w:val="005F66A5"/>
    <w:rsid w:val="005F66C2"/>
    <w:rsid w:val="005F6771"/>
    <w:rsid w:val="005F6783"/>
    <w:rsid w:val="005F6967"/>
    <w:rsid w:val="005F7741"/>
    <w:rsid w:val="005F7E11"/>
    <w:rsid w:val="005F7E9E"/>
    <w:rsid w:val="005F7F4F"/>
    <w:rsid w:val="0060059E"/>
    <w:rsid w:val="00600694"/>
    <w:rsid w:val="00600AB0"/>
    <w:rsid w:val="00600ACD"/>
    <w:rsid w:val="00600B00"/>
    <w:rsid w:val="00600B7E"/>
    <w:rsid w:val="00601846"/>
    <w:rsid w:val="00601915"/>
    <w:rsid w:val="0060191A"/>
    <w:rsid w:val="00601994"/>
    <w:rsid w:val="006019E3"/>
    <w:rsid w:val="00601A2F"/>
    <w:rsid w:val="00601C7E"/>
    <w:rsid w:val="00601CCB"/>
    <w:rsid w:val="006020B8"/>
    <w:rsid w:val="00602221"/>
    <w:rsid w:val="0060223E"/>
    <w:rsid w:val="00602679"/>
    <w:rsid w:val="006028DD"/>
    <w:rsid w:val="00602912"/>
    <w:rsid w:val="00602930"/>
    <w:rsid w:val="00602AB4"/>
    <w:rsid w:val="0060329B"/>
    <w:rsid w:val="0060329E"/>
    <w:rsid w:val="00603521"/>
    <w:rsid w:val="00603551"/>
    <w:rsid w:val="00603B0E"/>
    <w:rsid w:val="00603B92"/>
    <w:rsid w:val="006041AD"/>
    <w:rsid w:val="006042DC"/>
    <w:rsid w:val="00604539"/>
    <w:rsid w:val="0060490B"/>
    <w:rsid w:val="00604A4C"/>
    <w:rsid w:val="00605363"/>
    <w:rsid w:val="00605445"/>
    <w:rsid w:val="00605598"/>
    <w:rsid w:val="006058CD"/>
    <w:rsid w:val="00605908"/>
    <w:rsid w:val="00605BBE"/>
    <w:rsid w:val="00606310"/>
    <w:rsid w:val="00606525"/>
    <w:rsid w:val="006065EA"/>
    <w:rsid w:val="00606656"/>
    <w:rsid w:val="006066C0"/>
    <w:rsid w:val="0060676F"/>
    <w:rsid w:val="006070DF"/>
    <w:rsid w:val="00607806"/>
    <w:rsid w:val="00607850"/>
    <w:rsid w:val="006078C1"/>
    <w:rsid w:val="00607AE9"/>
    <w:rsid w:val="00607EF7"/>
    <w:rsid w:val="006100E3"/>
    <w:rsid w:val="00610153"/>
    <w:rsid w:val="00610159"/>
    <w:rsid w:val="00610273"/>
    <w:rsid w:val="006102F1"/>
    <w:rsid w:val="0061048E"/>
    <w:rsid w:val="0061059D"/>
    <w:rsid w:val="006108AF"/>
    <w:rsid w:val="006108ED"/>
    <w:rsid w:val="00610913"/>
    <w:rsid w:val="00610A43"/>
    <w:rsid w:val="00610D7C"/>
    <w:rsid w:val="00611244"/>
    <w:rsid w:val="00611963"/>
    <w:rsid w:val="00611B66"/>
    <w:rsid w:val="006122FD"/>
    <w:rsid w:val="006123E1"/>
    <w:rsid w:val="006128A1"/>
    <w:rsid w:val="00612929"/>
    <w:rsid w:val="00612B03"/>
    <w:rsid w:val="00612B40"/>
    <w:rsid w:val="00612EF5"/>
    <w:rsid w:val="00612F5F"/>
    <w:rsid w:val="00613137"/>
    <w:rsid w:val="006131AA"/>
    <w:rsid w:val="00613414"/>
    <w:rsid w:val="00613560"/>
    <w:rsid w:val="00613869"/>
    <w:rsid w:val="00613E40"/>
    <w:rsid w:val="00613FCC"/>
    <w:rsid w:val="00614237"/>
    <w:rsid w:val="00614282"/>
    <w:rsid w:val="00614A2A"/>
    <w:rsid w:val="00615238"/>
    <w:rsid w:val="006154BE"/>
    <w:rsid w:val="0061589B"/>
    <w:rsid w:val="00615A7A"/>
    <w:rsid w:val="00615ADA"/>
    <w:rsid w:val="00615DD0"/>
    <w:rsid w:val="0061635F"/>
    <w:rsid w:val="00616489"/>
    <w:rsid w:val="006164B9"/>
    <w:rsid w:val="00616710"/>
    <w:rsid w:val="006167FC"/>
    <w:rsid w:val="00616975"/>
    <w:rsid w:val="00616F35"/>
    <w:rsid w:val="00617076"/>
    <w:rsid w:val="006170E2"/>
    <w:rsid w:val="00617324"/>
    <w:rsid w:val="00617A77"/>
    <w:rsid w:val="00617B74"/>
    <w:rsid w:val="00617C95"/>
    <w:rsid w:val="00617D16"/>
    <w:rsid w:val="00620154"/>
    <w:rsid w:val="006201A0"/>
    <w:rsid w:val="00620261"/>
    <w:rsid w:val="00620387"/>
    <w:rsid w:val="0062039C"/>
    <w:rsid w:val="00620569"/>
    <w:rsid w:val="00620EFE"/>
    <w:rsid w:val="0062101D"/>
    <w:rsid w:val="00621160"/>
    <w:rsid w:val="00621A8D"/>
    <w:rsid w:val="00621AEA"/>
    <w:rsid w:val="00621D10"/>
    <w:rsid w:val="00621DD2"/>
    <w:rsid w:val="006220FE"/>
    <w:rsid w:val="006221C6"/>
    <w:rsid w:val="0062221C"/>
    <w:rsid w:val="006225E3"/>
    <w:rsid w:val="0062287A"/>
    <w:rsid w:val="0062288B"/>
    <w:rsid w:val="006232A9"/>
    <w:rsid w:val="00623727"/>
    <w:rsid w:val="00623B27"/>
    <w:rsid w:val="0062408D"/>
    <w:rsid w:val="006240CC"/>
    <w:rsid w:val="00624895"/>
    <w:rsid w:val="00624940"/>
    <w:rsid w:val="00624F48"/>
    <w:rsid w:val="006253C5"/>
    <w:rsid w:val="006254F8"/>
    <w:rsid w:val="00625BB7"/>
    <w:rsid w:val="00625C21"/>
    <w:rsid w:val="00625E2F"/>
    <w:rsid w:val="00626327"/>
    <w:rsid w:val="00626443"/>
    <w:rsid w:val="006268D6"/>
    <w:rsid w:val="006269BA"/>
    <w:rsid w:val="00626EB7"/>
    <w:rsid w:val="006270A2"/>
    <w:rsid w:val="006278AA"/>
    <w:rsid w:val="00627D68"/>
    <w:rsid w:val="00627DA7"/>
    <w:rsid w:val="00627EFF"/>
    <w:rsid w:val="006308E4"/>
    <w:rsid w:val="00630C0E"/>
    <w:rsid w:val="00630C3B"/>
    <w:rsid w:val="00630D88"/>
    <w:rsid w:val="00630DA4"/>
    <w:rsid w:val="00630DCE"/>
    <w:rsid w:val="00630E03"/>
    <w:rsid w:val="00630E35"/>
    <w:rsid w:val="0063147A"/>
    <w:rsid w:val="00631485"/>
    <w:rsid w:val="006316C4"/>
    <w:rsid w:val="00631755"/>
    <w:rsid w:val="0063183D"/>
    <w:rsid w:val="00631C18"/>
    <w:rsid w:val="00631C8C"/>
    <w:rsid w:val="00631CD4"/>
    <w:rsid w:val="00632232"/>
    <w:rsid w:val="00632334"/>
    <w:rsid w:val="00632597"/>
    <w:rsid w:val="0063274D"/>
    <w:rsid w:val="006327F9"/>
    <w:rsid w:val="0063296A"/>
    <w:rsid w:val="006338BA"/>
    <w:rsid w:val="00633914"/>
    <w:rsid w:val="00633D1A"/>
    <w:rsid w:val="00633FB2"/>
    <w:rsid w:val="00634198"/>
    <w:rsid w:val="00634280"/>
    <w:rsid w:val="0063477B"/>
    <w:rsid w:val="00634833"/>
    <w:rsid w:val="00634945"/>
    <w:rsid w:val="00634D13"/>
    <w:rsid w:val="00634FFA"/>
    <w:rsid w:val="00635271"/>
    <w:rsid w:val="0063577F"/>
    <w:rsid w:val="006358B4"/>
    <w:rsid w:val="00635912"/>
    <w:rsid w:val="00635A4C"/>
    <w:rsid w:val="00635CAC"/>
    <w:rsid w:val="00635F58"/>
    <w:rsid w:val="00635FA8"/>
    <w:rsid w:val="00635FBC"/>
    <w:rsid w:val="006360BC"/>
    <w:rsid w:val="0063617B"/>
    <w:rsid w:val="006362F7"/>
    <w:rsid w:val="00636467"/>
    <w:rsid w:val="006365F8"/>
    <w:rsid w:val="006368E7"/>
    <w:rsid w:val="00636A78"/>
    <w:rsid w:val="00636BC5"/>
    <w:rsid w:val="00636CC4"/>
    <w:rsid w:val="00637075"/>
    <w:rsid w:val="00637240"/>
    <w:rsid w:val="006373DB"/>
    <w:rsid w:val="00637555"/>
    <w:rsid w:val="00637720"/>
    <w:rsid w:val="006379FB"/>
    <w:rsid w:val="0064030A"/>
    <w:rsid w:val="006404FA"/>
    <w:rsid w:val="00640533"/>
    <w:rsid w:val="00640615"/>
    <w:rsid w:val="00640706"/>
    <w:rsid w:val="006409FA"/>
    <w:rsid w:val="00640C77"/>
    <w:rsid w:val="00640D5C"/>
    <w:rsid w:val="0064124E"/>
    <w:rsid w:val="0064146A"/>
    <w:rsid w:val="006414F9"/>
    <w:rsid w:val="00641724"/>
    <w:rsid w:val="006419AA"/>
    <w:rsid w:val="00641C87"/>
    <w:rsid w:val="00641D0E"/>
    <w:rsid w:val="00642048"/>
    <w:rsid w:val="006420F3"/>
    <w:rsid w:val="0064215B"/>
    <w:rsid w:val="006425DB"/>
    <w:rsid w:val="006427FA"/>
    <w:rsid w:val="00642B65"/>
    <w:rsid w:val="006430AE"/>
    <w:rsid w:val="0064318D"/>
    <w:rsid w:val="0064326F"/>
    <w:rsid w:val="006435CD"/>
    <w:rsid w:val="00643829"/>
    <w:rsid w:val="00643E8F"/>
    <w:rsid w:val="00643EAC"/>
    <w:rsid w:val="006442F0"/>
    <w:rsid w:val="006448DA"/>
    <w:rsid w:val="00644B06"/>
    <w:rsid w:val="00644B1F"/>
    <w:rsid w:val="00644B7E"/>
    <w:rsid w:val="00644C03"/>
    <w:rsid w:val="00644F14"/>
    <w:rsid w:val="00645032"/>
    <w:rsid w:val="006453DF"/>
    <w:rsid w:val="006454E6"/>
    <w:rsid w:val="00645C95"/>
    <w:rsid w:val="00645F58"/>
    <w:rsid w:val="00645F98"/>
    <w:rsid w:val="00646235"/>
    <w:rsid w:val="00646374"/>
    <w:rsid w:val="006465DC"/>
    <w:rsid w:val="00646713"/>
    <w:rsid w:val="006469E0"/>
    <w:rsid w:val="00646A68"/>
    <w:rsid w:val="006475F7"/>
    <w:rsid w:val="006477C8"/>
    <w:rsid w:val="00647B53"/>
    <w:rsid w:val="00647B7A"/>
    <w:rsid w:val="0065002F"/>
    <w:rsid w:val="006500C1"/>
    <w:rsid w:val="006505BD"/>
    <w:rsid w:val="0065082F"/>
    <w:rsid w:val="006508EA"/>
    <w:rsid w:val="0065092E"/>
    <w:rsid w:val="00650F98"/>
    <w:rsid w:val="00651068"/>
    <w:rsid w:val="006510EC"/>
    <w:rsid w:val="006511F5"/>
    <w:rsid w:val="00651571"/>
    <w:rsid w:val="00651670"/>
    <w:rsid w:val="006517CB"/>
    <w:rsid w:val="00651813"/>
    <w:rsid w:val="00651B44"/>
    <w:rsid w:val="00651E91"/>
    <w:rsid w:val="0065205F"/>
    <w:rsid w:val="006522F0"/>
    <w:rsid w:val="00652608"/>
    <w:rsid w:val="006526C1"/>
    <w:rsid w:val="006529B5"/>
    <w:rsid w:val="00652A33"/>
    <w:rsid w:val="00652D03"/>
    <w:rsid w:val="0065337E"/>
    <w:rsid w:val="006533AA"/>
    <w:rsid w:val="006536D4"/>
    <w:rsid w:val="00653999"/>
    <w:rsid w:val="00653A10"/>
    <w:rsid w:val="00653A3D"/>
    <w:rsid w:val="00653BB0"/>
    <w:rsid w:val="00653F2A"/>
    <w:rsid w:val="006544EB"/>
    <w:rsid w:val="0065453A"/>
    <w:rsid w:val="00654B3F"/>
    <w:rsid w:val="00654B5C"/>
    <w:rsid w:val="00654C87"/>
    <w:rsid w:val="00654DFF"/>
    <w:rsid w:val="00654F6D"/>
    <w:rsid w:val="00655020"/>
    <w:rsid w:val="00655199"/>
    <w:rsid w:val="0065534B"/>
    <w:rsid w:val="006555E6"/>
    <w:rsid w:val="0065562C"/>
    <w:rsid w:val="006557A7"/>
    <w:rsid w:val="00655DE8"/>
    <w:rsid w:val="00655F3D"/>
    <w:rsid w:val="00656290"/>
    <w:rsid w:val="006568BE"/>
    <w:rsid w:val="0065695C"/>
    <w:rsid w:val="00656A89"/>
    <w:rsid w:val="00656D4F"/>
    <w:rsid w:val="00656F6D"/>
    <w:rsid w:val="006570E7"/>
    <w:rsid w:val="006571DF"/>
    <w:rsid w:val="006573B2"/>
    <w:rsid w:val="00657DAD"/>
    <w:rsid w:val="006601C9"/>
    <w:rsid w:val="006601D3"/>
    <w:rsid w:val="006601F4"/>
    <w:rsid w:val="0066025D"/>
    <w:rsid w:val="00660613"/>
    <w:rsid w:val="006608D8"/>
    <w:rsid w:val="006610A7"/>
    <w:rsid w:val="006613F1"/>
    <w:rsid w:val="006615B3"/>
    <w:rsid w:val="00661D2E"/>
    <w:rsid w:val="00661E10"/>
    <w:rsid w:val="00661FAC"/>
    <w:rsid w:val="006620C4"/>
    <w:rsid w:val="006621D7"/>
    <w:rsid w:val="0066236A"/>
    <w:rsid w:val="00662A37"/>
    <w:rsid w:val="00662C53"/>
    <w:rsid w:val="00662E78"/>
    <w:rsid w:val="0066302A"/>
    <w:rsid w:val="00663091"/>
    <w:rsid w:val="00663A39"/>
    <w:rsid w:val="00663A70"/>
    <w:rsid w:val="00663D26"/>
    <w:rsid w:val="00663DA0"/>
    <w:rsid w:val="00663DDC"/>
    <w:rsid w:val="00663FBE"/>
    <w:rsid w:val="00664394"/>
    <w:rsid w:val="0066454D"/>
    <w:rsid w:val="00664AAC"/>
    <w:rsid w:val="00664B4E"/>
    <w:rsid w:val="00664B82"/>
    <w:rsid w:val="00664DC1"/>
    <w:rsid w:val="00664F3C"/>
    <w:rsid w:val="00664FDD"/>
    <w:rsid w:val="0066566E"/>
    <w:rsid w:val="00665797"/>
    <w:rsid w:val="00665AEE"/>
    <w:rsid w:val="00665C89"/>
    <w:rsid w:val="00665E0D"/>
    <w:rsid w:val="00665F57"/>
    <w:rsid w:val="00666191"/>
    <w:rsid w:val="006664C9"/>
    <w:rsid w:val="00666645"/>
    <w:rsid w:val="00666847"/>
    <w:rsid w:val="006669B2"/>
    <w:rsid w:val="006669C6"/>
    <w:rsid w:val="00666ACE"/>
    <w:rsid w:val="00666C5E"/>
    <w:rsid w:val="00666CCD"/>
    <w:rsid w:val="006671A0"/>
    <w:rsid w:val="0066727E"/>
    <w:rsid w:val="00667385"/>
    <w:rsid w:val="00667416"/>
    <w:rsid w:val="0066764F"/>
    <w:rsid w:val="00667770"/>
    <w:rsid w:val="00667C22"/>
    <w:rsid w:val="00667EA3"/>
    <w:rsid w:val="00667F03"/>
    <w:rsid w:val="0067053F"/>
    <w:rsid w:val="00670597"/>
    <w:rsid w:val="006706B7"/>
    <w:rsid w:val="006706D0"/>
    <w:rsid w:val="00670855"/>
    <w:rsid w:val="00670B09"/>
    <w:rsid w:val="00671776"/>
    <w:rsid w:val="00671ACC"/>
    <w:rsid w:val="006726B4"/>
    <w:rsid w:val="00672ECE"/>
    <w:rsid w:val="00672EEB"/>
    <w:rsid w:val="00673270"/>
    <w:rsid w:val="00673624"/>
    <w:rsid w:val="0067385A"/>
    <w:rsid w:val="00673A02"/>
    <w:rsid w:val="00673A4F"/>
    <w:rsid w:val="006748FD"/>
    <w:rsid w:val="006749F8"/>
    <w:rsid w:val="00674CCA"/>
    <w:rsid w:val="00674FCE"/>
    <w:rsid w:val="0067539F"/>
    <w:rsid w:val="00675501"/>
    <w:rsid w:val="0067552E"/>
    <w:rsid w:val="00676097"/>
    <w:rsid w:val="006761D1"/>
    <w:rsid w:val="00676469"/>
    <w:rsid w:val="006764F4"/>
    <w:rsid w:val="00676AD4"/>
    <w:rsid w:val="00676C19"/>
    <w:rsid w:val="006770F5"/>
    <w:rsid w:val="0067717D"/>
    <w:rsid w:val="0067746E"/>
    <w:rsid w:val="00677546"/>
    <w:rsid w:val="00677574"/>
    <w:rsid w:val="00677DDA"/>
    <w:rsid w:val="00677F3E"/>
    <w:rsid w:val="0068031D"/>
    <w:rsid w:val="00680549"/>
    <w:rsid w:val="006809DA"/>
    <w:rsid w:val="00680AE9"/>
    <w:rsid w:val="00680DFE"/>
    <w:rsid w:val="006812ED"/>
    <w:rsid w:val="0068154E"/>
    <w:rsid w:val="00681A11"/>
    <w:rsid w:val="0068216C"/>
    <w:rsid w:val="00682618"/>
    <w:rsid w:val="0068288A"/>
    <w:rsid w:val="00682994"/>
    <w:rsid w:val="00682C13"/>
    <w:rsid w:val="00682C78"/>
    <w:rsid w:val="00682D49"/>
    <w:rsid w:val="00682E88"/>
    <w:rsid w:val="006832E7"/>
    <w:rsid w:val="0068370D"/>
    <w:rsid w:val="00683878"/>
    <w:rsid w:val="0068405D"/>
    <w:rsid w:val="00684127"/>
    <w:rsid w:val="00684380"/>
    <w:rsid w:val="00684462"/>
    <w:rsid w:val="0068454C"/>
    <w:rsid w:val="006845A9"/>
    <w:rsid w:val="0068467E"/>
    <w:rsid w:val="0068482A"/>
    <w:rsid w:val="00684A4D"/>
    <w:rsid w:val="00684F3D"/>
    <w:rsid w:val="00685117"/>
    <w:rsid w:val="0068536A"/>
    <w:rsid w:val="00685514"/>
    <w:rsid w:val="00686228"/>
    <w:rsid w:val="0068653D"/>
    <w:rsid w:val="00686A01"/>
    <w:rsid w:val="00686F1A"/>
    <w:rsid w:val="00686FE5"/>
    <w:rsid w:val="00687097"/>
    <w:rsid w:val="0068792E"/>
    <w:rsid w:val="006879A8"/>
    <w:rsid w:val="00687AE3"/>
    <w:rsid w:val="00687D30"/>
    <w:rsid w:val="00687D4C"/>
    <w:rsid w:val="00687F85"/>
    <w:rsid w:val="0069013D"/>
    <w:rsid w:val="0069021D"/>
    <w:rsid w:val="0069085E"/>
    <w:rsid w:val="00690C04"/>
    <w:rsid w:val="00690EF4"/>
    <w:rsid w:val="00691036"/>
    <w:rsid w:val="0069117F"/>
    <w:rsid w:val="006912C9"/>
    <w:rsid w:val="00691398"/>
    <w:rsid w:val="006913F2"/>
    <w:rsid w:val="006917AA"/>
    <w:rsid w:val="0069181E"/>
    <w:rsid w:val="006918A2"/>
    <w:rsid w:val="00691B62"/>
    <w:rsid w:val="00691BB4"/>
    <w:rsid w:val="00691C7B"/>
    <w:rsid w:val="00691C7F"/>
    <w:rsid w:val="00691CDF"/>
    <w:rsid w:val="0069224C"/>
    <w:rsid w:val="006922F2"/>
    <w:rsid w:val="006925D9"/>
    <w:rsid w:val="006926D6"/>
    <w:rsid w:val="00692A55"/>
    <w:rsid w:val="00692D10"/>
    <w:rsid w:val="00692EB9"/>
    <w:rsid w:val="00692EF2"/>
    <w:rsid w:val="006933B5"/>
    <w:rsid w:val="0069343D"/>
    <w:rsid w:val="006937A8"/>
    <w:rsid w:val="00693874"/>
    <w:rsid w:val="00693C3F"/>
    <w:rsid w:val="00693D14"/>
    <w:rsid w:val="00693DC0"/>
    <w:rsid w:val="00693F10"/>
    <w:rsid w:val="00693FD4"/>
    <w:rsid w:val="006940D6"/>
    <w:rsid w:val="006942E3"/>
    <w:rsid w:val="00694B17"/>
    <w:rsid w:val="00694C55"/>
    <w:rsid w:val="00694C69"/>
    <w:rsid w:val="00694D9A"/>
    <w:rsid w:val="00694F25"/>
    <w:rsid w:val="00695654"/>
    <w:rsid w:val="00695727"/>
    <w:rsid w:val="0069584E"/>
    <w:rsid w:val="00695DA4"/>
    <w:rsid w:val="00695DBF"/>
    <w:rsid w:val="00696029"/>
    <w:rsid w:val="006962BE"/>
    <w:rsid w:val="00696F27"/>
    <w:rsid w:val="00697022"/>
    <w:rsid w:val="00697035"/>
    <w:rsid w:val="00697068"/>
    <w:rsid w:val="006972BF"/>
    <w:rsid w:val="00697ADB"/>
    <w:rsid w:val="00697E28"/>
    <w:rsid w:val="006A0119"/>
    <w:rsid w:val="006A0295"/>
    <w:rsid w:val="006A040E"/>
    <w:rsid w:val="006A044C"/>
    <w:rsid w:val="006A16A1"/>
    <w:rsid w:val="006A1753"/>
    <w:rsid w:val="006A18C2"/>
    <w:rsid w:val="006A1991"/>
    <w:rsid w:val="006A1EBA"/>
    <w:rsid w:val="006A21D1"/>
    <w:rsid w:val="006A2201"/>
    <w:rsid w:val="006A22FE"/>
    <w:rsid w:val="006A238D"/>
    <w:rsid w:val="006A253D"/>
    <w:rsid w:val="006A2B5C"/>
    <w:rsid w:val="006A2BA8"/>
    <w:rsid w:val="006A2C83"/>
    <w:rsid w:val="006A3116"/>
    <w:rsid w:val="006A3383"/>
    <w:rsid w:val="006A34D4"/>
    <w:rsid w:val="006A3590"/>
    <w:rsid w:val="006A3603"/>
    <w:rsid w:val="006A39C4"/>
    <w:rsid w:val="006A39F8"/>
    <w:rsid w:val="006A3AA7"/>
    <w:rsid w:val="006A3D77"/>
    <w:rsid w:val="006A40D3"/>
    <w:rsid w:val="006A42F6"/>
    <w:rsid w:val="006A48CA"/>
    <w:rsid w:val="006A48E7"/>
    <w:rsid w:val="006A4F7E"/>
    <w:rsid w:val="006A4F7F"/>
    <w:rsid w:val="006A4FF4"/>
    <w:rsid w:val="006A505D"/>
    <w:rsid w:val="006A558E"/>
    <w:rsid w:val="006A57C9"/>
    <w:rsid w:val="006A584A"/>
    <w:rsid w:val="006A5945"/>
    <w:rsid w:val="006A5C9D"/>
    <w:rsid w:val="006A61F4"/>
    <w:rsid w:val="006A6387"/>
    <w:rsid w:val="006A6438"/>
    <w:rsid w:val="006A6925"/>
    <w:rsid w:val="006A71BF"/>
    <w:rsid w:val="006A7860"/>
    <w:rsid w:val="006A7CF0"/>
    <w:rsid w:val="006A7E23"/>
    <w:rsid w:val="006B0088"/>
    <w:rsid w:val="006B0353"/>
    <w:rsid w:val="006B0367"/>
    <w:rsid w:val="006B04E0"/>
    <w:rsid w:val="006B0577"/>
    <w:rsid w:val="006B060E"/>
    <w:rsid w:val="006B06A5"/>
    <w:rsid w:val="006B077C"/>
    <w:rsid w:val="006B08D1"/>
    <w:rsid w:val="006B0CAB"/>
    <w:rsid w:val="006B0CB4"/>
    <w:rsid w:val="006B0E95"/>
    <w:rsid w:val="006B0F29"/>
    <w:rsid w:val="006B15F6"/>
    <w:rsid w:val="006B1EC6"/>
    <w:rsid w:val="006B22F4"/>
    <w:rsid w:val="006B256E"/>
    <w:rsid w:val="006B26CD"/>
    <w:rsid w:val="006B27DC"/>
    <w:rsid w:val="006B2A54"/>
    <w:rsid w:val="006B2ABC"/>
    <w:rsid w:val="006B2ACD"/>
    <w:rsid w:val="006B2AFA"/>
    <w:rsid w:val="006B2B29"/>
    <w:rsid w:val="006B3174"/>
    <w:rsid w:val="006B3568"/>
    <w:rsid w:val="006B3589"/>
    <w:rsid w:val="006B3B6C"/>
    <w:rsid w:val="006B3CEA"/>
    <w:rsid w:val="006B3D72"/>
    <w:rsid w:val="006B3E76"/>
    <w:rsid w:val="006B3E7D"/>
    <w:rsid w:val="006B3F39"/>
    <w:rsid w:val="006B42DE"/>
    <w:rsid w:val="006B437F"/>
    <w:rsid w:val="006B4827"/>
    <w:rsid w:val="006B4EA6"/>
    <w:rsid w:val="006B5034"/>
    <w:rsid w:val="006B5500"/>
    <w:rsid w:val="006B55CB"/>
    <w:rsid w:val="006B5CDC"/>
    <w:rsid w:val="006B5CED"/>
    <w:rsid w:val="006B5CFE"/>
    <w:rsid w:val="006B60DD"/>
    <w:rsid w:val="006B6384"/>
    <w:rsid w:val="006B63CD"/>
    <w:rsid w:val="006B65BB"/>
    <w:rsid w:val="006B6803"/>
    <w:rsid w:val="006B68D9"/>
    <w:rsid w:val="006B6912"/>
    <w:rsid w:val="006B69E8"/>
    <w:rsid w:val="006B6BE1"/>
    <w:rsid w:val="006B6E02"/>
    <w:rsid w:val="006B6E0E"/>
    <w:rsid w:val="006B6FDB"/>
    <w:rsid w:val="006B70A2"/>
    <w:rsid w:val="006B7208"/>
    <w:rsid w:val="006B728D"/>
    <w:rsid w:val="006B77A6"/>
    <w:rsid w:val="006B7F7F"/>
    <w:rsid w:val="006C00C9"/>
    <w:rsid w:val="006C07CA"/>
    <w:rsid w:val="006C0986"/>
    <w:rsid w:val="006C09AA"/>
    <w:rsid w:val="006C0CF1"/>
    <w:rsid w:val="006C0CF5"/>
    <w:rsid w:val="006C12D1"/>
    <w:rsid w:val="006C1530"/>
    <w:rsid w:val="006C1600"/>
    <w:rsid w:val="006C1873"/>
    <w:rsid w:val="006C1E05"/>
    <w:rsid w:val="006C2114"/>
    <w:rsid w:val="006C284B"/>
    <w:rsid w:val="006C2D13"/>
    <w:rsid w:val="006C2DA0"/>
    <w:rsid w:val="006C3089"/>
    <w:rsid w:val="006C3374"/>
    <w:rsid w:val="006C3902"/>
    <w:rsid w:val="006C3D90"/>
    <w:rsid w:val="006C4017"/>
    <w:rsid w:val="006C4435"/>
    <w:rsid w:val="006C44D1"/>
    <w:rsid w:val="006C47BE"/>
    <w:rsid w:val="006C4EAB"/>
    <w:rsid w:val="006C4F13"/>
    <w:rsid w:val="006C500D"/>
    <w:rsid w:val="006C518E"/>
    <w:rsid w:val="006C52D9"/>
    <w:rsid w:val="006C5546"/>
    <w:rsid w:val="006C5933"/>
    <w:rsid w:val="006C5B1C"/>
    <w:rsid w:val="006C5B79"/>
    <w:rsid w:val="006C6303"/>
    <w:rsid w:val="006C6582"/>
    <w:rsid w:val="006C6635"/>
    <w:rsid w:val="006C6760"/>
    <w:rsid w:val="006C6867"/>
    <w:rsid w:val="006C6B5D"/>
    <w:rsid w:val="006C6EE0"/>
    <w:rsid w:val="006C7262"/>
    <w:rsid w:val="006C75AD"/>
    <w:rsid w:val="006C77E9"/>
    <w:rsid w:val="006C794B"/>
    <w:rsid w:val="006C7BAE"/>
    <w:rsid w:val="006C7DE9"/>
    <w:rsid w:val="006C7F5F"/>
    <w:rsid w:val="006C7F81"/>
    <w:rsid w:val="006D0222"/>
    <w:rsid w:val="006D0AD9"/>
    <w:rsid w:val="006D0C0A"/>
    <w:rsid w:val="006D0F16"/>
    <w:rsid w:val="006D11A5"/>
    <w:rsid w:val="006D11C7"/>
    <w:rsid w:val="006D12F8"/>
    <w:rsid w:val="006D1A58"/>
    <w:rsid w:val="006D1C50"/>
    <w:rsid w:val="006D236B"/>
    <w:rsid w:val="006D2581"/>
    <w:rsid w:val="006D2A3F"/>
    <w:rsid w:val="006D2A98"/>
    <w:rsid w:val="006D2E3B"/>
    <w:rsid w:val="006D2FBC"/>
    <w:rsid w:val="006D33A1"/>
    <w:rsid w:val="006D3426"/>
    <w:rsid w:val="006D35FF"/>
    <w:rsid w:val="006D3BFE"/>
    <w:rsid w:val="006D413C"/>
    <w:rsid w:val="006D45AF"/>
    <w:rsid w:val="006D47C0"/>
    <w:rsid w:val="006D4964"/>
    <w:rsid w:val="006D4D2E"/>
    <w:rsid w:val="006D4EBE"/>
    <w:rsid w:val="006D4F83"/>
    <w:rsid w:val="006D5386"/>
    <w:rsid w:val="006D5F44"/>
    <w:rsid w:val="006D6288"/>
    <w:rsid w:val="006D665F"/>
    <w:rsid w:val="006D6E34"/>
    <w:rsid w:val="006D6FD4"/>
    <w:rsid w:val="006D705F"/>
    <w:rsid w:val="006D708C"/>
    <w:rsid w:val="006D7A9E"/>
    <w:rsid w:val="006D7D16"/>
    <w:rsid w:val="006D7F10"/>
    <w:rsid w:val="006E0148"/>
    <w:rsid w:val="006E027C"/>
    <w:rsid w:val="006E0342"/>
    <w:rsid w:val="006E04DC"/>
    <w:rsid w:val="006E0810"/>
    <w:rsid w:val="006E08A2"/>
    <w:rsid w:val="006E0A51"/>
    <w:rsid w:val="006E0CAD"/>
    <w:rsid w:val="006E12DB"/>
    <w:rsid w:val="006E131B"/>
    <w:rsid w:val="006E1360"/>
    <w:rsid w:val="006E138B"/>
    <w:rsid w:val="006E1605"/>
    <w:rsid w:val="006E1757"/>
    <w:rsid w:val="006E17B3"/>
    <w:rsid w:val="006E1867"/>
    <w:rsid w:val="006E18AA"/>
    <w:rsid w:val="006E1E59"/>
    <w:rsid w:val="006E1FFA"/>
    <w:rsid w:val="006E2142"/>
    <w:rsid w:val="006E2303"/>
    <w:rsid w:val="006E2C82"/>
    <w:rsid w:val="006E2ED7"/>
    <w:rsid w:val="006E37B2"/>
    <w:rsid w:val="006E3939"/>
    <w:rsid w:val="006E3B14"/>
    <w:rsid w:val="006E3CDF"/>
    <w:rsid w:val="006E3CE1"/>
    <w:rsid w:val="006E3F2D"/>
    <w:rsid w:val="006E4744"/>
    <w:rsid w:val="006E4B4D"/>
    <w:rsid w:val="006E4DE9"/>
    <w:rsid w:val="006E4E06"/>
    <w:rsid w:val="006E4E4E"/>
    <w:rsid w:val="006E531E"/>
    <w:rsid w:val="006E534B"/>
    <w:rsid w:val="006E57AE"/>
    <w:rsid w:val="006E58F8"/>
    <w:rsid w:val="006E59B1"/>
    <w:rsid w:val="006E5A43"/>
    <w:rsid w:val="006E5D69"/>
    <w:rsid w:val="006E6122"/>
    <w:rsid w:val="006E6966"/>
    <w:rsid w:val="006E6976"/>
    <w:rsid w:val="006E70D6"/>
    <w:rsid w:val="006E757F"/>
    <w:rsid w:val="006E774C"/>
    <w:rsid w:val="006E7896"/>
    <w:rsid w:val="006E7935"/>
    <w:rsid w:val="006F0089"/>
    <w:rsid w:val="006F025F"/>
    <w:rsid w:val="006F0330"/>
    <w:rsid w:val="006F055C"/>
    <w:rsid w:val="006F0617"/>
    <w:rsid w:val="006F11D0"/>
    <w:rsid w:val="006F1203"/>
    <w:rsid w:val="006F1243"/>
    <w:rsid w:val="006F12BC"/>
    <w:rsid w:val="006F13CF"/>
    <w:rsid w:val="006F14DE"/>
    <w:rsid w:val="006F16E5"/>
    <w:rsid w:val="006F173B"/>
    <w:rsid w:val="006F1BA6"/>
    <w:rsid w:val="006F1D5A"/>
    <w:rsid w:val="006F1FDC"/>
    <w:rsid w:val="006F29F0"/>
    <w:rsid w:val="006F2DFB"/>
    <w:rsid w:val="006F30F3"/>
    <w:rsid w:val="006F3A54"/>
    <w:rsid w:val="006F3B13"/>
    <w:rsid w:val="006F3C77"/>
    <w:rsid w:val="006F3D86"/>
    <w:rsid w:val="006F3EF9"/>
    <w:rsid w:val="006F4236"/>
    <w:rsid w:val="006F43B2"/>
    <w:rsid w:val="006F44AB"/>
    <w:rsid w:val="006F4716"/>
    <w:rsid w:val="006F49AE"/>
    <w:rsid w:val="006F5097"/>
    <w:rsid w:val="006F5173"/>
    <w:rsid w:val="006F537A"/>
    <w:rsid w:val="006F5546"/>
    <w:rsid w:val="006F6334"/>
    <w:rsid w:val="006F659D"/>
    <w:rsid w:val="006F67EE"/>
    <w:rsid w:val="006F6922"/>
    <w:rsid w:val="006F6B8C"/>
    <w:rsid w:val="006F6BDB"/>
    <w:rsid w:val="006F7253"/>
    <w:rsid w:val="006F77AF"/>
    <w:rsid w:val="006F7875"/>
    <w:rsid w:val="006F7C85"/>
    <w:rsid w:val="006F7D88"/>
    <w:rsid w:val="00700A0E"/>
    <w:rsid w:val="00700A2A"/>
    <w:rsid w:val="00700AB0"/>
    <w:rsid w:val="00700B34"/>
    <w:rsid w:val="00700E2D"/>
    <w:rsid w:val="00701325"/>
    <w:rsid w:val="00701390"/>
    <w:rsid w:val="007013EF"/>
    <w:rsid w:val="0070141E"/>
    <w:rsid w:val="0070178F"/>
    <w:rsid w:val="0070206C"/>
    <w:rsid w:val="00702200"/>
    <w:rsid w:val="007022DE"/>
    <w:rsid w:val="00702340"/>
    <w:rsid w:val="00702383"/>
    <w:rsid w:val="007023FE"/>
    <w:rsid w:val="00702CCA"/>
    <w:rsid w:val="00702FF1"/>
    <w:rsid w:val="007032E9"/>
    <w:rsid w:val="00703741"/>
    <w:rsid w:val="007039C9"/>
    <w:rsid w:val="00703B97"/>
    <w:rsid w:val="007040E1"/>
    <w:rsid w:val="0070415F"/>
    <w:rsid w:val="007044AA"/>
    <w:rsid w:val="00704735"/>
    <w:rsid w:val="00704804"/>
    <w:rsid w:val="00704C40"/>
    <w:rsid w:val="00704DEB"/>
    <w:rsid w:val="00704ED7"/>
    <w:rsid w:val="0070536C"/>
    <w:rsid w:val="007054B2"/>
    <w:rsid w:val="007055BD"/>
    <w:rsid w:val="007056A1"/>
    <w:rsid w:val="00705849"/>
    <w:rsid w:val="00705AA0"/>
    <w:rsid w:val="00705D07"/>
    <w:rsid w:val="00705DCA"/>
    <w:rsid w:val="00705DE7"/>
    <w:rsid w:val="00706758"/>
    <w:rsid w:val="00706C83"/>
    <w:rsid w:val="00706DF3"/>
    <w:rsid w:val="00707436"/>
    <w:rsid w:val="007074AF"/>
    <w:rsid w:val="007074FB"/>
    <w:rsid w:val="00707617"/>
    <w:rsid w:val="007076B5"/>
    <w:rsid w:val="00707A18"/>
    <w:rsid w:val="00707ABC"/>
    <w:rsid w:val="00707C17"/>
    <w:rsid w:val="00707DA3"/>
    <w:rsid w:val="00707FAC"/>
    <w:rsid w:val="0071022C"/>
    <w:rsid w:val="00710506"/>
    <w:rsid w:val="00710609"/>
    <w:rsid w:val="00710A33"/>
    <w:rsid w:val="00710B19"/>
    <w:rsid w:val="00711628"/>
    <w:rsid w:val="00711D7F"/>
    <w:rsid w:val="0071249E"/>
    <w:rsid w:val="0071265F"/>
    <w:rsid w:val="00712988"/>
    <w:rsid w:val="00712C26"/>
    <w:rsid w:val="0071340C"/>
    <w:rsid w:val="00713998"/>
    <w:rsid w:val="00713B4B"/>
    <w:rsid w:val="00713BED"/>
    <w:rsid w:val="00714474"/>
    <w:rsid w:val="007144FA"/>
    <w:rsid w:val="00714618"/>
    <w:rsid w:val="00714AF9"/>
    <w:rsid w:val="00714B26"/>
    <w:rsid w:val="00714F7D"/>
    <w:rsid w:val="007154BF"/>
    <w:rsid w:val="007157FB"/>
    <w:rsid w:val="0071588A"/>
    <w:rsid w:val="00715BD6"/>
    <w:rsid w:val="00715CFE"/>
    <w:rsid w:val="00715F98"/>
    <w:rsid w:val="00716032"/>
    <w:rsid w:val="00716696"/>
    <w:rsid w:val="00716C44"/>
    <w:rsid w:val="00716D8B"/>
    <w:rsid w:val="00716EC6"/>
    <w:rsid w:val="007173CA"/>
    <w:rsid w:val="007173ED"/>
    <w:rsid w:val="00717D50"/>
    <w:rsid w:val="00717E24"/>
    <w:rsid w:val="0072029B"/>
    <w:rsid w:val="00720665"/>
    <w:rsid w:val="007208A8"/>
    <w:rsid w:val="00720A24"/>
    <w:rsid w:val="00720E81"/>
    <w:rsid w:val="00720F68"/>
    <w:rsid w:val="007216AA"/>
    <w:rsid w:val="007219A6"/>
    <w:rsid w:val="00721AB5"/>
    <w:rsid w:val="00721C1E"/>
    <w:rsid w:val="00721CB7"/>
    <w:rsid w:val="00721CFB"/>
    <w:rsid w:val="00721DEF"/>
    <w:rsid w:val="00721EDF"/>
    <w:rsid w:val="00721EE8"/>
    <w:rsid w:val="00722155"/>
    <w:rsid w:val="007221CD"/>
    <w:rsid w:val="007221F4"/>
    <w:rsid w:val="00722829"/>
    <w:rsid w:val="00722C6E"/>
    <w:rsid w:val="00722DA5"/>
    <w:rsid w:val="00722E00"/>
    <w:rsid w:val="0072375F"/>
    <w:rsid w:val="007238A2"/>
    <w:rsid w:val="00723F9A"/>
    <w:rsid w:val="0072402A"/>
    <w:rsid w:val="00724397"/>
    <w:rsid w:val="00724826"/>
    <w:rsid w:val="007249D6"/>
    <w:rsid w:val="00724A43"/>
    <w:rsid w:val="00724A4E"/>
    <w:rsid w:val="00724A66"/>
    <w:rsid w:val="00724AF9"/>
    <w:rsid w:val="0072538B"/>
    <w:rsid w:val="007253A5"/>
    <w:rsid w:val="00725E75"/>
    <w:rsid w:val="007265ED"/>
    <w:rsid w:val="007267A3"/>
    <w:rsid w:val="00726D1E"/>
    <w:rsid w:val="007270D4"/>
    <w:rsid w:val="007273AC"/>
    <w:rsid w:val="0072742D"/>
    <w:rsid w:val="00727565"/>
    <w:rsid w:val="007275B8"/>
    <w:rsid w:val="00727612"/>
    <w:rsid w:val="007277CD"/>
    <w:rsid w:val="0073039F"/>
    <w:rsid w:val="007304D4"/>
    <w:rsid w:val="0073083D"/>
    <w:rsid w:val="00730BCC"/>
    <w:rsid w:val="00730C70"/>
    <w:rsid w:val="00730FB3"/>
    <w:rsid w:val="007316CC"/>
    <w:rsid w:val="007316CD"/>
    <w:rsid w:val="00731942"/>
    <w:rsid w:val="00731AD4"/>
    <w:rsid w:val="00731BB1"/>
    <w:rsid w:val="00731F57"/>
    <w:rsid w:val="00732021"/>
    <w:rsid w:val="0073231F"/>
    <w:rsid w:val="007328B3"/>
    <w:rsid w:val="00732936"/>
    <w:rsid w:val="007329A9"/>
    <w:rsid w:val="00732B6D"/>
    <w:rsid w:val="00732B99"/>
    <w:rsid w:val="00732D5E"/>
    <w:rsid w:val="00732F14"/>
    <w:rsid w:val="00733248"/>
    <w:rsid w:val="00733332"/>
    <w:rsid w:val="00733578"/>
    <w:rsid w:val="007337B6"/>
    <w:rsid w:val="00733847"/>
    <w:rsid w:val="00733917"/>
    <w:rsid w:val="00733A9E"/>
    <w:rsid w:val="00733BDA"/>
    <w:rsid w:val="00733DED"/>
    <w:rsid w:val="00734139"/>
    <w:rsid w:val="007342B4"/>
    <w:rsid w:val="007344FC"/>
    <w:rsid w:val="007346E4"/>
    <w:rsid w:val="00734833"/>
    <w:rsid w:val="00734983"/>
    <w:rsid w:val="00734CC3"/>
    <w:rsid w:val="00734D48"/>
    <w:rsid w:val="00735564"/>
    <w:rsid w:val="007355B2"/>
    <w:rsid w:val="00735987"/>
    <w:rsid w:val="00735BA5"/>
    <w:rsid w:val="00735EEC"/>
    <w:rsid w:val="00735F16"/>
    <w:rsid w:val="0073618B"/>
    <w:rsid w:val="0073643A"/>
    <w:rsid w:val="00736770"/>
    <w:rsid w:val="00736CB9"/>
    <w:rsid w:val="00736CC1"/>
    <w:rsid w:val="00736CD1"/>
    <w:rsid w:val="007370EA"/>
    <w:rsid w:val="00737246"/>
    <w:rsid w:val="0073756F"/>
    <w:rsid w:val="007376B5"/>
    <w:rsid w:val="00737796"/>
    <w:rsid w:val="00737B1B"/>
    <w:rsid w:val="00737ED0"/>
    <w:rsid w:val="0074023A"/>
    <w:rsid w:val="007404E2"/>
    <w:rsid w:val="00740519"/>
    <w:rsid w:val="00740571"/>
    <w:rsid w:val="007406CA"/>
    <w:rsid w:val="00740B98"/>
    <w:rsid w:val="00740BBD"/>
    <w:rsid w:val="00740BF6"/>
    <w:rsid w:val="00740E69"/>
    <w:rsid w:val="00740ED5"/>
    <w:rsid w:val="00740F22"/>
    <w:rsid w:val="007410DE"/>
    <w:rsid w:val="007411E0"/>
    <w:rsid w:val="007411E9"/>
    <w:rsid w:val="00741585"/>
    <w:rsid w:val="007416A2"/>
    <w:rsid w:val="00741732"/>
    <w:rsid w:val="0074197F"/>
    <w:rsid w:val="00741B4D"/>
    <w:rsid w:val="00741CF0"/>
    <w:rsid w:val="00741F1A"/>
    <w:rsid w:val="00741FC5"/>
    <w:rsid w:val="00741FF8"/>
    <w:rsid w:val="007422F5"/>
    <w:rsid w:val="00742B9A"/>
    <w:rsid w:val="00742CD9"/>
    <w:rsid w:val="00742D58"/>
    <w:rsid w:val="00743254"/>
    <w:rsid w:val="00743877"/>
    <w:rsid w:val="00743994"/>
    <w:rsid w:val="007439B1"/>
    <w:rsid w:val="00743B8C"/>
    <w:rsid w:val="007444EB"/>
    <w:rsid w:val="00744684"/>
    <w:rsid w:val="00744769"/>
    <w:rsid w:val="007447DA"/>
    <w:rsid w:val="00744A1D"/>
    <w:rsid w:val="00744A9A"/>
    <w:rsid w:val="00744AED"/>
    <w:rsid w:val="00744C2C"/>
    <w:rsid w:val="007450F8"/>
    <w:rsid w:val="0074531E"/>
    <w:rsid w:val="00745347"/>
    <w:rsid w:val="007458EC"/>
    <w:rsid w:val="007459D9"/>
    <w:rsid w:val="00745A11"/>
    <w:rsid w:val="00745A84"/>
    <w:rsid w:val="00745B85"/>
    <w:rsid w:val="00746191"/>
    <w:rsid w:val="007462D3"/>
    <w:rsid w:val="007462DA"/>
    <w:rsid w:val="00746591"/>
    <w:rsid w:val="00746705"/>
    <w:rsid w:val="0074696E"/>
    <w:rsid w:val="00746B69"/>
    <w:rsid w:val="00746B6A"/>
    <w:rsid w:val="00746D91"/>
    <w:rsid w:val="00746DB8"/>
    <w:rsid w:val="00746E6D"/>
    <w:rsid w:val="007470F7"/>
    <w:rsid w:val="007474E9"/>
    <w:rsid w:val="007479FC"/>
    <w:rsid w:val="00747CFD"/>
    <w:rsid w:val="00750135"/>
    <w:rsid w:val="007503B6"/>
    <w:rsid w:val="0075054C"/>
    <w:rsid w:val="00750615"/>
    <w:rsid w:val="007506BA"/>
    <w:rsid w:val="00750D66"/>
    <w:rsid w:val="00750EC2"/>
    <w:rsid w:val="00751171"/>
    <w:rsid w:val="007518BF"/>
    <w:rsid w:val="00751B4D"/>
    <w:rsid w:val="00751EC9"/>
    <w:rsid w:val="00751F56"/>
    <w:rsid w:val="0075286D"/>
    <w:rsid w:val="00752B0E"/>
    <w:rsid w:val="00752B28"/>
    <w:rsid w:val="00752BF0"/>
    <w:rsid w:val="0075307C"/>
    <w:rsid w:val="00753272"/>
    <w:rsid w:val="0075347D"/>
    <w:rsid w:val="00753547"/>
    <w:rsid w:val="00753646"/>
    <w:rsid w:val="007536BC"/>
    <w:rsid w:val="00753A95"/>
    <w:rsid w:val="00753B2A"/>
    <w:rsid w:val="00753BE2"/>
    <w:rsid w:val="00753EE4"/>
    <w:rsid w:val="007541A9"/>
    <w:rsid w:val="00754295"/>
    <w:rsid w:val="0075445F"/>
    <w:rsid w:val="00754677"/>
    <w:rsid w:val="0075473E"/>
    <w:rsid w:val="00754768"/>
    <w:rsid w:val="00754C5C"/>
    <w:rsid w:val="00754E36"/>
    <w:rsid w:val="00754FFE"/>
    <w:rsid w:val="007554F3"/>
    <w:rsid w:val="00755524"/>
    <w:rsid w:val="0075553B"/>
    <w:rsid w:val="00755580"/>
    <w:rsid w:val="007557B0"/>
    <w:rsid w:val="00755DEB"/>
    <w:rsid w:val="00755F79"/>
    <w:rsid w:val="00755F9B"/>
    <w:rsid w:val="00756348"/>
    <w:rsid w:val="0075658C"/>
    <w:rsid w:val="00756AE5"/>
    <w:rsid w:val="0075725E"/>
    <w:rsid w:val="00757AA1"/>
    <w:rsid w:val="00757E57"/>
    <w:rsid w:val="00760588"/>
    <w:rsid w:val="00760882"/>
    <w:rsid w:val="00760DA9"/>
    <w:rsid w:val="0076115C"/>
    <w:rsid w:val="00761254"/>
    <w:rsid w:val="0076147C"/>
    <w:rsid w:val="0076161C"/>
    <w:rsid w:val="00761F04"/>
    <w:rsid w:val="00762082"/>
    <w:rsid w:val="007621EF"/>
    <w:rsid w:val="00762DBE"/>
    <w:rsid w:val="00763139"/>
    <w:rsid w:val="00763217"/>
    <w:rsid w:val="007639E9"/>
    <w:rsid w:val="00763A3E"/>
    <w:rsid w:val="00763C2A"/>
    <w:rsid w:val="0076400D"/>
    <w:rsid w:val="0076412B"/>
    <w:rsid w:val="00764719"/>
    <w:rsid w:val="0076499A"/>
    <w:rsid w:val="00765127"/>
    <w:rsid w:val="007653A5"/>
    <w:rsid w:val="00765499"/>
    <w:rsid w:val="00765C9B"/>
    <w:rsid w:val="00765FBF"/>
    <w:rsid w:val="00766179"/>
    <w:rsid w:val="007667AC"/>
    <w:rsid w:val="00766A40"/>
    <w:rsid w:val="00766BB1"/>
    <w:rsid w:val="00767314"/>
    <w:rsid w:val="0076772D"/>
    <w:rsid w:val="007677B0"/>
    <w:rsid w:val="00767EA1"/>
    <w:rsid w:val="0077024C"/>
    <w:rsid w:val="007703A5"/>
    <w:rsid w:val="0077047D"/>
    <w:rsid w:val="00770BB8"/>
    <w:rsid w:val="00770BC6"/>
    <w:rsid w:val="00770C62"/>
    <w:rsid w:val="00770F1F"/>
    <w:rsid w:val="00770F37"/>
    <w:rsid w:val="00771042"/>
    <w:rsid w:val="007710A8"/>
    <w:rsid w:val="00771150"/>
    <w:rsid w:val="0077118C"/>
    <w:rsid w:val="007711A0"/>
    <w:rsid w:val="007714A0"/>
    <w:rsid w:val="00771DFF"/>
    <w:rsid w:val="00772130"/>
    <w:rsid w:val="00772B91"/>
    <w:rsid w:val="00772D5E"/>
    <w:rsid w:val="0077309D"/>
    <w:rsid w:val="0077343A"/>
    <w:rsid w:val="007735E3"/>
    <w:rsid w:val="007736E5"/>
    <w:rsid w:val="0077383B"/>
    <w:rsid w:val="00773BB4"/>
    <w:rsid w:val="00773BC0"/>
    <w:rsid w:val="00773C16"/>
    <w:rsid w:val="00773C3B"/>
    <w:rsid w:val="00773D71"/>
    <w:rsid w:val="00773E5A"/>
    <w:rsid w:val="0077463E"/>
    <w:rsid w:val="007748E8"/>
    <w:rsid w:val="00774A44"/>
    <w:rsid w:val="00774AC8"/>
    <w:rsid w:val="00774C7F"/>
    <w:rsid w:val="00774E00"/>
    <w:rsid w:val="007750C0"/>
    <w:rsid w:val="007751E8"/>
    <w:rsid w:val="00775AF7"/>
    <w:rsid w:val="00775C5D"/>
    <w:rsid w:val="00775CCD"/>
    <w:rsid w:val="00775DD7"/>
    <w:rsid w:val="00775E1E"/>
    <w:rsid w:val="00776081"/>
    <w:rsid w:val="0077629A"/>
    <w:rsid w:val="00776776"/>
    <w:rsid w:val="00776928"/>
    <w:rsid w:val="007769BC"/>
    <w:rsid w:val="00776AB6"/>
    <w:rsid w:val="00776B4C"/>
    <w:rsid w:val="00776D56"/>
    <w:rsid w:val="00776E0F"/>
    <w:rsid w:val="00776F2D"/>
    <w:rsid w:val="00776F79"/>
    <w:rsid w:val="0077715A"/>
    <w:rsid w:val="00777467"/>
    <w:rsid w:val="007774B1"/>
    <w:rsid w:val="00777A93"/>
    <w:rsid w:val="00777B67"/>
    <w:rsid w:val="00777B68"/>
    <w:rsid w:val="00777BE1"/>
    <w:rsid w:val="00777FEA"/>
    <w:rsid w:val="007801A3"/>
    <w:rsid w:val="00780C71"/>
    <w:rsid w:val="00780E9C"/>
    <w:rsid w:val="007810B5"/>
    <w:rsid w:val="00781357"/>
    <w:rsid w:val="007814DD"/>
    <w:rsid w:val="007816DE"/>
    <w:rsid w:val="007816F0"/>
    <w:rsid w:val="007817A6"/>
    <w:rsid w:val="00781A26"/>
    <w:rsid w:val="00781A65"/>
    <w:rsid w:val="00781C1E"/>
    <w:rsid w:val="00781DF0"/>
    <w:rsid w:val="00781E2E"/>
    <w:rsid w:val="00782222"/>
    <w:rsid w:val="00782357"/>
    <w:rsid w:val="0078268E"/>
    <w:rsid w:val="00782745"/>
    <w:rsid w:val="00782EB5"/>
    <w:rsid w:val="007831BF"/>
    <w:rsid w:val="007832DD"/>
    <w:rsid w:val="007832F1"/>
    <w:rsid w:val="007833D8"/>
    <w:rsid w:val="00783681"/>
    <w:rsid w:val="00783692"/>
    <w:rsid w:val="007842B0"/>
    <w:rsid w:val="007848A3"/>
    <w:rsid w:val="007848F6"/>
    <w:rsid w:val="00784A02"/>
    <w:rsid w:val="0078525B"/>
    <w:rsid w:val="00785677"/>
    <w:rsid w:val="0078586C"/>
    <w:rsid w:val="00785BA1"/>
    <w:rsid w:val="00785D93"/>
    <w:rsid w:val="0078669C"/>
    <w:rsid w:val="007866D5"/>
    <w:rsid w:val="00786F16"/>
    <w:rsid w:val="00787B6B"/>
    <w:rsid w:val="00787BC2"/>
    <w:rsid w:val="00787C07"/>
    <w:rsid w:val="00790742"/>
    <w:rsid w:val="00790B39"/>
    <w:rsid w:val="00790D92"/>
    <w:rsid w:val="0079108A"/>
    <w:rsid w:val="007911A9"/>
    <w:rsid w:val="0079121C"/>
    <w:rsid w:val="00791417"/>
    <w:rsid w:val="007918DA"/>
    <w:rsid w:val="00791B1C"/>
    <w:rsid w:val="00791BD7"/>
    <w:rsid w:val="00791C07"/>
    <w:rsid w:val="00791D27"/>
    <w:rsid w:val="00791E32"/>
    <w:rsid w:val="0079216E"/>
    <w:rsid w:val="0079222C"/>
    <w:rsid w:val="007922D5"/>
    <w:rsid w:val="007926F8"/>
    <w:rsid w:val="00792980"/>
    <w:rsid w:val="007929BB"/>
    <w:rsid w:val="007929FE"/>
    <w:rsid w:val="00792A9D"/>
    <w:rsid w:val="00792D66"/>
    <w:rsid w:val="00792F57"/>
    <w:rsid w:val="007933F7"/>
    <w:rsid w:val="0079344F"/>
    <w:rsid w:val="00793486"/>
    <w:rsid w:val="0079374A"/>
    <w:rsid w:val="00793BCC"/>
    <w:rsid w:val="00793D87"/>
    <w:rsid w:val="00793EA0"/>
    <w:rsid w:val="00794737"/>
    <w:rsid w:val="00794884"/>
    <w:rsid w:val="00794992"/>
    <w:rsid w:val="00794AB6"/>
    <w:rsid w:val="00795038"/>
    <w:rsid w:val="00795447"/>
    <w:rsid w:val="00795F0D"/>
    <w:rsid w:val="00795F6A"/>
    <w:rsid w:val="00795FCE"/>
    <w:rsid w:val="007968B1"/>
    <w:rsid w:val="00796C3A"/>
    <w:rsid w:val="00796E20"/>
    <w:rsid w:val="0079716A"/>
    <w:rsid w:val="0079767E"/>
    <w:rsid w:val="00797B2C"/>
    <w:rsid w:val="00797C32"/>
    <w:rsid w:val="00797F1E"/>
    <w:rsid w:val="007A00FC"/>
    <w:rsid w:val="007A0171"/>
    <w:rsid w:val="007A0214"/>
    <w:rsid w:val="007A0339"/>
    <w:rsid w:val="007A088C"/>
    <w:rsid w:val="007A0950"/>
    <w:rsid w:val="007A0B05"/>
    <w:rsid w:val="007A0E25"/>
    <w:rsid w:val="007A103D"/>
    <w:rsid w:val="007A11CF"/>
    <w:rsid w:val="007A11E8"/>
    <w:rsid w:val="007A11F1"/>
    <w:rsid w:val="007A12B1"/>
    <w:rsid w:val="007A1D86"/>
    <w:rsid w:val="007A20A9"/>
    <w:rsid w:val="007A21A5"/>
    <w:rsid w:val="007A25EB"/>
    <w:rsid w:val="007A2A8B"/>
    <w:rsid w:val="007A2D1F"/>
    <w:rsid w:val="007A3164"/>
    <w:rsid w:val="007A3288"/>
    <w:rsid w:val="007A3A06"/>
    <w:rsid w:val="007A3A5E"/>
    <w:rsid w:val="007A3B19"/>
    <w:rsid w:val="007A3D41"/>
    <w:rsid w:val="007A3EAC"/>
    <w:rsid w:val="007A4207"/>
    <w:rsid w:val="007A43C4"/>
    <w:rsid w:val="007A4822"/>
    <w:rsid w:val="007A4BB7"/>
    <w:rsid w:val="007A4F91"/>
    <w:rsid w:val="007A4F9A"/>
    <w:rsid w:val="007A509E"/>
    <w:rsid w:val="007A5198"/>
    <w:rsid w:val="007A58C6"/>
    <w:rsid w:val="007A5ADA"/>
    <w:rsid w:val="007A5F65"/>
    <w:rsid w:val="007A64B7"/>
    <w:rsid w:val="007A671E"/>
    <w:rsid w:val="007A676B"/>
    <w:rsid w:val="007A68BC"/>
    <w:rsid w:val="007A6AF7"/>
    <w:rsid w:val="007A6BA6"/>
    <w:rsid w:val="007A6D86"/>
    <w:rsid w:val="007A6F78"/>
    <w:rsid w:val="007A6FD1"/>
    <w:rsid w:val="007A714E"/>
    <w:rsid w:val="007A71F8"/>
    <w:rsid w:val="007A73F8"/>
    <w:rsid w:val="007A78FC"/>
    <w:rsid w:val="007A7B1B"/>
    <w:rsid w:val="007B0473"/>
    <w:rsid w:val="007B04A7"/>
    <w:rsid w:val="007B056F"/>
    <w:rsid w:val="007B07EC"/>
    <w:rsid w:val="007B0914"/>
    <w:rsid w:val="007B0B17"/>
    <w:rsid w:val="007B1374"/>
    <w:rsid w:val="007B15B6"/>
    <w:rsid w:val="007B170D"/>
    <w:rsid w:val="007B1968"/>
    <w:rsid w:val="007B1AEF"/>
    <w:rsid w:val="007B1B08"/>
    <w:rsid w:val="007B1B51"/>
    <w:rsid w:val="007B1E4E"/>
    <w:rsid w:val="007B2A85"/>
    <w:rsid w:val="007B2DBC"/>
    <w:rsid w:val="007B2F88"/>
    <w:rsid w:val="007B3185"/>
    <w:rsid w:val="007B3229"/>
    <w:rsid w:val="007B32E5"/>
    <w:rsid w:val="007B337D"/>
    <w:rsid w:val="007B35A5"/>
    <w:rsid w:val="007B37DA"/>
    <w:rsid w:val="007B3BC0"/>
    <w:rsid w:val="007B3DB9"/>
    <w:rsid w:val="007B3F8B"/>
    <w:rsid w:val="007B48FE"/>
    <w:rsid w:val="007B5146"/>
    <w:rsid w:val="007B52D8"/>
    <w:rsid w:val="007B547F"/>
    <w:rsid w:val="007B589F"/>
    <w:rsid w:val="007B58EA"/>
    <w:rsid w:val="007B6186"/>
    <w:rsid w:val="007B619D"/>
    <w:rsid w:val="007B621E"/>
    <w:rsid w:val="007B6335"/>
    <w:rsid w:val="007B6B27"/>
    <w:rsid w:val="007B6B7F"/>
    <w:rsid w:val="007B7226"/>
    <w:rsid w:val="007B73BC"/>
    <w:rsid w:val="007B7918"/>
    <w:rsid w:val="007B797A"/>
    <w:rsid w:val="007B7F51"/>
    <w:rsid w:val="007C0113"/>
    <w:rsid w:val="007C057F"/>
    <w:rsid w:val="007C05A8"/>
    <w:rsid w:val="007C0C93"/>
    <w:rsid w:val="007C123C"/>
    <w:rsid w:val="007C12EE"/>
    <w:rsid w:val="007C1838"/>
    <w:rsid w:val="007C1CFF"/>
    <w:rsid w:val="007C1DB6"/>
    <w:rsid w:val="007C20B9"/>
    <w:rsid w:val="007C2361"/>
    <w:rsid w:val="007C299C"/>
    <w:rsid w:val="007C2B62"/>
    <w:rsid w:val="007C2D6E"/>
    <w:rsid w:val="007C2E5B"/>
    <w:rsid w:val="007C2ED1"/>
    <w:rsid w:val="007C304D"/>
    <w:rsid w:val="007C336C"/>
    <w:rsid w:val="007C342F"/>
    <w:rsid w:val="007C3AE4"/>
    <w:rsid w:val="007C3BF8"/>
    <w:rsid w:val="007C3C65"/>
    <w:rsid w:val="007C3DA6"/>
    <w:rsid w:val="007C3E9D"/>
    <w:rsid w:val="007C3EDF"/>
    <w:rsid w:val="007C3F06"/>
    <w:rsid w:val="007C412B"/>
    <w:rsid w:val="007C417E"/>
    <w:rsid w:val="007C42B5"/>
    <w:rsid w:val="007C442F"/>
    <w:rsid w:val="007C4595"/>
    <w:rsid w:val="007C4CDF"/>
    <w:rsid w:val="007C513A"/>
    <w:rsid w:val="007C5676"/>
    <w:rsid w:val="007C56FE"/>
    <w:rsid w:val="007C5940"/>
    <w:rsid w:val="007C59C0"/>
    <w:rsid w:val="007C5B23"/>
    <w:rsid w:val="007C5BED"/>
    <w:rsid w:val="007C646F"/>
    <w:rsid w:val="007C6B4B"/>
    <w:rsid w:val="007C6EBB"/>
    <w:rsid w:val="007C70A2"/>
    <w:rsid w:val="007C7301"/>
    <w:rsid w:val="007C7321"/>
    <w:rsid w:val="007C74D5"/>
    <w:rsid w:val="007C7839"/>
    <w:rsid w:val="007C7859"/>
    <w:rsid w:val="007C7B6E"/>
    <w:rsid w:val="007C7D3A"/>
    <w:rsid w:val="007C7D54"/>
    <w:rsid w:val="007C7F28"/>
    <w:rsid w:val="007D054C"/>
    <w:rsid w:val="007D0705"/>
    <w:rsid w:val="007D0812"/>
    <w:rsid w:val="007D0999"/>
    <w:rsid w:val="007D09D8"/>
    <w:rsid w:val="007D0C4D"/>
    <w:rsid w:val="007D0C7A"/>
    <w:rsid w:val="007D1085"/>
    <w:rsid w:val="007D1113"/>
    <w:rsid w:val="007D1466"/>
    <w:rsid w:val="007D14CB"/>
    <w:rsid w:val="007D1865"/>
    <w:rsid w:val="007D192C"/>
    <w:rsid w:val="007D19E1"/>
    <w:rsid w:val="007D1A23"/>
    <w:rsid w:val="007D1B28"/>
    <w:rsid w:val="007D1CAD"/>
    <w:rsid w:val="007D1D24"/>
    <w:rsid w:val="007D1FBE"/>
    <w:rsid w:val="007D2475"/>
    <w:rsid w:val="007D256E"/>
    <w:rsid w:val="007D262B"/>
    <w:rsid w:val="007D2BDE"/>
    <w:rsid w:val="007D2C35"/>
    <w:rsid w:val="007D2C42"/>
    <w:rsid w:val="007D2FB6"/>
    <w:rsid w:val="007D30EA"/>
    <w:rsid w:val="007D31C5"/>
    <w:rsid w:val="007D3215"/>
    <w:rsid w:val="007D3270"/>
    <w:rsid w:val="007D34CD"/>
    <w:rsid w:val="007D3636"/>
    <w:rsid w:val="007D3894"/>
    <w:rsid w:val="007D3CCF"/>
    <w:rsid w:val="007D3EE8"/>
    <w:rsid w:val="007D405D"/>
    <w:rsid w:val="007D43A9"/>
    <w:rsid w:val="007D456E"/>
    <w:rsid w:val="007D4981"/>
    <w:rsid w:val="007D49C4"/>
    <w:rsid w:val="007D49EB"/>
    <w:rsid w:val="007D4A2B"/>
    <w:rsid w:val="007D4D38"/>
    <w:rsid w:val="007D50FC"/>
    <w:rsid w:val="007D53A4"/>
    <w:rsid w:val="007D5433"/>
    <w:rsid w:val="007D5D99"/>
    <w:rsid w:val="007D5E1C"/>
    <w:rsid w:val="007D660C"/>
    <w:rsid w:val="007D6AD1"/>
    <w:rsid w:val="007D6C17"/>
    <w:rsid w:val="007D6C7F"/>
    <w:rsid w:val="007D6C97"/>
    <w:rsid w:val="007D70C4"/>
    <w:rsid w:val="007D7563"/>
    <w:rsid w:val="007D775F"/>
    <w:rsid w:val="007D79B1"/>
    <w:rsid w:val="007D7F76"/>
    <w:rsid w:val="007E00CE"/>
    <w:rsid w:val="007E0132"/>
    <w:rsid w:val="007E05CD"/>
    <w:rsid w:val="007E0A64"/>
    <w:rsid w:val="007E0DE2"/>
    <w:rsid w:val="007E1293"/>
    <w:rsid w:val="007E1488"/>
    <w:rsid w:val="007E148E"/>
    <w:rsid w:val="007E17E1"/>
    <w:rsid w:val="007E1F46"/>
    <w:rsid w:val="007E2031"/>
    <w:rsid w:val="007E23DA"/>
    <w:rsid w:val="007E29B0"/>
    <w:rsid w:val="007E2A93"/>
    <w:rsid w:val="007E2CF8"/>
    <w:rsid w:val="007E2DEE"/>
    <w:rsid w:val="007E3085"/>
    <w:rsid w:val="007E35C5"/>
    <w:rsid w:val="007E3667"/>
    <w:rsid w:val="007E3681"/>
    <w:rsid w:val="007E376E"/>
    <w:rsid w:val="007E3B98"/>
    <w:rsid w:val="007E3BEB"/>
    <w:rsid w:val="007E3DF9"/>
    <w:rsid w:val="007E4150"/>
    <w:rsid w:val="007E417A"/>
    <w:rsid w:val="007E41E3"/>
    <w:rsid w:val="007E4222"/>
    <w:rsid w:val="007E454F"/>
    <w:rsid w:val="007E4A10"/>
    <w:rsid w:val="007E4B80"/>
    <w:rsid w:val="007E548D"/>
    <w:rsid w:val="007E56AD"/>
    <w:rsid w:val="007E58A2"/>
    <w:rsid w:val="007E59FA"/>
    <w:rsid w:val="007E5A22"/>
    <w:rsid w:val="007E5A3B"/>
    <w:rsid w:val="007E5F5F"/>
    <w:rsid w:val="007E6192"/>
    <w:rsid w:val="007E6333"/>
    <w:rsid w:val="007E65D0"/>
    <w:rsid w:val="007E65EC"/>
    <w:rsid w:val="007E6E06"/>
    <w:rsid w:val="007E6F61"/>
    <w:rsid w:val="007E711C"/>
    <w:rsid w:val="007E7440"/>
    <w:rsid w:val="007E74EA"/>
    <w:rsid w:val="007E75BC"/>
    <w:rsid w:val="007E77BC"/>
    <w:rsid w:val="007E7AF2"/>
    <w:rsid w:val="007F0216"/>
    <w:rsid w:val="007F04A0"/>
    <w:rsid w:val="007F0979"/>
    <w:rsid w:val="007F0A51"/>
    <w:rsid w:val="007F1546"/>
    <w:rsid w:val="007F1830"/>
    <w:rsid w:val="007F1E60"/>
    <w:rsid w:val="007F1FC0"/>
    <w:rsid w:val="007F24CE"/>
    <w:rsid w:val="007F27A9"/>
    <w:rsid w:val="007F2C65"/>
    <w:rsid w:val="007F2DC4"/>
    <w:rsid w:val="007F2E47"/>
    <w:rsid w:val="007F31B6"/>
    <w:rsid w:val="007F3233"/>
    <w:rsid w:val="007F33E9"/>
    <w:rsid w:val="007F353D"/>
    <w:rsid w:val="007F3738"/>
    <w:rsid w:val="007F3C29"/>
    <w:rsid w:val="007F3D9D"/>
    <w:rsid w:val="007F3F7B"/>
    <w:rsid w:val="007F502C"/>
    <w:rsid w:val="007F51F2"/>
    <w:rsid w:val="007F522A"/>
    <w:rsid w:val="007F52F5"/>
    <w:rsid w:val="007F546C"/>
    <w:rsid w:val="007F5834"/>
    <w:rsid w:val="007F58F3"/>
    <w:rsid w:val="007F5B44"/>
    <w:rsid w:val="007F5CF3"/>
    <w:rsid w:val="007F60D1"/>
    <w:rsid w:val="007F625F"/>
    <w:rsid w:val="007F6627"/>
    <w:rsid w:val="007F665E"/>
    <w:rsid w:val="007F6939"/>
    <w:rsid w:val="007F6DB2"/>
    <w:rsid w:val="007F6E8B"/>
    <w:rsid w:val="007F70B3"/>
    <w:rsid w:val="007F7254"/>
    <w:rsid w:val="007F735F"/>
    <w:rsid w:val="007F738B"/>
    <w:rsid w:val="007F79EB"/>
    <w:rsid w:val="007F7BBB"/>
    <w:rsid w:val="007F7CB3"/>
    <w:rsid w:val="007F7F93"/>
    <w:rsid w:val="00800040"/>
    <w:rsid w:val="008002D9"/>
    <w:rsid w:val="00800412"/>
    <w:rsid w:val="008004AE"/>
    <w:rsid w:val="008005C4"/>
    <w:rsid w:val="008006DA"/>
    <w:rsid w:val="008006FF"/>
    <w:rsid w:val="00800B82"/>
    <w:rsid w:val="00800D2A"/>
    <w:rsid w:val="00800D93"/>
    <w:rsid w:val="00800E90"/>
    <w:rsid w:val="00802580"/>
    <w:rsid w:val="00802654"/>
    <w:rsid w:val="008027B5"/>
    <w:rsid w:val="00802828"/>
    <w:rsid w:val="00802BF0"/>
    <w:rsid w:val="00802D1F"/>
    <w:rsid w:val="00803320"/>
    <w:rsid w:val="008036D6"/>
    <w:rsid w:val="0080381B"/>
    <w:rsid w:val="00803A24"/>
    <w:rsid w:val="00803BFB"/>
    <w:rsid w:val="00803D1E"/>
    <w:rsid w:val="008040DB"/>
    <w:rsid w:val="0080461E"/>
    <w:rsid w:val="0080480F"/>
    <w:rsid w:val="0080506E"/>
    <w:rsid w:val="0080522A"/>
    <w:rsid w:val="0080527F"/>
    <w:rsid w:val="0080587B"/>
    <w:rsid w:val="00805CC6"/>
    <w:rsid w:val="00805D5A"/>
    <w:rsid w:val="00806123"/>
    <w:rsid w:val="0080640D"/>
    <w:rsid w:val="00806468"/>
    <w:rsid w:val="00806533"/>
    <w:rsid w:val="00806AA7"/>
    <w:rsid w:val="0080700C"/>
    <w:rsid w:val="008073C0"/>
    <w:rsid w:val="00807521"/>
    <w:rsid w:val="00807768"/>
    <w:rsid w:val="00807871"/>
    <w:rsid w:val="00807B4B"/>
    <w:rsid w:val="00810058"/>
    <w:rsid w:val="00810148"/>
    <w:rsid w:val="008108F2"/>
    <w:rsid w:val="00810E0F"/>
    <w:rsid w:val="008110FE"/>
    <w:rsid w:val="00811398"/>
    <w:rsid w:val="0081187E"/>
    <w:rsid w:val="008119CA"/>
    <w:rsid w:val="00811E77"/>
    <w:rsid w:val="008120DB"/>
    <w:rsid w:val="008122B0"/>
    <w:rsid w:val="008127E1"/>
    <w:rsid w:val="00812B57"/>
    <w:rsid w:val="00812D8E"/>
    <w:rsid w:val="00812EF2"/>
    <w:rsid w:val="00813019"/>
    <w:rsid w:val="008130C4"/>
    <w:rsid w:val="008131B8"/>
    <w:rsid w:val="008135AB"/>
    <w:rsid w:val="008139CB"/>
    <w:rsid w:val="00813A55"/>
    <w:rsid w:val="00813B2E"/>
    <w:rsid w:val="00813EA1"/>
    <w:rsid w:val="00814062"/>
    <w:rsid w:val="00814198"/>
    <w:rsid w:val="008142AE"/>
    <w:rsid w:val="0081447D"/>
    <w:rsid w:val="008145EE"/>
    <w:rsid w:val="00814D4E"/>
    <w:rsid w:val="00814DA0"/>
    <w:rsid w:val="00814FE3"/>
    <w:rsid w:val="00815279"/>
    <w:rsid w:val="00815510"/>
    <w:rsid w:val="008155F0"/>
    <w:rsid w:val="00815852"/>
    <w:rsid w:val="00815B79"/>
    <w:rsid w:val="00815BA5"/>
    <w:rsid w:val="00815C16"/>
    <w:rsid w:val="00815D35"/>
    <w:rsid w:val="00816259"/>
    <w:rsid w:val="00816735"/>
    <w:rsid w:val="00816AFB"/>
    <w:rsid w:val="00816B6A"/>
    <w:rsid w:val="00816CE6"/>
    <w:rsid w:val="00816EFA"/>
    <w:rsid w:val="00816FA5"/>
    <w:rsid w:val="00817457"/>
    <w:rsid w:val="00817715"/>
    <w:rsid w:val="00817830"/>
    <w:rsid w:val="00817CE7"/>
    <w:rsid w:val="0082007C"/>
    <w:rsid w:val="00820141"/>
    <w:rsid w:val="008202C0"/>
    <w:rsid w:val="008204A1"/>
    <w:rsid w:val="00820641"/>
    <w:rsid w:val="0082077D"/>
    <w:rsid w:val="00820BFB"/>
    <w:rsid w:val="00820E0C"/>
    <w:rsid w:val="008214E5"/>
    <w:rsid w:val="008216E2"/>
    <w:rsid w:val="00821C95"/>
    <w:rsid w:val="00821D5F"/>
    <w:rsid w:val="00821DF3"/>
    <w:rsid w:val="00822334"/>
    <w:rsid w:val="0082266F"/>
    <w:rsid w:val="00822900"/>
    <w:rsid w:val="00822B9B"/>
    <w:rsid w:val="00823275"/>
    <w:rsid w:val="0082366F"/>
    <w:rsid w:val="00823F4F"/>
    <w:rsid w:val="00824155"/>
    <w:rsid w:val="008245BA"/>
    <w:rsid w:val="0082484D"/>
    <w:rsid w:val="00824C4B"/>
    <w:rsid w:val="00824D4F"/>
    <w:rsid w:val="00824F1A"/>
    <w:rsid w:val="00824FA8"/>
    <w:rsid w:val="00824FFC"/>
    <w:rsid w:val="00825153"/>
    <w:rsid w:val="0082519D"/>
    <w:rsid w:val="0082527B"/>
    <w:rsid w:val="0082554E"/>
    <w:rsid w:val="00825C78"/>
    <w:rsid w:val="008260AB"/>
    <w:rsid w:val="008266C4"/>
    <w:rsid w:val="00826853"/>
    <w:rsid w:val="00826864"/>
    <w:rsid w:val="00826AF6"/>
    <w:rsid w:val="00827A3A"/>
    <w:rsid w:val="00830315"/>
    <w:rsid w:val="008304B2"/>
    <w:rsid w:val="008307B4"/>
    <w:rsid w:val="00830D49"/>
    <w:rsid w:val="00831511"/>
    <w:rsid w:val="0083170A"/>
    <w:rsid w:val="008318A8"/>
    <w:rsid w:val="00831E30"/>
    <w:rsid w:val="00832701"/>
    <w:rsid w:val="00832A9D"/>
    <w:rsid w:val="00832BBD"/>
    <w:rsid w:val="00832BE9"/>
    <w:rsid w:val="00832D86"/>
    <w:rsid w:val="008331FF"/>
    <w:rsid w:val="008338A2"/>
    <w:rsid w:val="00833CFE"/>
    <w:rsid w:val="00833E14"/>
    <w:rsid w:val="00833FA5"/>
    <w:rsid w:val="00834144"/>
    <w:rsid w:val="0083429C"/>
    <w:rsid w:val="00834676"/>
    <w:rsid w:val="00834763"/>
    <w:rsid w:val="008347E8"/>
    <w:rsid w:val="008349E9"/>
    <w:rsid w:val="00834A01"/>
    <w:rsid w:val="00834CA4"/>
    <w:rsid w:val="008352A6"/>
    <w:rsid w:val="00835AAD"/>
    <w:rsid w:val="00835B1C"/>
    <w:rsid w:val="00835D7E"/>
    <w:rsid w:val="00835F0D"/>
    <w:rsid w:val="008362B2"/>
    <w:rsid w:val="0083722C"/>
    <w:rsid w:val="0083787E"/>
    <w:rsid w:val="00837FC8"/>
    <w:rsid w:val="00837FF8"/>
    <w:rsid w:val="00840162"/>
    <w:rsid w:val="008404ED"/>
    <w:rsid w:val="00840BAC"/>
    <w:rsid w:val="00840DA5"/>
    <w:rsid w:val="00840DAB"/>
    <w:rsid w:val="00840F5A"/>
    <w:rsid w:val="00841559"/>
    <w:rsid w:val="008415DC"/>
    <w:rsid w:val="008416BF"/>
    <w:rsid w:val="008418C0"/>
    <w:rsid w:val="00841AA9"/>
    <w:rsid w:val="00841ADD"/>
    <w:rsid w:val="00841F16"/>
    <w:rsid w:val="008424A3"/>
    <w:rsid w:val="008426A8"/>
    <w:rsid w:val="0084283C"/>
    <w:rsid w:val="00842E29"/>
    <w:rsid w:val="00843162"/>
    <w:rsid w:val="0084359A"/>
    <w:rsid w:val="0084378F"/>
    <w:rsid w:val="00843AFA"/>
    <w:rsid w:val="00844022"/>
    <w:rsid w:val="0084422B"/>
    <w:rsid w:val="00844A21"/>
    <w:rsid w:val="00844BD5"/>
    <w:rsid w:val="00844C43"/>
    <w:rsid w:val="00844F57"/>
    <w:rsid w:val="008452C3"/>
    <w:rsid w:val="00845560"/>
    <w:rsid w:val="00845648"/>
    <w:rsid w:val="00845693"/>
    <w:rsid w:val="00845804"/>
    <w:rsid w:val="008459E7"/>
    <w:rsid w:val="00845AD6"/>
    <w:rsid w:val="00845BE2"/>
    <w:rsid w:val="00845C4C"/>
    <w:rsid w:val="00845E03"/>
    <w:rsid w:val="008463A9"/>
    <w:rsid w:val="00846604"/>
    <w:rsid w:val="00846659"/>
    <w:rsid w:val="00846925"/>
    <w:rsid w:val="008472A0"/>
    <w:rsid w:val="00847394"/>
    <w:rsid w:val="008474FE"/>
    <w:rsid w:val="0084760B"/>
    <w:rsid w:val="008477E9"/>
    <w:rsid w:val="00847821"/>
    <w:rsid w:val="00847F97"/>
    <w:rsid w:val="00847FFC"/>
    <w:rsid w:val="00850245"/>
    <w:rsid w:val="0085077B"/>
    <w:rsid w:val="00850DB0"/>
    <w:rsid w:val="00850ED6"/>
    <w:rsid w:val="008510FE"/>
    <w:rsid w:val="0085114C"/>
    <w:rsid w:val="00852061"/>
    <w:rsid w:val="0085211A"/>
    <w:rsid w:val="008524CB"/>
    <w:rsid w:val="0085296B"/>
    <w:rsid w:val="00852B34"/>
    <w:rsid w:val="00852EF8"/>
    <w:rsid w:val="008532C0"/>
    <w:rsid w:val="008533E7"/>
    <w:rsid w:val="00853543"/>
    <w:rsid w:val="008537E5"/>
    <w:rsid w:val="00853CA4"/>
    <w:rsid w:val="00853EE4"/>
    <w:rsid w:val="00854124"/>
    <w:rsid w:val="00854268"/>
    <w:rsid w:val="008542E6"/>
    <w:rsid w:val="008544B7"/>
    <w:rsid w:val="0085468B"/>
    <w:rsid w:val="00854857"/>
    <w:rsid w:val="008549E0"/>
    <w:rsid w:val="00854AD1"/>
    <w:rsid w:val="00854CDB"/>
    <w:rsid w:val="00855073"/>
    <w:rsid w:val="0085543E"/>
    <w:rsid w:val="00855535"/>
    <w:rsid w:val="00855599"/>
    <w:rsid w:val="0085584F"/>
    <w:rsid w:val="00855B54"/>
    <w:rsid w:val="00855BA5"/>
    <w:rsid w:val="008566CA"/>
    <w:rsid w:val="0085696B"/>
    <w:rsid w:val="00856C86"/>
    <w:rsid w:val="0085707E"/>
    <w:rsid w:val="0085777F"/>
    <w:rsid w:val="00857C5A"/>
    <w:rsid w:val="00857CBB"/>
    <w:rsid w:val="00857D32"/>
    <w:rsid w:val="00857D58"/>
    <w:rsid w:val="00860114"/>
    <w:rsid w:val="0086023F"/>
    <w:rsid w:val="00860427"/>
    <w:rsid w:val="0086045A"/>
    <w:rsid w:val="00860872"/>
    <w:rsid w:val="00860BA5"/>
    <w:rsid w:val="00860C56"/>
    <w:rsid w:val="00860C5B"/>
    <w:rsid w:val="00860E8D"/>
    <w:rsid w:val="00860EC5"/>
    <w:rsid w:val="00861135"/>
    <w:rsid w:val="0086113C"/>
    <w:rsid w:val="0086164C"/>
    <w:rsid w:val="008616A3"/>
    <w:rsid w:val="008619B7"/>
    <w:rsid w:val="00861AA3"/>
    <w:rsid w:val="00861BDE"/>
    <w:rsid w:val="008622C1"/>
    <w:rsid w:val="00862407"/>
    <w:rsid w:val="00862507"/>
    <w:rsid w:val="0086255E"/>
    <w:rsid w:val="00862638"/>
    <w:rsid w:val="00862D71"/>
    <w:rsid w:val="00863339"/>
    <w:rsid w:val="008633F0"/>
    <w:rsid w:val="00863629"/>
    <w:rsid w:val="00863C2F"/>
    <w:rsid w:val="00863D82"/>
    <w:rsid w:val="00864309"/>
    <w:rsid w:val="00864340"/>
    <w:rsid w:val="0086436E"/>
    <w:rsid w:val="0086486B"/>
    <w:rsid w:val="00864915"/>
    <w:rsid w:val="008649AA"/>
    <w:rsid w:val="00864A8F"/>
    <w:rsid w:val="00864D6F"/>
    <w:rsid w:val="00865487"/>
    <w:rsid w:val="008655F3"/>
    <w:rsid w:val="008656F8"/>
    <w:rsid w:val="0086595E"/>
    <w:rsid w:val="00865A0C"/>
    <w:rsid w:val="00865A12"/>
    <w:rsid w:val="00865B55"/>
    <w:rsid w:val="0086621E"/>
    <w:rsid w:val="0086624C"/>
    <w:rsid w:val="008662B4"/>
    <w:rsid w:val="00866593"/>
    <w:rsid w:val="00866659"/>
    <w:rsid w:val="00866BFB"/>
    <w:rsid w:val="00867227"/>
    <w:rsid w:val="0086781E"/>
    <w:rsid w:val="008678EC"/>
    <w:rsid w:val="008678F3"/>
    <w:rsid w:val="00867D9D"/>
    <w:rsid w:val="00867EC6"/>
    <w:rsid w:val="0087002A"/>
    <w:rsid w:val="008704D7"/>
    <w:rsid w:val="0087112A"/>
    <w:rsid w:val="008712CE"/>
    <w:rsid w:val="0087215B"/>
    <w:rsid w:val="00872313"/>
    <w:rsid w:val="008729D0"/>
    <w:rsid w:val="00872A74"/>
    <w:rsid w:val="00872AFE"/>
    <w:rsid w:val="00872CF2"/>
    <w:rsid w:val="00872E0A"/>
    <w:rsid w:val="00873594"/>
    <w:rsid w:val="00873624"/>
    <w:rsid w:val="008736D7"/>
    <w:rsid w:val="00873903"/>
    <w:rsid w:val="0087391A"/>
    <w:rsid w:val="00873A0F"/>
    <w:rsid w:val="00873C7F"/>
    <w:rsid w:val="00873EDC"/>
    <w:rsid w:val="0087486E"/>
    <w:rsid w:val="00874923"/>
    <w:rsid w:val="00874D40"/>
    <w:rsid w:val="00874FA3"/>
    <w:rsid w:val="0087505E"/>
    <w:rsid w:val="008751BC"/>
    <w:rsid w:val="00875285"/>
    <w:rsid w:val="0087555B"/>
    <w:rsid w:val="008755C7"/>
    <w:rsid w:val="00875B4E"/>
    <w:rsid w:val="00875BC4"/>
    <w:rsid w:val="00875BF5"/>
    <w:rsid w:val="00875EC1"/>
    <w:rsid w:val="008761BF"/>
    <w:rsid w:val="0087625D"/>
    <w:rsid w:val="00876271"/>
    <w:rsid w:val="00876CB1"/>
    <w:rsid w:val="00877122"/>
    <w:rsid w:val="00877298"/>
    <w:rsid w:val="0087768D"/>
    <w:rsid w:val="00877B59"/>
    <w:rsid w:val="00877BBF"/>
    <w:rsid w:val="00877D82"/>
    <w:rsid w:val="00877DA2"/>
    <w:rsid w:val="0088012E"/>
    <w:rsid w:val="00880398"/>
    <w:rsid w:val="0088065D"/>
    <w:rsid w:val="008807F3"/>
    <w:rsid w:val="00880BF8"/>
    <w:rsid w:val="00880F3B"/>
    <w:rsid w:val="008810EA"/>
    <w:rsid w:val="00881914"/>
    <w:rsid w:val="00881972"/>
    <w:rsid w:val="00881B71"/>
    <w:rsid w:val="00881CD3"/>
    <w:rsid w:val="00881EB9"/>
    <w:rsid w:val="008820B2"/>
    <w:rsid w:val="00882233"/>
    <w:rsid w:val="008823BF"/>
    <w:rsid w:val="008828C8"/>
    <w:rsid w:val="00882CAD"/>
    <w:rsid w:val="00882D8B"/>
    <w:rsid w:val="00882E0D"/>
    <w:rsid w:val="00882EF7"/>
    <w:rsid w:val="00882F6E"/>
    <w:rsid w:val="00883822"/>
    <w:rsid w:val="00883AC2"/>
    <w:rsid w:val="00883CAE"/>
    <w:rsid w:val="00884237"/>
    <w:rsid w:val="00884B62"/>
    <w:rsid w:val="00884CF9"/>
    <w:rsid w:val="00884ECC"/>
    <w:rsid w:val="00884F30"/>
    <w:rsid w:val="008850F5"/>
    <w:rsid w:val="0088529C"/>
    <w:rsid w:val="00885311"/>
    <w:rsid w:val="00885500"/>
    <w:rsid w:val="00885C0B"/>
    <w:rsid w:val="00885C46"/>
    <w:rsid w:val="00885D71"/>
    <w:rsid w:val="00886324"/>
    <w:rsid w:val="008867D5"/>
    <w:rsid w:val="008869F4"/>
    <w:rsid w:val="00886E05"/>
    <w:rsid w:val="00887079"/>
    <w:rsid w:val="00887133"/>
    <w:rsid w:val="00887289"/>
    <w:rsid w:val="008872A3"/>
    <w:rsid w:val="00887903"/>
    <w:rsid w:val="00887B38"/>
    <w:rsid w:val="00887C03"/>
    <w:rsid w:val="00887F68"/>
    <w:rsid w:val="0089030C"/>
    <w:rsid w:val="008906C9"/>
    <w:rsid w:val="00890777"/>
    <w:rsid w:val="008907A9"/>
    <w:rsid w:val="00890823"/>
    <w:rsid w:val="008909F0"/>
    <w:rsid w:val="00890EF7"/>
    <w:rsid w:val="00891564"/>
    <w:rsid w:val="00891A8D"/>
    <w:rsid w:val="008920C0"/>
    <w:rsid w:val="0089214E"/>
    <w:rsid w:val="00892423"/>
    <w:rsid w:val="0089270A"/>
    <w:rsid w:val="0089292F"/>
    <w:rsid w:val="008929F2"/>
    <w:rsid w:val="00892A3F"/>
    <w:rsid w:val="00892ABE"/>
    <w:rsid w:val="00892B12"/>
    <w:rsid w:val="00892BDC"/>
    <w:rsid w:val="00892CCE"/>
    <w:rsid w:val="00892EAF"/>
    <w:rsid w:val="00893370"/>
    <w:rsid w:val="008933B4"/>
    <w:rsid w:val="008934DF"/>
    <w:rsid w:val="00893AF6"/>
    <w:rsid w:val="00893FAA"/>
    <w:rsid w:val="00893FBF"/>
    <w:rsid w:val="008941C3"/>
    <w:rsid w:val="008941EE"/>
    <w:rsid w:val="00894BC4"/>
    <w:rsid w:val="00894ED7"/>
    <w:rsid w:val="0089591D"/>
    <w:rsid w:val="008961AB"/>
    <w:rsid w:val="0089629E"/>
    <w:rsid w:val="00896508"/>
    <w:rsid w:val="00896890"/>
    <w:rsid w:val="00896DE7"/>
    <w:rsid w:val="00896FD8"/>
    <w:rsid w:val="008977D1"/>
    <w:rsid w:val="0089784C"/>
    <w:rsid w:val="00897A61"/>
    <w:rsid w:val="00897AA4"/>
    <w:rsid w:val="00897CE4"/>
    <w:rsid w:val="00897EFC"/>
    <w:rsid w:val="00897F89"/>
    <w:rsid w:val="008A03A5"/>
    <w:rsid w:val="008A0739"/>
    <w:rsid w:val="008A08E1"/>
    <w:rsid w:val="008A0937"/>
    <w:rsid w:val="008A0AC1"/>
    <w:rsid w:val="008A0C5A"/>
    <w:rsid w:val="008A130C"/>
    <w:rsid w:val="008A1A5D"/>
    <w:rsid w:val="008A1A6D"/>
    <w:rsid w:val="008A235D"/>
    <w:rsid w:val="008A2834"/>
    <w:rsid w:val="008A28A8"/>
    <w:rsid w:val="008A28F5"/>
    <w:rsid w:val="008A29F9"/>
    <w:rsid w:val="008A2D25"/>
    <w:rsid w:val="008A2F6F"/>
    <w:rsid w:val="008A303C"/>
    <w:rsid w:val="008A3484"/>
    <w:rsid w:val="008A386A"/>
    <w:rsid w:val="008A3B4F"/>
    <w:rsid w:val="008A3BDC"/>
    <w:rsid w:val="008A3CF1"/>
    <w:rsid w:val="008A3D71"/>
    <w:rsid w:val="008A3D75"/>
    <w:rsid w:val="008A3DB8"/>
    <w:rsid w:val="008A3E1D"/>
    <w:rsid w:val="008A4018"/>
    <w:rsid w:val="008A48E6"/>
    <w:rsid w:val="008A49E7"/>
    <w:rsid w:val="008A4AF8"/>
    <w:rsid w:val="008A4CD4"/>
    <w:rsid w:val="008A4D9A"/>
    <w:rsid w:val="008A524D"/>
    <w:rsid w:val="008A54AC"/>
    <w:rsid w:val="008A56CC"/>
    <w:rsid w:val="008A5786"/>
    <w:rsid w:val="008A58DC"/>
    <w:rsid w:val="008A5B27"/>
    <w:rsid w:val="008A5B32"/>
    <w:rsid w:val="008A5CAD"/>
    <w:rsid w:val="008A5D66"/>
    <w:rsid w:val="008A5D94"/>
    <w:rsid w:val="008A5E3C"/>
    <w:rsid w:val="008A5F31"/>
    <w:rsid w:val="008A5F52"/>
    <w:rsid w:val="008A6230"/>
    <w:rsid w:val="008A6247"/>
    <w:rsid w:val="008A628C"/>
    <w:rsid w:val="008A6922"/>
    <w:rsid w:val="008A6F44"/>
    <w:rsid w:val="008A764C"/>
    <w:rsid w:val="008A7EF1"/>
    <w:rsid w:val="008B04BC"/>
    <w:rsid w:val="008B053A"/>
    <w:rsid w:val="008B0783"/>
    <w:rsid w:val="008B090B"/>
    <w:rsid w:val="008B0B35"/>
    <w:rsid w:val="008B0DCC"/>
    <w:rsid w:val="008B1122"/>
    <w:rsid w:val="008B12C9"/>
    <w:rsid w:val="008B1403"/>
    <w:rsid w:val="008B184B"/>
    <w:rsid w:val="008B1D7D"/>
    <w:rsid w:val="008B2029"/>
    <w:rsid w:val="008B215E"/>
    <w:rsid w:val="008B228F"/>
    <w:rsid w:val="008B2605"/>
    <w:rsid w:val="008B27BE"/>
    <w:rsid w:val="008B291D"/>
    <w:rsid w:val="008B2C47"/>
    <w:rsid w:val="008B2D74"/>
    <w:rsid w:val="008B2EE4"/>
    <w:rsid w:val="008B30C2"/>
    <w:rsid w:val="008B3821"/>
    <w:rsid w:val="008B397B"/>
    <w:rsid w:val="008B3DBD"/>
    <w:rsid w:val="008B3E93"/>
    <w:rsid w:val="008B3EC5"/>
    <w:rsid w:val="008B406B"/>
    <w:rsid w:val="008B440B"/>
    <w:rsid w:val="008B449B"/>
    <w:rsid w:val="008B46AD"/>
    <w:rsid w:val="008B4791"/>
    <w:rsid w:val="008B4D3D"/>
    <w:rsid w:val="008B5014"/>
    <w:rsid w:val="008B5172"/>
    <w:rsid w:val="008B525E"/>
    <w:rsid w:val="008B56EF"/>
    <w:rsid w:val="008B57C7"/>
    <w:rsid w:val="008B5CAD"/>
    <w:rsid w:val="008B5FE4"/>
    <w:rsid w:val="008B603B"/>
    <w:rsid w:val="008B6695"/>
    <w:rsid w:val="008B6B79"/>
    <w:rsid w:val="008B6CB1"/>
    <w:rsid w:val="008B6D27"/>
    <w:rsid w:val="008B6D49"/>
    <w:rsid w:val="008B71A9"/>
    <w:rsid w:val="008B793C"/>
    <w:rsid w:val="008B7BAF"/>
    <w:rsid w:val="008B7FD1"/>
    <w:rsid w:val="008C04EF"/>
    <w:rsid w:val="008C0CD2"/>
    <w:rsid w:val="008C13E6"/>
    <w:rsid w:val="008C140A"/>
    <w:rsid w:val="008C14D8"/>
    <w:rsid w:val="008C17E2"/>
    <w:rsid w:val="008C1AAF"/>
    <w:rsid w:val="008C2258"/>
    <w:rsid w:val="008C2357"/>
    <w:rsid w:val="008C2394"/>
    <w:rsid w:val="008C2416"/>
    <w:rsid w:val="008C2687"/>
    <w:rsid w:val="008C2829"/>
    <w:rsid w:val="008C2A2B"/>
    <w:rsid w:val="008C2DB8"/>
    <w:rsid w:val="008C2E60"/>
    <w:rsid w:val="008C2F45"/>
    <w:rsid w:val="008C2F92"/>
    <w:rsid w:val="008C32F0"/>
    <w:rsid w:val="008C3546"/>
    <w:rsid w:val="008C379F"/>
    <w:rsid w:val="008C37CE"/>
    <w:rsid w:val="008C3821"/>
    <w:rsid w:val="008C45FB"/>
    <w:rsid w:val="008C49F3"/>
    <w:rsid w:val="008C4D57"/>
    <w:rsid w:val="008C4DCE"/>
    <w:rsid w:val="008C4F74"/>
    <w:rsid w:val="008C51C3"/>
    <w:rsid w:val="008C52A1"/>
    <w:rsid w:val="008C5394"/>
    <w:rsid w:val="008C589D"/>
    <w:rsid w:val="008C5E10"/>
    <w:rsid w:val="008C5E6B"/>
    <w:rsid w:val="008C6832"/>
    <w:rsid w:val="008C6A5A"/>
    <w:rsid w:val="008C6D51"/>
    <w:rsid w:val="008C7156"/>
    <w:rsid w:val="008C72F6"/>
    <w:rsid w:val="008C7482"/>
    <w:rsid w:val="008C7D07"/>
    <w:rsid w:val="008D08D3"/>
    <w:rsid w:val="008D0A0A"/>
    <w:rsid w:val="008D0ADE"/>
    <w:rsid w:val="008D0D8D"/>
    <w:rsid w:val="008D11DE"/>
    <w:rsid w:val="008D162E"/>
    <w:rsid w:val="008D18FE"/>
    <w:rsid w:val="008D1DC0"/>
    <w:rsid w:val="008D2277"/>
    <w:rsid w:val="008D2391"/>
    <w:rsid w:val="008D251A"/>
    <w:rsid w:val="008D2846"/>
    <w:rsid w:val="008D2E3B"/>
    <w:rsid w:val="008D3092"/>
    <w:rsid w:val="008D30F2"/>
    <w:rsid w:val="008D3238"/>
    <w:rsid w:val="008D343D"/>
    <w:rsid w:val="008D3786"/>
    <w:rsid w:val="008D3C5A"/>
    <w:rsid w:val="008D3FC4"/>
    <w:rsid w:val="008D4236"/>
    <w:rsid w:val="008D42C3"/>
    <w:rsid w:val="008D430F"/>
    <w:rsid w:val="008D4327"/>
    <w:rsid w:val="008D4341"/>
    <w:rsid w:val="008D462F"/>
    <w:rsid w:val="008D52CE"/>
    <w:rsid w:val="008D54D5"/>
    <w:rsid w:val="008D5731"/>
    <w:rsid w:val="008D589A"/>
    <w:rsid w:val="008D595D"/>
    <w:rsid w:val="008D5D0A"/>
    <w:rsid w:val="008D5E26"/>
    <w:rsid w:val="008D62E6"/>
    <w:rsid w:val="008D6365"/>
    <w:rsid w:val="008D63FB"/>
    <w:rsid w:val="008D6460"/>
    <w:rsid w:val="008D647A"/>
    <w:rsid w:val="008D65AC"/>
    <w:rsid w:val="008D69B1"/>
    <w:rsid w:val="008D6DCF"/>
    <w:rsid w:val="008D6E38"/>
    <w:rsid w:val="008D6F47"/>
    <w:rsid w:val="008D71AD"/>
    <w:rsid w:val="008D7595"/>
    <w:rsid w:val="008D7602"/>
    <w:rsid w:val="008D764C"/>
    <w:rsid w:val="008D76C0"/>
    <w:rsid w:val="008D7857"/>
    <w:rsid w:val="008D7989"/>
    <w:rsid w:val="008D7D9C"/>
    <w:rsid w:val="008E0094"/>
    <w:rsid w:val="008E028D"/>
    <w:rsid w:val="008E0432"/>
    <w:rsid w:val="008E045C"/>
    <w:rsid w:val="008E0C35"/>
    <w:rsid w:val="008E0D26"/>
    <w:rsid w:val="008E188F"/>
    <w:rsid w:val="008E18EF"/>
    <w:rsid w:val="008E1C31"/>
    <w:rsid w:val="008E1E7B"/>
    <w:rsid w:val="008E225B"/>
    <w:rsid w:val="008E226F"/>
    <w:rsid w:val="008E23F7"/>
    <w:rsid w:val="008E2577"/>
    <w:rsid w:val="008E2592"/>
    <w:rsid w:val="008E29BF"/>
    <w:rsid w:val="008E2CB5"/>
    <w:rsid w:val="008E2D3F"/>
    <w:rsid w:val="008E2DE0"/>
    <w:rsid w:val="008E30A9"/>
    <w:rsid w:val="008E31D1"/>
    <w:rsid w:val="008E3266"/>
    <w:rsid w:val="008E3299"/>
    <w:rsid w:val="008E37E9"/>
    <w:rsid w:val="008E38AF"/>
    <w:rsid w:val="008E3962"/>
    <w:rsid w:val="008E3ABA"/>
    <w:rsid w:val="008E3F4E"/>
    <w:rsid w:val="008E42AB"/>
    <w:rsid w:val="008E42D5"/>
    <w:rsid w:val="008E4376"/>
    <w:rsid w:val="008E47D7"/>
    <w:rsid w:val="008E4837"/>
    <w:rsid w:val="008E4962"/>
    <w:rsid w:val="008E49A5"/>
    <w:rsid w:val="008E4B89"/>
    <w:rsid w:val="008E4F36"/>
    <w:rsid w:val="008E5096"/>
    <w:rsid w:val="008E529B"/>
    <w:rsid w:val="008E539A"/>
    <w:rsid w:val="008E5B9A"/>
    <w:rsid w:val="008E5C54"/>
    <w:rsid w:val="008E5CC9"/>
    <w:rsid w:val="008E60D0"/>
    <w:rsid w:val="008E61A2"/>
    <w:rsid w:val="008E6F4B"/>
    <w:rsid w:val="008E7334"/>
    <w:rsid w:val="008E746B"/>
    <w:rsid w:val="008E7472"/>
    <w:rsid w:val="008E7514"/>
    <w:rsid w:val="008E7A0A"/>
    <w:rsid w:val="008E7B49"/>
    <w:rsid w:val="008E7C08"/>
    <w:rsid w:val="008E7C76"/>
    <w:rsid w:val="008E7D76"/>
    <w:rsid w:val="008E7F84"/>
    <w:rsid w:val="008E7FFD"/>
    <w:rsid w:val="008F054C"/>
    <w:rsid w:val="008F0740"/>
    <w:rsid w:val="008F08F3"/>
    <w:rsid w:val="008F0FF1"/>
    <w:rsid w:val="008F12B1"/>
    <w:rsid w:val="008F13F2"/>
    <w:rsid w:val="008F1458"/>
    <w:rsid w:val="008F15B2"/>
    <w:rsid w:val="008F1989"/>
    <w:rsid w:val="008F1BB0"/>
    <w:rsid w:val="008F1D05"/>
    <w:rsid w:val="008F2159"/>
    <w:rsid w:val="008F2181"/>
    <w:rsid w:val="008F2242"/>
    <w:rsid w:val="008F2658"/>
    <w:rsid w:val="008F2CFC"/>
    <w:rsid w:val="008F331F"/>
    <w:rsid w:val="008F3341"/>
    <w:rsid w:val="008F358D"/>
    <w:rsid w:val="008F372D"/>
    <w:rsid w:val="008F3A6C"/>
    <w:rsid w:val="008F3B60"/>
    <w:rsid w:val="008F41C2"/>
    <w:rsid w:val="008F437B"/>
    <w:rsid w:val="008F45DC"/>
    <w:rsid w:val="008F470B"/>
    <w:rsid w:val="008F59E2"/>
    <w:rsid w:val="008F59F6"/>
    <w:rsid w:val="008F6603"/>
    <w:rsid w:val="008F6AC3"/>
    <w:rsid w:val="008F6AE4"/>
    <w:rsid w:val="008F6AE8"/>
    <w:rsid w:val="008F6DD0"/>
    <w:rsid w:val="008F73BB"/>
    <w:rsid w:val="008F7A13"/>
    <w:rsid w:val="008F7A61"/>
    <w:rsid w:val="008F7D9B"/>
    <w:rsid w:val="008F7E80"/>
    <w:rsid w:val="00900051"/>
    <w:rsid w:val="009002B0"/>
    <w:rsid w:val="00900719"/>
    <w:rsid w:val="00900D54"/>
    <w:rsid w:val="00900DDF"/>
    <w:rsid w:val="00900FD6"/>
    <w:rsid w:val="0090128C"/>
    <w:rsid w:val="009017AC"/>
    <w:rsid w:val="00901B0B"/>
    <w:rsid w:val="00901D73"/>
    <w:rsid w:val="00901D97"/>
    <w:rsid w:val="00901EBC"/>
    <w:rsid w:val="00901F4B"/>
    <w:rsid w:val="009025B2"/>
    <w:rsid w:val="00902A5C"/>
    <w:rsid w:val="00902A9A"/>
    <w:rsid w:val="00902BF3"/>
    <w:rsid w:val="00902F33"/>
    <w:rsid w:val="009035EE"/>
    <w:rsid w:val="0090372C"/>
    <w:rsid w:val="009039D3"/>
    <w:rsid w:val="00903D6F"/>
    <w:rsid w:val="00903DE0"/>
    <w:rsid w:val="00903F4A"/>
    <w:rsid w:val="00904132"/>
    <w:rsid w:val="00904680"/>
    <w:rsid w:val="00904706"/>
    <w:rsid w:val="00904A1C"/>
    <w:rsid w:val="00904BFD"/>
    <w:rsid w:val="00904C79"/>
    <w:rsid w:val="00904E42"/>
    <w:rsid w:val="00905030"/>
    <w:rsid w:val="009050E3"/>
    <w:rsid w:val="009050EC"/>
    <w:rsid w:val="00905417"/>
    <w:rsid w:val="00905796"/>
    <w:rsid w:val="0090584E"/>
    <w:rsid w:val="009058AC"/>
    <w:rsid w:val="0090611F"/>
    <w:rsid w:val="00906120"/>
    <w:rsid w:val="009061AF"/>
    <w:rsid w:val="0090640C"/>
    <w:rsid w:val="00906490"/>
    <w:rsid w:val="00906603"/>
    <w:rsid w:val="00906759"/>
    <w:rsid w:val="0090694C"/>
    <w:rsid w:val="00906D12"/>
    <w:rsid w:val="00907584"/>
    <w:rsid w:val="00907D65"/>
    <w:rsid w:val="00907EEE"/>
    <w:rsid w:val="00907F03"/>
    <w:rsid w:val="00910562"/>
    <w:rsid w:val="00910A36"/>
    <w:rsid w:val="009111B2"/>
    <w:rsid w:val="009112BC"/>
    <w:rsid w:val="009114F3"/>
    <w:rsid w:val="0091225B"/>
    <w:rsid w:val="00912A12"/>
    <w:rsid w:val="00912A27"/>
    <w:rsid w:val="0091312E"/>
    <w:rsid w:val="009131E2"/>
    <w:rsid w:val="009138C4"/>
    <w:rsid w:val="00913AF5"/>
    <w:rsid w:val="00913BD3"/>
    <w:rsid w:val="00913D2C"/>
    <w:rsid w:val="00914046"/>
    <w:rsid w:val="00914103"/>
    <w:rsid w:val="009142AE"/>
    <w:rsid w:val="009142B0"/>
    <w:rsid w:val="009142E2"/>
    <w:rsid w:val="009145FF"/>
    <w:rsid w:val="00914657"/>
    <w:rsid w:val="00914B20"/>
    <w:rsid w:val="00914E95"/>
    <w:rsid w:val="00914FF3"/>
    <w:rsid w:val="00915124"/>
    <w:rsid w:val="00915141"/>
    <w:rsid w:val="009151F5"/>
    <w:rsid w:val="0091537A"/>
    <w:rsid w:val="00915908"/>
    <w:rsid w:val="00915D49"/>
    <w:rsid w:val="00915DFC"/>
    <w:rsid w:val="009164E8"/>
    <w:rsid w:val="00916555"/>
    <w:rsid w:val="00916CA5"/>
    <w:rsid w:val="00917188"/>
    <w:rsid w:val="009177C1"/>
    <w:rsid w:val="009178FF"/>
    <w:rsid w:val="009179FE"/>
    <w:rsid w:val="00917AF2"/>
    <w:rsid w:val="00917DF6"/>
    <w:rsid w:val="00917E4B"/>
    <w:rsid w:val="00917F9A"/>
    <w:rsid w:val="009209A5"/>
    <w:rsid w:val="009209C6"/>
    <w:rsid w:val="009213E9"/>
    <w:rsid w:val="00921742"/>
    <w:rsid w:val="00921AFC"/>
    <w:rsid w:val="00921BA6"/>
    <w:rsid w:val="00921BA8"/>
    <w:rsid w:val="00921D2B"/>
    <w:rsid w:val="00921D9D"/>
    <w:rsid w:val="00921E64"/>
    <w:rsid w:val="00922A4D"/>
    <w:rsid w:val="00922E40"/>
    <w:rsid w:val="009231F0"/>
    <w:rsid w:val="00923331"/>
    <w:rsid w:val="0092347B"/>
    <w:rsid w:val="0092349F"/>
    <w:rsid w:val="0092361E"/>
    <w:rsid w:val="009238E9"/>
    <w:rsid w:val="00923A3C"/>
    <w:rsid w:val="00923B1D"/>
    <w:rsid w:val="0092449C"/>
    <w:rsid w:val="00924518"/>
    <w:rsid w:val="0092479E"/>
    <w:rsid w:val="0092483E"/>
    <w:rsid w:val="00924883"/>
    <w:rsid w:val="00924AE1"/>
    <w:rsid w:val="00924DDA"/>
    <w:rsid w:val="009250E4"/>
    <w:rsid w:val="0092526F"/>
    <w:rsid w:val="00925657"/>
    <w:rsid w:val="0092572C"/>
    <w:rsid w:val="00925744"/>
    <w:rsid w:val="00925D03"/>
    <w:rsid w:val="00925E1C"/>
    <w:rsid w:val="00926500"/>
    <w:rsid w:val="00926972"/>
    <w:rsid w:val="00926976"/>
    <w:rsid w:val="009269B1"/>
    <w:rsid w:val="00926C70"/>
    <w:rsid w:val="0092724D"/>
    <w:rsid w:val="009272B3"/>
    <w:rsid w:val="009273BA"/>
    <w:rsid w:val="00930090"/>
    <w:rsid w:val="009302A2"/>
    <w:rsid w:val="009305AF"/>
    <w:rsid w:val="00930B4D"/>
    <w:rsid w:val="00930D28"/>
    <w:rsid w:val="00930D2E"/>
    <w:rsid w:val="00930DA9"/>
    <w:rsid w:val="00930E16"/>
    <w:rsid w:val="00931342"/>
    <w:rsid w:val="009314A1"/>
    <w:rsid w:val="009315BE"/>
    <w:rsid w:val="009315D6"/>
    <w:rsid w:val="00931624"/>
    <w:rsid w:val="009316E8"/>
    <w:rsid w:val="00931773"/>
    <w:rsid w:val="0093179A"/>
    <w:rsid w:val="0093188D"/>
    <w:rsid w:val="00931C21"/>
    <w:rsid w:val="00931EFE"/>
    <w:rsid w:val="00932144"/>
    <w:rsid w:val="00932333"/>
    <w:rsid w:val="00932472"/>
    <w:rsid w:val="0093269A"/>
    <w:rsid w:val="009326DD"/>
    <w:rsid w:val="00933375"/>
    <w:rsid w:val="0093338F"/>
    <w:rsid w:val="00933A9E"/>
    <w:rsid w:val="00933C31"/>
    <w:rsid w:val="00933E60"/>
    <w:rsid w:val="00933F85"/>
    <w:rsid w:val="0093408F"/>
    <w:rsid w:val="0093432C"/>
    <w:rsid w:val="009344C3"/>
    <w:rsid w:val="00934A03"/>
    <w:rsid w:val="00934AA5"/>
    <w:rsid w:val="00934D99"/>
    <w:rsid w:val="00934E82"/>
    <w:rsid w:val="00934FE7"/>
    <w:rsid w:val="00935834"/>
    <w:rsid w:val="00935CB8"/>
    <w:rsid w:val="0093647E"/>
    <w:rsid w:val="00936C64"/>
    <w:rsid w:val="0093702E"/>
    <w:rsid w:val="009373B1"/>
    <w:rsid w:val="009374E4"/>
    <w:rsid w:val="00937BD9"/>
    <w:rsid w:val="00937D15"/>
    <w:rsid w:val="00937F74"/>
    <w:rsid w:val="00940031"/>
    <w:rsid w:val="00940139"/>
    <w:rsid w:val="009401AF"/>
    <w:rsid w:val="00940881"/>
    <w:rsid w:val="00940A99"/>
    <w:rsid w:val="00940FD1"/>
    <w:rsid w:val="009412FA"/>
    <w:rsid w:val="009417F5"/>
    <w:rsid w:val="00941C39"/>
    <w:rsid w:val="00941CFB"/>
    <w:rsid w:val="00941DE4"/>
    <w:rsid w:val="0094209C"/>
    <w:rsid w:val="009423EB"/>
    <w:rsid w:val="00942438"/>
    <w:rsid w:val="0094291C"/>
    <w:rsid w:val="00942E48"/>
    <w:rsid w:val="00943A89"/>
    <w:rsid w:val="00943BE6"/>
    <w:rsid w:val="00943C0F"/>
    <w:rsid w:val="0094493A"/>
    <w:rsid w:val="00944B02"/>
    <w:rsid w:val="00944FF5"/>
    <w:rsid w:val="0094509F"/>
    <w:rsid w:val="009452AC"/>
    <w:rsid w:val="0094533A"/>
    <w:rsid w:val="00945451"/>
    <w:rsid w:val="00945AF6"/>
    <w:rsid w:val="00945BE5"/>
    <w:rsid w:val="00945CB9"/>
    <w:rsid w:val="009460B5"/>
    <w:rsid w:val="009464F1"/>
    <w:rsid w:val="009467B0"/>
    <w:rsid w:val="009469EA"/>
    <w:rsid w:val="00946A82"/>
    <w:rsid w:val="00946A98"/>
    <w:rsid w:val="00946E15"/>
    <w:rsid w:val="0094719B"/>
    <w:rsid w:val="009471C6"/>
    <w:rsid w:val="00947239"/>
    <w:rsid w:val="00947AAD"/>
    <w:rsid w:val="00947C25"/>
    <w:rsid w:val="00950391"/>
    <w:rsid w:val="00950486"/>
    <w:rsid w:val="009507E9"/>
    <w:rsid w:val="00950ABD"/>
    <w:rsid w:val="00950E2C"/>
    <w:rsid w:val="00951322"/>
    <w:rsid w:val="009514B2"/>
    <w:rsid w:val="00951511"/>
    <w:rsid w:val="0095163B"/>
    <w:rsid w:val="00951686"/>
    <w:rsid w:val="00951B9F"/>
    <w:rsid w:val="00951D50"/>
    <w:rsid w:val="00951ED9"/>
    <w:rsid w:val="00951F1B"/>
    <w:rsid w:val="0095201F"/>
    <w:rsid w:val="00952503"/>
    <w:rsid w:val="009525EB"/>
    <w:rsid w:val="00952738"/>
    <w:rsid w:val="00952D87"/>
    <w:rsid w:val="0095322E"/>
    <w:rsid w:val="00953BAA"/>
    <w:rsid w:val="00953D21"/>
    <w:rsid w:val="009545E2"/>
    <w:rsid w:val="0095470B"/>
    <w:rsid w:val="00954874"/>
    <w:rsid w:val="00955068"/>
    <w:rsid w:val="0095530C"/>
    <w:rsid w:val="00955332"/>
    <w:rsid w:val="009553F5"/>
    <w:rsid w:val="009554B8"/>
    <w:rsid w:val="009554E3"/>
    <w:rsid w:val="009554EC"/>
    <w:rsid w:val="00955566"/>
    <w:rsid w:val="0095560A"/>
    <w:rsid w:val="009556C8"/>
    <w:rsid w:val="009556ED"/>
    <w:rsid w:val="00955AEF"/>
    <w:rsid w:val="00955C55"/>
    <w:rsid w:val="00955C70"/>
    <w:rsid w:val="00955DC2"/>
    <w:rsid w:val="0095615A"/>
    <w:rsid w:val="009567C8"/>
    <w:rsid w:val="00956C01"/>
    <w:rsid w:val="00957797"/>
    <w:rsid w:val="009577CC"/>
    <w:rsid w:val="00957871"/>
    <w:rsid w:val="00957A0B"/>
    <w:rsid w:val="00957C71"/>
    <w:rsid w:val="00957CD3"/>
    <w:rsid w:val="00957E6C"/>
    <w:rsid w:val="00960024"/>
    <w:rsid w:val="00960456"/>
    <w:rsid w:val="00960633"/>
    <w:rsid w:val="00960CA3"/>
    <w:rsid w:val="00960F8D"/>
    <w:rsid w:val="00960FB7"/>
    <w:rsid w:val="0096124C"/>
    <w:rsid w:val="00961253"/>
    <w:rsid w:val="009612E1"/>
    <w:rsid w:val="00961400"/>
    <w:rsid w:val="009617B2"/>
    <w:rsid w:val="00961EF1"/>
    <w:rsid w:val="00961F89"/>
    <w:rsid w:val="00962104"/>
    <w:rsid w:val="00962218"/>
    <w:rsid w:val="0096277D"/>
    <w:rsid w:val="00962A68"/>
    <w:rsid w:val="00962CA1"/>
    <w:rsid w:val="00963203"/>
    <w:rsid w:val="0096350A"/>
    <w:rsid w:val="00963646"/>
    <w:rsid w:val="00963731"/>
    <w:rsid w:val="0096376A"/>
    <w:rsid w:val="0096399C"/>
    <w:rsid w:val="00963DFE"/>
    <w:rsid w:val="00964769"/>
    <w:rsid w:val="0096572C"/>
    <w:rsid w:val="009657E7"/>
    <w:rsid w:val="00965960"/>
    <w:rsid w:val="00965C88"/>
    <w:rsid w:val="00966101"/>
    <w:rsid w:val="009662A1"/>
    <w:rsid w:val="00966300"/>
    <w:rsid w:val="0096632D"/>
    <w:rsid w:val="00966360"/>
    <w:rsid w:val="0096665D"/>
    <w:rsid w:val="009668DF"/>
    <w:rsid w:val="00966B7A"/>
    <w:rsid w:val="00966E38"/>
    <w:rsid w:val="00966F7A"/>
    <w:rsid w:val="009670A7"/>
    <w:rsid w:val="00967124"/>
    <w:rsid w:val="009673EA"/>
    <w:rsid w:val="009678D4"/>
    <w:rsid w:val="00967F00"/>
    <w:rsid w:val="009701D8"/>
    <w:rsid w:val="0097025D"/>
    <w:rsid w:val="00970457"/>
    <w:rsid w:val="00970740"/>
    <w:rsid w:val="00970803"/>
    <w:rsid w:val="009709A2"/>
    <w:rsid w:val="00970ADC"/>
    <w:rsid w:val="00970B3E"/>
    <w:rsid w:val="00970F2D"/>
    <w:rsid w:val="009710D8"/>
    <w:rsid w:val="009711A8"/>
    <w:rsid w:val="0097166C"/>
    <w:rsid w:val="009718C7"/>
    <w:rsid w:val="00972518"/>
    <w:rsid w:val="00972799"/>
    <w:rsid w:val="009727A7"/>
    <w:rsid w:val="00972EA8"/>
    <w:rsid w:val="0097300F"/>
    <w:rsid w:val="00973142"/>
    <w:rsid w:val="009731EF"/>
    <w:rsid w:val="00973724"/>
    <w:rsid w:val="00973813"/>
    <w:rsid w:val="00973917"/>
    <w:rsid w:val="00973A99"/>
    <w:rsid w:val="00973EAB"/>
    <w:rsid w:val="00974117"/>
    <w:rsid w:val="00974128"/>
    <w:rsid w:val="00974C0E"/>
    <w:rsid w:val="00974CA3"/>
    <w:rsid w:val="00974E7C"/>
    <w:rsid w:val="00974F26"/>
    <w:rsid w:val="009753EF"/>
    <w:rsid w:val="0097559F"/>
    <w:rsid w:val="009757C7"/>
    <w:rsid w:val="0097588E"/>
    <w:rsid w:val="00975D98"/>
    <w:rsid w:val="009761EA"/>
    <w:rsid w:val="00976304"/>
    <w:rsid w:val="009766B2"/>
    <w:rsid w:val="00976903"/>
    <w:rsid w:val="00976B1F"/>
    <w:rsid w:val="00976D18"/>
    <w:rsid w:val="00977307"/>
    <w:rsid w:val="0097761E"/>
    <w:rsid w:val="00977C38"/>
    <w:rsid w:val="00977C77"/>
    <w:rsid w:val="00977CAB"/>
    <w:rsid w:val="00977E0A"/>
    <w:rsid w:val="00977F89"/>
    <w:rsid w:val="00980C32"/>
    <w:rsid w:val="00981957"/>
    <w:rsid w:val="00981B19"/>
    <w:rsid w:val="00981C18"/>
    <w:rsid w:val="00981D51"/>
    <w:rsid w:val="00981FFB"/>
    <w:rsid w:val="00982197"/>
    <w:rsid w:val="00982406"/>
    <w:rsid w:val="0098241F"/>
    <w:rsid w:val="00982454"/>
    <w:rsid w:val="0098249E"/>
    <w:rsid w:val="009826C9"/>
    <w:rsid w:val="009826CF"/>
    <w:rsid w:val="00982865"/>
    <w:rsid w:val="00982891"/>
    <w:rsid w:val="00982950"/>
    <w:rsid w:val="00982996"/>
    <w:rsid w:val="00982B50"/>
    <w:rsid w:val="00982CF0"/>
    <w:rsid w:val="00982E6E"/>
    <w:rsid w:val="0098351F"/>
    <w:rsid w:val="00983AA3"/>
    <w:rsid w:val="00984013"/>
    <w:rsid w:val="00984354"/>
    <w:rsid w:val="009843C0"/>
    <w:rsid w:val="00984D68"/>
    <w:rsid w:val="00984F57"/>
    <w:rsid w:val="0098504D"/>
    <w:rsid w:val="0098534A"/>
    <w:rsid w:val="00985360"/>
    <w:rsid w:val="009853E1"/>
    <w:rsid w:val="00985581"/>
    <w:rsid w:val="0098578D"/>
    <w:rsid w:val="00985877"/>
    <w:rsid w:val="009858E5"/>
    <w:rsid w:val="00986066"/>
    <w:rsid w:val="00986128"/>
    <w:rsid w:val="0098661A"/>
    <w:rsid w:val="00986787"/>
    <w:rsid w:val="00986A9F"/>
    <w:rsid w:val="00986B88"/>
    <w:rsid w:val="00986E6B"/>
    <w:rsid w:val="00986FBB"/>
    <w:rsid w:val="00986FC0"/>
    <w:rsid w:val="0098764F"/>
    <w:rsid w:val="009876AB"/>
    <w:rsid w:val="00990032"/>
    <w:rsid w:val="009900B3"/>
    <w:rsid w:val="0099022F"/>
    <w:rsid w:val="00990645"/>
    <w:rsid w:val="00990680"/>
    <w:rsid w:val="00990A69"/>
    <w:rsid w:val="00990B19"/>
    <w:rsid w:val="0099118B"/>
    <w:rsid w:val="00991235"/>
    <w:rsid w:val="00991516"/>
    <w:rsid w:val="0099153B"/>
    <w:rsid w:val="0099155C"/>
    <w:rsid w:val="00991769"/>
    <w:rsid w:val="0099200B"/>
    <w:rsid w:val="0099232C"/>
    <w:rsid w:val="009927CC"/>
    <w:rsid w:val="00992936"/>
    <w:rsid w:val="00992CB0"/>
    <w:rsid w:val="00992CD7"/>
    <w:rsid w:val="00993441"/>
    <w:rsid w:val="009940B7"/>
    <w:rsid w:val="00994386"/>
    <w:rsid w:val="0099486A"/>
    <w:rsid w:val="00994938"/>
    <w:rsid w:val="00994CA8"/>
    <w:rsid w:val="00994E29"/>
    <w:rsid w:val="00994F36"/>
    <w:rsid w:val="009951BD"/>
    <w:rsid w:val="00995263"/>
    <w:rsid w:val="0099583B"/>
    <w:rsid w:val="0099657F"/>
    <w:rsid w:val="009965C3"/>
    <w:rsid w:val="0099684E"/>
    <w:rsid w:val="00996978"/>
    <w:rsid w:val="009969DB"/>
    <w:rsid w:val="00996DDF"/>
    <w:rsid w:val="009973AE"/>
    <w:rsid w:val="00997C7C"/>
    <w:rsid w:val="00997CA9"/>
    <w:rsid w:val="009A00ED"/>
    <w:rsid w:val="009A09F0"/>
    <w:rsid w:val="009A0CFB"/>
    <w:rsid w:val="009A1223"/>
    <w:rsid w:val="009A132E"/>
    <w:rsid w:val="009A13D8"/>
    <w:rsid w:val="009A17A7"/>
    <w:rsid w:val="009A17AB"/>
    <w:rsid w:val="009A19CE"/>
    <w:rsid w:val="009A1B09"/>
    <w:rsid w:val="009A1E5B"/>
    <w:rsid w:val="009A1E79"/>
    <w:rsid w:val="009A24B3"/>
    <w:rsid w:val="009A2688"/>
    <w:rsid w:val="009A279E"/>
    <w:rsid w:val="009A2E6B"/>
    <w:rsid w:val="009A3015"/>
    <w:rsid w:val="009A3490"/>
    <w:rsid w:val="009A34D8"/>
    <w:rsid w:val="009A36F8"/>
    <w:rsid w:val="009A38FE"/>
    <w:rsid w:val="009A3949"/>
    <w:rsid w:val="009A3AA5"/>
    <w:rsid w:val="009A3ED7"/>
    <w:rsid w:val="009A402C"/>
    <w:rsid w:val="009A44F9"/>
    <w:rsid w:val="009A46DB"/>
    <w:rsid w:val="009A4744"/>
    <w:rsid w:val="009A49A3"/>
    <w:rsid w:val="009A4B36"/>
    <w:rsid w:val="009A4CE4"/>
    <w:rsid w:val="009A4D17"/>
    <w:rsid w:val="009A5512"/>
    <w:rsid w:val="009A5C8A"/>
    <w:rsid w:val="009A5E78"/>
    <w:rsid w:val="009A5EDE"/>
    <w:rsid w:val="009A6130"/>
    <w:rsid w:val="009A620C"/>
    <w:rsid w:val="009A64FA"/>
    <w:rsid w:val="009A6B37"/>
    <w:rsid w:val="009A6BDC"/>
    <w:rsid w:val="009A6E2F"/>
    <w:rsid w:val="009A6F83"/>
    <w:rsid w:val="009A7683"/>
    <w:rsid w:val="009A7CB2"/>
    <w:rsid w:val="009A7F19"/>
    <w:rsid w:val="009B043F"/>
    <w:rsid w:val="009B05DA"/>
    <w:rsid w:val="009B07E5"/>
    <w:rsid w:val="009B0A6F"/>
    <w:rsid w:val="009B0A94"/>
    <w:rsid w:val="009B0BAE"/>
    <w:rsid w:val="009B0BDF"/>
    <w:rsid w:val="009B0C62"/>
    <w:rsid w:val="009B1588"/>
    <w:rsid w:val="009B16E3"/>
    <w:rsid w:val="009B17E7"/>
    <w:rsid w:val="009B1A12"/>
    <w:rsid w:val="009B1C7A"/>
    <w:rsid w:val="009B23A8"/>
    <w:rsid w:val="009B24E1"/>
    <w:rsid w:val="009B2840"/>
    <w:rsid w:val="009B2992"/>
    <w:rsid w:val="009B2AAC"/>
    <w:rsid w:val="009B2AE8"/>
    <w:rsid w:val="009B3212"/>
    <w:rsid w:val="009B328C"/>
    <w:rsid w:val="009B3349"/>
    <w:rsid w:val="009B36D8"/>
    <w:rsid w:val="009B378E"/>
    <w:rsid w:val="009B37DA"/>
    <w:rsid w:val="009B3D70"/>
    <w:rsid w:val="009B3D96"/>
    <w:rsid w:val="009B3DF3"/>
    <w:rsid w:val="009B3F45"/>
    <w:rsid w:val="009B4274"/>
    <w:rsid w:val="009B441E"/>
    <w:rsid w:val="009B44A6"/>
    <w:rsid w:val="009B4684"/>
    <w:rsid w:val="009B4AC1"/>
    <w:rsid w:val="009B4E6C"/>
    <w:rsid w:val="009B5622"/>
    <w:rsid w:val="009B56A0"/>
    <w:rsid w:val="009B59E9"/>
    <w:rsid w:val="009B613F"/>
    <w:rsid w:val="009B6255"/>
    <w:rsid w:val="009B62D5"/>
    <w:rsid w:val="009B64F0"/>
    <w:rsid w:val="009B69A6"/>
    <w:rsid w:val="009B6E94"/>
    <w:rsid w:val="009B6EE3"/>
    <w:rsid w:val="009B70AA"/>
    <w:rsid w:val="009B70E3"/>
    <w:rsid w:val="009B746A"/>
    <w:rsid w:val="009B7506"/>
    <w:rsid w:val="009B76BC"/>
    <w:rsid w:val="009B7855"/>
    <w:rsid w:val="009B7A5F"/>
    <w:rsid w:val="009C002A"/>
    <w:rsid w:val="009C002B"/>
    <w:rsid w:val="009C054D"/>
    <w:rsid w:val="009C0C6E"/>
    <w:rsid w:val="009C0C9F"/>
    <w:rsid w:val="009C100F"/>
    <w:rsid w:val="009C1617"/>
    <w:rsid w:val="009C16DD"/>
    <w:rsid w:val="009C1774"/>
    <w:rsid w:val="009C1A5E"/>
    <w:rsid w:val="009C245E"/>
    <w:rsid w:val="009C2E4C"/>
    <w:rsid w:val="009C30D5"/>
    <w:rsid w:val="009C319A"/>
    <w:rsid w:val="009C31CC"/>
    <w:rsid w:val="009C357B"/>
    <w:rsid w:val="009C35B8"/>
    <w:rsid w:val="009C394D"/>
    <w:rsid w:val="009C3D7C"/>
    <w:rsid w:val="009C45E8"/>
    <w:rsid w:val="009C471B"/>
    <w:rsid w:val="009C4BE7"/>
    <w:rsid w:val="009C4CED"/>
    <w:rsid w:val="009C4D31"/>
    <w:rsid w:val="009C5176"/>
    <w:rsid w:val="009C52C5"/>
    <w:rsid w:val="009C544C"/>
    <w:rsid w:val="009C56E8"/>
    <w:rsid w:val="009C5703"/>
    <w:rsid w:val="009C5886"/>
    <w:rsid w:val="009C5E77"/>
    <w:rsid w:val="009C61F0"/>
    <w:rsid w:val="009C63A8"/>
    <w:rsid w:val="009C6442"/>
    <w:rsid w:val="009C653F"/>
    <w:rsid w:val="009C69D1"/>
    <w:rsid w:val="009C6C05"/>
    <w:rsid w:val="009C6C20"/>
    <w:rsid w:val="009C712E"/>
    <w:rsid w:val="009C72C7"/>
    <w:rsid w:val="009C735C"/>
    <w:rsid w:val="009C7464"/>
    <w:rsid w:val="009C7812"/>
    <w:rsid w:val="009C7A7E"/>
    <w:rsid w:val="009C7BDA"/>
    <w:rsid w:val="009C7C5A"/>
    <w:rsid w:val="009D0106"/>
    <w:rsid w:val="009D01C9"/>
    <w:rsid w:val="009D0243"/>
    <w:rsid w:val="009D02E8"/>
    <w:rsid w:val="009D0394"/>
    <w:rsid w:val="009D03E2"/>
    <w:rsid w:val="009D03EA"/>
    <w:rsid w:val="009D06D5"/>
    <w:rsid w:val="009D074E"/>
    <w:rsid w:val="009D08C8"/>
    <w:rsid w:val="009D0951"/>
    <w:rsid w:val="009D0A6B"/>
    <w:rsid w:val="009D0BFC"/>
    <w:rsid w:val="009D0C60"/>
    <w:rsid w:val="009D161B"/>
    <w:rsid w:val="009D173D"/>
    <w:rsid w:val="009D23BD"/>
    <w:rsid w:val="009D2401"/>
    <w:rsid w:val="009D244A"/>
    <w:rsid w:val="009D2472"/>
    <w:rsid w:val="009D2978"/>
    <w:rsid w:val="009D32D3"/>
    <w:rsid w:val="009D339E"/>
    <w:rsid w:val="009D4330"/>
    <w:rsid w:val="009D4487"/>
    <w:rsid w:val="009D4BF1"/>
    <w:rsid w:val="009D51D0"/>
    <w:rsid w:val="009D5439"/>
    <w:rsid w:val="009D5491"/>
    <w:rsid w:val="009D5AC3"/>
    <w:rsid w:val="009D5BE4"/>
    <w:rsid w:val="009D703F"/>
    <w:rsid w:val="009D70A4"/>
    <w:rsid w:val="009D7239"/>
    <w:rsid w:val="009D74CD"/>
    <w:rsid w:val="009D74ED"/>
    <w:rsid w:val="009D7615"/>
    <w:rsid w:val="009D762E"/>
    <w:rsid w:val="009D7860"/>
    <w:rsid w:val="009D796A"/>
    <w:rsid w:val="009D7B14"/>
    <w:rsid w:val="009D7DF8"/>
    <w:rsid w:val="009D7F16"/>
    <w:rsid w:val="009D7F59"/>
    <w:rsid w:val="009E0642"/>
    <w:rsid w:val="009E08D1"/>
    <w:rsid w:val="009E0B64"/>
    <w:rsid w:val="009E0BCF"/>
    <w:rsid w:val="009E0D96"/>
    <w:rsid w:val="009E0FD3"/>
    <w:rsid w:val="009E14C8"/>
    <w:rsid w:val="009E1588"/>
    <w:rsid w:val="009E1B95"/>
    <w:rsid w:val="009E1D3D"/>
    <w:rsid w:val="009E1EF8"/>
    <w:rsid w:val="009E1FCB"/>
    <w:rsid w:val="009E2A21"/>
    <w:rsid w:val="009E2BA4"/>
    <w:rsid w:val="009E2CCF"/>
    <w:rsid w:val="009E2D1D"/>
    <w:rsid w:val="009E2E01"/>
    <w:rsid w:val="009E31C9"/>
    <w:rsid w:val="009E31FC"/>
    <w:rsid w:val="009E3311"/>
    <w:rsid w:val="009E3525"/>
    <w:rsid w:val="009E3778"/>
    <w:rsid w:val="009E39F3"/>
    <w:rsid w:val="009E3A59"/>
    <w:rsid w:val="009E47EC"/>
    <w:rsid w:val="009E496F"/>
    <w:rsid w:val="009E4B0D"/>
    <w:rsid w:val="009E4D2B"/>
    <w:rsid w:val="009E4E9E"/>
    <w:rsid w:val="009E5250"/>
    <w:rsid w:val="009E5586"/>
    <w:rsid w:val="009E5D66"/>
    <w:rsid w:val="009E619E"/>
    <w:rsid w:val="009E6234"/>
    <w:rsid w:val="009E6339"/>
    <w:rsid w:val="009E6D44"/>
    <w:rsid w:val="009E6E67"/>
    <w:rsid w:val="009E6EEA"/>
    <w:rsid w:val="009E7255"/>
    <w:rsid w:val="009E7957"/>
    <w:rsid w:val="009E7A02"/>
    <w:rsid w:val="009E7A69"/>
    <w:rsid w:val="009E7C38"/>
    <w:rsid w:val="009E7F92"/>
    <w:rsid w:val="009F0059"/>
    <w:rsid w:val="009F01E2"/>
    <w:rsid w:val="009F02A3"/>
    <w:rsid w:val="009F14D0"/>
    <w:rsid w:val="009F1D77"/>
    <w:rsid w:val="009F1F85"/>
    <w:rsid w:val="009F2182"/>
    <w:rsid w:val="009F2862"/>
    <w:rsid w:val="009F2940"/>
    <w:rsid w:val="009F2B59"/>
    <w:rsid w:val="009F2F27"/>
    <w:rsid w:val="009F3298"/>
    <w:rsid w:val="009F34AA"/>
    <w:rsid w:val="009F3712"/>
    <w:rsid w:val="009F37EB"/>
    <w:rsid w:val="009F3CD9"/>
    <w:rsid w:val="009F42BD"/>
    <w:rsid w:val="009F442E"/>
    <w:rsid w:val="009F4A88"/>
    <w:rsid w:val="009F572B"/>
    <w:rsid w:val="009F5B85"/>
    <w:rsid w:val="009F6653"/>
    <w:rsid w:val="009F6781"/>
    <w:rsid w:val="009F6A71"/>
    <w:rsid w:val="009F6BCB"/>
    <w:rsid w:val="009F6C47"/>
    <w:rsid w:val="009F72BE"/>
    <w:rsid w:val="009F7616"/>
    <w:rsid w:val="009F78DE"/>
    <w:rsid w:val="009F795C"/>
    <w:rsid w:val="009F7A09"/>
    <w:rsid w:val="009F7B78"/>
    <w:rsid w:val="00A00386"/>
    <w:rsid w:val="00A004EF"/>
    <w:rsid w:val="00A0057A"/>
    <w:rsid w:val="00A005A8"/>
    <w:rsid w:val="00A00881"/>
    <w:rsid w:val="00A00A70"/>
    <w:rsid w:val="00A00B22"/>
    <w:rsid w:val="00A00E14"/>
    <w:rsid w:val="00A00EAE"/>
    <w:rsid w:val="00A00F44"/>
    <w:rsid w:val="00A012E7"/>
    <w:rsid w:val="00A01949"/>
    <w:rsid w:val="00A0230E"/>
    <w:rsid w:val="00A02708"/>
    <w:rsid w:val="00A028C2"/>
    <w:rsid w:val="00A02C25"/>
    <w:rsid w:val="00A02FA1"/>
    <w:rsid w:val="00A03494"/>
    <w:rsid w:val="00A03760"/>
    <w:rsid w:val="00A038BA"/>
    <w:rsid w:val="00A0398A"/>
    <w:rsid w:val="00A0407C"/>
    <w:rsid w:val="00A042D7"/>
    <w:rsid w:val="00A042E8"/>
    <w:rsid w:val="00A04573"/>
    <w:rsid w:val="00A04848"/>
    <w:rsid w:val="00A0491A"/>
    <w:rsid w:val="00A04B4D"/>
    <w:rsid w:val="00A04CCE"/>
    <w:rsid w:val="00A04EB0"/>
    <w:rsid w:val="00A04F2B"/>
    <w:rsid w:val="00A0557D"/>
    <w:rsid w:val="00A05778"/>
    <w:rsid w:val="00A05A64"/>
    <w:rsid w:val="00A05AD8"/>
    <w:rsid w:val="00A05B27"/>
    <w:rsid w:val="00A05D26"/>
    <w:rsid w:val="00A0658F"/>
    <w:rsid w:val="00A067AD"/>
    <w:rsid w:val="00A06875"/>
    <w:rsid w:val="00A06CA4"/>
    <w:rsid w:val="00A06E03"/>
    <w:rsid w:val="00A070EA"/>
    <w:rsid w:val="00A07421"/>
    <w:rsid w:val="00A0776B"/>
    <w:rsid w:val="00A078FE"/>
    <w:rsid w:val="00A07A0F"/>
    <w:rsid w:val="00A07F34"/>
    <w:rsid w:val="00A1024B"/>
    <w:rsid w:val="00A102EE"/>
    <w:rsid w:val="00A10402"/>
    <w:rsid w:val="00A10495"/>
    <w:rsid w:val="00A10A3F"/>
    <w:rsid w:val="00A10FB9"/>
    <w:rsid w:val="00A11112"/>
    <w:rsid w:val="00A11421"/>
    <w:rsid w:val="00A1148E"/>
    <w:rsid w:val="00A1169A"/>
    <w:rsid w:val="00A117CA"/>
    <w:rsid w:val="00A11B3F"/>
    <w:rsid w:val="00A11E03"/>
    <w:rsid w:val="00A1287F"/>
    <w:rsid w:val="00A129EC"/>
    <w:rsid w:val="00A12B44"/>
    <w:rsid w:val="00A12FB2"/>
    <w:rsid w:val="00A13079"/>
    <w:rsid w:val="00A131C0"/>
    <w:rsid w:val="00A1334C"/>
    <w:rsid w:val="00A1389F"/>
    <w:rsid w:val="00A13B7A"/>
    <w:rsid w:val="00A13B9C"/>
    <w:rsid w:val="00A13D20"/>
    <w:rsid w:val="00A13EDA"/>
    <w:rsid w:val="00A14036"/>
    <w:rsid w:val="00A142DD"/>
    <w:rsid w:val="00A143AA"/>
    <w:rsid w:val="00A149C0"/>
    <w:rsid w:val="00A14D9F"/>
    <w:rsid w:val="00A14FBF"/>
    <w:rsid w:val="00A15166"/>
    <w:rsid w:val="00A1564A"/>
    <w:rsid w:val="00A157B1"/>
    <w:rsid w:val="00A158B3"/>
    <w:rsid w:val="00A1622B"/>
    <w:rsid w:val="00A16A02"/>
    <w:rsid w:val="00A16C40"/>
    <w:rsid w:val="00A172AE"/>
    <w:rsid w:val="00A17386"/>
    <w:rsid w:val="00A17569"/>
    <w:rsid w:val="00A176A2"/>
    <w:rsid w:val="00A17FCD"/>
    <w:rsid w:val="00A203ED"/>
    <w:rsid w:val="00A2043C"/>
    <w:rsid w:val="00A20630"/>
    <w:rsid w:val="00A206B0"/>
    <w:rsid w:val="00A207C5"/>
    <w:rsid w:val="00A20B68"/>
    <w:rsid w:val="00A20D24"/>
    <w:rsid w:val="00A20EBF"/>
    <w:rsid w:val="00A20F89"/>
    <w:rsid w:val="00A210C7"/>
    <w:rsid w:val="00A21147"/>
    <w:rsid w:val="00A214AC"/>
    <w:rsid w:val="00A217CB"/>
    <w:rsid w:val="00A218EE"/>
    <w:rsid w:val="00A21959"/>
    <w:rsid w:val="00A219F0"/>
    <w:rsid w:val="00A22021"/>
    <w:rsid w:val="00A22229"/>
    <w:rsid w:val="00A22293"/>
    <w:rsid w:val="00A2244D"/>
    <w:rsid w:val="00A226AB"/>
    <w:rsid w:val="00A2303E"/>
    <w:rsid w:val="00A231B1"/>
    <w:rsid w:val="00A237F6"/>
    <w:rsid w:val="00A23F57"/>
    <w:rsid w:val="00A24442"/>
    <w:rsid w:val="00A248C1"/>
    <w:rsid w:val="00A24A81"/>
    <w:rsid w:val="00A24ADA"/>
    <w:rsid w:val="00A2569A"/>
    <w:rsid w:val="00A258DA"/>
    <w:rsid w:val="00A25C3F"/>
    <w:rsid w:val="00A25CF8"/>
    <w:rsid w:val="00A25D0B"/>
    <w:rsid w:val="00A25DA4"/>
    <w:rsid w:val="00A269A4"/>
    <w:rsid w:val="00A26A09"/>
    <w:rsid w:val="00A26A98"/>
    <w:rsid w:val="00A26C37"/>
    <w:rsid w:val="00A26CCE"/>
    <w:rsid w:val="00A26E4B"/>
    <w:rsid w:val="00A27122"/>
    <w:rsid w:val="00A27154"/>
    <w:rsid w:val="00A272FD"/>
    <w:rsid w:val="00A2739B"/>
    <w:rsid w:val="00A275BA"/>
    <w:rsid w:val="00A2765E"/>
    <w:rsid w:val="00A279F2"/>
    <w:rsid w:val="00A27AD2"/>
    <w:rsid w:val="00A27D64"/>
    <w:rsid w:val="00A27F76"/>
    <w:rsid w:val="00A27F79"/>
    <w:rsid w:val="00A30357"/>
    <w:rsid w:val="00A307C9"/>
    <w:rsid w:val="00A30873"/>
    <w:rsid w:val="00A3099D"/>
    <w:rsid w:val="00A30D08"/>
    <w:rsid w:val="00A30F73"/>
    <w:rsid w:val="00A31032"/>
    <w:rsid w:val="00A31266"/>
    <w:rsid w:val="00A315B8"/>
    <w:rsid w:val="00A31C1F"/>
    <w:rsid w:val="00A32159"/>
    <w:rsid w:val="00A32577"/>
    <w:rsid w:val="00A32867"/>
    <w:rsid w:val="00A32E84"/>
    <w:rsid w:val="00A330BB"/>
    <w:rsid w:val="00A33741"/>
    <w:rsid w:val="00A33A40"/>
    <w:rsid w:val="00A34CD1"/>
    <w:rsid w:val="00A3525A"/>
    <w:rsid w:val="00A35592"/>
    <w:rsid w:val="00A3597B"/>
    <w:rsid w:val="00A35F40"/>
    <w:rsid w:val="00A365DC"/>
    <w:rsid w:val="00A36635"/>
    <w:rsid w:val="00A36B45"/>
    <w:rsid w:val="00A36DCD"/>
    <w:rsid w:val="00A3700C"/>
    <w:rsid w:val="00A3702D"/>
    <w:rsid w:val="00A37A12"/>
    <w:rsid w:val="00A37A8C"/>
    <w:rsid w:val="00A37C07"/>
    <w:rsid w:val="00A40009"/>
    <w:rsid w:val="00A403FB"/>
    <w:rsid w:val="00A407BF"/>
    <w:rsid w:val="00A4099B"/>
    <w:rsid w:val="00A413A5"/>
    <w:rsid w:val="00A41490"/>
    <w:rsid w:val="00A419B6"/>
    <w:rsid w:val="00A41B45"/>
    <w:rsid w:val="00A42073"/>
    <w:rsid w:val="00A426E5"/>
    <w:rsid w:val="00A4270B"/>
    <w:rsid w:val="00A42879"/>
    <w:rsid w:val="00A429A8"/>
    <w:rsid w:val="00A42A2D"/>
    <w:rsid w:val="00A42F74"/>
    <w:rsid w:val="00A43A31"/>
    <w:rsid w:val="00A43EE9"/>
    <w:rsid w:val="00A44088"/>
    <w:rsid w:val="00A440AD"/>
    <w:rsid w:val="00A4422F"/>
    <w:rsid w:val="00A444BE"/>
    <w:rsid w:val="00A446F5"/>
    <w:rsid w:val="00A44882"/>
    <w:rsid w:val="00A449ED"/>
    <w:rsid w:val="00A44AFD"/>
    <w:rsid w:val="00A44E97"/>
    <w:rsid w:val="00A44F47"/>
    <w:rsid w:val="00A44F7B"/>
    <w:rsid w:val="00A44F98"/>
    <w:rsid w:val="00A450EF"/>
    <w:rsid w:val="00A45125"/>
    <w:rsid w:val="00A45367"/>
    <w:rsid w:val="00A45402"/>
    <w:rsid w:val="00A45DE3"/>
    <w:rsid w:val="00A46676"/>
    <w:rsid w:val="00A46A3F"/>
    <w:rsid w:val="00A46AEC"/>
    <w:rsid w:val="00A47281"/>
    <w:rsid w:val="00A473B5"/>
    <w:rsid w:val="00A47993"/>
    <w:rsid w:val="00A47CC4"/>
    <w:rsid w:val="00A5031E"/>
    <w:rsid w:val="00A5048B"/>
    <w:rsid w:val="00A50582"/>
    <w:rsid w:val="00A50659"/>
    <w:rsid w:val="00A506B6"/>
    <w:rsid w:val="00A50772"/>
    <w:rsid w:val="00A507CA"/>
    <w:rsid w:val="00A50BE9"/>
    <w:rsid w:val="00A50BFF"/>
    <w:rsid w:val="00A51161"/>
    <w:rsid w:val="00A51337"/>
    <w:rsid w:val="00A51834"/>
    <w:rsid w:val="00A51867"/>
    <w:rsid w:val="00A5202E"/>
    <w:rsid w:val="00A526B6"/>
    <w:rsid w:val="00A528F7"/>
    <w:rsid w:val="00A53068"/>
    <w:rsid w:val="00A531FC"/>
    <w:rsid w:val="00A53550"/>
    <w:rsid w:val="00A53C23"/>
    <w:rsid w:val="00A53DAA"/>
    <w:rsid w:val="00A53FED"/>
    <w:rsid w:val="00A545A4"/>
    <w:rsid w:val="00A545E0"/>
    <w:rsid w:val="00A54715"/>
    <w:rsid w:val="00A54BFB"/>
    <w:rsid w:val="00A55793"/>
    <w:rsid w:val="00A55EFF"/>
    <w:rsid w:val="00A56401"/>
    <w:rsid w:val="00A5657A"/>
    <w:rsid w:val="00A56BD2"/>
    <w:rsid w:val="00A56FC3"/>
    <w:rsid w:val="00A573A0"/>
    <w:rsid w:val="00A57A26"/>
    <w:rsid w:val="00A57B01"/>
    <w:rsid w:val="00A57B6A"/>
    <w:rsid w:val="00A57D56"/>
    <w:rsid w:val="00A60370"/>
    <w:rsid w:val="00A60479"/>
    <w:rsid w:val="00A604CC"/>
    <w:rsid w:val="00A6061C"/>
    <w:rsid w:val="00A60786"/>
    <w:rsid w:val="00A60849"/>
    <w:rsid w:val="00A60C2B"/>
    <w:rsid w:val="00A60DDE"/>
    <w:rsid w:val="00A61551"/>
    <w:rsid w:val="00A62072"/>
    <w:rsid w:val="00A62469"/>
    <w:rsid w:val="00A624E1"/>
    <w:rsid w:val="00A62649"/>
    <w:rsid w:val="00A629B1"/>
    <w:rsid w:val="00A62D44"/>
    <w:rsid w:val="00A63573"/>
    <w:rsid w:val="00A63869"/>
    <w:rsid w:val="00A63872"/>
    <w:rsid w:val="00A63A38"/>
    <w:rsid w:val="00A63D48"/>
    <w:rsid w:val="00A64189"/>
    <w:rsid w:val="00A64572"/>
    <w:rsid w:val="00A647B7"/>
    <w:rsid w:val="00A647E7"/>
    <w:rsid w:val="00A65187"/>
    <w:rsid w:val="00A651B4"/>
    <w:rsid w:val="00A65791"/>
    <w:rsid w:val="00A65995"/>
    <w:rsid w:val="00A65D05"/>
    <w:rsid w:val="00A65E88"/>
    <w:rsid w:val="00A65E9F"/>
    <w:rsid w:val="00A65FA3"/>
    <w:rsid w:val="00A660E0"/>
    <w:rsid w:val="00A66A96"/>
    <w:rsid w:val="00A66AD6"/>
    <w:rsid w:val="00A66BCF"/>
    <w:rsid w:val="00A66D4D"/>
    <w:rsid w:val="00A66E97"/>
    <w:rsid w:val="00A6712C"/>
    <w:rsid w:val="00A67256"/>
    <w:rsid w:val="00A67263"/>
    <w:rsid w:val="00A67359"/>
    <w:rsid w:val="00A67432"/>
    <w:rsid w:val="00A67651"/>
    <w:rsid w:val="00A67666"/>
    <w:rsid w:val="00A67B23"/>
    <w:rsid w:val="00A703DD"/>
    <w:rsid w:val="00A705DE"/>
    <w:rsid w:val="00A70636"/>
    <w:rsid w:val="00A706A1"/>
    <w:rsid w:val="00A70886"/>
    <w:rsid w:val="00A7161C"/>
    <w:rsid w:val="00A71A04"/>
    <w:rsid w:val="00A71C22"/>
    <w:rsid w:val="00A71CE4"/>
    <w:rsid w:val="00A71D4F"/>
    <w:rsid w:val="00A71E47"/>
    <w:rsid w:val="00A7213F"/>
    <w:rsid w:val="00A72257"/>
    <w:rsid w:val="00A72600"/>
    <w:rsid w:val="00A72692"/>
    <w:rsid w:val="00A72780"/>
    <w:rsid w:val="00A72A38"/>
    <w:rsid w:val="00A72F32"/>
    <w:rsid w:val="00A730DB"/>
    <w:rsid w:val="00A734B4"/>
    <w:rsid w:val="00A735AE"/>
    <w:rsid w:val="00A7376D"/>
    <w:rsid w:val="00A73C5E"/>
    <w:rsid w:val="00A7409C"/>
    <w:rsid w:val="00A74516"/>
    <w:rsid w:val="00A74622"/>
    <w:rsid w:val="00A74919"/>
    <w:rsid w:val="00A751A1"/>
    <w:rsid w:val="00A751E0"/>
    <w:rsid w:val="00A752B5"/>
    <w:rsid w:val="00A75A76"/>
    <w:rsid w:val="00A75BD9"/>
    <w:rsid w:val="00A75F78"/>
    <w:rsid w:val="00A762E8"/>
    <w:rsid w:val="00A76AA8"/>
    <w:rsid w:val="00A76BAC"/>
    <w:rsid w:val="00A76CD6"/>
    <w:rsid w:val="00A76D81"/>
    <w:rsid w:val="00A76FD5"/>
    <w:rsid w:val="00A770A8"/>
    <w:rsid w:val="00A7728B"/>
    <w:rsid w:val="00A773B8"/>
    <w:rsid w:val="00A7746E"/>
    <w:rsid w:val="00A77719"/>
    <w:rsid w:val="00A77765"/>
    <w:rsid w:val="00A77A4B"/>
    <w:rsid w:val="00A77AA3"/>
    <w:rsid w:val="00A77D92"/>
    <w:rsid w:val="00A80708"/>
    <w:rsid w:val="00A81049"/>
    <w:rsid w:val="00A818B6"/>
    <w:rsid w:val="00A81927"/>
    <w:rsid w:val="00A8206F"/>
    <w:rsid w:val="00A8219C"/>
    <w:rsid w:val="00A8236D"/>
    <w:rsid w:val="00A82549"/>
    <w:rsid w:val="00A826F9"/>
    <w:rsid w:val="00A82743"/>
    <w:rsid w:val="00A82B9C"/>
    <w:rsid w:val="00A82D0E"/>
    <w:rsid w:val="00A82E4F"/>
    <w:rsid w:val="00A84496"/>
    <w:rsid w:val="00A845CD"/>
    <w:rsid w:val="00A84ED3"/>
    <w:rsid w:val="00A84F7A"/>
    <w:rsid w:val="00A851B0"/>
    <w:rsid w:val="00A8528C"/>
    <w:rsid w:val="00A852EF"/>
    <w:rsid w:val="00A8539B"/>
    <w:rsid w:val="00A853C0"/>
    <w:rsid w:val="00A854EB"/>
    <w:rsid w:val="00A85EAD"/>
    <w:rsid w:val="00A864A4"/>
    <w:rsid w:val="00A86903"/>
    <w:rsid w:val="00A86C3B"/>
    <w:rsid w:val="00A872E5"/>
    <w:rsid w:val="00A872F1"/>
    <w:rsid w:val="00A874CA"/>
    <w:rsid w:val="00A877CA"/>
    <w:rsid w:val="00A87A4F"/>
    <w:rsid w:val="00A87AD4"/>
    <w:rsid w:val="00A87DB7"/>
    <w:rsid w:val="00A9000E"/>
    <w:rsid w:val="00A904E5"/>
    <w:rsid w:val="00A906F4"/>
    <w:rsid w:val="00A9080E"/>
    <w:rsid w:val="00A90C02"/>
    <w:rsid w:val="00A90E00"/>
    <w:rsid w:val="00A91372"/>
    <w:rsid w:val="00A91406"/>
    <w:rsid w:val="00A919CA"/>
    <w:rsid w:val="00A91ACF"/>
    <w:rsid w:val="00A91E3B"/>
    <w:rsid w:val="00A920CE"/>
    <w:rsid w:val="00A924D3"/>
    <w:rsid w:val="00A9250C"/>
    <w:rsid w:val="00A928A3"/>
    <w:rsid w:val="00A929AA"/>
    <w:rsid w:val="00A92E53"/>
    <w:rsid w:val="00A93407"/>
    <w:rsid w:val="00A9368B"/>
    <w:rsid w:val="00A937BD"/>
    <w:rsid w:val="00A93897"/>
    <w:rsid w:val="00A940DE"/>
    <w:rsid w:val="00A941C3"/>
    <w:rsid w:val="00A943B1"/>
    <w:rsid w:val="00A9462F"/>
    <w:rsid w:val="00A94EF8"/>
    <w:rsid w:val="00A9525E"/>
    <w:rsid w:val="00A9575C"/>
    <w:rsid w:val="00A96627"/>
    <w:rsid w:val="00A96759"/>
    <w:rsid w:val="00A96862"/>
    <w:rsid w:val="00A96985"/>
    <w:rsid w:val="00A969F3"/>
    <w:rsid w:val="00A96B2D"/>
    <w:rsid w:val="00A96B8F"/>
    <w:rsid w:val="00A96B9B"/>
    <w:rsid w:val="00A96E0E"/>
    <w:rsid w:val="00A96E65"/>
    <w:rsid w:val="00A96ECE"/>
    <w:rsid w:val="00A97010"/>
    <w:rsid w:val="00A97156"/>
    <w:rsid w:val="00A97173"/>
    <w:rsid w:val="00A97335"/>
    <w:rsid w:val="00A97685"/>
    <w:rsid w:val="00A97999"/>
    <w:rsid w:val="00A97C11"/>
    <w:rsid w:val="00A97C72"/>
    <w:rsid w:val="00AA0091"/>
    <w:rsid w:val="00AA00B0"/>
    <w:rsid w:val="00AA05E3"/>
    <w:rsid w:val="00AA05FF"/>
    <w:rsid w:val="00AA0835"/>
    <w:rsid w:val="00AA0986"/>
    <w:rsid w:val="00AA0DE0"/>
    <w:rsid w:val="00AA0E38"/>
    <w:rsid w:val="00AA122F"/>
    <w:rsid w:val="00AA124F"/>
    <w:rsid w:val="00AA1626"/>
    <w:rsid w:val="00AA198E"/>
    <w:rsid w:val="00AA1C5C"/>
    <w:rsid w:val="00AA2046"/>
    <w:rsid w:val="00AA22C5"/>
    <w:rsid w:val="00AA24EF"/>
    <w:rsid w:val="00AA2659"/>
    <w:rsid w:val="00AA29FA"/>
    <w:rsid w:val="00AA2A73"/>
    <w:rsid w:val="00AA2B3A"/>
    <w:rsid w:val="00AA2BA0"/>
    <w:rsid w:val="00AA2CB4"/>
    <w:rsid w:val="00AA30A7"/>
    <w:rsid w:val="00AA30BB"/>
    <w:rsid w:val="00AA310B"/>
    <w:rsid w:val="00AA388A"/>
    <w:rsid w:val="00AA39AD"/>
    <w:rsid w:val="00AA3EFD"/>
    <w:rsid w:val="00AA46B5"/>
    <w:rsid w:val="00AA476D"/>
    <w:rsid w:val="00AA4D18"/>
    <w:rsid w:val="00AA4EB7"/>
    <w:rsid w:val="00AA53D2"/>
    <w:rsid w:val="00AA5467"/>
    <w:rsid w:val="00AA5666"/>
    <w:rsid w:val="00AA56EF"/>
    <w:rsid w:val="00AA57BF"/>
    <w:rsid w:val="00AA5BA3"/>
    <w:rsid w:val="00AA63D4"/>
    <w:rsid w:val="00AA6D6E"/>
    <w:rsid w:val="00AA6DBA"/>
    <w:rsid w:val="00AA7268"/>
    <w:rsid w:val="00AA7481"/>
    <w:rsid w:val="00AA78DD"/>
    <w:rsid w:val="00AA7D32"/>
    <w:rsid w:val="00AB0273"/>
    <w:rsid w:val="00AB06E8"/>
    <w:rsid w:val="00AB0723"/>
    <w:rsid w:val="00AB0890"/>
    <w:rsid w:val="00AB0CEB"/>
    <w:rsid w:val="00AB0E92"/>
    <w:rsid w:val="00AB126E"/>
    <w:rsid w:val="00AB127D"/>
    <w:rsid w:val="00AB1293"/>
    <w:rsid w:val="00AB13DF"/>
    <w:rsid w:val="00AB169F"/>
    <w:rsid w:val="00AB18A1"/>
    <w:rsid w:val="00AB1CD3"/>
    <w:rsid w:val="00AB1D30"/>
    <w:rsid w:val="00AB231E"/>
    <w:rsid w:val="00AB2467"/>
    <w:rsid w:val="00AB26E8"/>
    <w:rsid w:val="00AB2703"/>
    <w:rsid w:val="00AB2846"/>
    <w:rsid w:val="00AB2C11"/>
    <w:rsid w:val="00AB2F3D"/>
    <w:rsid w:val="00AB2FC1"/>
    <w:rsid w:val="00AB34BD"/>
    <w:rsid w:val="00AB352F"/>
    <w:rsid w:val="00AB39AD"/>
    <w:rsid w:val="00AB3A86"/>
    <w:rsid w:val="00AB3B04"/>
    <w:rsid w:val="00AB3BA6"/>
    <w:rsid w:val="00AB417C"/>
    <w:rsid w:val="00AB4922"/>
    <w:rsid w:val="00AB4CD1"/>
    <w:rsid w:val="00AB4E0F"/>
    <w:rsid w:val="00AB4E57"/>
    <w:rsid w:val="00AB4EC5"/>
    <w:rsid w:val="00AB55EA"/>
    <w:rsid w:val="00AB561E"/>
    <w:rsid w:val="00AB587F"/>
    <w:rsid w:val="00AB5B55"/>
    <w:rsid w:val="00AB6087"/>
    <w:rsid w:val="00AB6376"/>
    <w:rsid w:val="00AB642A"/>
    <w:rsid w:val="00AB6D5A"/>
    <w:rsid w:val="00AB6FB6"/>
    <w:rsid w:val="00AB70E1"/>
    <w:rsid w:val="00AB7274"/>
    <w:rsid w:val="00AB760C"/>
    <w:rsid w:val="00AB761A"/>
    <w:rsid w:val="00AB7756"/>
    <w:rsid w:val="00AB7A89"/>
    <w:rsid w:val="00AC024A"/>
    <w:rsid w:val="00AC1491"/>
    <w:rsid w:val="00AC1A93"/>
    <w:rsid w:val="00AC1AA6"/>
    <w:rsid w:val="00AC1AC0"/>
    <w:rsid w:val="00AC209A"/>
    <w:rsid w:val="00AC246E"/>
    <w:rsid w:val="00AC264E"/>
    <w:rsid w:val="00AC26AA"/>
    <w:rsid w:val="00AC2740"/>
    <w:rsid w:val="00AC274B"/>
    <w:rsid w:val="00AC2E7B"/>
    <w:rsid w:val="00AC3326"/>
    <w:rsid w:val="00AC3A12"/>
    <w:rsid w:val="00AC3BBF"/>
    <w:rsid w:val="00AC3F09"/>
    <w:rsid w:val="00AC42D0"/>
    <w:rsid w:val="00AC440F"/>
    <w:rsid w:val="00AC4637"/>
    <w:rsid w:val="00AC4764"/>
    <w:rsid w:val="00AC47EA"/>
    <w:rsid w:val="00AC490F"/>
    <w:rsid w:val="00AC4F57"/>
    <w:rsid w:val="00AC4FDF"/>
    <w:rsid w:val="00AC5198"/>
    <w:rsid w:val="00AC5287"/>
    <w:rsid w:val="00AC52D2"/>
    <w:rsid w:val="00AC5ACC"/>
    <w:rsid w:val="00AC5B21"/>
    <w:rsid w:val="00AC5F1D"/>
    <w:rsid w:val="00AC64A0"/>
    <w:rsid w:val="00AC68A2"/>
    <w:rsid w:val="00AC69D4"/>
    <w:rsid w:val="00AC6A28"/>
    <w:rsid w:val="00AC6B01"/>
    <w:rsid w:val="00AC6C28"/>
    <w:rsid w:val="00AC6D36"/>
    <w:rsid w:val="00AC6E50"/>
    <w:rsid w:val="00AC708F"/>
    <w:rsid w:val="00AC730B"/>
    <w:rsid w:val="00AC756C"/>
    <w:rsid w:val="00AC78C9"/>
    <w:rsid w:val="00AC796A"/>
    <w:rsid w:val="00AC7C75"/>
    <w:rsid w:val="00AD0762"/>
    <w:rsid w:val="00AD0AED"/>
    <w:rsid w:val="00AD0B4D"/>
    <w:rsid w:val="00AD0CBA"/>
    <w:rsid w:val="00AD0E95"/>
    <w:rsid w:val="00AD0EED"/>
    <w:rsid w:val="00AD1761"/>
    <w:rsid w:val="00AD196E"/>
    <w:rsid w:val="00AD1E42"/>
    <w:rsid w:val="00AD1FAD"/>
    <w:rsid w:val="00AD26E2"/>
    <w:rsid w:val="00AD271B"/>
    <w:rsid w:val="00AD276F"/>
    <w:rsid w:val="00AD27BE"/>
    <w:rsid w:val="00AD2820"/>
    <w:rsid w:val="00AD29B2"/>
    <w:rsid w:val="00AD29B3"/>
    <w:rsid w:val="00AD2EF3"/>
    <w:rsid w:val="00AD33A6"/>
    <w:rsid w:val="00AD3762"/>
    <w:rsid w:val="00AD39B1"/>
    <w:rsid w:val="00AD3E3A"/>
    <w:rsid w:val="00AD43A5"/>
    <w:rsid w:val="00AD460A"/>
    <w:rsid w:val="00AD4A0F"/>
    <w:rsid w:val="00AD4C02"/>
    <w:rsid w:val="00AD4C45"/>
    <w:rsid w:val="00AD5327"/>
    <w:rsid w:val="00AD53EA"/>
    <w:rsid w:val="00AD5470"/>
    <w:rsid w:val="00AD54C1"/>
    <w:rsid w:val="00AD55A4"/>
    <w:rsid w:val="00AD5A06"/>
    <w:rsid w:val="00AD5B46"/>
    <w:rsid w:val="00AD5BE7"/>
    <w:rsid w:val="00AD5DB8"/>
    <w:rsid w:val="00AD6247"/>
    <w:rsid w:val="00AD64F6"/>
    <w:rsid w:val="00AD750E"/>
    <w:rsid w:val="00AD784C"/>
    <w:rsid w:val="00AD7CFE"/>
    <w:rsid w:val="00AD7E23"/>
    <w:rsid w:val="00AD7E6E"/>
    <w:rsid w:val="00AE05B7"/>
    <w:rsid w:val="00AE0962"/>
    <w:rsid w:val="00AE11B5"/>
    <w:rsid w:val="00AE126A"/>
    <w:rsid w:val="00AE1623"/>
    <w:rsid w:val="00AE185B"/>
    <w:rsid w:val="00AE1BAE"/>
    <w:rsid w:val="00AE1BD2"/>
    <w:rsid w:val="00AE1FB8"/>
    <w:rsid w:val="00AE206E"/>
    <w:rsid w:val="00AE3005"/>
    <w:rsid w:val="00AE32B7"/>
    <w:rsid w:val="00AE3A09"/>
    <w:rsid w:val="00AE3BD5"/>
    <w:rsid w:val="00AE3D6B"/>
    <w:rsid w:val="00AE3E4D"/>
    <w:rsid w:val="00AE419F"/>
    <w:rsid w:val="00AE4623"/>
    <w:rsid w:val="00AE475D"/>
    <w:rsid w:val="00AE47F1"/>
    <w:rsid w:val="00AE4B2A"/>
    <w:rsid w:val="00AE5427"/>
    <w:rsid w:val="00AE57DF"/>
    <w:rsid w:val="00AE59A0"/>
    <w:rsid w:val="00AE59B4"/>
    <w:rsid w:val="00AE5B83"/>
    <w:rsid w:val="00AE6146"/>
    <w:rsid w:val="00AE64DC"/>
    <w:rsid w:val="00AE64EE"/>
    <w:rsid w:val="00AE6528"/>
    <w:rsid w:val="00AE6DE2"/>
    <w:rsid w:val="00AE7299"/>
    <w:rsid w:val="00AE770F"/>
    <w:rsid w:val="00AE7734"/>
    <w:rsid w:val="00AE79A2"/>
    <w:rsid w:val="00AE7C47"/>
    <w:rsid w:val="00AE7EE5"/>
    <w:rsid w:val="00AE7F23"/>
    <w:rsid w:val="00AF0193"/>
    <w:rsid w:val="00AF020D"/>
    <w:rsid w:val="00AF034B"/>
    <w:rsid w:val="00AF0496"/>
    <w:rsid w:val="00AF05FA"/>
    <w:rsid w:val="00AF0B0A"/>
    <w:rsid w:val="00AF0B4B"/>
    <w:rsid w:val="00AF0C57"/>
    <w:rsid w:val="00AF1059"/>
    <w:rsid w:val="00AF1129"/>
    <w:rsid w:val="00AF128F"/>
    <w:rsid w:val="00AF156B"/>
    <w:rsid w:val="00AF18F3"/>
    <w:rsid w:val="00AF25E1"/>
    <w:rsid w:val="00AF26F3"/>
    <w:rsid w:val="00AF29BC"/>
    <w:rsid w:val="00AF2A46"/>
    <w:rsid w:val="00AF2B1A"/>
    <w:rsid w:val="00AF3146"/>
    <w:rsid w:val="00AF35B9"/>
    <w:rsid w:val="00AF39F9"/>
    <w:rsid w:val="00AF3B38"/>
    <w:rsid w:val="00AF3D3E"/>
    <w:rsid w:val="00AF3D9D"/>
    <w:rsid w:val="00AF4637"/>
    <w:rsid w:val="00AF4D10"/>
    <w:rsid w:val="00AF5079"/>
    <w:rsid w:val="00AF56E7"/>
    <w:rsid w:val="00AF5F04"/>
    <w:rsid w:val="00AF5F6E"/>
    <w:rsid w:val="00AF624C"/>
    <w:rsid w:val="00AF63A1"/>
    <w:rsid w:val="00AF67C0"/>
    <w:rsid w:val="00AF6B29"/>
    <w:rsid w:val="00AF6EB1"/>
    <w:rsid w:val="00AF7064"/>
    <w:rsid w:val="00AF714A"/>
    <w:rsid w:val="00AF722E"/>
    <w:rsid w:val="00AF74AF"/>
    <w:rsid w:val="00AF7B55"/>
    <w:rsid w:val="00B000AD"/>
    <w:rsid w:val="00B00672"/>
    <w:rsid w:val="00B00710"/>
    <w:rsid w:val="00B009CB"/>
    <w:rsid w:val="00B00B3E"/>
    <w:rsid w:val="00B00B95"/>
    <w:rsid w:val="00B010BE"/>
    <w:rsid w:val="00B012A2"/>
    <w:rsid w:val="00B01AC8"/>
    <w:rsid w:val="00B01B4D"/>
    <w:rsid w:val="00B01BE4"/>
    <w:rsid w:val="00B02115"/>
    <w:rsid w:val="00B027AB"/>
    <w:rsid w:val="00B03411"/>
    <w:rsid w:val="00B03544"/>
    <w:rsid w:val="00B037E0"/>
    <w:rsid w:val="00B03B43"/>
    <w:rsid w:val="00B04446"/>
    <w:rsid w:val="00B0445B"/>
    <w:rsid w:val="00B04489"/>
    <w:rsid w:val="00B048BA"/>
    <w:rsid w:val="00B049E2"/>
    <w:rsid w:val="00B0507F"/>
    <w:rsid w:val="00B0518C"/>
    <w:rsid w:val="00B057B6"/>
    <w:rsid w:val="00B05B61"/>
    <w:rsid w:val="00B05C26"/>
    <w:rsid w:val="00B05D7B"/>
    <w:rsid w:val="00B06571"/>
    <w:rsid w:val="00B066AE"/>
    <w:rsid w:val="00B06730"/>
    <w:rsid w:val="00B06889"/>
    <w:rsid w:val="00B068BA"/>
    <w:rsid w:val="00B06BC6"/>
    <w:rsid w:val="00B07217"/>
    <w:rsid w:val="00B0733A"/>
    <w:rsid w:val="00B07686"/>
    <w:rsid w:val="00B07759"/>
    <w:rsid w:val="00B0784C"/>
    <w:rsid w:val="00B07D5C"/>
    <w:rsid w:val="00B07FEE"/>
    <w:rsid w:val="00B104ED"/>
    <w:rsid w:val="00B105A1"/>
    <w:rsid w:val="00B10BE5"/>
    <w:rsid w:val="00B10E2E"/>
    <w:rsid w:val="00B10FA6"/>
    <w:rsid w:val="00B11164"/>
    <w:rsid w:val="00B118BB"/>
    <w:rsid w:val="00B11BDE"/>
    <w:rsid w:val="00B11E30"/>
    <w:rsid w:val="00B11E61"/>
    <w:rsid w:val="00B11F16"/>
    <w:rsid w:val="00B11FBA"/>
    <w:rsid w:val="00B1207B"/>
    <w:rsid w:val="00B1231C"/>
    <w:rsid w:val="00B124DF"/>
    <w:rsid w:val="00B1303C"/>
    <w:rsid w:val="00B130BC"/>
    <w:rsid w:val="00B13479"/>
    <w:rsid w:val="00B13851"/>
    <w:rsid w:val="00B13915"/>
    <w:rsid w:val="00B13A2B"/>
    <w:rsid w:val="00B13B1C"/>
    <w:rsid w:val="00B142F5"/>
    <w:rsid w:val="00B14430"/>
    <w:rsid w:val="00B14B5F"/>
    <w:rsid w:val="00B14EFD"/>
    <w:rsid w:val="00B1554D"/>
    <w:rsid w:val="00B155A6"/>
    <w:rsid w:val="00B1590A"/>
    <w:rsid w:val="00B15A7E"/>
    <w:rsid w:val="00B15A92"/>
    <w:rsid w:val="00B15D85"/>
    <w:rsid w:val="00B15DDF"/>
    <w:rsid w:val="00B15F6F"/>
    <w:rsid w:val="00B15FB7"/>
    <w:rsid w:val="00B1613A"/>
    <w:rsid w:val="00B167E0"/>
    <w:rsid w:val="00B16A18"/>
    <w:rsid w:val="00B16EB3"/>
    <w:rsid w:val="00B1722B"/>
    <w:rsid w:val="00B17256"/>
    <w:rsid w:val="00B1767E"/>
    <w:rsid w:val="00B179D6"/>
    <w:rsid w:val="00B17AB5"/>
    <w:rsid w:val="00B2011F"/>
    <w:rsid w:val="00B207F0"/>
    <w:rsid w:val="00B2094C"/>
    <w:rsid w:val="00B20E2A"/>
    <w:rsid w:val="00B21D0C"/>
    <w:rsid w:val="00B21E14"/>
    <w:rsid w:val="00B21E50"/>
    <w:rsid w:val="00B21F90"/>
    <w:rsid w:val="00B2200C"/>
    <w:rsid w:val="00B22291"/>
    <w:rsid w:val="00B223C4"/>
    <w:rsid w:val="00B22970"/>
    <w:rsid w:val="00B22A2E"/>
    <w:rsid w:val="00B22F1C"/>
    <w:rsid w:val="00B23078"/>
    <w:rsid w:val="00B236AA"/>
    <w:rsid w:val="00B239CB"/>
    <w:rsid w:val="00B23CDA"/>
    <w:rsid w:val="00B23EDC"/>
    <w:rsid w:val="00B23F9A"/>
    <w:rsid w:val="00B2417B"/>
    <w:rsid w:val="00B243AF"/>
    <w:rsid w:val="00B24641"/>
    <w:rsid w:val="00B24E6F"/>
    <w:rsid w:val="00B255E2"/>
    <w:rsid w:val="00B25792"/>
    <w:rsid w:val="00B257CC"/>
    <w:rsid w:val="00B25BA8"/>
    <w:rsid w:val="00B25C22"/>
    <w:rsid w:val="00B25DA3"/>
    <w:rsid w:val="00B25E18"/>
    <w:rsid w:val="00B25E6B"/>
    <w:rsid w:val="00B25EEB"/>
    <w:rsid w:val="00B26166"/>
    <w:rsid w:val="00B261BC"/>
    <w:rsid w:val="00B26775"/>
    <w:rsid w:val="00B26C0B"/>
    <w:rsid w:val="00B26CB5"/>
    <w:rsid w:val="00B2727C"/>
    <w:rsid w:val="00B27512"/>
    <w:rsid w:val="00B2752E"/>
    <w:rsid w:val="00B277E0"/>
    <w:rsid w:val="00B27A83"/>
    <w:rsid w:val="00B30039"/>
    <w:rsid w:val="00B307CC"/>
    <w:rsid w:val="00B30A94"/>
    <w:rsid w:val="00B30C3C"/>
    <w:rsid w:val="00B3179E"/>
    <w:rsid w:val="00B319C6"/>
    <w:rsid w:val="00B31CE1"/>
    <w:rsid w:val="00B321AB"/>
    <w:rsid w:val="00B32437"/>
    <w:rsid w:val="00B32610"/>
    <w:rsid w:val="00B326B7"/>
    <w:rsid w:val="00B326D2"/>
    <w:rsid w:val="00B326FA"/>
    <w:rsid w:val="00B33024"/>
    <w:rsid w:val="00B33160"/>
    <w:rsid w:val="00B33248"/>
    <w:rsid w:val="00B332AB"/>
    <w:rsid w:val="00B333E8"/>
    <w:rsid w:val="00B334A2"/>
    <w:rsid w:val="00B33889"/>
    <w:rsid w:val="00B3391A"/>
    <w:rsid w:val="00B343EF"/>
    <w:rsid w:val="00B34A0A"/>
    <w:rsid w:val="00B34B9B"/>
    <w:rsid w:val="00B34C97"/>
    <w:rsid w:val="00B34D01"/>
    <w:rsid w:val="00B34D5F"/>
    <w:rsid w:val="00B34DFA"/>
    <w:rsid w:val="00B34FE9"/>
    <w:rsid w:val="00B35316"/>
    <w:rsid w:val="00B35422"/>
    <w:rsid w:val="00B3588E"/>
    <w:rsid w:val="00B35DD2"/>
    <w:rsid w:val="00B360BA"/>
    <w:rsid w:val="00B36251"/>
    <w:rsid w:val="00B36390"/>
    <w:rsid w:val="00B367FD"/>
    <w:rsid w:val="00B37144"/>
    <w:rsid w:val="00B3769E"/>
    <w:rsid w:val="00B37F8F"/>
    <w:rsid w:val="00B4014D"/>
    <w:rsid w:val="00B401C2"/>
    <w:rsid w:val="00B402AA"/>
    <w:rsid w:val="00B404DE"/>
    <w:rsid w:val="00B4050E"/>
    <w:rsid w:val="00B407F2"/>
    <w:rsid w:val="00B4171F"/>
    <w:rsid w:val="00B4198F"/>
    <w:rsid w:val="00B41A16"/>
    <w:rsid w:val="00B41A21"/>
    <w:rsid w:val="00B41D9E"/>
    <w:rsid w:val="00B41F3D"/>
    <w:rsid w:val="00B42184"/>
    <w:rsid w:val="00B421E2"/>
    <w:rsid w:val="00B4297B"/>
    <w:rsid w:val="00B42A30"/>
    <w:rsid w:val="00B431E8"/>
    <w:rsid w:val="00B4347D"/>
    <w:rsid w:val="00B43640"/>
    <w:rsid w:val="00B43BB7"/>
    <w:rsid w:val="00B43D68"/>
    <w:rsid w:val="00B43F83"/>
    <w:rsid w:val="00B44214"/>
    <w:rsid w:val="00B448AC"/>
    <w:rsid w:val="00B449DB"/>
    <w:rsid w:val="00B44C34"/>
    <w:rsid w:val="00B44D4D"/>
    <w:rsid w:val="00B44E0D"/>
    <w:rsid w:val="00B450DB"/>
    <w:rsid w:val="00B45141"/>
    <w:rsid w:val="00B46016"/>
    <w:rsid w:val="00B468CC"/>
    <w:rsid w:val="00B46AB8"/>
    <w:rsid w:val="00B46C0F"/>
    <w:rsid w:val="00B46DE8"/>
    <w:rsid w:val="00B4714A"/>
    <w:rsid w:val="00B47229"/>
    <w:rsid w:val="00B47474"/>
    <w:rsid w:val="00B4751F"/>
    <w:rsid w:val="00B479B2"/>
    <w:rsid w:val="00B501B5"/>
    <w:rsid w:val="00B50335"/>
    <w:rsid w:val="00B5039D"/>
    <w:rsid w:val="00B503B2"/>
    <w:rsid w:val="00B50533"/>
    <w:rsid w:val="00B505D9"/>
    <w:rsid w:val="00B50AF1"/>
    <w:rsid w:val="00B50EFC"/>
    <w:rsid w:val="00B51551"/>
    <w:rsid w:val="00B5164A"/>
    <w:rsid w:val="00B519CD"/>
    <w:rsid w:val="00B51BEC"/>
    <w:rsid w:val="00B51C4D"/>
    <w:rsid w:val="00B51CFD"/>
    <w:rsid w:val="00B51FF9"/>
    <w:rsid w:val="00B5208E"/>
    <w:rsid w:val="00B520E6"/>
    <w:rsid w:val="00B52551"/>
    <w:rsid w:val="00B52586"/>
    <w:rsid w:val="00B5273A"/>
    <w:rsid w:val="00B52E5D"/>
    <w:rsid w:val="00B5300A"/>
    <w:rsid w:val="00B5307B"/>
    <w:rsid w:val="00B5311F"/>
    <w:rsid w:val="00B532B7"/>
    <w:rsid w:val="00B5357D"/>
    <w:rsid w:val="00B53973"/>
    <w:rsid w:val="00B539F9"/>
    <w:rsid w:val="00B53A15"/>
    <w:rsid w:val="00B53BFC"/>
    <w:rsid w:val="00B53EF9"/>
    <w:rsid w:val="00B53FC6"/>
    <w:rsid w:val="00B540E2"/>
    <w:rsid w:val="00B5475B"/>
    <w:rsid w:val="00B5482E"/>
    <w:rsid w:val="00B5499E"/>
    <w:rsid w:val="00B549AF"/>
    <w:rsid w:val="00B55169"/>
    <w:rsid w:val="00B55335"/>
    <w:rsid w:val="00B55435"/>
    <w:rsid w:val="00B55558"/>
    <w:rsid w:val="00B555FB"/>
    <w:rsid w:val="00B5570C"/>
    <w:rsid w:val="00B558B7"/>
    <w:rsid w:val="00B55EF1"/>
    <w:rsid w:val="00B56353"/>
    <w:rsid w:val="00B568AF"/>
    <w:rsid w:val="00B56A53"/>
    <w:rsid w:val="00B56CF2"/>
    <w:rsid w:val="00B56D7E"/>
    <w:rsid w:val="00B56F2C"/>
    <w:rsid w:val="00B57252"/>
    <w:rsid w:val="00B57329"/>
    <w:rsid w:val="00B573F0"/>
    <w:rsid w:val="00B574C6"/>
    <w:rsid w:val="00B57DC3"/>
    <w:rsid w:val="00B60434"/>
    <w:rsid w:val="00B60E61"/>
    <w:rsid w:val="00B60E68"/>
    <w:rsid w:val="00B60F75"/>
    <w:rsid w:val="00B6112C"/>
    <w:rsid w:val="00B611F8"/>
    <w:rsid w:val="00B61803"/>
    <w:rsid w:val="00B61DF3"/>
    <w:rsid w:val="00B626A1"/>
    <w:rsid w:val="00B6297B"/>
    <w:rsid w:val="00B62A04"/>
    <w:rsid w:val="00B62A2F"/>
    <w:rsid w:val="00B62AF3"/>
    <w:rsid w:val="00B62B50"/>
    <w:rsid w:val="00B62DEE"/>
    <w:rsid w:val="00B63271"/>
    <w:rsid w:val="00B63532"/>
    <w:rsid w:val="00B635B7"/>
    <w:rsid w:val="00B63AE8"/>
    <w:rsid w:val="00B63DBE"/>
    <w:rsid w:val="00B63EB4"/>
    <w:rsid w:val="00B642B0"/>
    <w:rsid w:val="00B647F5"/>
    <w:rsid w:val="00B64CFB"/>
    <w:rsid w:val="00B64F7C"/>
    <w:rsid w:val="00B65397"/>
    <w:rsid w:val="00B6582A"/>
    <w:rsid w:val="00B65950"/>
    <w:rsid w:val="00B65BF9"/>
    <w:rsid w:val="00B65CCF"/>
    <w:rsid w:val="00B65D9D"/>
    <w:rsid w:val="00B661EB"/>
    <w:rsid w:val="00B6622B"/>
    <w:rsid w:val="00B66604"/>
    <w:rsid w:val="00B66719"/>
    <w:rsid w:val="00B6688F"/>
    <w:rsid w:val="00B66D83"/>
    <w:rsid w:val="00B672C0"/>
    <w:rsid w:val="00B676FD"/>
    <w:rsid w:val="00B678B6"/>
    <w:rsid w:val="00B67949"/>
    <w:rsid w:val="00B67C6A"/>
    <w:rsid w:val="00B67E38"/>
    <w:rsid w:val="00B70615"/>
    <w:rsid w:val="00B707F1"/>
    <w:rsid w:val="00B70C14"/>
    <w:rsid w:val="00B70D9B"/>
    <w:rsid w:val="00B7118C"/>
    <w:rsid w:val="00B713C7"/>
    <w:rsid w:val="00B718DB"/>
    <w:rsid w:val="00B71903"/>
    <w:rsid w:val="00B71C01"/>
    <w:rsid w:val="00B71F99"/>
    <w:rsid w:val="00B720E7"/>
    <w:rsid w:val="00B7226D"/>
    <w:rsid w:val="00B724B4"/>
    <w:rsid w:val="00B728DA"/>
    <w:rsid w:val="00B72912"/>
    <w:rsid w:val="00B72C25"/>
    <w:rsid w:val="00B72CE1"/>
    <w:rsid w:val="00B72E5B"/>
    <w:rsid w:val="00B7325F"/>
    <w:rsid w:val="00B733AE"/>
    <w:rsid w:val="00B73C8C"/>
    <w:rsid w:val="00B74034"/>
    <w:rsid w:val="00B7442D"/>
    <w:rsid w:val="00B74453"/>
    <w:rsid w:val="00B7474B"/>
    <w:rsid w:val="00B7476B"/>
    <w:rsid w:val="00B74D50"/>
    <w:rsid w:val="00B75646"/>
    <w:rsid w:val="00B757E0"/>
    <w:rsid w:val="00B7629E"/>
    <w:rsid w:val="00B76C15"/>
    <w:rsid w:val="00B7720D"/>
    <w:rsid w:val="00B772BF"/>
    <w:rsid w:val="00B7745C"/>
    <w:rsid w:val="00B774A2"/>
    <w:rsid w:val="00B77B5A"/>
    <w:rsid w:val="00B802FA"/>
    <w:rsid w:val="00B804E7"/>
    <w:rsid w:val="00B808CB"/>
    <w:rsid w:val="00B8131D"/>
    <w:rsid w:val="00B816A8"/>
    <w:rsid w:val="00B81A46"/>
    <w:rsid w:val="00B81D83"/>
    <w:rsid w:val="00B8213D"/>
    <w:rsid w:val="00B8251A"/>
    <w:rsid w:val="00B833B6"/>
    <w:rsid w:val="00B83418"/>
    <w:rsid w:val="00B83565"/>
    <w:rsid w:val="00B83739"/>
    <w:rsid w:val="00B837D6"/>
    <w:rsid w:val="00B83B7F"/>
    <w:rsid w:val="00B83C53"/>
    <w:rsid w:val="00B83C5C"/>
    <w:rsid w:val="00B83FB5"/>
    <w:rsid w:val="00B8420A"/>
    <w:rsid w:val="00B84EAF"/>
    <w:rsid w:val="00B85113"/>
    <w:rsid w:val="00B8553E"/>
    <w:rsid w:val="00B85699"/>
    <w:rsid w:val="00B85831"/>
    <w:rsid w:val="00B85D39"/>
    <w:rsid w:val="00B861FF"/>
    <w:rsid w:val="00B86232"/>
    <w:rsid w:val="00B86E46"/>
    <w:rsid w:val="00B873C0"/>
    <w:rsid w:val="00B87598"/>
    <w:rsid w:val="00B879DA"/>
    <w:rsid w:val="00B87A96"/>
    <w:rsid w:val="00B87F60"/>
    <w:rsid w:val="00B901A8"/>
    <w:rsid w:val="00B90270"/>
    <w:rsid w:val="00B90318"/>
    <w:rsid w:val="00B90329"/>
    <w:rsid w:val="00B90501"/>
    <w:rsid w:val="00B90729"/>
    <w:rsid w:val="00B907DA"/>
    <w:rsid w:val="00B90B09"/>
    <w:rsid w:val="00B90F30"/>
    <w:rsid w:val="00B9114B"/>
    <w:rsid w:val="00B91353"/>
    <w:rsid w:val="00B91416"/>
    <w:rsid w:val="00B91839"/>
    <w:rsid w:val="00B91FAD"/>
    <w:rsid w:val="00B922E4"/>
    <w:rsid w:val="00B9299A"/>
    <w:rsid w:val="00B92B17"/>
    <w:rsid w:val="00B92B5D"/>
    <w:rsid w:val="00B92CE5"/>
    <w:rsid w:val="00B92F68"/>
    <w:rsid w:val="00B9325C"/>
    <w:rsid w:val="00B938B9"/>
    <w:rsid w:val="00B946A9"/>
    <w:rsid w:val="00B94704"/>
    <w:rsid w:val="00B94C5E"/>
    <w:rsid w:val="00B94EB6"/>
    <w:rsid w:val="00B94F92"/>
    <w:rsid w:val="00B950AB"/>
    <w:rsid w:val="00B950BC"/>
    <w:rsid w:val="00B95263"/>
    <w:rsid w:val="00B95A9D"/>
    <w:rsid w:val="00B95CC1"/>
    <w:rsid w:val="00B95EB7"/>
    <w:rsid w:val="00B96154"/>
    <w:rsid w:val="00B966FF"/>
    <w:rsid w:val="00B96A10"/>
    <w:rsid w:val="00B96A8F"/>
    <w:rsid w:val="00B96CD2"/>
    <w:rsid w:val="00B9714C"/>
    <w:rsid w:val="00B974D2"/>
    <w:rsid w:val="00B977CB"/>
    <w:rsid w:val="00B9783C"/>
    <w:rsid w:val="00B97F64"/>
    <w:rsid w:val="00BA0034"/>
    <w:rsid w:val="00BA02B8"/>
    <w:rsid w:val="00BA037C"/>
    <w:rsid w:val="00BA067A"/>
    <w:rsid w:val="00BA0E91"/>
    <w:rsid w:val="00BA0F9D"/>
    <w:rsid w:val="00BA1024"/>
    <w:rsid w:val="00BA1139"/>
    <w:rsid w:val="00BA1C62"/>
    <w:rsid w:val="00BA1E1B"/>
    <w:rsid w:val="00BA1F09"/>
    <w:rsid w:val="00BA1F55"/>
    <w:rsid w:val="00BA20F3"/>
    <w:rsid w:val="00BA23D1"/>
    <w:rsid w:val="00BA23EA"/>
    <w:rsid w:val="00BA26F6"/>
    <w:rsid w:val="00BA276F"/>
    <w:rsid w:val="00BA28E7"/>
    <w:rsid w:val="00BA28EF"/>
    <w:rsid w:val="00BA29AD"/>
    <w:rsid w:val="00BA32C6"/>
    <w:rsid w:val="00BA33CF"/>
    <w:rsid w:val="00BA33DA"/>
    <w:rsid w:val="00BA34DB"/>
    <w:rsid w:val="00BA3B24"/>
    <w:rsid w:val="00BA3E05"/>
    <w:rsid w:val="00BA3F8D"/>
    <w:rsid w:val="00BA3FED"/>
    <w:rsid w:val="00BA46EF"/>
    <w:rsid w:val="00BA49A4"/>
    <w:rsid w:val="00BA4B15"/>
    <w:rsid w:val="00BA4B68"/>
    <w:rsid w:val="00BA4BD4"/>
    <w:rsid w:val="00BA4C18"/>
    <w:rsid w:val="00BA56A8"/>
    <w:rsid w:val="00BA575D"/>
    <w:rsid w:val="00BA60C6"/>
    <w:rsid w:val="00BA6926"/>
    <w:rsid w:val="00BA6B42"/>
    <w:rsid w:val="00BA6BF7"/>
    <w:rsid w:val="00BA6F0A"/>
    <w:rsid w:val="00BA6F19"/>
    <w:rsid w:val="00BA7114"/>
    <w:rsid w:val="00BA7398"/>
    <w:rsid w:val="00BA73D8"/>
    <w:rsid w:val="00BA7954"/>
    <w:rsid w:val="00BA7E45"/>
    <w:rsid w:val="00BA7F8B"/>
    <w:rsid w:val="00BB06D1"/>
    <w:rsid w:val="00BB0B67"/>
    <w:rsid w:val="00BB0C78"/>
    <w:rsid w:val="00BB15A9"/>
    <w:rsid w:val="00BB16B7"/>
    <w:rsid w:val="00BB1748"/>
    <w:rsid w:val="00BB1986"/>
    <w:rsid w:val="00BB1EEF"/>
    <w:rsid w:val="00BB20A4"/>
    <w:rsid w:val="00BB21C8"/>
    <w:rsid w:val="00BB24D8"/>
    <w:rsid w:val="00BB27E0"/>
    <w:rsid w:val="00BB342B"/>
    <w:rsid w:val="00BB3798"/>
    <w:rsid w:val="00BB3B17"/>
    <w:rsid w:val="00BB3B23"/>
    <w:rsid w:val="00BB3DE8"/>
    <w:rsid w:val="00BB3F4C"/>
    <w:rsid w:val="00BB499D"/>
    <w:rsid w:val="00BB4E42"/>
    <w:rsid w:val="00BB57CB"/>
    <w:rsid w:val="00BB5D13"/>
    <w:rsid w:val="00BB5DD5"/>
    <w:rsid w:val="00BB5F05"/>
    <w:rsid w:val="00BB6049"/>
    <w:rsid w:val="00BB6304"/>
    <w:rsid w:val="00BB672D"/>
    <w:rsid w:val="00BB6872"/>
    <w:rsid w:val="00BB6971"/>
    <w:rsid w:val="00BB6BA5"/>
    <w:rsid w:val="00BB6D7D"/>
    <w:rsid w:val="00BB6E54"/>
    <w:rsid w:val="00BB74AC"/>
    <w:rsid w:val="00BB7A10"/>
    <w:rsid w:val="00BB7B03"/>
    <w:rsid w:val="00BB7BE2"/>
    <w:rsid w:val="00BB7C37"/>
    <w:rsid w:val="00BB7CB5"/>
    <w:rsid w:val="00BC03FC"/>
    <w:rsid w:val="00BC0F14"/>
    <w:rsid w:val="00BC194E"/>
    <w:rsid w:val="00BC1C2A"/>
    <w:rsid w:val="00BC1E7E"/>
    <w:rsid w:val="00BC1F4A"/>
    <w:rsid w:val="00BC2505"/>
    <w:rsid w:val="00BC28C8"/>
    <w:rsid w:val="00BC299E"/>
    <w:rsid w:val="00BC2A35"/>
    <w:rsid w:val="00BC2A3F"/>
    <w:rsid w:val="00BC2D46"/>
    <w:rsid w:val="00BC2E9D"/>
    <w:rsid w:val="00BC3027"/>
    <w:rsid w:val="00BC31CB"/>
    <w:rsid w:val="00BC3258"/>
    <w:rsid w:val="00BC3281"/>
    <w:rsid w:val="00BC338A"/>
    <w:rsid w:val="00BC33B5"/>
    <w:rsid w:val="00BC35DA"/>
    <w:rsid w:val="00BC3629"/>
    <w:rsid w:val="00BC3D33"/>
    <w:rsid w:val="00BC3D8E"/>
    <w:rsid w:val="00BC45BE"/>
    <w:rsid w:val="00BC4676"/>
    <w:rsid w:val="00BC4F40"/>
    <w:rsid w:val="00BC52F3"/>
    <w:rsid w:val="00BC5377"/>
    <w:rsid w:val="00BC54B7"/>
    <w:rsid w:val="00BC5745"/>
    <w:rsid w:val="00BC58DD"/>
    <w:rsid w:val="00BC60BE"/>
    <w:rsid w:val="00BC644D"/>
    <w:rsid w:val="00BC64ED"/>
    <w:rsid w:val="00BC6665"/>
    <w:rsid w:val="00BC676C"/>
    <w:rsid w:val="00BC6983"/>
    <w:rsid w:val="00BC6F05"/>
    <w:rsid w:val="00BC6F65"/>
    <w:rsid w:val="00BC705B"/>
    <w:rsid w:val="00BC7212"/>
    <w:rsid w:val="00BC7468"/>
    <w:rsid w:val="00BC78F0"/>
    <w:rsid w:val="00BC7D4F"/>
    <w:rsid w:val="00BC7E15"/>
    <w:rsid w:val="00BC7ED7"/>
    <w:rsid w:val="00BD00F8"/>
    <w:rsid w:val="00BD0422"/>
    <w:rsid w:val="00BD0605"/>
    <w:rsid w:val="00BD062F"/>
    <w:rsid w:val="00BD06AC"/>
    <w:rsid w:val="00BD0862"/>
    <w:rsid w:val="00BD0F93"/>
    <w:rsid w:val="00BD131C"/>
    <w:rsid w:val="00BD1D74"/>
    <w:rsid w:val="00BD1E13"/>
    <w:rsid w:val="00BD24D7"/>
    <w:rsid w:val="00BD2755"/>
    <w:rsid w:val="00BD2850"/>
    <w:rsid w:val="00BD2973"/>
    <w:rsid w:val="00BD2C0D"/>
    <w:rsid w:val="00BD2D97"/>
    <w:rsid w:val="00BD3685"/>
    <w:rsid w:val="00BD38DB"/>
    <w:rsid w:val="00BD3959"/>
    <w:rsid w:val="00BD3A36"/>
    <w:rsid w:val="00BD3A5D"/>
    <w:rsid w:val="00BD41C4"/>
    <w:rsid w:val="00BD4891"/>
    <w:rsid w:val="00BD4966"/>
    <w:rsid w:val="00BD4A87"/>
    <w:rsid w:val="00BD5502"/>
    <w:rsid w:val="00BD5937"/>
    <w:rsid w:val="00BD5BDA"/>
    <w:rsid w:val="00BD5F93"/>
    <w:rsid w:val="00BD6B9D"/>
    <w:rsid w:val="00BD6C5F"/>
    <w:rsid w:val="00BD713D"/>
    <w:rsid w:val="00BE00AE"/>
    <w:rsid w:val="00BE12CB"/>
    <w:rsid w:val="00BE12DB"/>
    <w:rsid w:val="00BE1499"/>
    <w:rsid w:val="00BE1C2C"/>
    <w:rsid w:val="00BE1FB6"/>
    <w:rsid w:val="00BE2070"/>
    <w:rsid w:val="00BE2212"/>
    <w:rsid w:val="00BE2342"/>
    <w:rsid w:val="00BE24BF"/>
    <w:rsid w:val="00BE28D2"/>
    <w:rsid w:val="00BE2962"/>
    <w:rsid w:val="00BE2E72"/>
    <w:rsid w:val="00BE34AC"/>
    <w:rsid w:val="00BE3971"/>
    <w:rsid w:val="00BE430B"/>
    <w:rsid w:val="00BE449A"/>
    <w:rsid w:val="00BE4768"/>
    <w:rsid w:val="00BE47BD"/>
    <w:rsid w:val="00BE489C"/>
    <w:rsid w:val="00BE4A00"/>
    <w:rsid w:val="00BE4A64"/>
    <w:rsid w:val="00BE4AFC"/>
    <w:rsid w:val="00BE4EA8"/>
    <w:rsid w:val="00BE5122"/>
    <w:rsid w:val="00BE532B"/>
    <w:rsid w:val="00BE55D6"/>
    <w:rsid w:val="00BE5600"/>
    <w:rsid w:val="00BE561A"/>
    <w:rsid w:val="00BE59AD"/>
    <w:rsid w:val="00BE5E43"/>
    <w:rsid w:val="00BE5F4A"/>
    <w:rsid w:val="00BE648E"/>
    <w:rsid w:val="00BE6D29"/>
    <w:rsid w:val="00BE7120"/>
    <w:rsid w:val="00BE74D4"/>
    <w:rsid w:val="00BE7527"/>
    <w:rsid w:val="00BE78F8"/>
    <w:rsid w:val="00BE7BA8"/>
    <w:rsid w:val="00BE7D2F"/>
    <w:rsid w:val="00BE7EF0"/>
    <w:rsid w:val="00BF0033"/>
    <w:rsid w:val="00BF0233"/>
    <w:rsid w:val="00BF07A1"/>
    <w:rsid w:val="00BF0A23"/>
    <w:rsid w:val="00BF0C8B"/>
    <w:rsid w:val="00BF0D39"/>
    <w:rsid w:val="00BF0DA9"/>
    <w:rsid w:val="00BF0E11"/>
    <w:rsid w:val="00BF1323"/>
    <w:rsid w:val="00BF1B8D"/>
    <w:rsid w:val="00BF1D58"/>
    <w:rsid w:val="00BF1D83"/>
    <w:rsid w:val="00BF1FA2"/>
    <w:rsid w:val="00BF2205"/>
    <w:rsid w:val="00BF2446"/>
    <w:rsid w:val="00BF2A39"/>
    <w:rsid w:val="00BF2FD7"/>
    <w:rsid w:val="00BF3402"/>
    <w:rsid w:val="00BF3D3B"/>
    <w:rsid w:val="00BF3DAF"/>
    <w:rsid w:val="00BF3E60"/>
    <w:rsid w:val="00BF3E79"/>
    <w:rsid w:val="00BF4174"/>
    <w:rsid w:val="00BF447A"/>
    <w:rsid w:val="00BF557D"/>
    <w:rsid w:val="00BF55FC"/>
    <w:rsid w:val="00BF59EF"/>
    <w:rsid w:val="00BF5D85"/>
    <w:rsid w:val="00BF658D"/>
    <w:rsid w:val="00BF661C"/>
    <w:rsid w:val="00BF6BC5"/>
    <w:rsid w:val="00BF6C4F"/>
    <w:rsid w:val="00BF6D58"/>
    <w:rsid w:val="00BF74B8"/>
    <w:rsid w:val="00BF7909"/>
    <w:rsid w:val="00BF7932"/>
    <w:rsid w:val="00BF7CA4"/>
    <w:rsid w:val="00BF7E1E"/>
    <w:rsid w:val="00BF7F58"/>
    <w:rsid w:val="00C00406"/>
    <w:rsid w:val="00C00762"/>
    <w:rsid w:val="00C00B8B"/>
    <w:rsid w:val="00C00D99"/>
    <w:rsid w:val="00C00E4A"/>
    <w:rsid w:val="00C01381"/>
    <w:rsid w:val="00C015C8"/>
    <w:rsid w:val="00C01AB1"/>
    <w:rsid w:val="00C01F23"/>
    <w:rsid w:val="00C023C5"/>
    <w:rsid w:val="00C02607"/>
    <w:rsid w:val="00C026A0"/>
    <w:rsid w:val="00C027D4"/>
    <w:rsid w:val="00C02F1D"/>
    <w:rsid w:val="00C0335F"/>
    <w:rsid w:val="00C036AE"/>
    <w:rsid w:val="00C037EC"/>
    <w:rsid w:val="00C03B2C"/>
    <w:rsid w:val="00C03C92"/>
    <w:rsid w:val="00C041AD"/>
    <w:rsid w:val="00C047EF"/>
    <w:rsid w:val="00C04BF0"/>
    <w:rsid w:val="00C05086"/>
    <w:rsid w:val="00C05A12"/>
    <w:rsid w:val="00C05AFD"/>
    <w:rsid w:val="00C06009"/>
    <w:rsid w:val="00C06137"/>
    <w:rsid w:val="00C061E6"/>
    <w:rsid w:val="00C065FA"/>
    <w:rsid w:val="00C06613"/>
    <w:rsid w:val="00C06646"/>
    <w:rsid w:val="00C06792"/>
    <w:rsid w:val="00C06929"/>
    <w:rsid w:val="00C06A92"/>
    <w:rsid w:val="00C06C48"/>
    <w:rsid w:val="00C06DEE"/>
    <w:rsid w:val="00C06F04"/>
    <w:rsid w:val="00C0747D"/>
    <w:rsid w:val="00C07483"/>
    <w:rsid w:val="00C074F9"/>
    <w:rsid w:val="00C079B8"/>
    <w:rsid w:val="00C07BBC"/>
    <w:rsid w:val="00C07F22"/>
    <w:rsid w:val="00C10037"/>
    <w:rsid w:val="00C100C6"/>
    <w:rsid w:val="00C10192"/>
    <w:rsid w:val="00C10490"/>
    <w:rsid w:val="00C104D4"/>
    <w:rsid w:val="00C10696"/>
    <w:rsid w:val="00C10706"/>
    <w:rsid w:val="00C108F8"/>
    <w:rsid w:val="00C10944"/>
    <w:rsid w:val="00C10CA3"/>
    <w:rsid w:val="00C1134B"/>
    <w:rsid w:val="00C1136B"/>
    <w:rsid w:val="00C1150C"/>
    <w:rsid w:val="00C115E1"/>
    <w:rsid w:val="00C1174F"/>
    <w:rsid w:val="00C11769"/>
    <w:rsid w:val="00C11882"/>
    <w:rsid w:val="00C11F0F"/>
    <w:rsid w:val="00C11FD1"/>
    <w:rsid w:val="00C1202B"/>
    <w:rsid w:val="00C12243"/>
    <w:rsid w:val="00C122E7"/>
    <w:rsid w:val="00C123E9"/>
    <w:rsid w:val="00C123EA"/>
    <w:rsid w:val="00C1242F"/>
    <w:rsid w:val="00C125C4"/>
    <w:rsid w:val="00C128FC"/>
    <w:rsid w:val="00C12924"/>
    <w:rsid w:val="00C129E8"/>
    <w:rsid w:val="00C12A49"/>
    <w:rsid w:val="00C12C91"/>
    <w:rsid w:val="00C12E7B"/>
    <w:rsid w:val="00C1310E"/>
    <w:rsid w:val="00C13134"/>
    <w:rsid w:val="00C131C0"/>
    <w:rsid w:val="00C13287"/>
    <w:rsid w:val="00C133EE"/>
    <w:rsid w:val="00C13403"/>
    <w:rsid w:val="00C13C7E"/>
    <w:rsid w:val="00C13D27"/>
    <w:rsid w:val="00C13F85"/>
    <w:rsid w:val="00C13FCA"/>
    <w:rsid w:val="00C143EA"/>
    <w:rsid w:val="00C146A9"/>
    <w:rsid w:val="00C14769"/>
    <w:rsid w:val="00C1493C"/>
    <w:rsid w:val="00C149D0"/>
    <w:rsid w:val="00C149D8"/>
    <w:rsid w:val="00C14C64"/>
    <w:rsid w:val="00C14D19"/>
    <w:rsid w:val="00C15B19"/>
    <w:rsid w:val="00C15C2A"/>
    <w:rsid w:val="00C15D52"/>
    <w:rsid w:val="00C15E30"/>
    <w:rsid w:val="00C1611B"/>
    <w:rsid w:val="00C1629A"/>
    <w:rsid w:val="00C162FF"/>
    <w:rsid w:val="00C16621"/>
    <w:rsid w:val="00C16751"/>
    <w:rsid w:val="00C167B9"/>
    <w:rsid w:val="00C1680A"/>
    <w:rsid w:val="00C16B70"/>
    <w:rsid w:val="00C16BF6"/>
    <w:rsid w:val="00C16D28"/>
    <w:rsid w:val="00C17CEC"/>
    <w:rsid w:val="00C17DBB"/>
    <w:rsid w:val="00C17FAE"/>
    <w:rsid w:val="00C202D4"/>
    <w:rsid w:val="00C204B1"/>
    <w:rsid w:val="00C208DE"/>
    <w:rsid w:val="00C20D7E"/>
    <w:rsid w:val="00C214CC"/>
    <w:rsid w:val="00C21AB1"/>
    <w:rsid w:val="00C21F08"/>
    <w:rsid w:val="00C226F5"/>
    <w:rsid w:val="00C22993"/>
    <w:rsid w:val="00C22A34"/>
    <w:rsid w:val="00C22C1A"/>
    <w:rsid w:val="00C22C73"/>
    <w:rsid w:val="00C22DA3"/>
    <w:rsid w:val="00C23356"/>
    <w:rsid w:val="00C2373E"/>
    <w:rsid w:val="00C23A91"/>
    <w:rsid w:val="00C23CAD"/>
    <w:rsid w:val="00C23D03"/>
    <w:rsid w:val="00C23F43"/>
    <w:rsid w:val="00C24105"/>
    <w:rsid w:val="00C243E7"/>
    <w:rsid w:val="00C24635"/>
    <w:rsid w:val="00C24905"/>
    <w:rsid w:val="00C24CBC"/>
    <w:rsid w:val="00C24D6A"/>
    <w:rsid w:val="00C24FBC"/>
    <w:rsid w:val="00C25083"/>
    <w:rsid w:val="00C255F2"/>
    <w:rsid w:val="00C2579D"/>
    <w:rsid w:val="00C25CDE"/>
    <w:rsid w:val="00C25F46"/>
    <w:rsid w:val="00C25FE0"/>
    <w:rsid w:val="00C26354"/>
    <w:rsid w:val="00C264B2"/>
    <w:rsid w:val="00C26588"/>
    <w:rsid w:val="00C26826"/>
    <w:rsid w:val="00C26A42"/>
    <w:rsid w:val="00C26A69"/>
    <w:rsid w:val="00C27A5A"/>
    <w:rsid w:val="00C27DE9"/>
    <w:rsid w:val="00C302C5"/>
    <w:rsid w:val="00C303F7"/>
    <w:rsid w:val="00C3058A"/>
    <w:rsid w:val="00C307C8"/>
    <w:rsid w:val="00C30DA0"/>
    <w:rsid w:val="00C31354"/>
    <w:rsid w:val="00C3170E"/>
    <w:rsid w:val="00C31730"/>
    <w:rsid w:val="00C31B23"/>
    <w:rsid w:val="00C31B74"/>
    <w:rsid w:val="00C31CEF"/>
    <w:rsid w:val="00C31E83"/>
    <w:rsid w:val="00C31EEF"/>
    <w:rsid w:val="00C32701"/>
    <w:rsid w:val="00C32989"/>
    <w:rsid w:val="00C32B89"/>
    <w:rsid w:val="00C3302C"/>
    <w:rsid w:val="00C33388"/>
    <w:rsid w:val="00C337BC"/>
    <w:rsid w:val="00C33B3F"/>
    <w:rsid w:val="00C33B7A"/>
    <w:rsid w:val="00C33ECB"/>
    <w:rsid w:val="00C33EEF"/>
    <w:rsid w:val="00C33F0E"/>
    <w:rsid w:val="00C343CF"/>
    <w:rsid w:val="00C3485C"/>
    <w:rsid w:val="00C35214"/>
    <w:rsid w:val="00C35484"/>
    <w:rsid w:val="00C356BA"/>
    <w:rsid w:val="00C35720"/>
    <w:rsid w:val="00C3582B"/>
    <w:rsid w:val="00C36229"/>
    <w:rsid w:val="00C36668"/>
    <w:rsid w:val="00C36B1A"/>
    <w:rsid w:val="00C37171"/>
    <w:rsid w:val="00C371DC"/>
    <w:rsid w:val="00C37890"/>
    <w:rsid w:val="00C37C88"/>
    <w:rsid w:val="00C403AA"/>
    <w:rsid w:val="00C4055C"/>
    <w:rsid w:val="00C409E0"/>
    <w:rsid w:val="00C40AE1"/>
    <w:rsid w:val="00C40C6B"/>
    <w:rsid w:val="00C40CE8"/>
    <w:rsid w:val="00C40DA6"/>
    <w:rsid w:val="00C4102B"/>
    <w:rsid w:val="00C410DA"/>
    <w:rsid w:val="00C411D7"/>
    <w:rsid w:val="00C4142B"/>
    <w:rsid w:val="00C41503"/>
    <w:rsid w:val="00C4150C"/>
    <w:rsid w:val="00C4173A"/>
    <w:rsid w:val="00C41C80"/>
    <w:rsid w:val="00C41DAC"/>
    <w:rsid w:val="00C41EFB"/>
    <w:rsid w:val="00C422F6"/>
    <w:rsid w:val="00C423D6"/>
    <w:rsid w:val="00C42579"/>
    <w:rsid w:val="00C42741"/>
    <w:rsid w:val="00C429F5"/>
    <w:rsid w:val="00C42D29"/>
    <w:rsid w:val="00C42D86"/>
    <w:rsid w:val="00C42E92"/>
    <w:rsid w:val="00C42F9B"/>
    <w:rsid w:val="00C4349B"/>
    <w:rsid w:val="00C4372F"/>
    <w:rsid w:val="00C43771"/>
    <w:rsid w:val="00C43AB6"/>
    <w:rsid w:val="00C43C9B"/>
    <w:rsid w:val="00C43D17"/>
    <w:rsid w:val="00C44472"/>
    <w:rsid w:val="00C4478F"/>
    <w:rsid w:val="00C44C65"/>
    <w:rsid w:val="00C44D48"/>
    <w:rsid w:val="00C44F23"/>
    <w:rsid w:val="00C45100"/>
    <w:rsid w:val="00C45199"/>
    <w:rsid w:val="00C4551F"/>
    <w:rsid w:val="00C45C1A"/>
    <w:rsid w:val="00C45CE1"/>
    <w:rsid w:val="00C45FFD"/>
    <w:rsid w:val="00C46191"/>
    <w:rsid w:val="00C4626C"/>
    <w:rsid w:val="00C4627F"/>
    <w:rsid w:val="00C46372"/>
    <w:rsid w:val="00C46449"/>
    <w:rsid w:val="00C46815"/>
    <w:rsid w:val="00C469BB"/>
    <w:rsid w:val="00C46D68"/>
    <w:rsid w:val="00C46F8B"/>
    <w:rsid w:val="00C47083"/>
    <w:rsid w:val="00C47212"/>
    <w:rsid w:val="00C47408"/>
    <w:rsid w:val="00C475EF"/>
    <w:rsid w:val="00C476E2"/>
    <w:rsid w:val="00C477BC"/>
    <w:rsid w:val="00C47845"/>
    <w:rsid w:val="00C50094"/>
    <w:rsid w:val="00C50193"/>
    <w:rsid w:val="00C50343"/>
    <w:rsid w:val="00C505B1"/>
    <w:rsid w:val="00C5076A"/>
    <w:rsid w:val="00C50BB6"/>
    <w:rsid w:val="00C50CD4"/>
    <w:rsid w:val="00C50DED"/>
    <w:rsid w:val="00C51212"/>
    <w:rsid w:val="00C5137B"/>
    <w:rsid w:val="00C514DF"/>
    <w:rsid w:val="00C51DC6"/>
    <w:rsid w:val="00C51DF6"/>
    <w:rsid w:val="00C51E6A"/>
    <w:rsid w:val="00C521B7"/>
    <w:rsid w:val="00C52217"/>
    <w:rsid w:val="00C5276B"/>
    <w:rsid w:val="00C529B8"/>
    <w:rsid w:val="00C53A55"/>
    <w:rsid w:val="00C53AB1"/>
    <w:rsid w:val="00C53C14"/>
    <w:rsid w:val="00C53E64"/>
    <w:rsid w:val="00C53FB0"/>
    <w:rsid w:val="00C54303"/>
    <w:rsid w:val="00C5470B"/>
    <w:rsid w:val="00C548F4"/>
    <w:rsid w:val="00C553B8"/>
    <w:rsid w:val="00C5562A"/>
    <w:rsid w:val="00C55700"/>
    <w:rsid w:val="00C55A7E"/>
    <w:rsid w:val="00C55B1C"/>
    <w:rsid w:val="00C55CD4"/>
    <w:rsid w:val="00C56461"/>
    <w:rsid w:val="00C56901"/>
    <w:rsid w:val="00C56AAC"/>
    <w:rsid w:val="00C56CFA"/>
    <w:rsid w:val="00C56E00"/>
    <w:rsid w:val="00C56ECF"/>
    <w:rsid w:val="00C56FEB"/>
    <w:rsid w:val="00C5721A"/>
    <w:rsid w:val="00C575FB"/>
    <w:rsid w:val="00C576CB"/>
    <w:rsid w:val="00C57845"/>
    <w:rsid w:val="00C5789C"/>
    <w:rsid w:val="00C57978"/>
    <w:rsid w:val="00C579CB"/>
    <w:rsid w:val="00C57AC3"/>
    <w:rsid w:val="00C6012E"/>
    <w:rsid w:val="00C6022D"/>
    <w:rsid w:val="00C602D1"/>
    <w:rsid w:val="00C602FF"/>
    <w:rsid w:val="00C60411"/>
    <w:rsid w:val="00C6051B"/>
    <w:rsid w:val="00C60B89"/>
    <w:rsid w:val="00C60B9C"/>
    <w:rsid w:val="00C60BC4"/>
    <w:rsid w:val="00C61174"/>
    <w:rsid w:val="00C611FD"/>
    <w:rsid w:val="00C6125D"/>
    <w:rsid w:val="00C6148F"/>
    <w:rsid w:val="00C61799"/>
    <w:rsid w:val="00C61A32"/>
    <w:rsid w:val="00C61B42"/>
    <w:rsid w:val="00C61D6C"/>
    <w:rsid w:val="00C61F76"/>
    <w:rsid w:val="00C621B1"/>
    <w:rsid w:val="00C6255C"/>
    <w:rsid w:val="00C6256B"/>
    <w:rsid w:val="00C62BF4"/>
    <w:rsid w:val="00C62F7A"/>
    <w:rsid w:val="00C63162"/>
    <w:rsid w:val="00C6362D"/>
    <w:rsid w:val="00C63723"/>
    <w:rsid w:val="00C63A1A"/>
    <w:rsid w:val="00C63B9C"/>
    <w:rsid w:val="00C63DEE"/>
    <w:rsid w:val="00C63FE3"/>
    <w:rsid w:val="00C6410D"/>
    <w:rsid w:val="00C64138"/>
    <w:rsid w:val="00C64261"/>
    <w:rsid w:val="00C644A3"/>
    <w:rsid w:val="00C64644"/>
    <w:rsid w:val="00C647B5"/>
    <w:rsid w:val="00C64FBE"/>
    <w:rsid w:val="00C64FDC"/>
    <w:rsid w:val="00C65627"/>
    <w:rsid w:val="00C6591D"/>
    <w:rsid w:val="00C65CAB"/>
    <w:rsid w:val="00C65CE9"/>
    <w:rsid w:val="00C65DA8"/>
    <w:rsid w:val="00C6605F"/>
    <w:rsid w:val="00C660B8"/>
    <w:rsid w:val="00C66413"/>
    <w:rsid w:val="00C66612"/>
    <w:rsid w:val="00C667A7"/>
    <w:rsid w:val="00C6682F"/>
    <w:rsid w:val="00C6699B"/>
    <w:rsid w:val="00C66C93"/>
    <w:rsid w:val="00C66E95"/>
    <w:rsid w:val="00C67BF4"/>
    <w:rsid w:val="00C70177"/>
    <w:rsid w:val="00C704C8"/>
    <w:rsid w:val="00C70A7A"/>
    <w:rsid w:val="00C70EDD"/>
    <w:rsid w:val="00C70FFD"/>
    <w:rsid w:val="00C71027"/>
    <w:rsid w:val="00C7129B"/>
    <w:rsid w:val="00C71451"/>
    <w:rsid w:val="00C71691"/>
    <w:rsid w:val="00C71E6B"/>
    <w:rsid w:val="00C71E7B"/>
    <w:rsid w:val="00C71F5B"/>
    <w:rsid w:val="00C71F5C"/>
    <w:rsid w:val="00C7217E"/>
    <w:rsid w:val="00C722CF"/>
    <w:rsid w:val="00C72709"/>
    <w:rsid w:val="00C7275E"/>
    <w:rsid w:val="00C731AF"/>
    <w:rsid w:val="00C73497"/>
    <w:rsid w:val="00C73589"/>
    <w:rsid w:val="00C743DD"/>
    <w:rsid w:val="00C745D5"/>
    <w:rsid w:val="00C74909"/>
    <w:rsid w:val="00C749B5"/>
    <w:rsid w:val="00C74C5D"/>
    <w:rsid w:val="00C74E97"/>
    <w:rsid w:val="00C74F66"/>
    <w:rsid w:val="00C754BF"/>
    <w:rsid w:val="00C7556D"/>
    <w:rsid w:val="00C75920"/>
    <w:rsid w:val="00C75D4A"/>
    <w:rsid w:val="00C75D76"/>
    <w:rsid w:val="00C75DBD"/>
    <w:rsid w:val="00C76174"/>
    <w:rsid w:val="00C762FE"/>
    <w:rsid w:val="00C76679"/>
    <w:rsid w:val="00C76C44"/>
    <w:rsid w:val="00C76E6C"/>
    <w:rsid w:val="00C77187"/>
    <w:rsid w:val="00C7721A"/>
    <w:rsid w:val="00C7742A"/>
    <w:rsid w:val="00C775EB"/>
    <w:rsid w:val="00C77A35"/>
    <w:rsid w:val="00C77D9C"/>
    <w:rsid w:val="00C77DDF"/>
    <w:rsid w:val="00C77F36"/>
    <w:rsid w:val="00C77FE4"/>
    <w:rsid w:val="00C801EB"/>
    <w:rsid w:val="00C80D8D"/>
    <w:rsid w:val="00C80E12"/>
    <w:rsid w:val="00C81725"/>
    <w:rsid w:val="00C81844"/>
    <w:rsid w:val="00C81AAF"/>
    <w:rsid w:val="00C81C43"/>
    <w:rsid w:val="00C81D84"/>
    <w:rsid w:val="00C82679"/>
    <w:rsid w:val="00C82D5E"/>
    <w:rsid w:val="00C834B1"/>
    <w:rsid w:val="00C83731"/>
    <w:rsid w:val="00C838A0"/>
    <w:rsid w:val="00C83AFE"/>
    <w:rsid w:val="00C83F78"/>
    <w:rsid w:val="00C83FF4"/>
    <w:rsid w:val="00C845A4"/>
    <w:rsid w:val="00C84BC1"/>
    <w:rsid w:val="00C84DA4"/>
    <w:rsid w:val="00C851DF"/>
    <w:rsid w:val="00C854E3"/>
    <w:rsid w:val="00C85746"/>
    <w:rsid w:val="00C85784"/>
    <w:rsid w:val="00C859ED"/>
    <w:rsid w:val="00C85ED3"/>
    <w:rsid w:val="00C85FF9"/>
    <w:rsid w:val="00C8622B"/>
    <w:rsid w:val="00C863C4"/>
    <w:rsid w:val="00C86495"/>
    <w:rsid w:val="00C865F2"/>
    <w:rsid w:val="00C86F32"/>
    <w:rsid w:val="00C87150"/>
    <w:rsid w:val="00C87576"/>
    <w:rsid w:val="00C877ED"/>
    <w:rsid w:val="00C87BD7"/>
    <w:rsid w:val="00C87E2A"/>
    <w:rsid w:val="00C9015C"/>
    <w:rsid w:val="00C906CB"/>
    <w:rsid w:val="00C90DAB"/>
    <w:rsid w:val="00C90DAF"/>
    <w:rsid w:val="00C90E92"/>
    <w:rsid w:val="00C91570"/>
    <w:rsid w:val="00C919E3"/>
    <w:rsid w:val="00C91A80"/>
    <w:rsid w:val="00C91B2C"/>
    <w:rsid w:val="00C92011"/>
    <w:rsid w:val="00C920EA"/>
    <w:rsid w:val="00C9217A"/>
    <w:rsid w:val="00C9228D"/>
    <w:rsid w:val="00C926FF"/>
    <w:rsid w:val="00C929A7"/>
    <w:rsid w:val="00C92A7C"/>
    <w:rsid w:val="00C92AE1"/>
    <w:rsid w:val="00C92D34"/>
    <w:rsid w:val="00C93372"/>
    <w:rsid w:val="00C93633"/>
    <w:rsid w:val="00C93C3E"/>
    <w:rsid w:val="00C93DC1"/>
    <w:rsid w:val="00C940B6"/>
    <w:rsid w:val="00C94551"/>
    <w:rsid w:val="00C9482F"/>
    <w:rsid w:val="00C94A40"/>
    <w:rsid w:val="00C94B28"/>
    <w:rsid w:val="00C94BB1"/>
    <w:rsid w:val="00C94D03"/>
    <w:rsid w:val="00C94D2C"/>
    <w:rsid w:val="00C9503C"/>
    <w:rsid w:val="00C95284"/>
    <w:rsid w:val="00C954B6"/>
    <w:rsid w:val="00C95525"/>
    <w:rsid w:val="00C958A4"/>
    <w:rsid w:val="00C95A39"/>
    <w:rsid w:val="00C95A7C"/>
    <w:rsid w:val="00C95C6E"/>
    <w:rsid w:val="00C95E1A"/>
    <w:rsid w:val="00C962D2"/>
    <w:rsid w:val="00C9636E"/>
    <w:rsid w:val="00C967B6"/>
    <w:rsid w:val="00C96E0D"/>
    <w:rsid w:val="00C97051"/>
    <w:rsid w:val="00CA027E"/>
    <w:rsid w:val="00CA02AE"/>
    <w:rsid w:val="00CA03E1"/>
    <w:rsid w:val="00CA05FA"/>
    <w:rsid w:val="00CA0A95"/>
    <w:rsid w:val="00CA1121"/>
    <w:rsid w:val="00CA12E3"/>
    <w:rsid w:val="00CA1476"/>
    <w:rsid w:val="00CA1BFE"/>
    <w:rsid w:val="00CA1E62"/>
    <w:rsid w:val="00CA2163"/>
    <w:rsid w:val="00CA26C0"/>
    <w:rsid w:val="00CA2720"/>
    <w:rsid w:val="00CA2824"/>
    <w:rsid w:val="00CA2B41"/>
    <w:rsid w:val="00CA32B0"/>
    <w:rsid w:val="00CA340F"/>
    <w:rsid w:val="00CA3425"/>
    <w:rsid w:val="00CA39F6"/>
    <w:rsid w:val="00CA3A6A"/>
    <w:rsid w:val="00CA3AFF"/>
    <w:rsid w:val="00CA3D68"/>
    <w:rsid w:val="00CA4115"/>
    <w:rsid w:val="00CA46D6"/>
    <w:rsid w:val="00CA48D9"/>
    <w:rsid w:val="00CA4987"/>
    <w:rsid w:val="00CA499E"/>
    <w:rsid w:val="00CA4AA5"/>
    <w:rsid w:val="00CA4D79"/>
    <w:rsid w:val="00CA4DD7"/>
    <w:rsid w:val="00CA5549"/>
    <w:rsid w:val="00CA596E"/>
    <w:rsid w:val="00CA5F20"/>
    <w:rsid w:val="00CA61FD"/>
    <w:rsid w:val="00CA63DE"/>
    <w:rsid w:val="00CA63ED"/>
    <w:rsid w:val="00CA65AC"/>
    <w:rsid w:val="00CA6611"/>
    <w:rsid w:val="00CA6AE6"/>
    <w:rsid w:val="00CA6BD3"/>
    <w:rsid w:val="00CA6BFC"/>
    <w:rsid w:val="00CA6C48"/>
    <w:rsid w:val="00CA6CDB"/>
    <w:rsid w:val="00CA6EEB"/>
    <w:rsid w:val="00CA740D"/>
    <w:rsid w:val="00CA7767"/>
    <w:rsid w:val="00CA77C4"/>
    <w:rsid w:val="00CA782F"/>
    <w:rsid w:val="00CA7E32"/>
    <w:rsid w:val="00CA7EB9"/>
    <w:rsid w:val="00CB05F3"/>
    <w:rsid w:val="00CB086B"/>
    <w:rsid w:val="00CB0FE5"/>
    <w:rsid w:val="00CB0FF7"/>
    <w:rsid w:val="00CB1596"/>
    <w:rsid w:val="00CB187B"/>
    <w:rsid w:val="00CB1D8C"/>
    <w:rsid w:val="00CB2074"/>
    <w:rsid w:val="00CB2651"/>
    <w:rsid w:val="00CB2835"/>
    <w:rsid w:val="00CB2C64"/>
    <w:rsid w:val="00CB3176"/>
    <w:rsid w:val="00CB3285"/>
    <w:rsid w:val="00CB346A"/>
    <w:rsid w:val="00CB3938"/>
    <w:rsid w:val="00CB3E33"/>
    <w:rsid w:val="00CB3E90"/>
    <w:rsid w:val="00CB4500"/>
    <w:rsid w:val="00CB46B6"/>
    <w:rsid w:val="00CB4A15"/>
    <w:rsid w:val="00CB4B1E"/>
    <w:rsid w:val="00CB53FF"/>
    <w:rsid w:val="00CB5469"/>
    <w:rsid w:val="00CB54C6"/>
    <w:rsid w:val="00CB553A"/>
    <w:rsid w:val="00CB576C"/>
    <w:rsid w:val="00CB5AC9"/>
    <w:rsid w:val="00CB620F"/>
    <w:rsid w:val="00CB6A0A"/>
    <w:rsid w:val="00CB6A24"/>
    <w:rsid w:val="00CB6AFA"/>
    <w:rsid w:val="00CB6C9B"/>
    <w:rsid w:val="00CB710E"/>
    <w:rsid w:val="00CB73F9"/>
    <w:rsid w:val="00CB7688"/>
    <w:rsid w:val="00CB7779"/>
    <w:rsid w:val="00CB7910"/>
    <w:rsid w:val="00CB7D1C"/>
    <w:rsid w:val="00CB7E36"/>
    <w:rsid w:val="00CC02E9"/>
    <w:rsid w:val="00CC046E"/>
    <w:rsid w:val="00CC064B"/>
    <w:rsid w:val="00CC09AC"/>
    <w:rsid w:val="00CC0C72"/>
    <w:rsid w:val="00CC0DBE"/>
    <w:rsid w:val="00CC0F8A"/>
    <w:rsid w:val="00CC11D8"/>
    <w:rsid w:val="00CC1775"/>
    <w:rsid w:val="00CC19CC"/>
    <w:rsid w:val="00CC2042"/>
    <w:rsid w:val="00CC25B9"/>
    <w:rsid w:val="00CC2BFD"/>
    <w:rsid w:val="00CC2DD7"/>
    <w:rsid w:val="00CC3040"/>
    <w:rsid w:val="00CC311D"/>
    <w:rsid w:val="00CC3309"/>
    <w:rsid w:val="00CC330D"/>
    <w:rsid w:val="00CC34A9"/>
    <w:rsid w:val="00CC34DF"/>
    <w:rsid w:val="00CC3BB0"/>
    <w:rsid w:val="00CC3C98"/>
    <w:rsid w:val="00CC402E"/>
    <w:rsid w:val="00CC42D8"/>
    <w:rsid w:val="00CC4371"/>
    <w:rsid w:val="00CC44B5"/>
    <w:rsid w:val="00CC4EFB"/>
    <w:rsid w:val="00CC529C"/>
    <w:rsid w:val="00CC585F"/>
    <w:rsid w:val="00CC59E6"/>
    <w:rsid w:val="00CC5CCB"/>
    <w:rsid w:val="00CC5DCC"/>
    <w:rsid w:val="00CC5EFD"/>
    <w:rsid w:val="00CC657E"/>
    <w:rsid w:val="00CC67AE"/>
    <w:rsid w:val="00CC6BDE"/>
    <w:rsid w:val="00CC6BE4"/>
    <w:rsid w:val="00CC6F40"/>
    <w:rsid w:val="00CC730C"/>
    <w:rsid w:val="00CC73AA"/>
    <w:rsid w:val="00CC768E"/>
    <w:rsid w:val="00CC76B5"/>
    <w:rsid w:val="00CC7914"/>
    <w:rsid w:val="00CC7B6D"/>
    <w:rsid w:val="00CC7BE7"/>
    <w:rsid w:val="00CD0199"/>
    <w:rsid w:val="00CD02C4"/>
    <w:rsid w:val="00CD0309"/>
    <w:rsid w:val="00CD0881"/>
    <w:rsid w:val="00CD0996"/>
    <w:rsid w:val="00CD0AB0"/>
    <w:rsid w:val="00CD1113"/>
    <w:rsid w:val="00CD189E"/>
    <w:rsid w:val="00CD18A0"/>
    <w:rsid w:val="00CD2147"/>
    <w:rsid w:val="00CD26A1"/>
    <w:rsid w:val="00CD29C4"/>
    <w:rsid w:val="00CD2D9B"/>
    <w:rsid w:val="00CD3294"/>
    <w:rsid w:val="00CD3476"/>
    <w:rsid w:val="00CD3520"/>
    <w:rsid w:val="00CD3BCA"/>
    <w:rsid w:val="00CD3E52"/>
    <w:rsid w:val="00CD3E76"/>
    <w:rsid w:val="00CD4864"/>
    <w:rsid w:val="00CD4B85"/>
    <w:rsid w:val="00CD4C13"/>
    <w:rsid w:val="00CD511F"/>
    <w:rsid w:val="00CD554A"/>
    <w:rsid w:val="00CD5726"/>
    <w:rsid w:val="00CD5750"/>
    <w:rsid w:val="00CD5B15"/>
    <w:rsid w:val="00CD5EF6"/>
    <w:rsid w:val="00CD64DF"/>
    <w:rsid w:val="00CD65FD"/>
    <w:rsid w:val="00CD6BA6"/>
    <w:rsid w:val="00CD6C65"/>
    <w:rsid w:val="00CD6CBD"/>
    <w:rsid w:val="00CD70E6"/>
    <w:rsid w:val="00CD7214"/>
    <w:rsid w:val="00CD7540"/>
    <w:rsid w:val="00CD7545"/>
    <w:rsid w:val="00CD7679"/>
    <w:rsid w:val="00CD79AF"/>
    <w:rsid w:val="00CD7B86"/>
    <w:rsid w:val="00CE0579"/>
    <w:rsid w:val="00CE058F"/>
    <w:rsid w:val="00CE063A"/>
    <w:rsid w:val="00CE0712"/>
    <w:rsid w:val="00CE0A4C"/>
    <w:rsid w:val="00CE0AB8"/>
    <w:rsid w:val="00CE0D7D"/>
    <w:rsid w:val="00CE1000"/>
    <w:rsid w:val="00CE1106"/>
    <w:rsid w:val="00CE12D2"/>
    <w:rsid w:val="00CE13ED"/>
    <w:rsid w:val="00CE165C"/>
    <w:rsid w:val="00CE19B9"/>
    <w:rsid w:val="00CE1BD8"/>
    <w:rsid w:val="00CE1C83"/>
    <w:rsid w:val="00CE1E8E"/>
    <w:rsid w:val="00CE1ED7"/>
    <w:rsid w:val="00CE225F"/>
    <w:rsid w:val="00CE22C4"/>
    <w:rsid w:val="00CE29A1"/>
    <w:rsid w:val="00CE29B7"/>
    <w:rsid w:val="00CE3303"/>
    <w:rsid w:val="00CE34F8"/>
    <w:rsid w:val="00CE3649"/>
    <w:rsid w:val="00CE36F3"/>
    <w:rsid w:val="00CE379C"/>
    <w:rsid w:val="00CE38C6"/>
    <w:rsid w:val="00CE3B46"/>
    <w:rsid w:val="00CE3C46"/>
    <w:rsid w:val="00CE3EA6"/>
    <w:rsid w:val="00CE3FBB"/>
    <w:rsid w:val="00CE41A8"/>
    <w:rsid w:val="00CE424A"/>
    <w:rsid w:val="00CE42EB"/>
    <w:rsid w:val="00CE42F1"/>
    <w:rsid w:val="00CE464E"/>
    <w:rsid w:val="00CE476F"/>
    <w:rsid w:val="00CE4A02"/>
    <w:rsid w:val="00CE4D3B"/>
    <w:rsid w:val="00CE4D3C"/>
    <w:rsid w:val="00CE4D62"/>
    <w:rsid w:val="00CE51A5"/>
    <w:rsid w:val="00CE5641"/>
    <w:rsid w:val="00CE57DF"/>
    <w:rsid w:val="00CE5A33"/>
    <w:rsid w:val="00CE5A7A"/>
    <w:rsid w:val="00CE5AA0"/>
    <w:rsid w:val="00CE5C8E"/>
    <w:rsid w:val="00CE5CE2"/>
    <w:rsid w:val="00CE5EB3"/>
    <w:rsid w:val="00CE5EC6"/>
    <w:rsid w:val="00CE5F85"/>
    <w:rsid w:val="00CE636F"/>
    <w:rsid w:val="00CE63BB"/>
    <w:rsid w:val="00CE67F9"/>
    <w:rsid w:val="00CE696C"/>
    <w:rsid w:val="00CE6ADC"/>
    <w:rsid w:val="00CE6BEF"/>
    <w:rsid w:val="00CE70C6"/>
    <w:rsid w:val="00CE7321"/>
    <w:rsid w:val="00CE7AA5"/>
    <w:rsid w:val="00CE7B6B"/>
    <w:rsid w:val="00CE7BA8"/>
    <w:rsid w:val="00CE7C99"/>
    <w:rsid w:val="00CF007A"/>
    <w:rsid w:val="00CF0829"/>
    <w:rsid w:val="00CF09A0"/>
    <w:rsid w:val="00CF0C4D"/>
    <w:rsid w:val="00CF0F44"/>
    <w:rsid w:val="00CF0F60"/>
    <w:rsid w:val="00CF15EA"/>
    <w:rsid w:val="00CF1BF5"/>
    <w:rsid w:val="00CF1CC3"/>
    <w:rsid w:val="00CF2131"/>
    <w:rsid w:val="00CF2535"/>
    <w:rsid w:val="00CF273E"/>
    <w:rsid w:val="00CF27E0"/>
    <w:rsid w:val="00CF2A83"/>
    <w:rsid w:val="00CF2CF2"/>
    <w:rsid w:val="00CF2EB2"/>
    <w:rsid w:val="00CF2F50"/>
    <w:rsid w:val="00CF3273"/>
    <w:rsid w:val="00CF3A74"/>
    <w:rsid w:val="00CF3CCD"/>
    <w:rsid w:val="00CF3DCB"/>
    <w:rsid w:val="00CF3FF1"/>
    <w:rsid w:val="00CF41F3"/>
    <w:rsid w:val="00CF495E"/>
    <w:rsid w:val="00CF4C46"/>
    <w:rsid w:val="00CF51B9"/>
    <w:rsid w:val="00CF5C3E"/>
    <w:rsid w:val="00CF5F25"/>
    <w:rsid w:val="00CF60EA"/>
    <w:rsid w:val="00CF6198"/>
    <w:rsid w:val="00CF626F"/>
    <w:rsid w:val="00CF6447"/>
    <w:rsid w:val="00CF64AE"/>
    <w:rsid w:val="00CF64FE"/>
    <w:rsid w:val="00CF65F4"/>
    <w:rsid w:val="00CF662B"/>
    <w:rsid w:val="00CF6B74"/>
    <w:rsid w:val="00CF707B"/>
    <w:rsid w:val="00CF7195"/>
    <w:rsid w:val="00CF73A4"/>
    <w:rsid w:val="00CF7E1B"/>
    <w:rsid w:val="00D004D6"/>
    <w:rsid w:val="00D00616"/>
    <w:rsid w:val="00D00675"/>
    <w:rsid w:val="00D00D45"/>
    <w:rsid w:val="00D00E3A"/>
    <w:rsid w:val="00D0183A"/>
    <w:rsid w:val="00D01BF6"/>
    <w:rsid w:val="00D02356"/>
    <w:rsid w:val="00D02919"/>
    <w:rsid w:val="00D02A6A"/>
    <w:rsid w:val="00D0320A"/>
    <w:rsid w:val="00D033AE"/>
    <w:rsid w:val="00D033C0"/>
    <w:rsid w:val="00D03CE3"/>
    <w:rsid w:val="00D03FF0"/>
    <w:rsid w:val="00D04154"/>
    <w:rsid w:val="00D041C0"/>
    <w:rsid w:val="00D047F0"/>
    <w:rsid w:val="00D048DC"/>
    <w:rsid w:val="00D04BBF"/>
    <w:rsid w:val="00D04C61"/>
    <w:rsid w:val="00D05688"/>
    <w:rsid w:val="00D05B8D"/>
    <w:rsid w:val="00D05B9B"/>
    <w:rsid w:val="00D05D24"/>
    <w:rsid w:val="00D0633E"/>
    <w:rsid w:val="00D065A2"/>
    <w:rsid w:val="00D0660D"/>
    <w:rsid w:val="00D067B2"/>
    <w:rsid w:val="00D06AD2"/>
    <w:rsid w:val="00D06C3C"/>
    <w:rsid w:val="00D06D4F"/>
    <w:rsid w:val="00D07013"/>
    <w:rsid w:val="00D07202"/>
    <w:rsid w:val="00D0789A"/>
    <w:rsid w:val="00D079AA"/>
    <w:rsid w:val="00D07C2F"/>
    <w:rsid w:val="00D07C75"/>
    <w:rsid w:val="00D07F00"/>
    <w:rsid w:val="00D07FB8"/>
    <w:rsid w:val="00D10105"/>
    <w:rsid w:val="00D101F5"/>
    <w:rsid w:val="00D10258"/>
    <w:rsid w:val="00D106C7"/>
    <w:rsid w:val="00D106E4"/>
    <w:rsid w:val="00D10714"/>
    <w:rsid w:val="00D10DB0"/>
    <w:rsid w:val="00D1120A"/>
    <w:rsid w:val="00D1130F"/>
    <w:rsid w:val="00D11386"/>
    <w:rsid w:val="00D11519"/>
    <w:rsid w:val="00D11C45"/>
    <w:rsid w:val="00D11F49"/>
    <w:rsid w:val="00D125E6"/>
    <w:rsid w:val="00D12753"/>
    <w:rsid w:val="00D1298B"/>
    <w:rsid w:val="00D12CA5"/>
    <w:rsid w:val="00D12EB9"/>
    <w:rsid w:val="00D133E8"/>
    <w:rsid w:val="00D13558"/>
    <w:rsid w:val="00D13746"/>
    <w:rsid w:val="00D13D14"/>
    <w:rsid w:val="00D13D44"/>
    <w:rsid w:val="00D141A4"/>
    <w:rsid w:val="00D141B2"/>
    <w:rsid w:val="00D1468B"/>
    <w:rsid w:val="00D14F90"/>
    <w:rsid w:val="00D15287"/>
    <w:rsid w:val="00D15E7F"/>
    <w:rsid w:val="00D15EE3"/>
    <w:rsid w:val="00D16069"/>
    <w:rsid w:val="00D162B4"/>
    <w:rsid w:val="00D169CE"/>
    <w:rsid w:val="00D179D1"/>
    <w:rsid w:val="00D17B72"/>
    <w:rsid w:val="00D20048"/>
    <w:rsid w:val="00D2031C"/>
    <w:rsid w:val="00D20755"/>
    <w:rsid w:val="00D207D6"/>
    <w:rsid w:val="00D2083A"/>
    <w:rsid w:val="00D20BCB"/>
    <w:rsid w:val="00D20D8C"/>
    <w:rsid w:val="00D2104E"/>
    <w:rsid w:val="00D2109E"/>
    <w:rsid w:val="00D21152"/>
    <w:rsid w:val="00D21421"/>
    <w:rsid w:val="00D2164B"/>
    <w:rsid w:val="00D2191D"/>
    <w:rsid w:val="00D21B03"/>
    <w:rsid w:val="00D21F77"/>
    <w:rsid w:val="00D21FFB"/>
    <w:rsid w:val="00D22051"/>
    <w:rsid w:val="00D222B0"/>
    <w:rsid w:val="00D22325"/>
    <w:rsid w:val="00D2235B"/>
    <w:rsid w:val="00D22C68"/>
    <w:rsid w:val="00D22E5F"/>
    <w:rsid w:val="00D23104"/>
    <w:rsid w:val="00D231B7"/>
    <w:rsid w:val="00D23CE4"/>
    <w:rsid w:val="00D23D7B"/>
    <w:rsid w:val="00D24017"/>
    <w:rsid w:val="00D24993"/>
    <w:rsid w:val="00D2502C"/>
    <w:rsid w:val="00D252AC"/>
    <w:rsid w:val="00D25520"/>
    <w:rsid w:val="00D25BB3"/>
    <w:rsid w:val="00D25BD2"/>
    <w:rsid w:val="00D26196"/>
    <w:rsid w:val="00D2666F"/>
    <w:rsid w:val="00D26CB5"/>
    <w:rsid w:val="00D26D7F"/>
    <w:rsid w:val="00D26DF2"/>
    <w:rsid w:val="00D27210"/>
    <w:rsid w:val="00D27278"/>
    <w:rsid w:val="00D2748E"/>
    <w:rsid w:val="00D27B78"/>
    <w:rsid w:val="00D30184"/>
    <w:rsid w:val="00D307F4"/>
    <w:rsid w:val="00D30973"/>
    <w:rsid w:val="00D30A65"/>
    <w:rsid w:val="00D30B97"/>
    <w:rsid w:val="00D30E79"/>
    <w:rsid w:val="00D31003"/>
    <w:rsid w:val="00D31547"/>
    <w:rsid w:val="00D315DE"/>
    <w:rsid w:val="00D3185C"/>
    <w:rsid w:val="00D31A3A"/>
    <w:rsid w:val="00D3205F"/>
    <w:rsid w:val="00D324F3"/>
    <w:rsid w:val="00D329FD"/>
    <w:rsid w:val="00D32F04"/>
    <w:rsid w:val="00D3318E"/>
    <w:rsid w:val="00D337F6"/>
    <w:rsid w:val="00D339BF"/>
    <w:rsid w:val="00D33E72"/>
    <w:rsid w:val="00D34675"/>
    <w:rsid w:val="00D34727"/>
    <w:rsid w:val="00D34A7F"/>
    <w:rsid w:val="00D34D9F"/>
    <w:rsid w:val="00D34E55"/>
    <w:rsid w:val="00D34FC5"/>
    <w:rsid w:val="00D34FFB"/>
    <w:rsid w:val="00D352AE"/>
    <w:rsid w:val="00D3532F"/>
    <w:rsid w:val="00D35350"/>
    <w:rsid w:val="00D35694"/>
    <w:rsid w:val="00D3592D"/>
    <w:rsid w:val="00D35963"/>
    <w:rsid w:val="00D35B20"/>
    <w:rsid w:val="00D35BD6"/>
    <w:rsid w:val="00D35BF7"/>
    <w:rsid w:val="00D35C8C"/>
    <w:rsid w:val="00D361B5"/>
    <w:rsid w:val="00D37265"/>
    <w:rsid w:val="00D374C8"/>
    <w:rsid w:val="00D37701"/>
    <w:rsid w:val="00D378DF"/>
    <w:rsid w:val="00D37AAC"/>
    <w:rsid w:val="00D40270"/>
    <w:rsid w:val="00D40366"/>
    <w:rsid w:val="00D40AFB"/>
    <w:rsid w:val="00D410EB"/>
    <w:rsid w:val="00D4116F"/>
    <w:rsid w:val="00D411A2"/>
    <w:rsid w:val="00D41593"/>
    <w:rsid w:val="00D41596"/>
    <w:rsid w:val="00D4167B"/>
    <w:rsid w:val="00D417B8"/>
    <w:rsid w:val="00D41926"/>
    <w:rsid w:val="00D41993"/>
    <w:rsid w:val="00D41AC6"/>
    <w:rsid w:val="00D41ADF"/>
    <w:rsid w:val="00D41B6F"/>
    <w:rsid w:val="00D41D0E"/>
    <w:rsid w:val="00D422AD"/>
    <w:rsid w:val="00D4344E"/>
    <w:rsid w:val="00D43B70"/>
    <w:rsid w:val="00D43D5F"/>
    <w:rsid w:val="00D44042"/>
    <w:rsid w:val="00D44121"/>
    <w:rsid w:val="00D443A0"/>
    <w:rsid w:val="00D44406"/>
    <w:rsid w:val="00D44483"/>
    <w:rsid w:val="00D446B3"/>
    <w:rsid w:val="00D447AD"/>
    <w:rsid w:val="00D44A17"/>
    <w:rsid w:val="00D44DDD"/>
    <w:rsid w:val="00D44F62"/>
    <w:rsid w:val="00D453C7"/>
    <w:rsid w:val="00D45AD6"/>
    <w:rsid w:val="00D45C4D"/>
    <w:rsid w:val="00D45DCC"/>
    <w:rsid w:val="00D45DD0"/>
    <w:rsid w:val="00D45F4F"/>
    <w:rsid w:val="00D4606D"/>
    <w:rsid w:val="00D462C7"/>
    <w:rsid w:val="00D46338"/>
    <w:rsid w:val="00D46373"/>
    <w:rsid w:val="00D4697F"/>
    <w:rsid w:val="00D469F9"/>
    <w:rsid w:val="00D46A76"/>
    <w:rsid w:val="00D46F0A"/>
    <w:rsid w:val="00D4737D"/>
    <w:rsid w:val="00D473FC"/>
    <w:rsid w:val="00D47701"/>
    <w:rsid w:val="00D47931"/>
    <w:rsid w:val="00D47A97"/>
    <w:rsid w:val="00D47B96"/>
    <w:rsid w:val="00D47EC7"/>
    <w:rsid w:val="00D47F15"/>
    <w:rsid w:val="00D50591"/>
    <w:rsid w:val="00D50772"/>
    <w:rsid w:val="00D50B9C"/>
    <w:rsid w:val="00D50BD8"/>
    <w:rsid w:val="00D50E1A"/>
    <w:rsid w:val="00D510E9"/>
    <w:rsid w:val="00D512A3"/>
    <w:rsid w:val="00D513AF"/>
    <w:rsid w:val="00D5230C"/>
    <w:rsid w:val="00D523DC"/>
    <w:rsid w:val="00D525A4"/>
    <w:rsid w:val="00D528D1"/>
    <w:rsid w:val="00D52D73"/>
    <w:rsid w:val="00D52E58"/>
    <w:rsid w:val="00D53100"/>
    <w:rsid w:val="00D532A0"/>
    <w:rsid w:val="00D53439"/>
    <w:rsid w:val="00D5350F"/>
    <w:rsid w:val="00D5361A"/>
    <w:rsid w:val="00D53633"/>
    <w:rsid w:val="00D53922"/>
    <w:rsid w:val="00D539A5"/>
    <w:rsid w:val="00D53F8D"/>
    <w:rsid w:val="00D54521"/>
    <w:rsid w:val="00D545E5"/>
    <w:rsid w:val="00D54985"/>
    <w:rsid w:val="00D54A51"/>
    <w:rsid w:val="00D55360"/>
    <w:rsid w:val="00D55385"/>
    <w:rsid w:val="00D55436"/>
    <w:rsid w:val="00D5574D"/>
    <w:rsid w:val="00D55AAB"/>
    <w:rsid w:val="00D561C8"/>
    <w:rsid w:val="00D56456"/>
    <w:rsid w:val="00D56620"/>
    <w:rsid w:val="00D5689F"/>
    <w:rsid w:val="00D56900"/>
    <w:rsid w:val="00D569DA"/>
    <w:rsid w:val="00D56AB0"/>
    <w:rsid w:val="00D56B20"/>
    <w:rsid w:val="00D57044"/>
    <w:rsid w:val="00D5736C"/>
    <w:rsid w:val="00D578B3"/>
    <w:rsid w:val="00D57AC2"/>
    <w:rsid w:val="00D57FFE"/>
    <w:rsid w:val="00D60177"/>
    <w:rsid w:val="00D601E8"/>
    <w:rsid w:val="00D60491"/>
    <w:rsid w:val="00D6069B"/>
    <w:rsid w:val="00D609DA"/>
    <w:rsid w:val="00D60A5C"/>
    <w:rsid w:val="00D61051"/>
    <w:rsid w:val="00D61219"/>
    <w:rsid w:val="00D6161F"/>
    <w:rsid w:val="00D61681"/>
    <w:rsid w:val="00D616CC"/>
    <w:rsid w:val="00D618F4"/>
    <w:rsid w:val="00D61AAA"/>
    <w:rsid w:val="00D61FB2"/>
    <w:rsid w:val="00D622DA"/>
    <w:rsid w:val="00D629D1"/>
    <w:rsid w:val="00D62C59"/>
    <w:rsid w:val="00D62DDF"/>
    <w:rsid w:val="00D62F0E"/>
    <w:rsid w:val="00D6359D"/>
    <w:rsid w:val="00D63636"/>
    <w:rsid w:val="00D6364F"/>
    <w:rsid w:val="00D637E3"/>
    <w:rsid w:val="00D640C7"/>
    <w:rsid w:val="00D64373"/>
    <w:rsid w:val="00D64449"/>
    <w:rsid w:val="00D645C4"/>
    <w:rsid w:val="00D64DFA"/>
    <w:rsid w:val="00D64FCA"/>
    <w:rsid w:val="00D650BB"/>
    <w:rsid w:val="00D652E1"/>
    <w:rsid w:val="00D65A69"/>
    <w:rsid w:val="00D666BF"/>
    <w:rsid w:val="00D66E76"/>
    <w:rsid w:val="00D679BF"/>
    <w:rsid w:val="00D67E84"/>
    <w:rsid w:val="00D702CF"/>
    <w:rsid w:val="00D702F8"/>
    <w:rsid w:val="00D70666"/>
    <w:rsid w:val="00D7095E"/>
    <w:rsid w:val="00D70A11"/>
    <w:rsid w:val="00D70AAB"/>
    <w:rsid w:val="00D70C54"/>
    <w:rsid w:val="00D70E25"/>
    <w:rsid w:val="00D70E60"/>
    <w:rsid w:val="00D710C3"/>
    <w:rsid w:val="00D71177"/>
    <w:rsid w:val="00D714CC"/>
    <w:rsid w:val="00D7151E"/>
    <w:rsid w:val="00D71867"/>
    <w:rsid w:val="00D71872"/>
    <w:rsid w:val="00D71FF8"/>
    <w:rsid w:val="00D72666"/>
    <w:rsid w:val="00D72680"/>
    <w:rsid w:val="00D72723"/>
    <w:rsid w:val="00D73246"/>
    <w:rsid w:val="00D73511"/>
    <w:rsid w:val="00D73717"/>
    <w:rsid w:val="00D73F28"/>
    <w:rsid w:val="00D741C2"/>
    <w:rsid w:val="00D7421A"/>
    <w:rsid w:val="00D7447D"/>
    <w:rsid w:val="00D7467F"/>
    <w:rsid w:val="00D74B94"/>
    <w:rsid w:val="00D74CDC"/>
    <w:rsid w:val="00D74D70"/>
    <w:rsid w:val="00D74FF4"/>
    <w:rsid w:val="00D750E5"/>
    <w:rsid w:val="00D75490"/>
    <w:rsid w:val="00D75531"/>
    <w:rsid w:val="00D7571E"/>
    <w:rsid w:val="00D75CB8"/>
    <w:rsid w:val="00D75DC6"/>
    <w:rsid w:val="00D75E87"/>
    <w:rsid w:val="00D75EA7"/>
    <w:rsid w:val="00D7608D"/>
    <w:rsid w:val="00D7667D"/>
    <w:rsid w:val="00D76BB8"/>
    <w:rsid w:val="00D76ECC"/>
    <w:rsid w:val="00D772D9"/>
    <w:rsid w:val="00D779B0"/>
    <w:rsid w:val="00D77AF4"/>
    <w:rsid w:val="00D77C81"/>
    <w:rsid w:val="00D800F6"/>
    <w:rsid w:val="00D80307"/>
    <w:rsid w:val="00D80449"/>
    <w:rsid w:val="00D80D6F"/>
    <w:rsid w:val="00D80E57"/>
    <w:rsid w:val="00D80E9C"/>
    <w:rsid w:val="00D81079"/>
    <w:rsid w:val="00D8107F"/>
    <w:rsid w:val="00D81421"/>
    <w:rsid w:val="00D81735"/>
    <w:rsid w:val="00D81ADF"/>
    <w:rsid w:val="00D81B6D"/>
    <w:rsid w:val="00D81F21"/>
    <w:rsid w:val="00D82419"/>
    <w:rsid w:val="00D82421"/>
    <w:rsid w:val="00D8278D"/>
    <w:rsid w:val="00D82933"/>
    <w:rsid w:val="00D82BF9"/>
    <w:rsid w:val="00D82C9E"/>
    <w:rsid w:val="00D8300D"/>
    <w:rsid w:val="00D83164"/>
    <w:rsid w:val="00D833B4"/>
    <w:rsid w:val="00D83553"/>
    <w:rsid w:val="00D83A4B"/>
    <w:rsid w:val="00D83F5D"/>
    <w:rsid w:val="00D84581"/>
    <w:rsid w:val="00D845DD"/>
    <w:rsid w:val="00D84806"/>
    <w:rsid w:val="00D84F52"/>
    <w:rsid w:val="00D852BC"/>
    <w:rsid w:val="00D8575E"/>
    <w:rsid w:val="00D8578A"/>
    <w:rsid w:val="00D859D2"/>
    <w:rsid w:val="00D85C1A"/>
    <w:rsid w:val="00D85F9D"/>
    <w:rsid w:val="00D864D7"/>
    <w:rsid w:val="00D864F2"/>
    <w:rsid w:val="00D866A8"/>
    <w:rsid w:val="00D866CF"/>
    <w:rsid w:val="00D866F3"/>
    <w:rsid w:val="00D872A5"/>
    <w:rsid w:val="00D8753C"/>
    <w:rsid w:val="00D87570"/>
    <w:rsid w:val="00D879AB"/>
    <w:rsid w:val="00D87EA4"/>
    <w:rsid w:val="00D902C0"/>
    <w:rsid w:val="00D90316"/>
    <w:rsid w:val="00D90D23"/>
    <w:rsid w:val="00D9118C"/>
    <w:rsid w:val="00D9151E"/>
    <w:rsid w:val="00D91668"/>
    <w:rsid w:val="00D916FA"/>
    <w:rsid w:val="00D921C9"/>
    <w:rsid w:val="00D92308"/>
    <w:rsid w:val="00D92EB9"/>
    <w:rsid w:val="00D930AF"/>
    <w:rsid w:val="00D93239"/>
    <w:rsid w:val="00D93975"/>
    <w:rsid w:val="00D939BF"/>
    <w:rsid w:val="00D93E37"/>
    <w:rsid w:val="00D93EDC"/>
    <w:rsid w:val="00D941AA"/>
    <w:rsid w:val="00D94241"/>
    <w:rsid w:val="00D943F8"/>
    <w:rsid w:val="00D94B8B"/>
    <w:rsid w:val="00D94D1A"/>
    <w:rsid w:val="00D9502A"/>
    <w:rsid w:val="00D95470"/>
    <w:rsid w:val="00D956F7"/>
    <w:rsid w:val="00D957BE"/>
    <w:rsid w:val="00D95B71"/>
    <w:rsid w:val="00D95F10"/>
    <w:rsid w:val="00D96047"/>
    <w:rsid w:val="00D960F5"/>
    <w:rsid w:val="00D962B5"/>
    <w:rsid w:val="00D96A4B"/>
    <w:rsid w:val="00D96B55"/>
    <w:rsid w:val="00D96F6D"/>
    <w:rsid w:val="00D97ACD"/>
    <w:rsid w:val="00D97D77"/>
    <w:rsid w:val="00DA018E"/>
    <w:rsid w:val="00DA0879"/>
    <w:rsid w:val="00DA0985"/>
    <w:rsid w:val="00DA0A42"/>
    <w:rsid w:val="00DA1477"/>
    <w:rsid w:val="00DA19AE"/>
    <w:rsid w:val="00DA1D84"/>
    <w:rsid w:val="00DA24B8"/>
    <w:rsid w:val="00DA2619"/>
    <w:rsid w:val="00DA2C20"/>
    <w:rsid w:val="00DA2FDB"/>
    <w:rsid w:val="00DA3047"/>
    <w:rsid w:val="00DA3632"/>
    <w:rsid w:val="00DA38A2"/>
    <w:rsid w:val="00DA3BEA"/>
    <w:rsid w:val="00DA4239"/>
    <w:rsid w:val="00DA4241"/>
    <w:rsid w:val="00DA4628"/>
    <w:rsid w:val="00DA4A39"/>
    <w:rsid w:val="00DA4ACD"/>
    <w:rsid w:val="00DA4C9F"/>
    <w:rsid w:val="00DA4E56"/>
    <w:rsid w:val="00DA4E93"/>
    <w:rsid w:val="00DA4EC2"/>
    <w:rsid w:val="00DA57FF"/>
    <w:rsid w:val="00DA588C"/>
    <w:rsid w:val="00DA59F7"/>
    <w:rsid w:val="00DA5B4B"/>
    <w:rsid w:val="00DA6203"/>
    <w:rsid w:val="00DA62BD"/>
    <w:rsid w:val="00DA65DE"/>
    <w:rsid w:val="00DA668B"/>
    <w:rsid w:val="00DA671E"/>
    <w:rsid w:val="00DA69C8"/>
    <w:rsid w:val="00DA6C5A"/>
    <w:rsid w:val="00DA6CA0"/>
    <w:rsid w:val="00DA73C8"/>
    <w:rsid w:val="00DA760D"/>
    <w:rsid w:val="00DA7673"/>
    <w:rsid w:val="00DA77D2"/>
    <w:rsid w:val="00DA790E"/>
    <w:rsid w:val="00DA7AB0"/>
    <w:rsid w:val="00DA7EFF"/>
    <w:rsid w:val="00DB0602"/>
    <w:rsid w:val="00DB094F"/>
    <w:rsid w:val="00DB0AB5"/>
    <w:rsid w:val="00DB0B61"/>
    <w:rsid w:val="00DB0BF9"/>
    <w:rsid w:val="00DB0E17"/>
    <w:rsid w:val="00DB104C"/>
    <w:rsid w:val="00DB136B"/>
    <w:rsid w:val="00DB13A4"/>
    <w:rsid w:val="00DB1474"/>
    <w:rsid w:val="00DB17F7"/>
    <w:rsid w:val="00DB1970"/>
    <w:rsid w:val="00DB1FFD"/>
    <w:rsid w:val="00DB22F4"/>
    <w:rsid w:val="00DB234C"/>
    <w:rsid w:val="00DB291B"/>
    <w:rsid w:val="00DB2962"/>
    <w:rsid w:val="00DB2A79"/>
    <w:rsid w:val="00DB2E98"/>
    <w:rsid w:val="00DB2FB6"/>
    <w:rsid w:val="00DB350D"/>
    <w:rsid w:val="00DB3607"/>
    <w:rsid w:val="00DB364E"/>
    <w:rsid w:val="00DB3F28"/>
    <w:rsid w:val="00DB3F68"/>
    <w:rsid w:val="00DB405B"/>
    <w:rsid w:val="00DB408E"/>
    <w:rsid w:val="00DB4376"/>
    <w:rsid w:val="00DB45E0"/>
    <w:rsid w:val="00DB4866"/>
    <w:rsid w:val="00DB4963"/>
    <w:rsid w:val="00DB4F67"/>
    <w:rsid w:val="00DB52FB"/>
    <w:rsid w:val="00DB533D"/>
    <w:rsid w:val="00DB56F2"/>
    <w:rsid w:val="00DB5807"/>
    <w:rsid w:val="00DB5A08"/>
    <w:rsid w:val="00DB5AFE"/>
    <w:rsid w:val="00DB5C4B"/>
    <w:rsid w:val="00DB5FEE"/>
    <w:rsid w:val="00DB60CE"/>
    <w:rsid w:val="00DB6192"/>
    <w:rsid w:val="00DB6910"/>
    <w:rsid w:val="00DB6A2E"/>
    <w:rsid w:val="00DB70C6"/>
    <w:rsid w:val="00DB7566"/>
    <w:rsid w:val="00DB7662"/>
    <w:rsid w:val="00DB7DF2"/>
    <w:rsid w:val="00DC013B"/>
    <w:rsid w:val="00DC0612"/>
    <w:rsid w:val="00DC090B"/>
    <w:rsid w:val="00DC0DD7"/>
    <w:rsid w:val="00DC0F55"/>
    <w:rsid w:val="00DC1679"/>
    <w:rsid w:val="00DC184C"/>
    <w:rsid w:val="00DC1C29"/>
    <w:rsid w:val="00DC1E41"/>
    <w:rsid w:val="00DC2089"/>
    <w:rsid w:val="00DC20E2"/>
    <w:rsid w:val="00DC219B"/>
    <w:rsid w:val="00DC2395"/>
    <w:rsid w:val="00DC28FF"/>
    <w:rsid w:val="00DC2A97"/>
    <w:rsid w:val="00DC2CF1"/>
    <w:rsid w:val="00DC2DC7"/>
    <w:rsid w:val="00DC2DCC"/>
    <w:rsid w:val="00DC2EA0"/>
    <w:rsid w:val="00DC3148"/>
    <w:rsid w:val="00DC31DE"/>
    <w:rsid w:val="00DC3986"/>
    <w:rsid w:val="00DC3A7C"/>
    <w:rsid w:val="00DC3C36"/>
    <w:rsid w:val="00DC40EF"/>
    <w:rsid w:val="00DC43CF"/>
    <w:rsid w:val="00DC43D7"/>
    <w:rsid w:val="00DC452A"/>
    <w:rsid w:val="00DC4867"/>
    <w:rsid w:val="00DC48E4"/>
    <w:rsid w:val="00DC4BA9"/>
    <w:rsid w:val="00DC4FCF"/>
    <w:rsid w:val="00DC50E0"/>
    <w:rsid w:val="00DC5140"/>
    <w:rsid w:val="00DC5274"/>
    <w:rsid w:val="00DC5651"/>
    <w:rsid w:val="00DC5A32"/>
    <w:rsid w:val="00DC6386"/>
    <w:rsid w:val="00DC698B"/>
    <w:rsid w:val="00DC6BFF"/>
    <w:rsid w:val="00DC6D8B"/>
    <w:rsid w:val="00DC6FFD"/>
    <w:rsid w:val="00DC7296"/>
    <w:rsid w:val="00DC751B"/>
    <w:rsid w:val="00DC7BD0"/>
    <w:rsid w:val="00DC7E40"/>
    <w:rsid w:val="00DD0145"/>
    <w:rsid w:val="00DD027D"/>
    <w:rsid w:val="00DD083C"/>
    <w:rsid w:val="00DD1130"/>
    <w:rsid w:val="00DD15A0"/>
    <w:rsid w:val="00DD17A4"/>
    <w:rsid w:val="00DD1951"/>
    <w:rsid w:val="00DD1EC5"/>
    <w:rsid w:val="00DD200E"/>
    <w:rsid w:val="00DD2077"/>
    <w:rsid w:val="00DD25E5"/>
    <w:rsid w:val="00DD262C"/>
    <w:rsid w:val="00DD2B96"/>
    <w:rsid w:val="00DD2F2A"/>
    <w:rsid w:val="00DD2F96"/>
    <w:rsid w:val="00DD313B"/>
    <w:rsid w:val="00DD334A"/>
    <w:rsid w:val="00DD3464"/>
    <w:rsid w:val="00DD38A6"/>
    <w:rsid w:val="00DD3B8A"/>
    <w:rsid w:val="00DD3B9A"/>
    <w:rsid w:val="00DD3D58"/>
    <w:rsid w:val="00DD3DBE"/>
    <w:rsid w:val="00DD4085"/>
    <w:rsid w:val="00DD4098"/>
    <w:rsid w:val="00DD4171"/>
    <w:rsid w:val="00DD419D"/>
    <w:rsid w:val="00DD422A"/>
    <w:rsid w:val="00DD43DA"/>
    <w:rsid w:val="00DD4571"/>
    <w:rsid w:val="00DD4832"/>
    <w:rsid w:val="00DD487D"/>
    <w:rsid w:val="00DD49FA"/>
    <w:rsid w:val="00DD4AE8"/>
    <w:rsid w:val="00DD4E83"/>
    <w:rsid w:val="00DD51E6"/>
    <w:rsid w:val="00DD51F0"/>
    <w:rsid w:val="00DD5880"/>
    <w:rsid w:val="00DD591D"/>
    <w:rsid w:val="00DD5EA3"/>
    <w:rsid w:val="00DD6007"/>
    <w:rsid w:val="00DD6089"/>
    <w:rsid w:val="00DD619C"/>
    <w:rsid w:val="00DD6628"/>
    <w:rsid w:val="00DD6727"/>
    <w:rsid w:val="00DD6945"/>
    <w:rsid w:val="00DD696F"/>
    <w:rsid w:val="00DD6A1B"/>
    <w:rsid w:val="00DD729E"/>
    <w:rsid w:val="00DD7858"/>
    <w:rsid w:val="00DD7B68"/>
    <w:rsid w:val="00DD7CAA"/>
    <w:rsid w:val="00DD7D34"/>
    <w:rsid w:val="00DE0191"/>
    <w:rsid w:val="00DE02D0"/>
    <w:rsid w:val="00DE047C"/>
    <w:rsid w:val="00DE04C9"/>
    <w:rsid w:val="00DE0C60"/>
    <w:rsid w:val="00DE0DAA"/>
    <w:rsid w:val="00DE0F89"/>
    <w:rsid w:val="00DE0FEC"/>
    <w:rsid w:val="00DE116B"/>
    <w:rsid w:val="00DE12FE"/>
    <w:rsid w:val="00DE1477"/>
    <w:rsid w:val="00DE14D5"/>
    <w:rsid w:val="00DE1A11"/>
    <w:rsid w:val="00DE1A83"/>
    <w:rsid w:val="00DE1C90"/>
    <w:rsid w:val="00DE21F1"/>
    <w:rsid w:val="00DE2318"/>
    <w:rsid w:val="00DE2457"/>
    <w:rsid w:val="00DE288B"/>
    <w:rsid w:val="00DE28D7"/>
    <w:rsid w:val="00DE2B76"/>
    <w:rsid w:val="00DE2C54"/>
    <w:rsid w:val="00DE2D04"/>
    <w:rsid w:val="00DE3071"/>
    <w:rsid w:val="00DE30AE"/>
    <w:rsid w:val="00DE3250"/>
    <w:rsid w:val="00DE32BB"/>
    <w:rsid w:val="00DE34DB"/>
    <w:rsid w:val="00DE392B"/>
    <w:rsid w:val="00DE3B66"/>
    <w:rsid w:val="00DE3F69"/>
    <w:rsid w:val="00DE40E4"/>
    <w:rsid w:val="00DE4165"/>
    <w:rsid w:val="00DE41B5"/>
    <w:rsid w:val="00DE47AC"/>
    <w:rsid w:val="00DE4CCB"/>
    <w:rsid w:val="00DE4D97"/>
    <w:rsid w:val="00DE4EA8"/>
    <w:rsid w:val="00DE50E4"/>
    <w:rsid w:val="00DE53B3"/>
    <w:rsid w:val="00DE53D6"/>
    <w:rsid w:val="00DE543A"/>
    <w:rsid w:val="00DE5450"/>
    <w:rsid w:val="00DE5894"/>
    <w:rsid w:val="00DE5C64"/>
    <w:rsid w:val="00DE6028"/>
    <w:rsid w:val="00DE6382"/>
    <w:rsid w:val="00DE63CE"/>
    <w:rsid w:val="00DE6689"/>
    <w:rsid w:val="00DE668D"/>
    <w:rsid w:val="00DE6ACF"/>
    <w:rsid w:val="00DE6B60"/>
    <w:rsid w:val="00DE6C85"/>
    <w:rsid w:val="00DE6DB9"/>
    <w:rsid w:val="00DE7121"/>
    <w:rsid w:val="00DE739E"/>
    <w:rsid w:val="00DE7424"/>
    <w:rsid w:val="00DE74C5"/>
    <w:rsid w:val="00DE765F"/>
    <w:rsid w:val="00DE787C"/>
    <w:rsid w:val="00DE78A3"/>
    <w:rsid w:val="00DE7DC1"/>
    <w:rsid w:val="00DF0777"/>
    <w:rsid w:val="00DF083A"/>
    <w:rsid w:val="00DF0A6E"/>
    <w:rsid w:val="00DF1249"/>
    <w:rsid w:val="00DF14BE"/>
    <w:rsid w:val="00DF1A71"/>
    <w:rsid w:val="00DF262F"/>
    <w:rsid w:val="00DF2830"/>
    <w:rsid w:val="00DF2B28"/>
    <w:rsid w:val="00DF2E44"/>
    <w:rsid w:val="00DF30C7"/>
    <w:rsid w:val="00DF326E"/>
    <w:rsid w:val="00DF349D"/>
    <w:rsid w:val="00DF36C7"/>
    <w:rsid w:val="00DF3B3F"/>
    <w:rsid w:val="00DF3F39"/>
    <w:rsid w:val="00DF4138"/>
    <w:rsid w:val="00DF42C6"/>
    <w:rsid w:val="00DF445B"/>
    <w:rsid w:val="00DF47F8"/>
    <w:rsid w:val="00DF48E5"/>
    <w:rsid w:val="00DF49FF"/>
    <w:rsid w:val="00DF4A9A"/>
    <w:rsid w:val="00DF4AEA"/>
    <w:rsid w:val="00DF50FC"/>
    <w:rsid w:val="00DF545B"/>
    <w:rsid w:val="00DF545F"/>
    <w:rsid w:val="00DF55ED"/>
    <w:rsid w:val="00DF569A"/>
    <w:rsid w:val="00DF5783"/>
    <w:rsid w:val="00DF60B7"/>
    <w:rsid w:val="00DF6276"/>
    <w:rsid w:val="00DF68C7"/>
    <w:rsid w:val="00DF6D66"/>
    <w:rsid w:val="00DF713D"/>
    <w:rsid w:val="00DF713F"/>
    <w:rsid w:val="00DF731A"/>
    <w:rsid w:val="00DF7513"/>
    <w:rsid w:val="00DF75B4"/>
    <w:rsid w:val="00DF79B2"/>
    <w:rsid w:val="00DF79D8"/>
    <w:rsid w:val="00DF7AEF"/>
    <w:rsid w:val="00E00C4E"/>
    <w:rsid w:val="00E010A5"/>
    <w:rsid w:val="00E0118B"/>
    <w:rsid w:val="00E01625"/>
    <w:rsid w:val="00E0173A"/>
    <w:rsid w:val="00E01825"/>
    <w:rsid w:val="00E01A66"/>
    <w:rsid w:val="00E01B96"/>
    <w:rsid w:val="00E0284B"/>
    <w:rsid w:val="00E02BCA"/>
    <w:rsid w:val="00E02EDE"/>
    <w:rsid w:val="00E041BC"/>
    <w:rsid w:val="00E04502"/>
    <w:rsid w:val="00E0457D"/>
    <w:rsid w:val="00E0463D"/>
    <w:rsid w:val="00E04976"/>
    <w:rsid w:val="00E04A69"/>
    <w:rsid w:val="00E04AD6"/>
    <w:rsid w:val="00E04B49"/>
    <w:rsid w:val="00E04EF9"/>
    <w:rsid w:val="00E05992"/>
    <w:rsid w:val="00E05CE5"/>
    <w:rsid w:val="00E0615F"/>
    <w:rsid w:val="00E06419"/>
    <w:rsid w:val="00E06423"/>
    <w:rsid w:val="00E064C2"/>
    <w:rsid w:val="00E06784"/>
    <w:rsid w:val="00E068B5"/>
    <w:rsid w:val="00E06AEB"/>
    <w:rsid w:val="00E06B75"/>
    <w:rsid w:val="00E06B9B"/>
    <w:rsid w:val="00E06E03"/>
    <w:rsid w:val="00E07227"/>
    <w:rsid w:val="00E0732F"/>
    <w:rsid w:val="00E078F8"/>
    <w:rsid w:val="00E1010C"/>
    <w:rsid w:val="00E10551"/>
    <w:rsid w:val="00E10A6B"/>
    <w:rsid w:val="00E10E27"/>
    <w:rsid w:val="00E10F36"/>
    <w:rsid w:val="00E10FAD"/>
    <w:rsid w:val="00E11332"/>
    <w:rsid w:val="00E11352"/>
    <w:rsid w:val="00E1179E"/>
    <w:rsid w:val="00E11CE3"/>
    <w:rsid w:val="00E12017"/>
    <w:rsid w:val="00E1227C"/>
    <w:rsid w:val="00E1241D"/>
    <w:rsid w:val="00E12745"/>
    <w:rsid w:val="00E12E67"/>
    <w:rsid w:val="00E1332E"/>
    <w:rsid w:val="00E134F9"/>
    <w:rsid w:val="00E1365E"/>
    <w:rsid w:val="00E13B50"/>
    <w:rsid w:val="00E13C8E"/>
    <w:rsid w:val="00E14222"/>
    <w:rsid w:val="00E14549"/>
    <w:rsid w:val="00E1480E"/>
    <w:rsid w:val="00E148AE"/>
    <w:rsid w:val="00E14B3F"/>
    <w:rsid w:val="00E15762"/>
    <w:rsid w:val="00E15C40"/>
    <w:rsid w:val="00E17097"/>
    <w:rsid w:val="00E170DC"/>
    <w:rsid w:val="00E174B8"/>
    <w:rsid w:val="00E17546"/>
    <w:rsid w:val="00E201D9"/>
    <w:rsid w:val="00E20338"/>
    <w:rsid w:val="00E20544"/>
    <w:rsid w:val="00E20938"/>
    <w:rsid w:val="00E20AD9"/>
    <w:rsid w:val="00E20B4A"/>
    <w:rsid w:val="00E210B5"/>
    <w:rsid w:val="00E2119F"/>
    <w:rsid w:val="00E21887"/>
    <w:rsid w:val="00E221D5"/>
    <w:rsid w:val="00E228C0"/>
    <w:rsid w:val="00E231A1"/>
    <w:rsid w:val="00E23204"/>
    <w:rsid w:val="00E232C8"/>
    <w:rsid w:val="00E233F1"/>
    <w:rsid w:val="00E2367C"/>
    <w:rsid w:val="00E23A36"/>
    <w:rsid w:val="00E23DAF"/>
    <w:rsid w:val="00E24206"/>
    <w:rsid w:val="00E242B9"/>
    <w:rsid w:val="00E2453E"/>
    <w:rsid w:val="00E24880"/>
    <w:rsid w:val="00E24AC3"/>
    <w:rsid w:val="00E24E2E"/>
    <w:rsid w:val="00E24FF8"/>
    <w:rsid w:val="00E250AE"/>
    <w:rsid w:val="00E251A7"/>
    <w:rsid w:val="00E252C2"/>
    <w:rsid w:val="00E253F3"/>
    <w:rsid w:val="00E25462"/>
    <w:rsid w:val="00E25607"/>
    <w:rsid w:val="00E25E36"/>
    <w:rsid w:val="00E25F9D"/>
    <w:rsid w:val="00E261B3"/>
    <w:rsid w:val="00E26466"/>
    <w:rsid w:val="00E26656"/>
    <w:rsid w:val="00E266F9"/>
    <w:rsid w:val="00E26818"/>
    <w:rsid w:val="00E26876"/>
    <w:rsid w:val="00E26ED1"/>
    <w:rsid w:val="00E26FE7"/>
    <w:rsid w:val="00E27114"/>
    <w:rsid w:val="00E277CD"/>
    <w:rsid w:val="00E27D5C"/>
    <w:rsid w:val="00E27FFC"/>
    <w:rsid w:val="00E30623"/>
    <w:rsid w:val="00E30B15"/>
    <w:rsid w:val="00E30D63"/>
    <w:rsid w:val="00E31799"/>
    <w:rsid w:val="00E31BD8"/>
    <w:rsid w:val="00E31C4C"/>
    <w:rsid w:val="00E3203A"/>
    <w:rsid w:val="00E320FA"/>
    <w:rsid w:val="00E32607"/>
    <w:rsid w:val="00E32B9C"/>
    <w:rsid w:val="00E32C37"/>
    <w:rsid w:val="00E32CFB"/>
    <w:rsid w:val="00E32E70"/>
    <w:rsid w:val="00E33237"/>
    <w:rsid w:val="00E33521"/>
    <w:rsid w:val="00E3386F"/>
    <w:rsid w:val="00E33B5D"/>
    <w:rsid w:val="00E33EE4"/>
    <w:rsid w:val="00E34F22"/>
    <w:rsid w:val="00E3519A"/>
    <w:rsid w:val="00E354A4"/>
    <w:rsid w:val="00E356FA"/>
    <w:rsid w:val="00E357F3"/>
    <w:rsid w:val="00E35AD6"/>
    <w:rsid w:val="00E35E1D"/>
    <w:rsid w:val="00E35F4F"/>
    <w:rsid w:val="00E36457"/>
    <w:rsid w:val="00E36530"/>
    <w:rsid w:val="00E36558"/>
    <w:rsid w:val="00E36A7F"/>
    <w:rsid w:val="00E36D9F"/>
    <w:rsid w:val="00E371F1"/>
    <w:rsid w:val="00E37463"/>
    <w:rsid w:val="00E377ED"/>
    <w:rsid w:val="00E37B6B"/>
    <w:rsid w:val="00E40181"/>
    <w:rsid w:val="00E401D6"/>
    <w:rsid w:val="00E40254"/>
    <w:rsid w:val="00E4052B"/>
    <w:rsid w:val="00E40C20"/>
    <w:rsid w:val="00E40C76"/>
    <w:rsid w:val="00E41FDB"/>
    <w:rsid w:val="00E423E2"/>
    <w:rsid w:val="00E42CAF"/>
    <w:rsid w:val="00E42D0F"/>
    <w:rsid w:val="00E42EE2"/>
    <w:rsid w:val="00E42FE3"/>
    <w:rsid w:val="00E4343B"/>
    <w:rsid w:val="00E434CF"/>
    <w:rsid w:val="00E439EC"/>
    <w:rsid w:val="00E43A3F"/>
    <w:rsid w:val="00E43A6A"/>
    <w:rsid w:val="00E43F25"/>
    <w:rsid w:val="00E44157"/>
    <w:rsid w:val="00E44374"/>
    <w:rsid w:val="00E4445E"/>
    <w:rsid w:val="00E44936"/>
    <w:rsid w:val="00E44C9E"/>
    <w:rsid w:val="00E45025"/>
    <w:rsid w:val="00E45372"/>
    <w:rsid w:val="00E453A2"/>
    <w:rsid w:val="00E45652"/>
    <w:rsid w:val="00E45D63"/>
    <w:rsid w:val="00E46227"/>
    <w:rsid w:val="00E4625F"/>
    <w:rsid w:val="00E462C0"/>
    <w:rsid w:val="00E4630D"/>
    <w:rsid w:val="00E46EE9"/>
    <w:rsid w:val="00E46FB3"/>
    <w:rsid w:val="00E4706C"/>
    <w:rsid w:val="00E478C8"/>
    <w:rsid w:val="00E478D9"/>
    <w:rsid w:val="00E47E1B"/>
    <w:rsid w:val="00E47F6C"/>
    <w:rsid w:val="00E47FDD"/>
    <w:rsid w:val="00E50035"/>
    <w:rsid w:val="00E50109"/>
    <w:rsid w:val="00E50457"/>
    <w:rsid w:val="00E511D9"/>
    <w:rsid w:val="00E516ED"/>
    <w:rsid w:val="00E518CF"/>
    <w:rsid w:val="00E52223"/>
    <w:rsid w:val="00E527EE"/>
    <w:rsid w:val="00E528D9"/>
    <w:rsid w:val="00E52A97"/>
    <w:rsid w:val="00E52D79"/>
    <w:rsid w:val="00E52E0E"/>
    <w:rsid w:val="00E52FB7"/>
    <w:rsid w:val="00E53289"/>
    <w:rsid w:val="00E53698"/>
    <w:rsid w:val="00E536AD"/>
    <w:rsid w:val="00E537F2"/>
    <w:rsid w:val="00E539E1"/>
    <w:rsid w:val="00E53D4F"/>
    <w:rsid w:val="00E53D6F"/>
    <w:rsid w:val="00E53F87"/>
    <w:rsid w:val="00E544C9"/>
    <w:rsid w:val="00E546E2"/>
    <w:rsid w:val="00E5484A"/>
    <w:rsid w:val="00E548ED"/>
    <w:rsid w:val="00E54950"/>
    <w:rsid w:val="00E54BF1"/>
    <w:rsid w:val="00E54C8D"/>
    <w:rsid w:val="00E551C9"/>
    <w:rsid w:val="00E55668"/>
    <w:rsid w:val="00E55C88"/>
    <w:rsid w:val="00E55FB3"/>
    <w:rsid w:val="00E5606F"/>
    <w:rsid w:val="00E56091"/>
    <w:rsid w:val="00E561CA"/>
    <w:rsid w:val="00E56546"/>
    <w:rsid w:val="00E56979"/>
    <w:rsid w:val="00E56A01"/>
    <w:rsid w:val="00E576E3"/>
    <w:rsid w:val="00E57987"/>
    <w:rsid w:val="00E57C2B"/>
    <w:rsid w:val="00E57C30"/>
    <w:rsid w:val="00E57F89"/>
    <w:rsid w:val="00E6001B"/>
    <w:rsid w:val="00E600E3"/>
    <w:rsid w:val="00E6124B"/>
    <w:rsid w:val="00E612E4"/>
    <w:rsid w:val="00E61ABE"/>
    <w:rsid w:val="00E61BEC"/>
    <w:rsid w:val="00E62048"/>
    <w:rsid w:val="00E621E3"/>
    <w:rsid w:val="00E62435"/>
    <w:rsid w:val="00E6288D"/>
    <w:rsid w:val="00E629A1"/>
    <w:rsid w:val="00E62AE1"/>
    <w:rsid w:val="00E62D44"/>
    <w:rsid w:val="00E632F4"/>
    <w:rsid w:val="00E6339F"/>
    <w:rsid w:val="00E63859"/>
    <w:rsid w:val="00E6395F"/>
    <w:rsid w:val="00E63971"/>
    <w:rsid w:val="00E639CD"/>
    <w:rsid w:val="00E63E33"/>
    <w:rsid w:val="00E63F9A"/>
    <w:rsid w:val="00E63FB2"/>
    <w:rsid w:val="00E64277"/>
    <w:rsid w:val="00E64708"/>
    <w:rsid w:val="00E6474C"/>
    <w:rsid w:val="00E64BDF"/>
    <w:rsid w:val="00E64E97"/>
    <w:rsid w:val="00E6503F"/>
    <w:rsid w:val="00E651FD"/>
    <w:rsid w:val="00E65505"/>
    <w:rsid w:val="00E656BB"/>
    <w:rsid w:val="00E656FD"/>
    <w:rsid w:val="00E659F2"/>
    <w:rsid w:val="00E65F42"/>
    <w:rsid w:val="00E66671"/>
    <w:rsid w:val="00E67614"/>
    <w:rsid w:val="00E6784A"/>
    <w:rsid w:val="00E678EC"/>
    <w:rsid w:val="00E6794C"/>
    <w:rsid w:val="00E67C54"/>
    <w:rsid w:val="00E70161"/>
    <w:rsid w:val="00E70316"/>
    <w:rsid w:val="00E7043C"/>
    <w:rsid w:val="00E70640"/>
    <w:rsid w:val="00E7088C"/>
    <w:rsid w:val="00E70CFB"/>
    <w:rsid w:val="00E70E85"/>
    <w:rsid w:val="00E70F0A"/>
    <w:rsid w:val="00E71064"/>
    <w:rsid w:val="00E713A6"/>
    <w:rsid w:val="00E71591"/>
    <w:rsid w:val="00E715B1"/>
    <w:rsid w:val="00E715E4"/>
    <w:rsid w:val="00E71785"/>
    <w:rsid w:val="00E71AAF"/>
    <w:rsid w:val="00E71CEB"/>
    <w:rsid w:val="00E725A4"/>
    <w:rsid w:val="00E7298B"/>
    <w:rsid w:val="00E72B0A"/>
    <w:rsid w:val="00E72BD2"/>
    <w:rsid w:val="00E72C98"/>
    <w:rsid w:val="00E72F3A"/>
    <w:rsid w:val="00E732D2"/>
    <w:rsid w:val="00E7362A"/>
    <w:rsid w:val="00E73648"/>
    <w:rsid w:val="00E7381B"/>
    <w:rsid w:val="00E739B4"/>
    <w:rsid w:val="00E73C80"/>
    <w:rsid w:val="00E73C8B"/>
    <w:rsid w:val="00E74089"/>
    <w:rsid w:val="00E7474F"/>
    <w:rsid w:val="00E748C9"/>
    <w:rsid w:val="00E74A05"/>
    <w:rsid w:val="00E74BFC"/>
    <w:rsid w:val="00E74C09"/>
    <w:rsid w:val="00E74C37"/>
    <w:rsid w:val="00E74E73"/>
    <w:rsid w:val="00E74F82"/>
    <w:rsid w:val="00E7551C"/>
    <w:rsid w:val="00E757F3"/>
    <w:rsid w:val="00E758DE"/>
    <w:rsid w:val="00E759B8"/>
    <w:rsid w:val="00E75A5A"/>
    <w:rsid w:val="00E75AD7"/>
    <w:rsid w:val="00E75CA4"/>
    <w:rsid w:val="00E75DA5"/>
    <w:rsid w:val="00E75EEB"/>
    <w:rsid w:val="00E75F26"/>
    <w:rsid w:val="00E76AC1"/>
    <w:rsid w:val="00E77A48"/>
    <w:rsid w:val="00E77CCB"/>
    <w:rsid w:val="00E80170"/>
    <w:rsid w:val="00E803EF"/>
    <w:rsid w:val="00E80529"/>
    <w:rsid w:val="00E80DE3"/>
    <w:rsid w:val="00E8146D"/>
    <w:rsid w:val="00E81771"/>
    <w:rsid w:val="00E81957"/>
    <w:rsid w:val="00E81A1D"/>
    <w:rsid w:val="00E81D59"/>
    <w:rsid w:val="00E82103"/>
    <w:rsid w:val="00E824CE"/>
    <w:rsid w:val="00E82C55"/>
    <w:rsid w:val="00E8303F"/>
    <w:rsid w:val="00E83BFB"/>
    <w:rsid w:val="00E841B1"/>
    <w:rsid w:val="00E84319"/>
    <w:rsid w:val="00E8437D"/>
    <w:rsid w:val="00E84DBB"/>
    <w:rsid w:val="00E84E83"/>
    <w:rsid w:val="00E85013"/>
    <w:rsid w:val="00E85140"/>
    <w:rsid w:val="00E85169"/>
    <w:rsid w:val="00E854F5"/>
    <w:rsid w:val="00E85514"/>
    <w:rsid w:val="00E85EF7"/>
    <w:rsid w:val="00E860CE"/>
    <w:rsid w:val="00E86111"/>
    <w:rsid w:val="00E868A8"/>
    <w:rsid w:val="00E86BE2"/>
    <w:rsid w:val="00E86C45"/>
    <w:rsid w:val="00E86F46"/>
    <w:rsid w:val="00E8761B"/>
    <w:rsid w:val="00E877AB"/>
    <w:rsid w:val="00E8787E"/>
    <w:rsid w:val="00E87A01"/>
    <w:rsid w:val="00E87FAC"/>
    <w:rsid w:val="00E9042A"/>
    <w:rsid w:val="00E90518"/>
    <w:rsid w:val="00E90823"/>
    <w:rsid w:val="00E9091E"/>
    <w:rsid w:val="00E90ECB"/>
    <w:rsid w:val="00E90ED5"/>
    <w:rsid w:val="00E90FC7"/>
    <w:rsid w:val="00E90FED"/>
    <w:rsid w:val="00E91391"/>
    <w:rsid w:val="00E91456"/>
    <w:rsid w:val="00E917A8"/>
    <w:rsid w:val="00E91810"/>
    <w:rsid w:val="00E918AF"/>
    <w:rsid w:val="00E91B63"/>
    <w:rsid w:val="00E91D2E"/>
    <w:rsid w:val="00E924A7"/>
    <w:rsid w:val="00E924F9"/>
    <w:rsid w:val="00E9278B"/>
    <w:rsid w:val="00E927CC"/>
    <w:rsid w:val="00E92AC3"/>
    <w:rsid w:val="00E92E09"/>
    <w:rsid w:val="00E93051"/>
    <w:rsid w:val="00E93890"/>
    <w:rsid w:val="00E93989"/>
    <w:rsid w:val="00E93A27"/>
    <w:rsid w:val="00E93A63"/>
    <w:rsid w:val="00E93A6F"/>
    <w:rsid w:val="00E94032"/>
    <w:rsid w:val="00E94E0A"/>
    <w:rsid w:val="00E9501F"/>
    <w:rsid w:val="00E95734"/>
    <w:rsid w:val="00E9591E"/>
    <w:rsid w:val="00E95952"/>
    <w:rsid w:val="00E95C49"/>
    <w:rsid w:val="00E95CBD"/>
    <w:rsid w:val="00E960C8"/>
    <w:rsid w:val="00E969D7"/>
    <w:rsid w:val="00E969FC"/>
    <w:rsid w:val="00E97328"/>
    <w:rsid w:val="00E97692"/>
    <w:rsid w:val="00E97864"/>
    <w:rsid w:val="00E97E45"/>
    <w:rsid w:val="00EA0694"/>
    <w:rsid w:val="00EA0759"/>
    <w:rsid w:val="00EA0828"/>
    <w:rsid w:val="00EA09CC"/>
    <w:rsid w:val="00EA0AB0"/>
    <w:rsid w:val="00EA11B5"/>
    <w:rsid w:val="00EA12E6"/>
    <w:rsid w:val="00EA18DD"/>
    <w:rsid w:val="00EA1DC9"/>
    <w:rsid w:val="00EA218F"/>
    <w:rsid w:val="00EA2E30"/>
    <w:rsid w:val="00EA2EBF"/>
    <w:rsid w:val="00EA2F46"/>
    <w:rsid w:val="00EA2F6A"/>
    <w:rsid w:val="00EA3098"/>
    <w:rsid w:val="00EA322E"/>
    <w:rsid w:val="00EA337B"/>
    <w:rsid w:val="00EA35E2"/>
    <w:rsid w:val="00EA36AD"/>
    <w:rsid w:val="00EA3804"/>
    <w:rsid w:val="00EA39BE"/>
    <w:rsid w:val="00EA3A46"/>
    <w:rsid w:val="00EA3A6D"/>
    <w:rsid w:val="00EA3A75"/>
    <w:rsid w:val="00EA3C3D"/>
    <w:rsid w:val="00EA3E19"/>
    <w:rsid w:val="00EA3F34"/>
    <w:rsid w:val="00EA40EB"/>
    <w:rsid w:val="00EA4337"/>
    <w:rsid w:val="00EA46FC"/>
    <w:rsid w:val="00EA478C"/>
    <w:rsid w:val="00EA47BE"/>
    <w:rsid w:val="00EA48F5"/>
    <w:rsid w:val="00EA4C91"/>
    <w:rsid w:val="00EA53D2"/>
    <w:rsid w:val="00EA6009"/>
    <w:rsid w:val="00EA6011"/>
    <w:rsid w:val="00EA605F"/>
    <w:rsid w:val="00EA6251"/>
    <w:rsid w:val="00EA66EF"/>
    <w:rsid w:val="00EA689E"/>
    <w:rsid w:val="00EA6D09"/>
    <w:rsid w:val="00EA6E48"/>
    <w:rsid w:val="00EA6FBB"/>
    <w:rsid w:val="00EA7767"/>
    <w:rsid w:val="00EA7817"/>
    <w:rsid w:val="00EA7A06"/>
    <w:rsid w:val="00EB00E0"/>
    <w:rsid w:val="00EB01E6"/>
    <w:rsid w:val="00EB0414"/>
    <w:rsid w:val="00EB04E5"/>
    <w:rsid w:val="00EB055B"/>
    <w:rsid w:val="00EB05D5"/>
    <w:rsid w:val="00EB075A"/>
    <w:rsid w:val="00EB0D94"/>
    <w:rsid w:val="00EB0EC3"/>
    <w:rsid w:val="00EB1653"/>
    <w:rsid w:val="00EB1941"/>
    <w:rsid w:val="00EB1A08"/>
    <w:rsid w:val="00EB1E4E"/>
    <w:rsid w:val="00EB2288"/>
    <w:rsid w:val="00EB2527"/>
    <w:rsid w:val="00EB253B"/>
    <w:rsid w:val="00EB2542"/>
    <w:rsid w:val="00EB267F"/>
    <w:rsid w:val="00EB29D6"/>
    <w:rsid w:val="00EB2D23"/>
    <w:rsid w:val="00EB2D26"/>
    <w:rsid w:val="00EB300C"/>
    <w:rsid w:val="00EB3126"/>
    <w:rsid w:val="00EB3723"/>
    <w:rsid w:val="00EB37D2"/>
    <w:rsid w:val="00EB38A4"/>
    <w:rsid w:val="00EB3E59"/>
    <w:rsid w:val="00EB3EA1"/>
    <w:rsid w:val="00EB4385"/>
    <w:rsid w:val="00EB4476"/>
    <w:rsid w:val="00EB456A"/>
    <w:rsid w:val="00EB45E5"/>
    <w:rsid w:val="00EB4687"/>
    <w:rsid w:val="00EB4BC7"/>
    <w:rsid w:val="00EB4F4C"/>
    <w:rsid w:val="00EB50DD"/>
    <w:rsid w:val="00EB523A"/>
    <w:rsid w:val="00EB552D"/>
    <w:rsid w:val="00EB5561"/>
    <w:rsid w:val="00EB5659"/>
    <w:rsid w:val="00EB56B9"/>
    <w:rsid w:val="00EB56E3"/>
    <w:rsid w:val="00EB5712"/>
    <w:rsid w:val="00EB5B8C"/>
    <w:rsid w:val="00EB5BFB"/>
    <w:rsid w:val="00EB5CDA"/>
    <w:rsid w:val="00EB5D74"/>
    <w:rsid w:val="00EB64AE"/>
    <w:rsid w:val="00EB64EA"/>
    <w:rsid w:val="00EB6D42"/>
    <w:rsid w:val="00EB6F3C"/>
    <w:rsid w:val="00EB736E"/>
    <w:rsid w:val="00EB747C"/>
    <w:rsid w:val="00EB7915"/>
    <w:rsid w:val="00EB7A97"/>
    <w:rsid w:val="00EB7D0F"/>
    <w:rsid w:val="00EB7FD5"/>
    <w:rsid w:val="00EC00D8"/>
    <w:rsid w:val="00EC04DE"/>
    <w:rsid w:val="00EC0549"/>
    <w:rsid w:val="00EC059F"/>
    <w:rsid w:val="00EC06D3"/>
    <w:rsid w:val="00EC1551"/>
    <w:rsid w:val="00EC1A1D"/>
    <w:rsid w:val="00EC1B10"/>
    <w:rsid w:val="00EC1B35"/>
    <w:rsid w:val="00EC1F24"/>
    <w:rsid w:val="00EC1F48"/>
    <w:rsid w:val="00EC2217"/>
    <w:rsid w:val="00EC22E5"/>
    <w:rsid w:val="00EC22F6"/>
    <w:rsid w:val="00EC2301"/>
    <w:rsid w:val="00EC297C"/>
    <w:rsid w:val="00EC2A98"/>
    <w:rsid w:val="00EC2DB1"/>
    <w:rsid w:val="00EC2E8D"/>
    <w:rsid w:val="00EC31C7"/>
    <w:rsid w:val="00EC367E"/>
    <w:rsid w:val="00EC37D9"/>
    <w:rsid w:val="00EC3ACD"/>
    <w:rsid w:val="00EC3C2C"/>
    <w:rsid w:val="00EC3D20"/>
    <w:rsid w:val="00EC3DB9"/>
    <w:rsid w:val="00EC412F"/>
    <w:rsid w:val="00EC41D0"/>
    <w:rsid w:val="00EC4C4D"/>
    <w:rsid w:val="00EC5526"/>
    <w:rsid w:val="00EC565D"/>
    <w:rsid w:val="00EC5676"/>
    <w:rsid w:val="00EC5946"/>
    <w:rsid w:val="00EC5F7D"/>
    <w:rsid w:val="00EC60EF"/>
    <w:rsid w:val="00EC652D"/>
    <w:rsid w:val="00EC6D33"/>
    <w:rsid w:val="00EC6E9A"/>
    <w:rsid w:val="00EC7380"/>
    <w:rsid w:val="00EC78D9"/>
    <w:rsid w:val="00EC7D23"/>
    <w:rsid w:val="00ED04DA"/>
    <w:rsid w:val="00ED0EA1"/>
    <w:rsid w:val="00ED106C"/>
    <w:rsid w:val="00ED1283"/>
    <w:rsid w:val="00ED12B7"/>
    <w:rsid w:val="00ED1431"/>
    <w:rsid w:val="00ED14C9"/>
    <w:rsid w:val="00ED1C4D"/>
    <w:rsid w:val="00ED1EEA"/>
    <w:rsid w:val="00ED2007"/>
    <w:rsid w:val="00ED219F"/>
    <w:rsid w:val="00ED2482"/>
    <w:rsid w:val="00ED2900"/>
    <w:rsid w:val="00ED2A9C"/>
    <w:rsid w:val="00ED2CA4"/>
    <w:rsid w:val="00ED2CAB"/>
    <w:rsid w:val="00ED2E56"/>
    <w:rsid w:val="00ED2E82"/>
    <w:rsid w:val="00ED327F"/>
    <w:rsid w:val="00ED3415"/>
    <w:rsid w:val="00ED354E"/>
    <w:rsid w:val="00ED3A18"/>
    <w:rsid w:val="00ED41D2"/>
    <w:rsid w:val="00ED457D"/>
    <w:rsid w:val="00ED4B2B"/>
    <w:rsid w:val="00ED5088"/>
    <w:rsid w:val="00ED51CF"/>
    <w:rsid w:val="00ED53C7"/>
    <w:rsid w:val="00ED567F"/>
    <w:rsid w:val="00ED596D"/>
    <w:rsid w:val="00ED5A8B"/>
    <w:rsid w:val="00ED5B9B"/>
    <w:rsid w:val="00ED6677"/>
    <w:rsid w:val="00ED68C0"/>
    <w:rsid w:val="00ED69B7"/>
    <w:rsid w:val="00ED6AAB"/>
    <w:rsid w:val="00ED6BAD"/>
    <w:rsid w:val="00ED6C24"/>
    <w:rsid w:val="00ED6CFC"/>
    <w:rsid w:val="00ED6D97"/>
    <w:rsid w:val="00ED6ED7"/>
    <w:rsid w:val="00ED6FD4"/>
    <w:rsid w:val="00ED7447"/>
    <w:rsid w:val="00ED7762"/>
    <w:rsid w:val="00EE00D6"/>
    <w:rsid w:val="00EE01BD"/>
    <w:rsid w:val="00EE045F"/>
    <w:rsid w:val="00EE055A"/>
    <w:rsid w:val="00EE0693"/>
    <w:rsid w:val="00EE11E7"/>
    <w:rsid w:val="00EE1326"/>
    <w:rsid w:val="00EE13D6"/>
    <w:rsid w:val="00EE1488"/>
    <w:rsid w:val="00EE1FA4"/>
    <w:rsid w:val="00EE201F"/>
    <w:rsid w:val="00EE207E"/>
    <w:rsid w:val="00EE2282"/>
    <w:rsid w:val="00EE28C4"/>
    <w:rsid w:val="00EE29AD"/>
    <w:rsid w:val="00EE2A8A"/>
    <w:rsid w:val="00EE2CB1"/>
    <w:rsid w:val="00EE2EA8"/>
    <w:rsid w:val="00EE3397"/>
    <w:rsid w:val="00EE361E"/>
    <w:rsid w:val="00EE3AFA"/>
    <w:rsid w:val="00EE3D59"/>
    <w:rsid w:val="00EE3E24"/>
    <w:rsid w:val="00EE3FED"/>
    <w:rsid w:val="00EE4015"/>
    <w:rsid w:val="00EE4D5D"/>
    <w:rsid w:val="00EE4ECD"/>
    <w:rsid w:val="00EE5131"/>
    <w:rsid w:val="00EE5316"/>
    <w:rsid w:val="00EE5318"/>
    <w:rsid w:val="00EE53C8"/>
    <w:rsid w:val="00EE5993"/>
    <w:rsid w:val="00EE5AE3"/>
    <w:rsid w:val="00EE60D8"/>
    <w:rsid w:val="00EE62C6"/>
    <w:rsid w:val="00EE62D6"/>
    <w:rsid w:val="00EE651D"/>
    <w:rsid w:val="00EE656A"/>
    <w:rsid w:val="00EE68F6"/>
    <w:rsid w:val="00EE6C3C"/>
    <w:rsid w:val="00EE6E44"/>
    <w:rsid w:val="00EE7028"/>
    <w:rsid w:val="00EE7369"/>
    <w:rsid w:val="00EE784D"/>
    <w:rsid w:val="00EF00F9"/>
    <w:rsid w:val="00EF01FB"/>
    <w:rsid w:val="00EF05B7"/>
    <w:rsid w:val="00EF06AF"/>
    <w:rsid w:val="00EF0794"/>
    <w:rsid w:val="00EF07FB"/>
    <w:rsid w:val="00EF109B"/>
    <w:rsid w:val="00EF1640"/>
    <w:rsid w:val="00EF1A18"/>
    <w:rsid w:val="00EF1A8B"/>
    <w:rsid w:val="00EF1D19"/>
    <w:rsid w:val="00EF1E15"/>
    <w:rsid w:val="00EF1F68"/>
    <w:rsid w:val="00EF201C"/>
    <w:rsid w:val="00EF268E"/>
    <w:rsid w:val="00EF2A78"/>
    <w:rsid w:val="00EF2C72"/>
    <w:rsid w:val="00EF349D"/>
    <w:rsid w:val="00EF3650"/>
    <w:rsid w:val="00EF36AF"/>
    <w:rsid w:val="00EF3C5C"/>
    <w:rsid w:val="00EF3DF0"/>
    <w:rsid w:val="00EF4400"/>
    <w:rsid w:val="00EF4B82"/>
    <w:rsid w:val="00EF53AF"/>
    <w:rsid w:val="00EF570A"/>
    <w:rsid w:val="00EF579E"/>
    <w:rsid w:val="00EF5867"/>
    <w:rsid w:val="00EF59A3"/>
    <w:rsid w:val="00EF5B48"/>
    <w:rsid w:val="00EF5E14"/>
    <w:rsid w:val="00EF63F4"/>
    <w:rsid w:val="00EF6675"/>
    <w:rsid w:val="00EF670D"/>
    <w:rsid w:val="00EF686E"/>
    <w:rsid w:val="00EF6B31"/>
    <w:rsid w:val="00EF6F4D"/>
    <w:rsid w:val="00EF74B0"/>
    <w:rsid w:val="00EF74E7"/>
    <w:rsid w:val="00EF77F8"/>
    <w:rsid w:val="00EF7B4C"/>
    <w:rsid w:val="00EF7F8A"/>
    <w:rsid w:val="00F002CF"/>
    <w:rsid w:val="00F0063D"/>
    <w:rsid w:val="00F006C5"/>
    <w:rsid w:val="00F00718"/>
    <w:rsid w:val="00F0073C"/>
    <w:rsid w:val="00F00923"/>
    <w:rsid w:val="00F009C7"/>
    <w:rsid w:val="00F00A51"/>
    <w:rsid w:val="00F00C73"/>
    <w:rsid w:val="00F00F9C"/>
    <w:rsid w:val="00F01136"/>
    <w:rsid w:val="00F011CC"/>
    <w:rsid w:val="00F0188D"/>
    <w:rsid w:val="00F01927"/>
    <w:rsid w:val="00F01E20"/>
    <w:rsid w:val="00F01E5F"/>
    <w:rsid w:val="00F02158"/>
    <w:rsid w:val="00F024D6"/>
    <w:rsid w:val="00F024F3"/>
    <w:rsid w:val="00F02735"/>
    <w:rsid w:val="00F02A51"/>
    <w:rsid w:val="00F02ABA"/>
    <w:rsid w:val="00F02B2B"/>
    <w:rsid w:val="00F02B49"/>
    <w:rsid w:val="00F02B96"/>
    <w:rsid w:val="00F030C6"/>
    <w:rsid w:val="00F03378"/>
    <w:rsid w:val="00F0348B"/>
    <w:rsid w:val="00F034BE"/>
    <w:rsid w:val="00F038B8"/>
    <w:rsid w:val="00F03AE5"/>
    <w:rsid w:val="00F03F24"/>
    <w:rsid w:val="00F040EF"/>
    <w:rsid w:val="00F04148"/>
    <w:rsid w:val="00F0437A"/>
    <w:rsid w:val="00F04428"/>
    <w:rsid w:val="00F045EB"/>
    <w:rsid w:val="00F0479C"/>
    <w:rsid w:val="00F047A5"/>
    <w:rsid w:val="00F04C5D"/>
    <w:rsid w:val="00F04F8F"/>
    <w:rsid w:val="00F051B3"/>
    <w:rsid w:val="00F05255"/>
    <w:rsid w:val="00F052E1"/>
    <w:rsid w:val="00F054D7"/>
    <w:rsid w:val="00F05517"/>
    <w:rsid w:val="00F05D41"/>
    <w:rsid w:val="00F05FD9"/>
    <w:rsid w:val="00F05FE4"/>
    <w:rsid w:val="00F06C36"/>
    <w:rsid w:val="00F07584"/>
    <w:rsid w:val="00F10020"/>
    <w:rsid w:val="00F100F8"/>
    <w:rsid w:val="00F101B8"/>
    <w:rsid w:val="00F103E3"/>
    <w:rsid w:val="00F10EB9"/>
    <w:rsid w:val="00F10F08"/>
    <w:rsid w:val="00F10F0B"/>
    <w:rsid w:val="00F10F38"/>
    <w:rsid w:val="00F10F9E"/>
    <w:rsid w:val="00F10FEC"/>
    <w:rsid w:val="00F11037"/>
    <w:rsid w:val="00F11115"/>
    <w:rsid w:val="00F11171"/>
    <w:rsid w:val="00F113A8"/>
    <w:rsid w:val="00F11827"/>
    <w:rsid w:val="00F11AE1"/>
    <w:rsid w:val="00F11B53"/>
    <w:rsid w:val="00F11CBF"/>
    <w:rsid w:val="00F11FAC"/>
    <w:rsid w:val="00F122CD"/>
    <w:rsid w:val="00F12894"/>
    <w:rsid w:val="00F12951"/>
    <w:rsid w:val="00F13199"/>
    <w:rsid w:val="00F139E2"/>
    <w:rsid w:val="00F13E57"/>
    <w:rsid w:val="00F140CF"/>
    <w:rsid w:val="00F140DE"/>
    <w:rsid w:val="00F14102"/>
    <w:rsid w:val="00F14761"/>
    <w:rsid w:val="00F1479E"/>
    <w:rsid w:val="00F1493C"/>
    <w:rsid w:val="00F14D68"/>
    <w:rsid w:val="00F14D84"/>
    <w:rsid w:val="00F14DDD"/>
    <w:rsid w:val="00F14F83"/>
    <w:rsid w:val="00F15453"/>
    <w:rsid w:val="00F1564E"/>
    <w:rsid w:val="00F158B7"/>
    <w:rsid w:val="00F15EE1"/>
    <w:rsid w:val="00F1603D"/>
    <w:rsid w:val="00F16819"/>
    <w:rsid w:val="00F16E05"/>
    <w:rsid w:val="00F16E9F"/>
    <w:rsid w:val="00F16F1B"/>
    <w:rsid w:val="00F17338"/>
    <w:rsid w:val="00F1762A"/>
    <w:rsid w:val="00F17A75"/>
    <w:rsid w:val="00F17B2E"/>
    <w:rsid w:val="00F17C82"/>
    <w:rsid w:val="00F17E08"/>
    <w:rsid w:val="00F202FE"/>
    <w:rsid w:val="00F203C1"/>
    <w:rsid w:val="00F204C1"/>
    <w:rsid w:val="00F204F6"/>
    <w:rsid w:val="00F205DE"/>
    <w:rsid w:val="00F20E6B"/>
    <w:rsid w:val="00F2166A"/>
    <w:rsid w:val="00F2181C"/>
    <w:rsid w:val="00F21A50"/>
    <w:rsid w:val="00F21D1A"/>
    <w:rsid w:val="00F22209"/>
    <w:rsid w:val="00F22689"/>
    <w:rsid w:val="00F228E1"/>
    <w:rsid w:val="00F23222"/>
    <w:rsid w:val="00F23743"/>
    <w:rsid w:val="00F23953"/>
    <w:rsid w:val="00F23A09"/>
    <w:rsid w:val="00F2417E"/>
    <w:rsid w:val="00F242CE"/>
    <w:rsid w:val="00F249BB"/>
    <w:rsid w:val="00F250A9"/>
    <w:rsid w:val="00F250BB"/>
    <w:rsid w:val="00F2521D"/>
    <w:rsid w:val="00F2556A"/>
    <w:rsid w:val="00F25B9F"/>
    <w:rsid w:val="00F260FE"/>
    <w:rsid w:val="00F267AF"/>
    <w:rsid w:val="00F267CD"/>
    <w:rsid w:val="00F268E5"/>
    <w:rsid w:val="00F26971"/>
    <w:rsid w:val="00F27181"/>
    <w:rsid w:val="00F277ED"/>
    <w:rsid w:val="00F30158"/>
    <w:rsid w:val="00F303E0"/>
    <w:rsid w:val="00F30468"/>
    <w:rsid w:val="00F30611"/>
    <w:rsid w:val="00F30911"/>
    <w:rsid w:val="00F30B5E"/>
    <w:rsid w:val="00F30B9E"/>
    <w:rsid w:val="00F30C16"/>
    <w:rsid w:val="00F30FF4"/>
    <w:rsid w:val="00F31148"/>
    <w:rsid w:val="00F311AA"/>
    <w:rsid w:val="00F311DC"/>
    <w:rsid w:val="00F3120F"/>
    <w:rsid w:val="00F3122E"/>
    <w:rsid w:val="00F31FDC"/>
    <w:rsid w:val="00F322EB"/>
    <w:rsid w:val="00F32368"/>
    <w:rsid w:val="00F32373"/>
    <w:rsid w:val="00F324B4"/>
    <w:rsid w:val="00F3279E"/>
    <w:rsid w:val="00F32836"/>
    <w:rsid w:val="00F32A5C"/>
    <w:rsid w:val="00F32FD5"/>
    <w:rsid w:val="00F3307E"/>
    <w:rsid w:val="00F3311C"/>
    <w:rsid w:val="00F331AA"/>
    <w:rsid w:val="00F331AD"/>
    <w:rsid w:val="00F33EC8"/>
    <w:rsid w:val="00F34462"/>
    <w:rsid w:val="00F344F5"/>
    <w:rsid w:val="00F35287"/>
    <w:rsid w:val="00F35413"/>
    <w:rsid w:val="00F366F5"/>
    <w:rsid w:val="00F36B0C"/>
    <w:rsid w:val="00F375C8"/>
    <w:rsid w:val="00F3767A"/>
    <w:rsid w:val="00F37801"/>
    <w:rsid w:val="00F37877"/>
    <w:rsid w:val="00F404E0"/>
    <w:rsid w:val="00F40519"/>
    <w:rsid w:val="00F406B0"/>
    <w:rsid w:val="00F40A70"/>
    <w:rsid w:val="00F40AF5"/>
    <w:rsid w:val="00F40BD0"/>
    <w:rsid w:val="00F40BF7"/>
    <w:rsid w:val="00F40C01"/>
    <w:rsid w:val="00F41409"/>
    <w:rsid w:val="00F414AA"/>
    <w:rsid w:val="00F416F2"/>
    <w:rsid w:val="00F41BA2"/>
    <w:rsid w:val="00F41C27"/>
    <w:rsid w:val="00F41D43"/>
    <w:rsid w:val="00F4229D"/>
    <w:rsid w:val="00F429D5"/>
    <w:rsid w:val="00F42A48"/>
    <w:rsid w:val="00F42CD0"/>
    <w:rsid w:val="00F42F07"/>
    <w:rsid w:val="00F4311A"/>
    <w:rsid w:val="00F43135"/>
    <w:rsid w:val="00F43A37"/>
    <w:rsid w:val="00F43D14"/>
    <w:rsid w:val="00F43D88"/>
    <w:rsid w:val="00F43F72"/>
    <w:rsid w:val="00F44102"/>
    <w:rsid w:val="00F441C6"/>
    <w:rsid w:val="00F443BE"/>
    <w:rsid w:val="00F443F1"/>
    <w:rsid w:val="00F44524"/>
    <w:rsid w:val="00F4481B"/>
    <w:rsid w:val="00F449CB"/>
    <w:rsid w:val="00F44CE1"/>
    <w:rsid w:val="00F45395"/>
    <w:rsid w:val="00F456ED"/>
    <w:rsid w:val="00F45758"/>
    <w:rsid w:val="00F457E1"/>
    <w:rsid w:val="00F45843"/>
    <w:rsid w:val="00F45F43"/>
    <w:rsid w:val="00F4641B"/>
    <w:rsid w:val="00F4644C"/>
    <w:rsid w:val="00F4680A"/>
    <w:rsid w:val="00F46EB8"/>
    <w:rsid w:val="00F471D9"/>
    <w:rsid w:val="00F473D8"/>
    <w:rsid w:val="00F47615"/>
    <w:rsid w:val="00F47691"/>
    <w:rsid w:val="00F47BCA"/>
    <w:rsid w:val="00F47E01"/>
    <w:rsid w:val="00F502E3"/>
    <w:rsid w:val="00F503FF"/>
    <w:rsid w:val="00F50537"/>
    <w:rsid w:val="00F5064F"/>
    <w:rsid w:val="00F508C9"/>
    <w:rsid w:val="00F50CD1"/>
    <w:rsid w:val="00F50D56"/>
    <w:rsid w:val="00F50ECA"/>
    <w:rsid w:val="00F51015"/>
    <w:rsid w:val="00F511E4"/>
    <w:rsid w:val="00F51225"/>
    <w:rsid w:val="00F51794"/>
    <w:rsid w:val="00F51A52"/>
    <w:rsid w:val="00F51D90"/>
    <w:rsid w:val="00F520C5"/>
    <w:rsid w:val="00F524EB"/>
    <w:rsid w:val="00F52796"/>
    <w:rsid w:val="00F52D09"/>
    <w:rsid w:val="00F52E08"/>
    <w:rsid w:val="00F53414"/>
    <w:rsid w:val="00F535AE"/>
    <w:rsid w:val="00F535B4"/>
    <w:rsid w:val="00F5381F"/>
    <w:rsid w:val="00F53A66"/>
    <w:rsid w:val="00F53E88"/>
    <w:rsid w:val="00F5462D"/>
    <w:rsid w:val="00F54EA7"/>
    <w:rsid w:val="00F553D7"/>
    <w:rsid w:val="00F55890"/>
    <w:rsid w:val="00F55B21"/>
    <w:rsid w:val="00F55D4F"/>
    <w:rsid w:val="00F55DFD"/>
    <w:rsid w:val="00F5605B"/>
    <w:rsid w:val="00F56203"/>
    <w:rsid w:val="00F56313"/>
    <w:rsid w:val="00F56805"/>
    <w:rsid w:val="00F56AEB"/>
    <w:rsid w:val="00F56CEB"/>
    <w:rsid w:val="00F56EF6"/>
    <w:rsid w:val="00F57405"/>
    <w:rsid w:val="00F57DBE"/>
    <w:rsid w:val="00F60082"/>
    <w:rsid w:val="00F602ED"/>
    <w:rsid w:val="00F6037C"/>
    <w:rsid w:val="00F6062F"/>
    <w:rsid w:val="00F60AD3"/>
    <w:rsid w:val="00F60F68"/>
    <w:rsid w:val="00F61040"/>
    <w:rsid w:val="00F61416"/>
    <w:rsid w:val="00F61527"/>
    <w:rsid w:val="00F61A9F"/>
    <w:rsid w:val="00F61B5F"/>
    <w:rsid w:val="00F62246"/>
    <w:rsid w:val="00F6277E"/>
    <w:rsid w:val="00F628E5"/>
    <w:rsid w:val="00F6295F"/>
    <w:rsid w:val="00F629B3"/>
    <w:rsid w:val="00F62FE6"/>
    <w:rsid w:val="00F63109"/>
    <w:rsid w:val="00F634B5"/>
    <w:rsid w:val="00F63690"/>
    <w:rsid w:val="00F63A67"/>
    <w:rsid w:val="00F63BCA"/>
    <w:rsid w:val="00F640A9"/>
    <w:rsid w:val="00F6453B"/>
    <w:rsid w:val="00F64696"/>
    <w:rsid w:val="00F64815"/>
    <w:rsid w:val="00F64D22"/>
    <w:rsid w:val="00F64DF9"/>
    <w:rsid w:val="00F64EA1"/>
    <w:rsid w:val="00F6507E"/>
    <w:rsid w:val="00F650C2"/>
    <w:rsid w:val="00F65356"/>
    <w:rsid w:val="00F657C0"/>
    <w:rsid w:val="00F65844"/>
    <w:rsid w:val="00F65A80"/>
    <w:rsid w:val="00F65AA9"/>
    <w:rsid w:val="00F65BFF"/>
    <w:rsid w:val="00F65D55"/>
    <w:rsid w:val="00F65DC5"/>
    <w:rsid w:val="00F66301"/>
    <w:rsid w:val="00F665B1"/>
    <w:rsid w:val="00F66E0D"/>
    <w:rsid w:val="00F6728D"/>
    <w:rsid w:val="00F6768F"/>
    <w:rsid w:val="00F67977"/>
    <w:rsid w:val="00F67D7F"/>
    <w:rsid w:val="00F70041"/>
    <w:rsid w:val="00F70264"/>
    <w:rsid w:val="00F70439"/>
    <w:rsid w:val="00F704CC"/>
    <w:rsid w:val="00F709F7"/>
    <w:rsid w:val="00F70A93"/>
    <w:rsid w:val="00F70B11"/>
    <w:rsid w:val="00F70FA1"/>
    <w:rsid w:val="00F71331"/>
    <w:rsid w:val="00F7136E"/>
    <w:rsid w:val="00F7153D"/>
    <w:rsid w:val="00F7168D"/>
    <w:rsid w:val="00F71732"/>
    <w:rsid w:val="00F71A1B"/>
    <w:rsid w:val="00F71B11"/>
    <w:rsid w:val="00F71C8E"/>
    <w:rsid w:val="00F71D7E"/>
    <w:rsid w:val="00F71EB5"/>
    <w:rsid w:val="00F720B0"/>
    <w:rsid w:val="00F721FB"/>
    <w:rsid w:val="00F7226E"/>
    <w:rsid w:val="00F72608"/>
    <w:rsid w:val="00F7290A"/>
    <w:rsid w:val="00F72C2C"/>
    <w:rsid w:val="00F732A8"/>
    <w:rsid w:val="00F73543"/>
    <w:rsid w:val="00F73886"/>
    <w:rsid w:val="00F739C2"/>
    <w:rsid w:val="00F73C72"/>
    <w:rsid w:val="00F73E67"/>
    <w:rsid w:val="00F740C2"/>
    <w:rsid w:val="00F740DD"/>
    <w:rsid w:val="00F741F2"/>
    <w:rsid w:val="00F742B2"/>
    <w:rsid w:val="00F744A0"/>
    <w:rsid w:val="00F7467C"/>
    <w:rsid w:val="00F7473E"/>
    <w:rsid w:val="00F74962"/>
    <w:rsid w:val="00F74C5E"/>
    <w:rsid w:val="00F74D4E"/>
    <w:rsid w:val="00F74E44"/>
    <w:rsid w:val="00F74E74"/>
    <w:rsid w:val="00F75161"/>
    <w:rsid w:val="00F7574B"/>
    <w:rsid w:val="00F7577B"/>
    <w:rsid w:val="00F75849"/>
    <w:rsid w:val="00F75A7B"/>
    <w:rsid w:val="00F75ABD"/>
    <w:rsid w:val="00F75B86"/>
    <w:rsid w:val="00F75E67"/>
    <w:rsid w:val="00F75EC6"/>
    <w:rsid w:val="00F760B4"/>
    <w:rsid w:val="00F7649A"/>
    <w:rsid w:val="00F7654D"/>
    <w:rsid w:val="00F7667A"/>
    <w:rsid w:val="00F76941"/>
    <w:rsid w:val="00F76A3E"/>
    <w:rsid w:val="00F76CAB"/>
    <w:rsid w:val="00F76CE7"/>
    <w:rsid w:val="00F76D52"/>
    <w:rsid w:val="00F76E50"/>
    <w:rsid w:val="00F77252"/>
    <w:rsid w:val="00F772C6"/>
    <w:rsid w:val="00F77375"/>
    <w:rsid w:val="00F77910"/>
    <w:rsid w:val="00F77982"/>
    <w:rsid w:val="00F77C69"/>
    <w:rsid w:val="00F77D23"/>
    <w:rsid w:val="00F77EBF"/>
    <w:rsid w:val="00F8009F"/>
    <w:rsid w:val="00F801E8"/>
    <w:rsid w:val="00F80C48"/>
    <w:rsid w:val="00F80F79"/>
    <w:rsid w:val="00F812EA"/>
    <w:rsid w:val="00F815B5"/>
    <w:rsid w:val="00F8166C"/>
    <w:rsid w:val="00F81747"/>
    <w:rsid w:val="00F81C8B"/>
    <w:rsid w:val="00F82394"/>
    <w:rsid w:val="00F82414"/>
    <w:rsid w:val="00F82679"/>
    <w:rsid w:val="00F82ECA"/>
    <w:rsid w:val="00F833B0"/>
    <w:rsid w:val="00F839B0"/>
    <w:rsid w:val="00F83D28"/>
    <w:rsid w:val="00F83F76"/>
    <w:rsid w:val="00F84157"/>
    <w:rsid w:val="00F8476D"/>
    <w:rsid w:val="00F84CE7"/>
    <w:rsid w:val="00F85195"/>
    <w:rsid w:val="00F8527D"/>
    <w:rsid w:val="00F8537C"/>
    <w:rsid w:val="00F859D3"/>
    <w:rsid w:val="00F85F16"/>
    <w:rsid w:val="00F868E3"/>
    <w:rsid w:val="00F869E3"/>
    <w:rsid w:val="00F86D04"/>
    <w:rsid w:val="00F87964"/>
    <w:rsid w:val="00F87D8E"/>
    <w:rsid w:val="00F900B9"/>
    <w:rsid w:val="00F90411"/>
    <w:rsid w:val="00F9045C"/>
    <w:rsid w:val="00F90553"/>
    <w:rsid w:val="00F905F4"/>
    <w:rsid w:val="00F906E8"/>
    <w:rsid w:val="00F9087B"/>
    <w:rsid w:val="00F908B1"/>
    <w:rsid w:val="00F908E9"/>
    <w:rsid w:val="00F909A0"/>
    <w:rsid w:val="00F90E6C"/>
    <w:rsid w:val="00F9105D"/>
    <w:rsid w:val="00F91204"/>
    <w:rsid w:val="00F91504"/>
    <w:rsid w:val="00F91573"/>
    <w:rsid w:val="00F91766"/>
    <w:rsid w:val="00F91BFA"/>
    <w:rsid w:val="00F91DAC"/>
    <w:rsid w:val="00F92448"/>
    <w:rsid w:val="00F92A8B"/>
    <w:rsid w:val="00F92D68"/>
    <w:rsid w:val="00F938BA"/>
    <w:rsid w:val="00F93B65"/>
    <w:rsid w:val="00F940DF"/>
    <w:rsid w:val="00F94577"/>
    <w:rsid w:val="00F9495F"/>
    <w:rsid w:val="00F949F3"/>
    <w:rsid w:val="00F94A30"/>
    <w:rsid w:val="00F94A8A"/>
    <w:rsid w:val="00F94CB0"/>
    <w:rsid w:val="00F94E8E"/>
    <w:rsid w:val="00F951BF"/>
    <w:rsid w:val="00F952F3"/>
    <w:rsid w:val="00F955B1"/>
    <w:rsid w:val="00F95977"/>
    <w:rsid w:val="00F95A29"/>
    <w:rsid w:val="00F95AC7"/>
    <w:rsid w:val="00F95E1D"/>
    <w:rsid w:val="00F95EE2"/>
    <w:rsid w:val="00F960ED"/>
    <w:rsid w:val="00F962EB"/>
    <w:rsid w:val="00F963AB"/>
    <w:rsid w:val="00F963F7"/>
    <w:rsid w:val="00F9684D"/>
    <w:rsid w:val="00F96DAF"/>
    <w:rsid w:val="00F96F5C"/>
    <w:rsid w:val="00F97126"/>
    <w:rsid w:val="00F97919"/>
    <w:rsid w:val="00F979F4"/>
    <w:rsid w:val="00F97A19"/>
    <w:rsid w:val="00F97B99"/>
    <w:rsid w:val="00F97D46"/>
    <w:rsid w:val="00F97DBA"/>
    <w:rsid w:val="00FA0492"/>
    <w:rsid w:val="00FA05DD"/>
    <w:rsid w:val="00FA06C8"/>
    <w:rsid w:val="00FA13E2"/>
    <w:rsid w:val="00FA1505"/>
    <w:rsid w:val="00FA1978"/>
    <w:rsid w:val="00FA1CF2"/>
    <w:rsid w:val="00FA1FC5"/>
    <w:rsid w:val="00FA2174"/>
    <w:rsid w:val="00FA2414"/>
    <w:rsid w:val="00FA2810"/>
    <w:rsid w:val="00FA2880"/>
    <w:rsid w:val="00FA29EE"/>
    <w:rsid w:val="00FA2AB7"/>
    <w:rsid w:val="00FA2C46"/>
    <w:rsid w:val="00FA2D76"/>
    <w:rsid w:val="00FA2E4F"/>
    <w:rsid w:val="00FA321D"/>
    <w:rsid w:val="00FA3525"/>
    <w:rsid w:val="00FA356E"/>
    <w:rsid w:val="00FA3639"/>
    <w:rsid w:val="00FA3A33"/>
    <w:rsid w:val="00FA3B42"/>
    <w:rsid w:val="00FA410F"/>
    <w:rsid w:val="00FA42D6"/>
    <w:rsid w:val="00FA45E5"/>
    <w:rsid w:val="00FA45FB"/>
    <w:rsid w:val="00FA53FB"/>
    <w:rsid w:val="00FA5A53"/>
    <w:rsid w:val="00FA5C20"/>
    <w:rsid w:val="00FA5DE2"/>
    <w:rsid w:val="00FA5E87"/>
    <w:rsid w:val="00FA62D1"/>
    <w:rsid w:val="00FA6343"/>
    <w:rsid w:val="00FA6982"/>
    <w:rsid w:val="00FA6A0F"/>
    <w:rsid w:val="00FA6DA1"/>
    <w:rsid w:val="00FA7119"/>
    <w:rsid w:val="00FA71BA"/>
    <w:rsid w:val="00FA7243"/>
    <w:rsid w:val="00FA7502"/>
    <w:rsid w:val="00FA7789"/>
    <w:rsid w:val="00FA78C9"/>
    <w:rsid w:val="00FA7C78"/>
    <w:rsid w:val="00FA7E06"/>
    <w:rsid w:val="00FA7E89"/>
    <w:rsid w:val="00FB011C"/>
    <w:rsid w:val="00FB08CC"/>
    <w:rsid w:val="00FB093D"/>
    <w:rsid w:val="00FB0948"/>
    <w:rsid w:val="00FB0F87"/>
    <w:rsid w:val="00FB1014"/>
    <w:rsid w:val="00FB1225"/>
    <w:rsid w:val="00FB12B9"/>
    <w:rsid w:val="00FB14A6"/>
    <w:rsid w:val="00FB1713"/>
    <w:rsid w:val="00FB1942"/>
    <w:rsid w:val="00FB1C03"/>
    <w:rsid w:val="00FB1D2E"/>
    <w:rsid w:val="00FB1E11"/>
    <w:rsid w:val="00FB1F6E"/>
    <w:rsid w:val="00FB21C9"/>
    <w:rsid w:val="00FB22A3"/>
    <w:rsid w:val="00FB2459"/>
    <w:rsid w:val="00FB265A"/>
    <w:rsid w:val="00FB26E5"/>
    <w:rsid w:val="00FB2F2E"/>
    <w:rsid w:val="00FB38B4"/>
    <w:rsid w:val="00FB39F4"/>
    <w:rsid w:val="00FB44E2"/>
    <w:rsid w:val="00FB4644"/>
    <w:rsid w:val="00FB4769"/>
    <w:rsid w:val="00FB4901"/>
    <w:rsid w:val="00FB4941"/>
    <w:rsid w:val="00FB4A12"/>
    <w:rsid w:val="00FB4C0F"/>
    <w:rsid w:val="00FB4C9C"/>
    <w:rsid w:val="00FB4CDA"/>
    <w:rsid w:val="00FB5118"/>
    <w:rsid w:val="00FB518E"/>
    <w:rsid w:val="00FB5702"/>
    <w:rsid w:val="00FB58DE"/>
    <w:rsid w:val="00FB5F7A"/>
    <w:rsid w:val="00FB6377"/>
    <w:rsid w:val="00FB646D"/>
    <w:rsid w:val="00FB6481"/>
    <w:rsid w:val="00FB68A2"/>
    <w:rsid w:val="00FB697B"/>
    <w:rsid w:val="00FB6D36"/>
    <w:rsid w:val="00FB6F0D"/>
    <w:rsid w:val="00FB7071"/>
    <w:rsid w:val="00FB7610"/>
    <w:rsid w:val="00FB7CBE"/>
    <w:rsid w:val="00FB7CF7"/>
    <w:rsid w:val="00FB7D0C"/>
    <w:rsid w:val="00FB7DC6"/>
    <w:rsid w:val="00FB7E0C"/>
    <w:rsid w:val="00FB7E46"/>
    <w:rsid w:val="00FC0965"/>
    <w:rsid w:val="00FC0C3B"/>
    <w:rsid w:val="00FC0E17"/>
    <w:rsid w:val="00FC0F08"/>
    <w:rsid w:val="00FC0F81"/>
    <w:rsid w:val="00FC1099"/>
    <w:rsid w:val="00FC1483"/>
    <w:rsid w:val="00FC1552"/>
    <w:rsid w:val="00FC1BF1"/>
    <w:rsid w:val="00FC1E92"/>
    <w:rsid w:val="00FC1EDB"/>
    <w:rsid w:val="00FC2493"/>
    <w:rsid w:val="00FC252F"/>
    <w:rsid w:val="00FC25B4"/>
    <w:rsid w:val="00FC28AA"/>
    <w:rsid w:val="00FC294F"/>
    <w:rsid w:val="00FC308A"/>
    <w:rsid w:val="00FC3093"/>
    <w:rsid w:val="00FC31BF"/>
    <w:rsid w:val="00FC391F"/>
    <w:rsid w:val="00FC395C"/>
    <w:rsid w:val="00FC41A5"/>
    <w:rsid w:val="00FC4430"/>
    <w:rsid w:val="00FC48ED"/>
    <w:rsid w:val="00FC4DE6"/>
    <w:rsid w:val="00FC4F05"/>
    <w:rsid w:val="00FC53C4"/>
    <w:rsid w:val="00FC5B4B"/>
    <w:rsid w:val="00FC5E8E"/>
    <w:rsid w:val="00FC60AF"/>
    <w:rsid w:val="00FC65AC"/>
    <w:rsid w:val="00FC6BA5"/>
    <w:rsid w:val="00FC7228"/>
    <w:rsid w:val="00FC7CA3"/>
    <w:rsid w:val="00FC7E6B"/>
    <w:rsid w:val="00FD00C6"/>
    <w:rsid w:val="00FD010F"/>
    <w:rsid w:val="00FD0277"/>
    <w:rsid w:val="00FD0DB9"/>
    <w:rsid w:val="00FD1714"/>
    <w:rsid w:val="00FD190A"/>
    <w:rsid w:val="00FD1966"/>
    <w:rsid w:val="00FD1AE1"/>
    <w:rsid w:val="00FD1C3C"/>
    <w:rsid w:val="00FD1E93"/>
    <w:rsid w:val="00FD22DF"/>
    <w:rsid w:val="00FD27B6"/>
    <w:rsid w:val="00FD2B51"/>
    <w:rsid w:val="00FD2BA1"/>
    <w:rsid w:val="00FD2CB5"/>
    <w:rsid w:val="00FD315C"/>
    <w:rsid w:val="00FD3295"/>
    <w:rsid w:val="00FD33C7"/>
    <w:rsid w:val="00FD3766"/>
    <w:rsid w:val="00FD3941"/>
    <w:rsid w:val="00FD3966"/>
    <w:rsid w:val="00FD3973"/>
    <w:rsid w:val="00FD3CBD"/>
    <w:rsid w:val="00FD3D05"/>
    <w:rsid w:val="00FD3FB9"/>
    <w:rsid w:val="00FD4332"/>
    <w:rsid w:val="00FD4374"/>
    <w:rsid w:val="00FD45A5"/>
    <w:rsid w:val="00FD47C4"/>
    <w:rsid w:val="00FD4877"/>
    <w:rsid w:val="00FD4AE0"/>
    <w:rsid w:val="00FD4B54"/>
    <w:rsid w:val="00FD4DC9"/>
    <w:rsid w:val="00FD51A8"/>
    <w:rsid w:val="00FD5211"/>
    <w:rsid w:val="00FD5392"/>
    <w:rsid w:val="00FD54B4"/>
    <w:rsid w:val="00FD5B3E"/>
    <w:rsid w:val="00FD5C4B"/>
    <w:rsid w:val="00FD609E"/>
    <w:rsid w:val="00FD612D"/>
    <w:rsid w:val="00FD61D1"/>
    <w:rsid w:val="00FD6BD2"/>
    <w:rsid w:val="00FD715C"/>
    <w:rsid w:val="00FD717A"/>
    <w:rsid w:val="00FD72ED"/>
    <w:rsid w:val="00FD7544"/>
    <w:rsid w:val="00FD75B4"/>
    <w:rsid w:val="00FD78C4"/>
    <w:rsid w:val="00FD7C67"/>
    <w:rsid w:val="00FD7E1C"/>
    <w:rsid w:val="00FE005E"/>
    <w:rsid w:val="00FE00CE"/>
    <w:rsid w:val="00FE0100"/>
    <w:rsid w:val="00FE0BB4"/>
    <w:rsid w:val="00FE0D20"/>
    <w:rsid w:val="00FE0DA5"/>
    <w:rsid w:val="00FE13ED"/>
    <w:rsid w:val="00FE17D4"/>
    <w:rsid w:val="00FE1A09"/>
    <w:rsid w:val="00FE1C65"/>
    <w:rsid w:val="00FE1EEE"/>
    <w:rsid w:val="00FE1EF2"/>
    <w:rsid w:val="00FE200E"/>
    <w:rsid w:val="00FE26D6"/>
    <w:rsid w:val="00FE2DCF"/>
    <w:rsid w:val="00FE362C"/>
    <w:rsid w:val="00FE39D2"/>
    <w:rsid w:val="00FE3ADA"/>
    <w:rsid w:val="00FE3DD0"/>
    <w:rsid w:val="00FE3FA7"/>
    <w:rsid w:val="00FE4081"/>
    <w:rsid w:val="00FE4419"/>
    <w:rsid w:val="00FE44E6"/>
    <w:rsid w:val="00FE4653"/>
    <w:rsid w:val="00FE4F0E"/>
    <w:rsid w:val="00FE5120"/>
    <w:rsid w:val="00FE5D94"/>
    <w:rsid w:val="00FE60CA"/>
    <w:rsid w:val="00FE611D"/>
    <w:rsid w:val="00FE6285"/>
    <w:rsid w:val="00FE633D"/>
    <w:rsid w:val="00FE6664"/>
    <w:rsid w:val="00FE6937"/>
    <w:rsid w:val="00FE7E0D"/>
    <w:rsid w:val="00FE7EF9"/>
    <w:rsid w:val="00FE7F68"/>
    <w:rsid w:val="00FF00AF"/>
    <w:rsid w:val="00FF0269"/>
    <w:rsid w:val="00FF0C00"/>
    <w:rsid w:val="00FF0E38"/>
    <w:rsid w:val="00FF0F15"/>
    <w:rsid w:val="00FF10B3"/>
    <w:rsid w:val="00FF1110"/>
    <w:rsid w:val="00FF134D"/>
    <w:rsid w:val="00FF1419"/>
    <w:rsid w:val="00FF1C5D"/>
    <w:rsid w:val="00FF1D22"/>
    <w:rsid w:val="00FF246E"/>
    <w:rsid w:val="00FF25AE"/>
    <w:rsid w:val="00FF2648"/>
    <w:rsid w:val="00FF2A4E"/>
    <w:rsid w:val="00FF2E1E"/>
    <w:rsid w:val="00FF2FCE"/>
    <w:rsid w:val="00FF3703"/>
    <w:rsid w:val="00FF3729"/>
    <w:rsid w:val="00FF3803"/>
    <w:rsid w:val="00FF38B4"/>
    <w:rsid w:val="00FF3BB8"/>
    <w:rsid w:val="00FF4148"/>
    <w:rsid w:val="00FF4181"/>
    <w:rsid w:val="00FF422A"/>
    <w:rsid w:val="00FF4590"/>
    <w:rsid w:val="00FF482D"/>
    <w:rsid w:val="00FF4968"/>
    <w:rsid w:val="00FF4A45"/>
    <w:rsid w:val="00FF4C69"/>
    <w:rsid w:val="00FF4EC5"/>
    <w:rsid w:val="00FF4F7D"/>
    <w:rsid w:val="00FF50BA"/>
    <w:rsid w:val="00FF51D7"/>
    <w:rsid w:val="00FF57A2"/>
    <w:rsid w:val="00FF590E"/>
    <w:rsid w:val="00FF6104"/>
    <w:rsid w:val="00FF66EA"/>
    <w:rsid w:val="00FF6B03"/>
    <w:rsid w:val="00FF6B62"/>
    <w:rsid w:val="00FF6CD8"/>
    <w:rsid w:val="00FF6D9D"/>
    <w:rsid w:val="00FF6FB2"/>
    <w:rsid w:val="00FF7130"/>
    <w:rsid w:val="00FF72F9"/>
    <w:rsid w:val="00FF7325"/>
    <w:rsid w:val="00FF737C"/>
    <w:rsid w:val="00FF73BD"/>
    <w:rsid w:val="00FF7620"/>
    <w:rsid w:val="00FF7639"/>
    <w:rsid w:val="00FF7C24"/>
    <w:rsid w:val="00FF7CC3"/>
    <w:rsid w:val="00FF7DD5"/>
    <w:rsid w:val="00FF7F23"/>
    <w:rsid w:val="015DDB75"/>
    <w:rsid w:val="02A50AB2"/>
    <w:rsid w:val="02C7CFBA"/>
    <w:rsid w:val="02E16A44"/>
    <w:rsid w:val="039F1A59"/>
    <w:rsid w:val="03A7985D"/>
    <w:rsid w:val="03C8417B"/>
    <w:rsid w:val="040775AF"/>
    <w:rsid w:val="04169211"/>
    <w:rsid w:val="041F14C1"/>
    <w:rsid w:val="046FA9F9"/>
    <w:rsid w:val="054C055A"/>
    <w:rsid w:val="060E43CA"/>
    <w:rsid w:val="06430403"/>
    <w:rsid w:val="0691FB7F"/>
    <w:rsid w:val="06BA0B86"/>
    <w:rsid w:val="06D18AED"/>
    <w:rsid w:val="06FE8D2C"/>
    <w:rsid w:val="07062E3C"/>
    <w:rsid w:val="07125D48"/>
    <w:rsid w:val="0748AB9D"/>
    <w:rsid w:val="07510319"/>
    <w:rsid w:val="07C1598F"/>
    <w:rsid w:val="080CC667"/>
    <w:rsid w:val="080CF995"/>
    <w:rsid w:val="08CCB4BD"/>
    <w:rsid w:val="08FAEAC7"/>
    <w:rsid w:val="0901117E"/>
    <w:rsid w:val="09413955"/>
    <w:rsid w:val="09FB4A22"/>
    <w:rsid w:val="0B2ACAD1"/>
    <w:rsid w:val="0B90D240"/>
    <w:rsid w:val="0BF7CDA9"/>
    <w:rsid w:val="0C734912"/>
    <w:rsid w:val="0CE6545D"/>
    <w:rsid w:val="0D6CA5A0"/>
    <w:rsid w:val="0D86BE0E"/>
    <w:rsid w:val="0D9DABF1"/>
    <w:rsid w:val="0D9DE960"/>
    <w:rsid w:val="0DACC87D"/>
    <w:rsid w:val="0DCF75F9"/>
    <w:rsid w:val="0E01F221"/>
    <w:rsid w:val="0E077D4E"/>
    <w:rsid w:val="0E34AB63"/>
    <w:rsid w:val="0E393D67"/>
    <w:rsid w:val="0E722F7B"/>
    <w:rsid w:val="0EE263B5"/>
    <w:rsid w:val="0EFF3BC6"/>
    <w:rsid w:val="0F15E9FD"/>
    <w:rsid w:val="0F23942B"/>
    <w:rsid w:val="0F5A1D20"/>
    <w:rsid w:val="0F63E1BF"/>
    <w:rsid w:val="0F6BDB6A"/>
    <w:rsid w:val="0FC0FFBA"/>
    <w:rsid w:val="101C8705"/>
    <w:rsid w:val="10381831"/>
    <w:rsid w:val="10A19B03"/>
    <w:rsid w:val="110DD993"/>
    <w:rsid w:val="119878BE"/>
    <w:rsid w:val="11DDFA32"/>
    <w:rsid w:val="12253BAD"/>
    <w:rsid w:val="127F2427"/>
    <w:rsid w:val="1329940E"/>
    <w:rsid w:val="13A3F211"/>
    <w:rsid w:val="13E0CE55"/>
    <w:rsid w:val="13EA230D"/>
    <w:rsid w:val="14BA7205"/>
    <w:rsid w:val="153C762E"/>
    <w:rsid w:val="159E4AE0"/>
    <w:rsid w:val="15BFD3C2"/>
    <w:rsid w:val="15E3D66D"/>
    <w:rsid w:val="162C7A1A"/>
    <w:rsid w:val="163AF177"/>
    <w:rsid w:val="16B63FEE"/>
    <w:rsid w:val="16EC80C5"/>
    <w:rsid w:val="17091584"/>
    <w:rsid w:val="170B5EF9"/>
    <w:rsid w:val="1760D0D9"/>
    <w:rsid w:val="1790F178"/>
    <w:rsid w:val="17BBF0C1"/>
    <w:rsid w:val="17CB3EFB"/>
    <w:rsid w:val="17CF456B"/>
    <w:rsid w:val="183F38C7"/>
    <w:rsid w:val="18598531"/>
    <w:rsid w:val="186EECBD"/>
    <w:rsid w:val="1879BC60"/>
    <w:rsid w:val="19525DD2"/>
    <w:rsid w:val="199A3ABB"/>
    <w:rsid w:val="19A0E69A"/>
    <w:rsid w:val="1A24A87D"/>
    <w:rsid w:val="1A36B004"/>
    <w:rsid w:val="1A714080"/>
    <w:rsid w:val="1A88C086"/>
    <w:rsid w:val="1AEE8285"/>
    <w:rsid w:val="1AF27299"/>
    <w:rsid w:val="1B0AF099"/>
    <w:rsid w:val="1B4621A6"/>
    <w:rsid w:val="1BE86438"/>
    <w:rsid w:val="1C6CF4DD"/>
    <w:rsid w:val="1C77C2A6"/>
    <w:rsid w:val="1C9FD411"/>
    <w:rsid w:val="1CCB5A65"/>
    <w:rsid w:val="1CD8A403"/>
    <w:rsid w:val="1D176A0F"/>
    <w:rsid w:val="1D1AF850"/>
    <w:rsid w:val="1D93136B"/>
    <w:rsid w:val="1DCB9B41"/>
    <w:rsid w:val="1DDD2633"/>
    <w:rsid w:val="1E1FE576"/>
    <w:rsid w:val="1E6C3B68"/>
    <w:rsid w:val="1E7DE07D"/>
    <w:rsid w:val="1EA43463"/>
    <w:rsid w:val="1EE277F3"/>
    <w:rsid w:val="1F81033E"/>
    <w:rsid w:val="1F89C810"/>
    <w:rsid w:val="1FDD5DD0"/>
    <w:rsid w:val="20098608"/>
    <w:rsid w:val="20BB0E50"/>
    <w:rsid w:val="21085582"/>
    <w:rsid w:val="2123B28B"/>
    <w:rsid w:val="21245F5D"/>
    <w:rsid w:val="218EE170"/>
    <w:rsid w:val="21ADA26E"/>
    <w:rsid w:val="21ED4A87"/>
    <w:rsid w:val="22520A70"/>
    <w:rsid w:val="228DE442"/>
    <w:rsid w:val="22E9C7A4"/>
    <w:rsid w:val="231535B0"/>
    <w:rsid w:val="233BC8C8"/>
    <w:rsid w:val="2378612B"/>
    <w:rsid w:val="23D638FE"/>
    <w:rsid w:val="23E7CF9A"/>
    <w:rsid w:val="240B3E0A"/>
    <w:rsid w:val="24264BAA"/>
    <w:rsid w:val="247CA746"/>
    <w:rsid w:val="24BFFE5E"/>
    <w:rsid w:val="24E8AD05"/>
    <w:rsid w:val="24EAAE4F"/>
    <w:rsid w:val="2514ECE1"/>
    <w:rsid w:val="25318A91"/>
    <w:rsid w:val="257F21BF"/>
    <w:rsid w:val="25B3B8DB"/>
    <w:rsid w:val="25C4CFF0"/>
    <w:rsid w:val="26050233"/>
    <w:rsid w:val="26243E56"/>
    <w:rsid w:val="267B764F"/>
    <w:rsid w:val="26D98C18"/>
    <w:rsid w:val="270B1846"/>
    <w:rsid w:val="2755077C"/>
    <w:rsid w:val="2766D21B"/>
    <w:rsid w:val="276A673B"/>
    <w:rsid w:val="280DD8CA"/>
    <w:rsid w:val="2842DF3E"/>
    <w:rsid w:val="285C3566"/>
    <w:rsid w:val="28EE6F25"/>
    <w:rsid w:val="29505192"/>
    <w:rsid w:val="296EBA50"/>
    <w:rsid w:val="296EDF6F"/>
    <w:rsid w:val="2A1BF135"/>
    <w:rsid w:val="2A31BADA"/>
    <w:rsid w:val="2A357315"/>
    <w:rsid w:val="2A7AFB6C"/>
    <w:rsid w:val="2AD805A6"/>
    <w:rsid w:val="2AECE667"/>
    <w:rsid w:val="2B2F64E0"/>
    <w:rsid w:val="2B4F58AB"/>
    <w:rsid w:val="2B6E31BA"/>
    <w:rsid w:val="2B87B254"/>
    <w:rsid w:val="2BE93EC7"/>
    <w:rsid w:val="2C1C2FEC"/>
    <w:rsid w:val="2C7642F4"/>
    <w:rsid w:val="2CA33581"/>
    <w:rsid w:val="2CD8ACF2"/>
    <w:rsid w:val="2CD8EAD1"/>
    <w:rsid w:val="2D655864"/>
    <w:rsid w:val="2D755B52"/>
    <w:rsid w:val="2DA6257E"/>
    <w:rsid w:val="2DBF795E"/>
    <w:rsid w:val="2DF9AEFB"/>
    <w:rsid w:val="2E27DAD9"/>
    <w:rsid w:val="2E4172B1"/>
    <w:rsid w:val="2E7C2FAD"/>
    <w:rsid w:val="2F9FFF2D"/>
    <w:rsid w:val="306B4AC0"/>
    <w:rsid w:val="3083C035"/>
    <w:rsid w:val="310FBDAB"/>
    <w:rsid w:val="312DDAFC"/>
    <w:rsid w:val="313F9A14"/>
    <w:rsid w:val="31B33878"/>
    <w:rsid w:val="32B7D3C6"/>
    <w:rsid w:val="32DD616B"/>
    <w:rsid w:val="3349014C"/>
    <w:rsid w:val="336D23A2"/>
    <w:rsid w:val="3385A1AA"/>
    <w:rsid w:val="338D99A6"/>
    <w:rsid w:val="339437F9"/>
    <w:rsid w:val="33CF3104"/>
    <w:rsid w:val="33F31BC7"/>
    <w:rsid w:val="33F70A45"/>
    <w:rsid w:val="34DC85F1"/>
    <w:rsid w:val="34F0EC3D"/>
    <w:rsid w:val="358DB0F4"/>
    <w:rsid w:val="35ACC6A6"/>
    <w:rsid w:val="35BF5986"/>
    <w:rsid w:val="35CB5DAE"/>
    <w:rsid w:val="35CE0B20"/>
    <w:rsid w:val="3619C7A4"/>
    <w:rsid w:val="362F771D"/>
    <w:rsid w:val="3634341E"/>
    <w:rsid w:val="3647A988"/>
    <w:rsid w:val="365622A4"/>
    <w:rsid w:val="368CBEFA"/>
    <w:rsid w:val="36B4DF3C"/>
    <w:rsid w:val="36DC7FDD"/>
    <w:rsid w:val="36FEE993"/>
    <w:rsid w:val="3786C235"/>
    <w:rsid w:val="37C2B772"/>
    <w:rsid w:val="37D364A9"/>
    <w:rsid w:val="37E0D375"/>
    <w:rsid w:val="39090DC1"/>
    <w:rsid w:val="395D28B2"/>
    <w:rsid w:val="398D4E76"/>
    <w:rsid w:val="39A3A428"/>
    <w:rsid w:val="39BFFE2E"/>
    <w:rsid w:val="39EC5D88"/>
    <w:rsid w:val="3A2B28E0"/>
    <w:rsid w:val="3A6A7DA0"/>
    <w:rsid w:val="3A7E4EDD"/>
    <w:rsid w:val="3AC424C0"/>
    <w:rsid w:val="3AC6720C"/>
    <w:rsid w:val="3ACA7D62"/>
    <w:rsid w:val="3ACB5B19"/>
    <w:rsid w:val="3B52DBF2"/>
    <w:rsid w:val="3B9C74BB"/>
    <w:rsid w:val="3C192D6B"/>
    <w:rsid w:val="3C1A3CC6"/>
    <w:rsid w:val="3C2C2CFE"/>
    <w:rsid w:val="3C98B956"/>
    <w:rsid w:val="3CDDB1B0"/>
    <w:rsid w:val="3CF739C6"/>
    <w:rsid w:val="3D7BF3F7"/>
    <w:rsid w:val="3DE7869C"/>
    <w:rsid w:val="3DEE69AC"/>
    <w:rsid w:val="3DF1953B"/>
    <w:rsid w:val="3E1FFCAD"/>
    <w:rsid w:val="3E617265"/>
    <w:rsid w:val="3E8F385D"/>
    <w:rsid w:val="3F34F72C"/>
    <w:rsid w:val="3F42DC19"/>
    <w:rsid w:val="3F5AD5CC"/>
    <w:rsid w:val="3F6436F0"/>
    <w:rsid w:val="3FCCB5C2"/>
    <w:rsid w:val="4012FDEB"/>
    <w:rsid w:val="404D0FAA"/>
    <w:rsid w:val="405CF93F"/>
    <w:rsid w:val="406E4D70"/>
    <w:rsid w:val="407B46FB"/>
    <w:rsid w:val="40DA27D5"/>
    <w:rsid w:val="40FCBCF5"/>
    <w:rsid w:val="41B7F7B5"/>
    <w:rsid w:val="41D48D73"/>
    <w:rsid w:val="426A2875"/>
    <w:rsid w:val="42AA32D9"/>
    <w:rsid w:val="43D27CEC"/>
    <w:rsid w:val="4423E621"/>
    <w:rsid w:val="443541A2"/>
    <w:rsid w:val="44383705"/>
    <w:rsid w:val="4473316C"/>
    <w:rsid w:val="450024E9"/>
    <w:rsid w:val="4515CFC5"/>
    <w:rsid w:val="453BE0FC"/>
    <w:rsid w:val="45CB6272"/>
    <w:rsid w:val="45DA275C"/>
    <w:rsid w:val="45F63BEA"/>
    <w:rsid w:val="4650DCD5"/>
    <w:rsid w:val="466E3B4A"/>
    <w:rsid w:val="467398DB"/>
    <w:rsid w:val="46FFCC40"/>
    <w:rsid w:val="4728DD39"/>
    <w:rsid w:val="4754BD10"/>
    <w:rsid w:val="476C27A7"/>
    <w:rsid w:val="478761BC"/>
    <w:rsid w:val="47B8BA37"/>
    <w:rsid w:val="47EC1A0C"/>
    <w:rsid w:val="47F05FFF"/>
    <w:rsid w:val="48416F84"/>
    <w:rsid w:val="48455A1C"/>
    <w:rsid w:val="4878A108"/>
    <w:rsid w:val="487CEF6E"/>
    <w:rsid w:val="4885B341"/>
    <w:rsid w:val="48C0870A"/>
    <w:rsid w:val="49269C33"/>
    <w:rsid w:val="494715E7"/>
    <w:rsid w:val="49AE6E6B"/>
    <w:rsid w:val="4ABC1470"/>
    <w:rsid w:val="4ADC0CD4"/>
    <w:rsid w:val="4B2C7BCF"/>
    <w:rsid w:val="4B6265FA"/>
    <w:rsid w:val="4BFE41B1"/>
    <w:rsid w:val="4C364F9B"/>
    <w:rsid w:val="4C5B1DBE"/>
    <w:rsid w:val="4CEA9B86"/>
    <w:rsid w:val="4D41236C"/>
    <w:rsid w:val="4D482F93"/>
    <w:rsid w:val="4D600773"/>
    <w:rsid w:val="4D8C8796"/>
    <w:rsid w:val="4DDA80BB"/>
    <w:rsid w:val="4DDCC782"/>
    <w:rsid w:val="4E15EA32"/>
    <w:rsid w:val="4E3F1EBE"/>
    <w:rsid w:val="4EC46CC1"/>
    <w:rsid w:val="4EC84F9B"/>
    <w:rsid w:val="4EEC59EE"/>
    <w:rsid w:val="4F5A7422"/>
    <w:rsid w:val="4F7513F7"/>
    <w:rsid w:val="502EC4EF"/>
    <w:rsid w:val="509A629C"/>
    <w:rsid w:val="50D0E05B"/>
    <w:rsid w:val="50ED83BC"/>
    <w:rsid w:val="512AAEDC"/>
    <w:rsid w:val="5152A1A2"/>
    <w:rsid w:val="515EFBA7"/>
    <w:rsid w:val="5169BC3A"/>
    <w:rsid w:val="51801724"/>
    <w:rsid w:val="51F74B29"/>
    <w:rsid w:val="53269A9A"/>
    <w:rsid w:val="53C39019"/>
    <w:rsid w:val="53D7B918"/>
    <w:rsid w:val="53E94948"/>
    <w:rsid w:val="53FE48D1"/>
    <w:rsid w:val="53FFF940"/>
    <w:rsid w:val="5418C2D5"/>
    <w:rsid w:val="546C4987"/>
    <w:rsid w:val="54700843"/>
    <w:rsid w:val="54DB07AA"/>
    <w:rsid w:val="54F3B4E0"/>
    <w:rsid w:val="556A0A28"/>
    <w:rsid w:val="556E16B0"/>
    <w:rsid w:val="55B82D56"/>
    <w:rsid w:val="55C3080F"/>
    <w:rsid w:val="55FBAC04"/>
    <w:rsid w:val="56111BF7"/>
    <w:rsid w:val="5661E001"/>
    <w:rsid w:val="56AE59A5"/>
    <w:rsid w:val="56DCDB20"/>
    <w:rsid w:val="56F8EE95"/>
    <w:rsid w:val="573D75E9"/>
    <w:rsid w:val="57F690F0"/>
    <w:rsid w:val="589F5679"/>
    <w:rsid w:val="59014314"/>
    <w:rsid w:val="5941AC59"/>
    <w:rsid w:val="594E4345"/>
    <w:rsid w:val="599DB102"/>
    <w:rsid w:val="59A12F17"/>
    <w:rsid w:val="59BA4F18"/>
    <w:rsid w:val="59F3D4DE"/>
    <w:rsid w:val="5A1170B0"/>
    <w:rsid w:val="5A341795"/>
    <w:rsid w:val="5A3C5628"/>
    <w:rsid w:val="5A41A3EC"/>
    <w:rsid w:val="5A8091B6"/>
    <w:rsid w:val="5AAB6F77"/>
    <w:rsid w:val="5ADFD8D4"/>
    <w:rsid w:val="5B5F2595"/>
    <w:rsid w:val="5BC96566"/>
    <w:rsid w:val="5C9FA013"/>
    <w:rsid w:val="5CA9463C"/>
    <w:rsid w:val="5CBA5FE0"/>
    <w:rsid w:val="5CBC7103"/>
    <w:rsid w:val="5CD0D9AC"/>
    <w:rsid w:val="5CE4A599"/>
    <w:rsid w:val="5CF93264"/>
    <w:rsid w:val="5D11E27B"/>
    <w:rsid w:val="5D22FCEB"/>
    <w:rsid w:val="5D24541C"/>
    <w:rsid w:val="5D5100ED"/>
    <w:rsid w:val="5D5D716F"/>
    <w:rsid w:val="5DCA7398"/>
    <w:rsid w:val="5DE0C124"/>
    <w:rsid w:val="5E25EB31"/>
    <w:rsid w:val="5E309F97"/>
    <w:rsid w:val="5E3BB5CA"/>
    <w:rsid w:val="5EA889A1"/>
    <w:rsid w:val="5ED8D49F"/>
    <w:rsid w:val="600C9133"/>
    <w:rsid w:val="60AD4A4A"/>
    <w:rsid w:val="60DDCD8F"/>
    <w:rsid w:val="60EF5F78"/>
    <w:rsid w:val="61258404"/>
    <w:rsid w:val="616DD7AC"/>
    <w:rsid w:val="61803DC2"/>
    <w:rsid w:val="618B24A1"/>
    <w:rsid w:val="62B4C746"/>
    <w:rsid w:val="635E411C"/>
    <w:rsid w:val="638379CB"/>
    <w:rsid w:val="639F849C"/>
    <w:rsid w:val="63A6C64A"/>
    <w:rsid w:val="63C524FF"/>
    <w:rsid w:val="63C9D718"/>
    <w:rsid w:val="63D3232F"/>
    <w:rsid w:val="6416B720"/>
    <w:rsid w:val="6462D2A5"/>
    <w:rsid w:val="647D7FD4"/>
    <w:rsid w:val="655BAC48"/>
    <w:rsid w:val="65877947"/>
    <w:rsid w:val="65D99B18"/>
    <w:rsid w:val="664D746F"/>
    <w:rsid w:val="6653084D"/>
    <w:rsid w:val="66B8E60F"/>
    <w:rsid w:val="66C21544"/>
    <w:rsid w:val="66C748D3"/>
    <w:rsid w:val="66E6C73D"/>
    <w:rsid w:val="6729F572"/>
    <w:rsid w:val="6731F4C9"/>
    <w:rsid w:val="674B0FBA"/>
    <w:rsid w:val="6755CBE1"/>
    <w:rsid w:val="67716965"/>
    <w:rsid w:val="677D8AD5"/>
    <w:rsid w:val="6799C34F"/>
    <w:rsid w:val="67AE25B7"/>
    <w:rsid w:val="67BAB3E2"/>
    <w:rsid w:val="6846F9A9"/>
    <w:rsid w:val="68555E49"/>
    <w:rsid w:val="686F6580"/>
    <w:rsid w:val="68A54846"/>
    <w:rsid w:val="68AF7EDB"/>
    <w:rsid w:val="68C1DC49"/>
    <w:rsid w:val="690B2BBB"/>
    <w:rsid w:val="69756C24"/>
    <w:rsid w:val="6985EC05"/>
    <w:rsid w:val="69D6F462"/>
    <w:rsid w:val="6A3E5EF6"/>
    <w:rsid w:val="6A59B081"/>
    <w:rsid w:val="6A7BFE22"/>
    <w:rsid w:val="6B1F28D1"/>
    <w:rsid w:val="6B288618"/>
    <w:rsid w:val="6B3575E0"/>
    <w:rsid w:val="6B8A2E4D"/>
    <w:rsid w:val="6B91EDA6"/>
    <w:rsid w:val="6BEB336C"/>
    <w:rsid w:val="6BFEBC55"/>
    <w:rsid w:val="6C0B1422"/>
    <w:rsid w:val="6C4734B2"/>
    <w:rsid w:val="6C96F8BE"/>
    <w:rsid w:val="6C9E7BBC"/>
    <w:rsid w:val="6D1407F3"/>
    <w:rsid w:val="6D6CA4B6"/>
    <w:rsid w:val="6D7CE612"/>
    <w:rsid w:val="6E07C1F6"/>
    <w:rsid w:val="6E48CFAE"/>
    <w:rsid w:val="6E5E4588"/>
    <w:rsid w:val="6E8AC0B9"/>
    <w:rsid w:val="6EAC4D53"/>
    <w:rsid w:val="6ED04190"/>
    <w:rsid w:val="6F8E87C6"/>
    <w:rsid w:val="6FDCFA8B"/>
    <w:rsid w:val="706D5FBA"/>
    <w:rsid w:val="70A9F4A7"/>
    <w:rsid w:val="70C461A4"/>
    <w:rsid w:val="70C6D5DC"/>
    <w:rsid w:val="70EFE6DC"/>
    <w:rsid w:val="70F32284"/>
    <w:rsid w:val="71056CB2"/>
    <w:rsid w:val="71BE0DC0"/>
    <w:rsid w:val="71CAF034"/>
    <w:rsid w:val="71E69965"/>
    <w:rsid w:val="723CEAA6"/>
    <w:rsid w:val="7252B5D1"/>
    <w:rsid w:val="729DA167"/>
    <w:rsid w:val="72B49A0E"/>
    <w:rsid w:val="72D0363C"/>
    <w:rsid w:val="730B3BED"/>
    <w:rsid w:val="732758B4"/>
    <w:rsid w:val="732F1DAC"/>
    <w:rsid w:val="73653680"/>
    <w:rsid w:val="73B552E8"/>
    <w:rsid w:val="73F68626"/>
    <w:rsid w:val="745BAFA8"/>
    <w:rsid w:val="7462DDEB"/>
    <w:rsid w:val="74708035"/>
    <w:rsid w:val="749933BF"/>
    <w:rsid w:val="74A4E14F"/>
    <w:rsid w:val="74AB00A1"/>
    <w:rsid w:val="74AF5434"/>
    <w:rsid w:val="74CF0CE7"/>
    <w:rsid w:val="75271CEB"/>
    <w:rsid w:val="757E526B"/>
    <w:rsid w:val="75DE9999"/>
    <w:rsid w:val="761512D6"/>
    <w:rsid w:val="7636C151"/>
    <w:rsid w:val="767F6E98"/>
    <w:rsid w:val="76F5DF02"/>
    <w:rsid w:val="76FEA33D"/>
    <w:rsid w:val="770CCEF7"/>
    <w:rsid w:val="77492905"/>
    <w:rsid w:val="778C183C"/>
    <w:rsid w:val="778E183C"/>
    <w:rsid w:val="77ABBA8A"/>
    <w:rsid w:val="77FDD2C9"/>
    <w:rsid w:val="781BD773"/>
    <w:rsid w:val="78ACB825"/>
    <w:rsid w:val="78D3DDC8"/>
    <w:rsid w:val="79842B75"/>
    <w:rsid w:val="79CE1D5B"/>
    <w:rsid w:val="7A198010"/>
    <w:rsid w:val="7A2AE0D4"/>
    <w:rsid w:val="7A9B90BE"/>
    <w:rsid w:val="7AA43ED5"/>
    <w:rsid w:val="7AADADFD"/>
    <w:rsid w:val="7AC69CEF"/>
    <w:rsid w:val="7B082F73"/>
    <w:rsid w:val="7B1808B3"/>
    <w:rsid w:val="7B43C602"/>
    <w:rsid w:val="7B884501"/>
    <w:rsid w:val="7BA19785"/>
    <w:rsid w:val="7BB3928C"/>
    <w:rsid w:val="7BCC4E26"/>
    <w:rsid w:val="7D76CB36"/>
    <w:rsid w:val="7E0FA306"/>
    <w:rsid w:val="7E1B42C6"/>
    <w:rsid w:val="7E5A3958"/>
    <w:rsid w:val="7E8F4F2B"/>
    <w:rsid w:val="7EB75B22"/>
    <w:rsid w:val="7EB824EB"/>
    <w:rsid w:val="7F177562"/>
    <w:rsid w:val="7F24D069"/>
    <w:rsid w:val="7F394C25"/>
    <w:rsid w:val="7F3A5331"/>
    <w:rsid w:val="7FA7FFDD"/>
    <w:rsid w:val="7FBD8F9E"/>
    <w:rsid w:val="7FD89940"/>
    <w:rsid w:val="7FD9DE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B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AF18F3"/>
    <w:pPr>
      <w:keepNext/>
      <w:keepLines/>
      <w:numPr>
        <w:numId w:val="3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586155"/>
    <w:pPr>
      <w:keepNext/>
      <w:keepLines/>
      <w:numPr>
        <w:ilvl w:val="1"/>
        <w:numId w:val="35"/>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35"/>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numPr>
        <w:ilvl w:val="4"/>
        <w:numId w:val="35"/>
      </w:numPr>
      <w:spacing w:before="240" w:after="0"/>
      <w:outlineLvl w:val="4"/>
    </w:pPr>
    <w:rPr>
      <w:rFonts w:eastAsia="MS Mincho"/>
      <w:b/>
      <w:bCs/>
      <w:iCs/>
      <w:color w:val="000000" w:themeColor="text1"/>
      <w:szCs w:val="26"/>
    </w:rPr>
  </w:style>
  <w:style w:type="paragraph" w:styleId="Heading6">
    <w:name w:val="heading 6"/>
    <w:next w:val="Normal"/>
    <w:link w:val="Heading6Char"/>
    <w:unhideWhenUsed/>
    <w:qFormat/>
    <w:rsid w:val="005B699B"/>
    <w:pPr>
      <w:keepNext/>
      <w:keepLines/>
      <w:numPr>
        <w:ilvl w:val="5"/>
        <w:numId w:val="35"/>
      </w:numPr>
      <w:suppressAutoHyphens/>
      <w:spacing w:before="240" w:after="60"/>
      <w:outlineLvl w:val="5"/>
    </w:pPr>
    <w:rPr>
      <w:rFonts w:ascii="Arial" w:eastAsia="Meiryo" w:hAnsi="Arial" w:cs="Arial"/>
      <w:b/>
      <w:bCs/>
      <w:lang w:eastAsia="en-US"/>
    </w:rPr>
  </w:style>
  <w:style w:type="paragraph" w:styleId="Heading7">
    <w:name w:val="heading 7"/>
    <w:basedOn w:val="Normal"/>
    <w:next w:val="Normal"/>
    <w:link w:val="Heading7Char"/>
    <w:uiPriority w:val="98"/>
    <w:qFormat/>
    <w:rsid w:val="005B699B"/>
    <w:pPr>
      <w:numPr>
        <w:ilvl w:val="6"/>
        <w:numId w:val="35"/>
      </w:numPr>
      <w:spacing w:before="240" w:after="60"/>
      <w:outlineLvl w:val="6"/>
    </w:pPr>
    <w:rPr>
      <w:rFonts w:ascii="Calibri" w:hAnsi="Calibri"/>
      <w:sz w:val="24"/>
      <w:szCs w:val="24"/>
    </w:rPr>
  </w:style>
  <w:style w:type="paragraph" w:styleId="Heading8">
    <w:name w:val="heading 8"/>
    <w:basedOn w:val="Normal"/>
    <w:next w:val="Normal"/>
    <w:link w:val="Heading8Char"/>
    <w:uiPriority w:val="98"/>
    <w:semiHidden/>
    <w:qFormat/>
    <w:rsid w:val="005B699B"/>
    <w:pPr>
      <w:numPr>
        <w:ilvl w:val="7"/>
        <w:numId w:val="3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8"/>
    <w:semiHidden/>
    <w:qFormat/>
    <w:rsid w:val="005B699B"/>
    <w:pPr>
      <w:numPr>
        <w:ilvl w:val="8"/>
        <w:numId w:val="3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F18F3"/>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586155"/>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98"/>
    <w:qFormat/>
    <w:rsid w:val="00EA18DD"/>
    <w:pPr>
      <w:numPr>
        <w:numId w:val="25"/>
      </w:numPr>
      <w:spacing w:after="40"/>
      <w:ind w:right="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297FC9"/>
    <w:pPr>
      <w:keepNext/>
      <w:keepLines/>
      <w:spacing w:before="240" w:after="120"/>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1016A2"/>
    <w:pPr>
      <w:numPr>
        <w:ilvl w:val="1"/>
        <w:numId w:val="16"/>
      </w:numPr>
      <w:spacing w:after="40"/>
      <w:ind w:left="709"/>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tabs>
        <w:tab w:val="clear" w:pos="794"/>
      </w:tabs>
      <w:ind w:left="1440" w:hanging="36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6"/>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0"/>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0"/>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0"/>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tabs>
        <w:tab w:val="num" w:pos="397"/>
      </w:tabs>
      <w:ind w:left="397" w:hanging="397"/>
    </w:pPr>
  </w:style>
  <w:style w:type="paragraph" w:customStyle="1" w:styleId="Numberlowerromanindent">
    <w:name w:val="Number lower roman indent"/>
    <w:basedOn w:val="Body"/>
    <w:uiPriority w:val="3"/>
    <w:rsid w:val="00C60411"/>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afterbullets"/>
    <w:next w:val="Body"/>
    <w:uiPriority w:val="1"/>
    <w:rsid w:val="00593CD6"/>
    <w:pPr>
      <w:spacing w:before="240"/>
    </w:pPr>
  </w:style>
  <w:style w:type="paragraph" w:customStyle="1" w:styleId="Bulletafternumbers2">
    <w:name w:val="Bullet after numbers 2"/>
    <w:basedOn w:val="Body"/>
    <w:rsid w:val="00C60411"/>
    <w:pPr>
      <w:numPr>
        <w:ilvl w:val="3"/>
        <w:numId w:val="10"/>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rsid w:val="005B699B"/>
    <w:rPr>
      <w:rFonts w:ascii="Arial" w:eastAsia="Meiryo" w:hAnsi="Arial" w:cs="Arial"/>
      <w:b/>
      <w:bCs/>
      <w:lang w:eastAsia="en-US"/>
    </w:rPr>
  </w:style>
  <w:style w:type="character" w:customStyle="1" w:styleId="Heading7Char">
    <w:name w:val="Heading 7 Char"/>
    <w:basedOn w:val="DefaultParagraphFont"/>
    <w:link w:val="Heading7"/>
    <w:uiPriority w:val="98"/>
    <w:rsid w:val="005B699B"/>
    <w:rPr>
      <w:rFonts w:ascii="Calibri" w:hAnsi="Calibri"/>
      <w:sz w:val="24"/>
      <w:szCs w:val="24"/>
      <w:lang w:eastAsia="en-US"/>
    </w:rPr>
  </w:style>
  <w:style w:type="character" w:customStyle="1" w:styleId="Heading8Char">
    <w:name w:val="Heading 8 Char"/>
    <w:basedOn w:val="DefaultParagraphFont"/>
    <w:link w:val="Heading8"/>
    <w:uiPriority w:val="98"/>
    <w:semiHidden/>
    <w:rsid w:val="005B699B"/>
    <w:rPr>
      <w:rFonts w:ascii="Calibri" w:hAnsi="Calibri"/>
      <w:i/>
      <w:iCs/>
      <w:sz w:val="24"/>
      <w:szCs w:val="24"/>
      <w:lang w:eastAsia="en-US"/>
    </w:rPr>
  </w:style>
  <w:style w:type="character" w:customStyle="1" w:styleId="Heading9Char">
    <w:name w:val="Heading 9 Char"/>
    <w:basedOn w:val="DefaultParagraphFont"/>
    <w:link w:val="Heading9"/>
    <w:uiPriority w:val="98"/>
    <w:semiHidden/>
    <w:rsid w:val="005B699B"/>
    <w:rPr>
      <w:rFonts w:ascii="Arial" w:hAnsi="Arial"/>
      <w:sz w:val="22"/>
      <w:szCs w:val="22"/>
      <w:lang w:eastAsia="en-US"/>
    </w:rPr>
  </w:style>
  <w:style w:type="numbering" w:customStyle="1" w:styleId="ZZTablebullets105pt">
    <w:name w:val="ZZ Table bullets 10.5pt"/>
    <w:basedOn w:val="NoList"/>
    <w:rsid w:val="005B699B"/>
    <w:pPr>
      <w:numPr>
        <w:numId w:val="8"/>
      </w:numPr>
    </w:pPr>
  </w:style>
  <w:style w:type="paragraph" w:styleId="ListParagraph">
    <w:name w:val="List Paragraph"/>
    <w:basedOn w:val="Normal"/>
    <w:link w:val="ListParagraphChar"/>
    <w:uiPriority w:val="34"/>
    <w:qFormat/>
    <w:rsid w:val="005B699B"/>
    <w:pPr>
      <w:spacing w:after="0" w:line="240" w:lineRule="auto"/>
      <w:ind w:left="720"/>
    </w:pPr>
    <w:rPr>
      <w:rFonts w:ascii="Cambria" w:hAnsi="Cambria"/>
      <w:sz w:val="20"/>
    </w:rPr>
  </w:style>
  <w:style w:type="paragraph" w:customStyle="1" w:styleId="Tablefigurenote9pt">
    <w:name w:val="Table/figure note 9pt"/>
    <w:uiPriority w:val="4"/>
    <w:rsid w:val="005B699B"/>
    <w:pPr>
      <w:spacing w:before="60" w:after="60" w:line="240" w:lineRule="exact"/>
    </w:pPr>
    <w:rPr>
      <w:rFonts w:ascii="Arial" w:hAnsi="Arial"/>
      <w:sz w:val="18"/>
      <w:lang w:eastAsia="en-US"/>
    </w:rPr>
  </w:style>
  <w:style w:type="paragraph" w:customStyle="1" w:styleId="Tabletext9pt">
    <w:name w:val="Table text 9pt"/>
    <w:basedOn w:val="Tabletext8pt"/>
    <w:uiPriority w:val="3"/>
    <w:qFormat/>
    <w:rsid w:val="00C87BD7"/>
    <w:rPr>
      <w:bCs/>
      <w:sz w:val="18"/>
    </w:rPr>
  </w:style>
  <w:style w:type="paragraph" w:customStyle="1" w:styleId="Acronym">
    <w:name w:val="Acronym"/>
    <w:basedOn w:val="Normal"/>
    <w:uiPriority w:val="8"/>
    <w:rsid w:val="005B699B"/>
    <w:pPr>
      <w:tabs>
        <w:tab w:val="left" w:pos="1418"/>
      </w:tabs>
      <w:spacing w:after="60" w:line="270" w:lineRule="atLeast"/>
    </w:pPr>
    <w:rPr>
      <w:rFonts w:eastAsia="Times"/>
      <w:sz w:val="20"/>
    </w:rPr>
  </w:style>
  <w:style w:type="paragraph" w:customStyle="1" w:styleId="Tablecolhead9pt">
    <w:name w:val="Table col head 9pt"/>
    <w:uiPriority w:val="99"/>
    <w:qFormat/>
    <w:rsid w:val="005B699B"/>
    <w:pPr>
      <w:spacing w:before="80" w:after="60"/>
    </w:pPr>
    <w:rPr>
      <w:rFonts w:ascii="Arial" w:hAnsi="Arial"/>
      <w:b/>
      <w:color w:val="FFFFFF"/>
      <w:sz w:val="18"/>
      <w:lang w:eastAsia="en-US"/>
    </w:rPr>
  </w:style>
  <w:style w:type="paragraph" w:customStyle="1" w:styleId="Tablebullet9pt">
    <w:name w:val="Table bullet 9pt"/>
    <w:basedOn w:val="Tabletext9pt"/>
    <w:uiPriority w:val="3"/>
    <w:qFormat/>
    <w:rsid w:val="005B699B"/>
    <w:pPr>
      <w:numPr>
        <w:numId w:val="13"/>
      </w:numPr>
    </w:pPr>
  </w:style>
  <w:style w:type="character" w:styleId="Emphasis">
    <w:name w:val="Emphasis"/>
    <w:uiPriority w:val="20"/>
    <w:qFormat/>
    <w:rsid w:val="005B699B"/>
    <w:rPr>
      <w:i/>
      <w:iCs/>
    </w:rPr>
  </w:style>
  <w:style w:type="paragraph" w:styleId="TOCHeading">
    <w:name w:val="TOC Heading"/>
    <w:basedOn w:val="Heading1"/>
    <w:next w:val="Normal"/>
    <w:uiPriority w:val="39"/>
    <w:unhideWhenUsed/>
    <w:qFormat/>
    <w:rsid w:val="005B699B"/>
    <w:pPr>
      <w:pageBreakBefore/>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paragraph" w:styleId="Caption">
    <w:name w:val="caption"/>
    <w:basedOn w:val="Normal"/>
    <w:next w:val="Normal"/>
    <w:uiPriority w:val="5"/>
    <w:unhideWhenUsed/>
    <w:qFormat/>
    <w:rsid w:val="005B699B"/>
    <w:pPr>
      <w:spacing w:after="200" w:line="240" w:lineRule="auto"/>
    </w:pPr>
    <w:rPr>
      <w:i/>
      <w:iCs/>
      <w:color w:val="1F497D" w:themeColor="text2"/>
      <w:sz w:val="18"/>
      <w:szCs w:val="18"/>
    </w:rPr>
  </w:style>
  <w:style w:type="paragraph" w:styleId="TableofFigures">
    <w:name w:val="table of figures"/>
    <w:basedOn w:val="Body"/>
    <w:next w:val="Normal"/>
    <w:link w:val="TableofFiguresChar"/>
    <w:uiPriority w:val="99"/>
    <w:qFormat/>
    <w:rsid w:val="005B699B"/>
    <w:rPr>
      <w:szCs w:val="18"/>
    </w:rPr>
  </w:style>
  <w:style w:type="character" w:customStyle="1" w:styleId="TableofFiguresChar">
    <w:name w:val="Table of Figures Char"/>
    <w:link w:val="TableofFigures"/>
    <w:uiPriority w:val="99"/>
    <w:rsid w:val="005B699B"/>
    <w:rPr>
      <w:rFonts w:ascii="Arial" w:eastAsia="Times" w:hAnsi="Arial"/>
      <w:sz w:val="21"/>
      <w:szCs w:val="18"/>
      <w:lang w:eastAsia="en-US"/>
    </w:rPr>
  </w:style>
  <w:style w:type="character" w:customStyle="1" w:styleId="ListParagraphChar">
    <w:name w:val="List Paragraph Char"/>
    <w:link w:val="ListParagraph"/>
    <w:uiPriority w:val="34"/>
    <w:qFormat/>
    <w:locked/>
    <w:rsid w:val="005B699B"/>
    <w:rPr>
      <w:rFonts w:ascii="Cambria" w:hAnsi="Cambria"/>
      <w:lang w:eastAsia="en-US"/>
    </w:rPr>
  </w:style>
  <w:style w:type="character" w:customStyle="1" w:styleId="Hyperlinkitalic">
    <w:name w:val="Hyperlink italic"/>
    <w:basedOn w:val="Hyperlink"/>
    <w:uiPriority w:val="1"/>
    <w:qFormat/>
    <w:rsid w:val="005B699B"/>
    <w:rPr>
      <w:i/>
      <w:color w:val="004C97"/>
      <w:u w:val="dotted"/>
    </w:rPr>
  </w:style>
  <w:style w:type="character" w:customStyle="1" w:styleId="HeaderChar">
    <w:name w:val="Header Char"/>
    <w:link w:val="Header"/>
    <w:uiPriority w:val="10"/>
    <w:locked/>
    <w:rsid w:val="005B699B"/>
    <w:rPr>
      <w:rFonts w:ascii="Arial" w:hAnsi="Arial" w:cs="Arial"/>
      <w:b/>
      <w:color w:val="53565A"/>
      <w:sz w:val="18"/>
      <w:szCs w:val="18"/>
      <w:lang w:eastAsia="en-US"/>
    </w:rPr>
  </w:style>
  <w:style w:type="character" w:customStyle="1" w:styleId="FooterChar">
    <w:name w:val="Footer Char"/>
    <w:link w:val="Footer"/>
    <w:uiPriority w:val="8"/>
    <w:locked/>
    <w:rsid w:val="005B699B"/>
    <w:rPr>
      <w:rFonts w:ascii="Arial" w:hAnsi="Arial" w:cs="Arial"/>
      <w:szCs w:val="18"/>
      <w:lang w:eastAsia="en-US"/>
    </w:rPr>
  </w:style>
  <w:style w:type="paragraph" w:customStyle="1" w:styleId="ColorfulShading-Accent11">
    <w:name w:val="Colorful Shading - Accent 11"/>
    <w:hidden/>
    <w:uiPriority w:val="99"/>
    <w:rsid w:val="005B699B"/>
    <w:rPr>
      <w:rFonts w:ascii="Cambria" w:hAnsi="Cambria"/>
      <w:lang w:eastAsia="en-US"/>
    </w:rPr>
  </w:style>
  <w:style w:type="paragraph" w:customStyle="1" w:styleId="LightList-Accent31">
    <w:name w:val="Light List - Accent 31"/>
    <w:hidden/>
    <w:uiPriority w:val="99"/>
    <w:semiHidden/>
    <w:rsid w:val="005B699B"/>
    <w:rPr>
      <w:rFonts w:ascii="Cambria" w:hAnsi="Cambria"/>
      <w:lang w:eastAsia="en-US"/>
    </w:rPr>
  </w:style>
  <w:style w:type="paragraph" w:customStyle="1" w:styleId="ColorfulGrid-Accent61">
    <w:name w:val="Colorful Grid - Accent 61"/>
    <w:hidden/>
    <w:uiPriority w:val="99"/>
    <w:rsid w:val="005B699B"/>
    <w:rPr>
      <w:rFonts w:ascii="Verdana" w:hAnsi="Verdana"/>
      <w:lang w:eastAsia="en-US"/>
    </w:rPr>
  </w:style>
  <w:style w:type="paragraph" w:customStyle="1" w:styleId="Superscript">
    <w:name w:val="Superscript"/>
    <w:basedOn w:val="Normal"/>
    <w:link w:val="SuperscriptChar"/>
    <w:autoRedefine/>
    <w:uiPriority w:val="99"/>
    <w:semiHidden/>
    <w:rsid w:val="005B699B"/>
    <w:pPr>
      <w:spacing w:after="200" w:line="276" w:lineRule="auto"/>
      <w:ind w:left="-91"/>
    </w:pPr>
    <w:rPr>
      <w:rFonts w:ascii="CorporateSBQ-Regular" w:hAnsi="CorporateSBQ-Regular"/>
      <w:bCs/>
      <w:sz w:val="20"/>
      <w:szCs w:val="17"/>
      <w:vertAlign w:val="superscript"/>
      <w:lang w:val="en-US"/>
    </w:rPr>
  </w:style>
  <w:style w:type="character" w:customStyle="1" w:styleId="SuperscriptChar">
    <w:name w:val="Superscript Char"/>
    <w:link w:val="Superscript"/>
    <w:uiPriority w:val="99"/>
    <w:semiHidden/>
    <w:locked/>
    <w:rsid w:val="005B699B"/>
    <w:rPr>
      <w:rFonts w:ascii="CorporateSBQ-Regular" w:hAnsi="CorporateSBQ-Regular"/>
      <w:bCs/>
      <w:szCs w:val="17"/>
      <w:vertAlign w:val="superscript"/>
      <w:lang w:val="en-US" w:eastAsia="en-US"/>
    </w:rPr>
  </w:style>
  <w:style w:type="table" w:styleId="TableSimple1">
    <w:name w:val="Table Simple 1"/>
    <w:basedOn w:val="TableNormal"/>
    <w:uiPriority w:val="99"/>
    <w:rsid w:val="005B699B"/>
    <w:pPr>
      <w:autoSpaceDE w:val="0"/>
      <w:autoSpaceDN w:val="0"/>
      <w:adjustRightInd w:val="0"/>
    </w:pPr>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699B"/>
    <w:pPr>
      <w:autoSpaceDE w:val="0"/>
      <w:autoSpaceDN w:val="0"/>
      <w:adjustRightInd w:val="0"/>
    </w:pPr>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699B"/>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699B"/>
    <w:pPr>
      <w:autoSpaceDE w:val="0"/>
      <w:autoSpaceDN w:val="0"/>
      <w:adjustRightInd w:val="0"/>
    </w:pPr>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B699B"/>
    <w:pPr>
      <w:autoSpaceDE w:val="0"/>
      <w:autoSpaceDN w:val="0"/>
      <w:adjustRightInd w:val="0"/>
    </w:pPr>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B699B"/>
    <w:pPr>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B699B"/>
    <w:pPr>
      <w:autoSpaceDE w:val="0"/>
      <w:autoSpaceDN w:val="0"/>
      <w:adjustRightInd w:val="0"/>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B699B"/>
    <w:pPr>
      <w:autoSpaceDE w:val="0"/>
      <w:autoSpaceDN w:val="0"/>
      <w:adjustRightInd w:val="0"/>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B699B"/>
    <w:pPr>
      <w:autoSpaceDE w:val="0"/>
      <w:autoSpaceDN w:val="0"/>
      <w:adjustRightInd w:val="0"/>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ediumList2-Accent21">
    <w:name w:val="Medium List 2 - Accent 21"/>
    <w:hidden/>
    <w:uiPriority w:val="99"/>
    <w:rsid w:val="005B699B"/>
    <w:rPr>
      <w:rFonts w:ascii="Cambria" w:hAnsi="Cambria"/>
      <w:lang w:eastAsia="en-US"/>
    </w:rPr>
  </w:style>
  <w:style w:type="paragraph" w:customStyle="1" w:styleId="ColorfulGrid-Accent62">
    <w:name w:val="Colorful Grid - Accent 62"/>
    <w:hidden/>
    <w:uiPriority w:val="99"/>
    <w:rsid w:val="005B699B"/>
    <w:rPr>
      <w:rFonts w:ascii="Verdana" w:hAnsi="Verdana"/>
      <w:lang w:eastAsia="en-US"/>
    </w:rPr>
  </w:style>
  <w:style w:type="paragraph" w:customStyle="1" w:styleId="Tabletext8pt">
    <w:name w:val="Table text 8pt"/>
    <w:basedOn w:val="Tablecolhead8pt"/>
    <w:qFormat/>
    <w:rsid w:val="00C87BD7"/>
    <w:rPr>
      <w:b w:val="0"/>
      <w:color w:val="000000" w:themeColor="text1"/>
      <w:szCs w:val="15"/>
    </w:rPr>
  </w:style>
  <w:style w:type="paragraph" w:customStyle="1" w:styleId="ColorfulShading-Accent110">
    <w:name w:val="Colorful Shading - Accent 110"/>
    <w:hidden/>
    <w:uiPriority w:val="99"/>
    <w:semiHidden/>
    <w:rsid w:val="005B699B"/>
    <w:rPr>
      <w:rFonts w:ascii="Cambria" w:hAnsi="Cambria"/>
      <w:lang w:eastAsia="en-US"/>
    </w:rPr>
  </w:style>
  <w:style w:type="numbering" w:customStyle="1" w:styleId="ZZBoxbullets">
    <w:name w:val="ZZ Box bullets"/>
    <w:basedOn w:val="NoList"/>
    <w:uiPriority w:val="99"/>
    <w:rsid w:val="005B699B"/>
    <w:pPr>
      <w:numPr>
        <w:numId w:val="9"/>
      </w:numPr>
    </w:pPr>
  </w:style>
  <w:style w:type="numbering" w:customStyle="1" w:styleId="ZZTablenoteroman">
    <w:name w:val="ZZ Table note roman"/>
    <w:basedOn w:val="NoList"/>
    <w:rsid w:val="005B699B"/>
    <w:pPr>
      <w:numPr>
        <w:numId w:val="16"/>
      </w:numPr>
    </w:pPr>
  </w:style>
  <w:style w:type="paragraph" w:customStyle="1" w:styleId="Tablecolhead8pt">
    <w:name w:val="Table col head 8pt"/>
    <w:basedOn w:val="Tablecolhead"/>
    <w:uiPriority w:val="98"/>
    <w:qFormat/>
    <w:rsid w:val="00CE4D62"/>
    <w:rPr>
      <w:rFonts w:eastAsiaTheme="minorHAnsi" w:cstheme="minorBidi"/>
      <w:sz w:val="15"/>
      <w:szCs w:val="16"/>
      <w:lang w:eastAsia="en-AU"/>
      <w14:ligatures w14:val="standardContextual"/>
    </w:rPr>
  </w:style>
  <w:style w:type="paragraph" w:customStyle="1" w:styleId="Tablesubheadrownavy8pt">
    <w:name w:val="Table subhead row navy 8pt"/>
    <w:basedOn w:val="Tablecolhead9pt"/>
    <w:uiPriority w:val="98"/>
    <w:qFormat/>
    <w:rsid w:val="005B699B"/>
    <w:pPr>
      <w:keepNext/>
    </w:pPr>
    <w:rPr>
      <w:rFonts w:eastAsiaTheme="minorHAnsi" w:cstheme="minorBidi"/>
      <w:color w:val="201547"/>
      <w:sz w:val="16"/>
      <w:szCs w:val="16"/>
      <w:lang w:eastAsia="en-AU"/>
    </w:rPr>
  </w:style>
  <w:style w:type="paragraph" w:customStyle="1" w:styleId="ColorfulShading-Accent12">
    <w:name w:val="Colorful Shading - Accent 12"/>
    <w:hidden/>
    <w:uiPriority w:val="71"/>
    <w:rsid w:val="005B699B"/>
    <w:rPr>
      <w:rFonts w:ascii="Cambria" w:hAnsi="Cambria"/>
      <w:lang w:eastAsia="en-US"/>
    </w:rPr>
  </w:style>
  <w:style w:type="paragraph" w:customStyle="1" w:styleId="ColorfulShading-Accent111">
    <w:name w:val="Colorful Shading - Accent 111"/>
    <w:hidden/>
    <w:uiPriority w:val="99"/>
    <w:rsid w:val="005B699B"/>
    <w:rPr>
      <w:rFonts w:ascii="Cambria" w:hAnsi="Cambria"/>
      <w:lang w:eastAsia="en-US"/>
    </w:rPr>
  </w:style>
  <w:style w:type="numbering" w:customStyle="1" w:styleId="ZZNumberedheadingsaddendums">
    <w:name w:val="ZZ Numbered headings addendums"/>
    <w:basedOn w:val="NoList"/>
    <w:uiPriority w:val="99"/>
    <w:rsid w:val="005B699B"/>
  </w:style>
  <w:style w:type="numbering" w:customStyle="1" w:styleId="ZZBoxnumbersroman">
    <w:name w:val="ZZ Box numbers roman"/>
    <w:basedOn w:val="NoList"/>
    <w:uiPriority w:val="99"/>
    <w:rsid w:val="005B699B"/>
  </w:style>
  <w:style w:type="paragraph" w:customStyle="1" w:styleId="Tablecolheadlandscape">
    <w:name w:val="Table col head landscape"/>
    <w:basedOn w:val="Tablecolhead"/>
    <w:uiPriority w:val="11"/>
    <w:rsid w:val="005B699B"/>
    <w:rPr>
      <w:sz w:val="16"/>
      <w:szCs w:val="16"/>
    </w:rPr>
  </w:style>
  <w:style w:type="paragraph" w:customStyle="1" w:styleId="Heading1partopener">
    <w:name w:val="Heading 1 part opener"/>
    <w:basedOn w:val="Normal"/>
    <w:rsid w:val="005B699B"/>
    <w:pPr>
      <w:keepNext/>
      <w:keepLines/>
      <w:pageBreakBefore/>
      <w:suppressAutoHyphens/>
      <w:spacing w:before="4500" w:after="440" w:line="440" w:lineRule="atLeast"/>
      <w:ind w:left="1701"/>
      <w:outlineLvl w:val="0"/>
    </w:pPr>
    <w:rPr>
      <w:bCs/>
      <w:color w:val="201547"/>
      <w:sz w:val="44"/>
      <w:szCs w:val="44"/>
    </w:rPr>
  </w:style>
  <w:style w:type="paragraph" w:customStyle="1" w:styleId="TableParagraph">
    <w:name w:val="Table Paragraph"/>
    <w:basedOn w:val="Normal"/>
    <w:uiPriority w:val="1"/>
    <w:qFormat/>
    <w:rsid w:val="005B699B"/>
    <w:pPr>
      <w:widowControl w:val="0"/>
      <w:autoSpaceDE w:val="0"/>
      <w:autoSpaceDN w:val="0"/>
      <w:spacing w:before="99"/>
    </w:pPr>
    <w:rPr>
      <w:rFonts w:ascii="Calibri" w:eastAsia="Calibri" w:hAnsi="Calibri" w:cs="Calibri"/>
      <w:sz w:val="22"/>
      <w:szCs w:val="22"/>
    </w:rPr>
  </w:style>
  <w:style w:type="paragraph" w:customStyle="1" w:styleId="DHHSaccessibilitypara">
    <w:name w:val="DHHS accessibility para"/>
    <w:uiPriority w:val="8"/>
    <w:rsid w:val="00762082"/>
    <w:pPr>
      <w:spacing w:after="300" w:line="300" w:lineRule="atLeast"/>
    </w:pPr>
    <w:rPr>
      <w:rFonts w:ascii="Arial" w:eastAsia="Times" w:hAnsi="Arial"/>
      <w:sz w:val="24"/>
      <w:szCs w:val="19"/>
      <w:lang w:eastAsia="en-US"/>
    </w:rPr>
  </w:style>
  <w:style w:type="paragraph" w:customStyle="1" w:styleId="Bodyafterfiguretable">
    <w:name w:val="Body after figure/table"/>
    <w:basedOn w:val="Body"/>
    <w:uiPriority w:val="11"/>
    <w:rsid w:val="00F90553"/>
    <w:pPr>
      <w:spacing w:before="240"/>
    </w:pPr>
  </w:style>
  <w:style w:type="character" w:styleId="Mention">
    <w:name w:val="Mention"/>
    <w:basedOn w:val="DefaultParagraphFont"/>
    <w:uiPriority w:val="99"/>
    <w:unhideWhenUsed/>
    <w:rsid w:val="00B63EB4"/>
    <w:rPr>
      <w:color w:val="2B579A"/>
      <w:shd w:val="clear" w:color="auto" w:fill="E1DFDD"/>
    </w:rPr>
  </w:style>
  <w:style w:type="table" w:customStyle="1" w:styleId="TableGrid1">
    <w:name w:val="Table Grid1"/>
    <w:basedOn w:val="TableNormal"/>
    <w:next w:val="TableGrid"/>
    <w:uiPriority w:val="59"/>
    <w:rsid w:val="00E05CE5"/>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table" w:customStyle="1" w:styleId="TableGrid12">
    <w:name w:val="Table Grid12"/>
    <w:basedOn w:val="TableNormal"/>
    <w:uiPriority w:val="59"/>
    <w:rsid w:val="006270A2"/>
    <w:rPr>
      <w:rFonts w:asciiTheme="minorHAnsi" w:eastAsiaTheme="minorHAnsi" w:hAnsiTheme="minorHAnsi" w:cstheme="minorBidi"/>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paragraph" w:customStyle="1" w:styleId="Tablenoteroman">
    <w:name w:val="Table note roman"/>
    <w:basedOn w:val="Tablefigurenote9pt"/>
    <w:uiPriority w:val="4"/>
    <w:qFormat/>
    <w:rsid w:val="00D750E5"/>
    <w:pPr>
      <w:numPr>
        <w:numId w:val="37"/>
      </w:numPr>
      <w:ind w:left="426" w:hanging="284"/>
    </w:pPr>
    <w:rPr>
      <w:rFonts w:eastAsia="Times"/>
      <w:lang w:eastAsia="en-AU"/>
    </w:rPr>
  </w:style>
  <w:style w:type="character" w:customStyle="1" w:styleId="ui-provider">
    <w:name w:val="ui-provider"/>
    <w:basedOn w:val="DefaultParagraphFont"/>
    <w:rsid w:val="00D8107F"/>
  </w:style>
  <w:style w:type="numbering" w:customStyle="1" w:styleId="CurrentList1">
    <w:name w:val="Current List1"/>
    <w:uiPriority w:val="99"/>
    <w:rsid w:val="003F33E2"/>
    <w:pPr>
      <w:numPr>
        <w:numId w:val="40"/>
      </w:numPr>
    </w:pPr>
  </w:style>
  <w:style w:type="numbering" w:styleId="111111">
    <w:name w:val="Outline List 2"/>
    <w:basedOn w:val="NoList"/>
    <w:uiPriority w:val="99"/>
    <w:semiHidden/>
    <w:unhideWhenUsed/>
    <w:rsid w:val="00321A07"/>
  </w:style>
  <w:style w:type="character" w:customStyle="1" w:styleId="eop">
    <w:name w:val="eop"/>
    <w:basedOn w:val="DefaultParagraphFont"/>
    <w:rsid w:val="00641D0E"/>
  </w:style>
  <w:style w:type="table" w:styleId="LightList-Accent1">
    <w:name w:val="Light List Accent 1"/>
    <w:basedOn w:val="TableNormal"/>
    <w:uiPriority w:val="61"/>
    <w:rsid w:val="009C63A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Table4-Accent1">
    <w:name w:val="List Table 4 Accent 1"/>
    <w:basedOn w:val="TableNormal"/>
    <w:uiPriority w:val="49"/>
    <w:rsid w:val="007C44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7C44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GridTable1Light-Accent1"/>
    <w:uiPriority w:val="99"/>
    <w:rsid w:val="007C442F"/>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44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8B1D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1">
    <w:name w:val="Grid Table 5 Dark Accent 1"/>
    <w:basedOn w:val="TableNormal"/>
    <w:uiPriority w:val="50"/>
    <w:rsid w:val="008B1D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5171">
      <w:bodyDiv w:val="1"/>
      <w:marLeft w:val="0"/>
      <w:marRight w:val="0"/>
      <w:marTop w:val="0"/>
      <w:marBottom w:val="0"/>
      <w:divBdr>
        <w:top w:val="none" w:sz="0" w:space="0" w:color="auto"/>
        <w:left w:val="none" w:sz="0" w:space="0" w:color="auto"/>
        <w:bottom w:val="none" w:sz="0" w:space="0" w:color="auto"/>
        <w:right w:val="none" w:sz="0" w:space="0" w:color="auto"/>
      </w:divBdr>
    </w:div>
    <w:div w:id="50737465">
      <w:bodyDiv w:val="1"/>
      <w:marLeft w:val="0"/>
      <w:marRight w:val="0"/>
      <w:marTop w:val="0"/>
      <w:marBottom w:val="0"/>
      <w:divBdr>
        <w:top w:val="none" w:sz="0" w:space="0" w:color="auto"/>
        <w:left w:val="none" w:sz="0" w:space="0" w:color="auto"/>
        <w:bottom w:val="none" w:sz="0" w:space="0" w:color="auto"/>
        <w:right w:val="none" w:sz="0" w:space="0" w:color="auto"/>
      </w:divBdr>
      <w:divsChild>
        <w:div w:id="1336221717">
          <w:marLeft w:val="0"/>
          <w:marRight w:val="0"/>
          <w:marTop w:val="0"/>
          <w:marBottom w:val="0"/>
          <w:divBdr>
            <w:top w:val="none" w:sz="0" w:space="0" w:color="auto"/>
            <w:left w:val="none" w:sz="0" w:space="0" w:color="auto"/>
            <w:bottom w:val="none" w:sz="0" w:space="0" w:color="auto"/>
            <w:right w:val="none" w:sz="0" w:space="0" w:color="auto"/>
          </w:divBdr>
          <w:divsChild>
            <w:div w:id="125588590">
              <w:marLeft w:val="0"/>
              <w:marRight w:val="0"/>
              <w:marTop w:val="0"/>
              <w:marBottom w:val="0"/>
              <w:divBdr>
                <w:top w:val="none" w:sz="0" w:space="0" w:color="auto"/>
                <w:left w:val="none" w:sz="0" w:space="0" w:color="auto"/>
                <w:bottom w:val="none" w:sz="0" w:space="0" w:color="auto"/>
                <w:right w:val="none" w:sz="0" w:space="0" w:color="auto"/>
              </w:divBdr>
            </w:div>
            <w:div w:id="252126962">
              <w:marLeft w:val="0"/>
              <w:marRight w:val="0"/>
              <w:marTop w:val="0"/>
              <w:marBottom w:val="0"/>
              <w:divBdr>
                <w:top w:val="none" w:sz="0" w:space="0" w:color="auto"/>
                <w:left w:val="none" w:sz="0" w:space="0" w:color="auto"/>
                <w:bottom w:val="none" w:sz="0" w:space="0" w:color="auto"/>
                <w:right w:val="none" w:sz="0" w:space="0" w:color="auto"/>
              </w:divBdr>
            </w:div>
            <w:div w:id="536429494">
              <w:marLeft w:val="0"/>
              <w:marRight w:val="0"/>
              <w:marTop w:val="0"/>
              <w:marBottom w:val="0"/>
              <w:divBdr>
                <w:top w:val="none" w:sz="0" w:space="0" w:color="auto"/>
                <w:left w:val="none" w:sz="0" w:space="0" w:color="auto"/>
                <w:bottom w:val="none" w:sz="0" w:space="0" w:color="auto"/>
                <w:right w:val="none" w:sz="0" w:space="0" w:color="auto"/>
              </w:divBdr>
            </w:div>
            <w:div w:id="660544072">
              <w:marLeft w:val="0"/>
              <w:marRight w:val="0"/>
              <w:marTop w:val="0"/>
              <w:marBottom w:val="0"/>
              <w:divBdr>
                <w:top w:val="none" w:sz="0" w:space="0" w:color="auto"/>
                <w:left w:val="none" w:sz="0" w:space="0" w:color="auto"/>
                <w:bottom w:val="none" w:sz="0" w:space="0" w:color="auto"/>
                <w:right w:val="none" w:sz="0" w:space="0" w:color="auto"/>
              </w:divBdr>
            </w:div>
            <w:div w:id="707217911">
              <w:marLeft w:val="0"/>
              <w:marRight w:val="0"/>
              <w:marTop w:val="0"/>
              <w:marBottom w:val="0"/>
              <w:divBdr>
                <w:top w:val="none" w:sz="0" w:space="0" w:color="auto"/>
                <w:left w:val="none" w:sz="0" w:space="0" w:color="auto"/>
                <w:bottom w:val="none" w:sz="0" w:space="0" w:color="auto"/>
                <w:right w:val="none" w:sz="0" w:space="0" w:color="auto"/>
              </w:divBdr>
            </w:div>
            <w:div w:id="713316050">
              <w:marLeft w:val="0"/>
              <w:marRight w:val="0"/>
              <w:marTop w:val="0"/>
              <w:marBottom w:val="0"/>
              <w:divBdr>
                <w:top w:val="none" w:sz="0" w:space="0" w:color="auto"/>
                <w:left w:val="none" w:sz="0" w:space="0" w:color="auto"/>
                <w:bottom w:val="none" w:sz="0" w:space="0" w:color="auto"/>
                <w:right w:val="none" w:sz="0" w:space="0" w:color="auto"/>
              </w:divBdr>
            </w:div>
            <w:div w:id="739866131">
              <w:marLeft w:val="0"/>
              <w:marRight w:val="0"/>
              <w:marTop w:val="0"/>
              <w:marBottom w:val="0"/>
              <w:divBdr>
                <w:top w:val="none" w:sz="0" w:space="0" w:color="auto"/>
                <w:left w:val="none" w:sz="0" w:space="0" w:color="auto"/>
                <w:bottom w:val="none" w:sz="0" w:space="0" w:color="auto"/>
                <w:right w:val="none" w:sz="0" w:space="0" w:color="auto"/>
              </w:divBdr>
            </w:div>
            <w:div w:id="852574609">
              <w:marLeft w:val="0"/>
              <w:marRight w:val="0"/>
              <w:marTop w:val="0"/>
              <w:marBottom w:val="0"/>
              <w:divBdr>
                <w:top w:val="none" w:sz="0" w:space="0" w:color="auto"/>
                <w:left w:val="none" w:sz="0" w:space="0" w:color="auto"/>
                <w:bottom w:val="none" w:sz="0" w:space="0" w:color="auto"/>
                <w:right w:val="none" w:sz="0" w:space="0" w:color="auto"/>
              </w:divBdr>
            </w:div>
            <w:div w:id="923294981">
              <w:marLeft w:val="0"/>
              <w:marRight w:val="0"/>
              <w:marTop w:val="0"/>
              <w:marBottom w:val="0"/>
              <w:divBdr>
                <w:top w:val="none" w:sz="0" w:space="0" w:color="auto"/>
                <w:left w:val="none" w:sz="0" w:space="0" w:color="auto"/>
                <w:bottom w:val="none" w:sz="0" w:space="0" w:color="auto"/>
                <w:right w:val="none" w:sz="0" w:space="0" w:color="auto"/>
              </w:divBdr>
            </w:div>
            <w:div w:id="1030571500">
              <w:marLeft w:val="0"/>
              <w:marRight w:val="0"/>
              <w:marTop w:val="0"/>
              <w:marBottom w:val="0"/>
              <w:divBdr>
                <w:top w:val="none" w:sz="0" w:space="0" w:color="auto"/>
                <w:left w:val="none" w:sz="0" w:space="0" w:color="auto"/>
                <w:bottom w:val="none" w:sz="0" w:space="0" w:color="auto"/>
                <w:right w:val="none" w:sz="0" w:space="0" w:color="auto"/>
              </w:divBdr>
            </w:div>
            <w:div w:id="1228686292">
              <w:marLeft w:val="0"/>
              <w:marRight w:val="0"/>
              <w:marTop w:val="0"/>
              <w:marBottom w:val="0"/>
              <w:divBdr>
                <w:top w:val="none" w:sz="0" w:space="0" w:color="auto"/>
                <w:left w:val="none" w:sz="0" w:space="0" w:color="auto"/>
                <w:bottom w:val="none" w:sz="0" w:space="0" w:color="auto"/>
                <w:right w:val="none" w:sz="0" w:space="0" w:color="auto"/>
              </w:divBdr>
            </w:div>
            <w:div w:id="1448697874">
              <w:marLeft w:val="0"/>
              <w:marRight w:val="0"/>
              <w:marTop w:val="0"/>
              <w:marBottom w:val="0"/>
              <w:divBdr>
                <w:top w:val="none" w:sz="0" w:space="0" w:color="auto"/>
                <w:left w:val="none" w:sz="0" w:space="0" w:color="auto"/>
                <w:bottom w:val="none" w:sz="0" w:space="0" w:color="auto"/>
                <w:right w:val="none" w:sz="0" w:space="0" w:color="auto"/>
              </w:divBdr>
            </w:div>
            <w:div w:id="1520848262">
              <w:marLeft w:val="0"/>
              <w:marRight w:val="0"/>
              <w:marTop w:val="0"/>
              <w:marBottom w:val="0"/>
              <w:divBdr>
                <w:top w:val="none" w:sz="0" w:space="0" w:color="auto"/>
                <w:left w:val="none" w:sz="0" w:space="0" w:color="auto"/>
                <w:bottom w:val="none" w:sz="0" w:space="0" w:color="auto"/>
                <w:right w:val="none" w:sz="0" w:space="0" w:color="auto"/>
              </w:divBdr>
            </w:div>
            <w:div w:id="1730683900">
              <w:marLeft w:val="0"/>
              <w:marRight w:val="0"/>
              <w:marTop w:val="0"/>
              <w:marBottom w:val="0"/>
              <w:divBdr>
                <w:top w:val="none" w:sz="0" w:space="0" w:color="auto"/>
                <w:left w:val="none" w:sz="0" w:space="0" w:color="auto"/>
                <w:bottom w:val="none" w:sz="0" w:space="0" w:color="auto"/>
                <w:right w:val="none" w:sz="0" w:space="0" w:color="auto"/>
              </w:divBdr>
            </w:div>
            <w:div w:id="1749031977">
              <w:marLeft w:val="0"/>
              <w:marRight w:val="0"/>
              <w:marTop w:val="0"/>
              <w:marBottom w:val="0"/>
              <w:divBdr>
                <w:top w:val="none" w:sz="0" w:space="0" w:color="auto"/>
                <w:left w:val="none" w:sz="0" w:space="0" w:color="auto"/>
                <w:bottom w:val="none" w:sz="0" w:space="0" w:color="auto"/>
                <w:right w:val="none" w:sz="0" w:space="0" w:color="auto"/>
              </w:divBdr>
            </w:div>
            <w:div w:id="1961646751">
              <w:marLeft w:val="0"/>
              <w:marRight w:val="0"/>
              <w:marTop w:val="0"/>
              <w:marBottom w:val="0"/>
              <w:divBdr>
                <w:top w:val="none" w:sz="0" w:space="0" w:color="auto"/>
                <w:left w:val="none" w:sz="0" w:space="0" w:color="auto"/>
                <w:bottom w:val="none" w:sz="0" w:space="0" w:color="auto"/>
                <w:right w:val="none" w:sz="0" w:space="0" w:color="auto"/>
              </w:divBdr>
            </w:div>
          </w:divsChild>
        </w:div>
        <w:div w:id="1872181115">
          <w:marLeft w:val="0"/>
          <w:marRight w:val="0"/>
          <w:marTop w:val="0"/>
          <w:marBottom w:val="0"/>
          <w:divBdr>
            <w:top w:val="none" w:sz="0" w:space="0" w:color="auto"/>
            <w:left w:val="none" w:sz="0" w:space="0" w:color="auto"/>
            <w:bottom w:val="none" w:sz="0" w:space="0" w:color="auto"/>
            <w:right w:val="none" w:sz="0" w:space="0" w:color="auto"/>
          </w:divBdr>
          <w:divsChild>
            <w:div w:id="490020692">
              <w:marLeft w:val="0"/>
              <w:marRight w:val="0"/>
              <w:marTop w:val="0"/>
              <w:marBottom w:val="0"/>
              <w:divBdr>
                <w:top w:val="none" w:sz="0" w:space="0" w:color="auto"/>
                <w:left w:val="none" w:sz="0" w:space="0" w:color="auto"/>
                <w:bottom w:val="none" w:sz="0" w:space="0" w:color="auto"/>
                <w:right w:val="none" w:sz="0" w:space="0" w:color="auto"/>
              </w:divBdr>
            </w:div>
            <w:div w:id="785193936">
              <w:marLeft w:val="0"/>
              <w:marRight w:val="0"/>
              <w:marTop w:val="0"/>
              <w:marBottom w:val="0"/>
              <w:divBdr>
                <w:top w:val="none" w:sz="0" w:space="0" w:color="auto"/>
                <w:left w:val="none" w:sz="0" w:space="0" w:color="auto"/>
                <w:bottom w:val="none" w:sz="0" w:space="0" w:color="auto"/>
                <w:right w:val="none" w:sz="0" w:space="0" w:color="auto"/>
              </w:divBdr>
            </w:div>
            <w:div w:id="1146245228">
              <w:marLeft w:val="0"/>
              <w:marRight w:val="0"/>
              <w:marTop w:val="0"/>
              <w:marBottom w:val="0"/>
              <w:divBdr>
                <w:top w:val="none" w:sz="0" w:space="0" w:color="auto"/>
                <w:left w:val="none" w:sz="0" w:space="0" w:color="auto"/>
                <w:bottom w:val="none" w:sz="0" w:space="0" w:color="auto"/>
                <w:right w:val="none" w:sz="0" w:space="0" w:color="auto"/>
              </w:divBdr>
            </w:div>
            <w:div w:id="1346831256">
              <w:marLeft w:val="0"/>
              <w:marRight w:val="0"/>
              <w:marTop w:val="0"/>
              <w:marBottom w:val="0"/>
              <w:divBdr>
                <w:top w:val="none" w:sz="0" w:space="0" w:color="auto"/>
                <w:left w:val="none" w:sz="0" w:space="0" w:color="auto"/>
                <w:bottom w:val="none" w:sz="0" w:space="0" w:color="auto"/>
                <w:right w:val="none" w:sz="0" w:space="0" w:color="auto"/>
              </w:divBdr>
            </w:div>
            <w:div w:id="1414158897">
              <w:marLeft w:val="0"/>
              <w:marRight w:val="0"/>
              <w:marTop w:val="0"/>
              <w:marBottom w:val="0"/>
              <w:divBdr>
                <w:top w:val="none" w:sz="0" w:space="0" w:color="auto"/>
                <w:left w:val="none" w:sz="0" w:space="0" w:color="auto"/>
                <w:bottom w:val="none" w:sz="0" w:space="0" w:color="auto"/>
                <w:right w:val="none" w:sz="0" w:space="0" w:color="auto"/>
              </w:divBdr>
            </w:div>
            <w:div w:id="1681543089">
              <w:marLeft w:val="0"/>
              <w:marRight w:val="0"/>
              <w:marTop w:val="0"/>
              <w:marBottom w:val="0"/>
              <w:divBdr>
                <w:top w:val="none" w:sz="0" w:space="0" w:color="auto"/>
                <w:left w:val="none" w:sz="0" w:space="0" w:color="auto"/>
                <w:bottom w:val="none" w:sz="0" w:space="0" w:color="auto"/>
                <w:right w:val="none" w:sz="0" w:space="0" w:color="auto"/>
              </w:divBdr>
            </w:div>
            <w:div w:id="1838035601">
              <w:marLeft w:val="0"/>
              <w:marRight w:val="0"/>
              <w:marTop w:val="0"/>
              <w:marBottom w:val="0"/>
              <w:divBdr>
                <w:top w:val="none" w:sz="0" w:space="0" w:color="auto"/>
                <w:left w:val="none" w:sz="0" w:space="0" w:color="auto"/>
                <w:bottom w:val="none" w:sz="0" w:space="0" w:color="auto"/>
                <w:right w:val="none" w:sz="0" w:space="0" w:color="auto"/>
              </w:divBdr>
            </w:div>
            <w:div w:id="1923640906">
              <w:marLeft w:val="0"/>
              <w:marRight w:val="0"/>
              <w:marTop w:val="0"/>
              <w:marBottom w:val="0"/>
              <w:divBdr>
                <w:top w:val="none" w:sz="0" w:space="0" w:color="auto"/>
                <w:left w:val="none" w:sz="0" w:space="0" w:color="auto"/>
                <w:bottom w:val="none" w:sz="0" w:space="0" w:color="auto"/>
                <w:right w:val="none" w:sz="0" w:space="0" w:color="auto"/>
              </w:divBdr>
            </w:div>
            <w:div w:id="2062749451">
              <w:marLeft w:val="0"/>
              <w:marRight w:val="0"/>
              <w:marTop w:val="0"/>
              <w:marBottom w:val="0"/>
              <w:divBdr>
                <w:top w:val="none" w:sz="0" w:space="0" w:color="auto"/>
                <w:left w:val="none" w:sz="0" w:space="0" w:color="auto"/>
                <w:bottom w:val="none" w:sz="0" w:space="0" w:color="auto"/>
                <w:right w:val="none" w:sz="0" w:space="0" w:color="auto"/>
              </w:divBdr>
            </w:div>
            <w:div w:id="2106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2013">
      <w:bodyDiv w:val="1"/>
      <w:marLeft w:val="0"/>
      <w:marRight w:val="0"/>
      <w:marTop w:val="0"/>
      <w:marBottom w:val="0"/>
      <w:divBdr>
        <w:top w:val="none" w:sz="0" w:space="0" w:color="auto"/>
        <w:left w:val="none" w:sz="0" w:space="0" w:color="auto"/>
        <w:bottom w:val="none" w:sz="0" w:space="0" w:color="auto"/>
        <w:right w:val="none" w:sz="0" w:space="0" w:color="auto"/>
      </w:divBdr>
      <w:divsChild>
        <w:div w:id="1478690690">
          <w:marLeft w:val="0"/>
          <w:marRight w:val="0"/>
          <w:marTop w:val="0"/>
          <w:marBottom w:val="0"/>
          <w:divBdr>
            <w:top w:val="none" w:sz="0" w:space="0" w:color="auto"/>
            <w:left w:val="none" w:sz="0" w:space="0" w:color="auto"/>
            <w:bottom w:val="none" w:sz="0" w:space="0" w:color="auto"/>
            <w:right w:val="none" w:sz="0" w:space="0" w:color="auto"/>
          </w:divBdr>
          <w:divsChild>
            <w:div w:id="72357117">
              <w:marLeft w:val="0"/>
              <w:marRight w:val="0"/>
              <w:marTop w:val="0"/>
              <w:marBottom w:val="0"/>
              <w:divBdr>
                <w:top w:val="none" w:sz="0" w:space="0" w:color="auto"/>
                <w:left w:val="none" w:sz="0" w:space="0" w:color="auto"/>
                <w:bottom w:val="none" w:sz="0" w:space="0" w:color="auto"/>
                <w:right w:val="none" w:sz="0" w:space="0" w:color="auto"/>
              </w:divBdr>
            </w:div>
            <w:div w:id="83888054">
              <w:marLeft w:val="0"/>
              <w:marRight w:val="0"/>
              <w:marTop w:val="0"/>
              <w:marBottom w:val="0"/>
              <w:divBdr>
                <w:top w:val="none" w:sz="0" w:space="0" w:color="auto"/>
                <w:left w:val="none" w:sz="0" w:space="0" w:color="auto"/>
                <w:bottom w:val="none" w:sz="0" w:space="0" w:color="auto"/>
                <w:right w:val="none" w:sz="0" w:space="0" w:color="auto"/>
              </w:divBdr>
            </w:div>
            <w:div w:id="335040205">
              <w:marLeft w:val="0"/>
              <w:marRight w:val="0"/>
              <w:marTop w:val="0"/>
              <w:marBottom w:val="0"/>
              <w:divBdr>
                <w:top w:val="none" w:sz="0" w:space="0" w:color="auto"/>
                <w:left w:val="none" w:sz="0" w:space="0" w:color="auto"/>
                <w:bottom w:val="none" w:sz="0" w:space="0" w:color="auto"/>
                <w:right w:val="none" w:sz="0" w:space="0" w:color="auto"/>
              </w:divBdr>
            </w:div>
            <w:div w:id="720714968">
              <w:marLeft w:val="0"/>
              <w:marRight w:val="0"/>
              <w:marTop w:val="0"/>
              <w:marBottom w:val="0"/>
              <w:divBdr>
                <w:top w:val="none" w:sz="0" w:space="0" w:color="auto"/>
                <w:left w:val="none" w:sz="0" w:space="0" w:color="auto"/>
                <w:bottom w:val="none" w:sz="0" w:space="0" w:color="auto"/>
                <w:right w:val="none" w:sz="0" w:space="0" w:color="auto"/>
              </w:divBdr>
            </w:div>
            <w:div w:id="867182810">
              <w:marLeft w:val="0"/>
              <w:marRight w:val="0"/>
              <w:marTop w:val="0"/>
              <w:marBottom w:val="0"/>
              <w:divBdr>
                <w:top w:val="none" w:sz="0" w:space="0" w:color="auto"/>
                <w:left w:val="none" w:sz="0" w:space="0" w:color="auto"/>
                <w:bottom w:val="none" w:sz="0" w:space="0" w:color="auto"/>
                <w:right w:val="none" w:sz="0" w:space="0" w:color="auto"/>
              </w:divBdr>
            </w:div>
            <w:div w:id="1032606624">
              <w:marLeft w:val="0"/>
              <w:marRight w:val="0"/>
              <w:marTop w:val="0"/>
              <w:marBottom w:val="0"/>
              <w:divBdr>
                <w:top w:val="none" w:sz="0" w:space="0" w:color="auto"/>
                <w:left w:val="none" w:sz="0" w:space="0" w:color="auto"/>
                <w:bottom w:val="none" w:sz="0" w:space="0" w:color="auto"/>
                <w:right w:val="none" w:sz="0" w:space="0" w:color="auto"/>
              </w:divBdr>
            </w:div>
            <w:div w:id="1034772374">
              <w:marLeft w:val="0"/>
              <w:marRight w:val="0"/>
              <w:marTop w:val="0"/>
              <w:marBottom w:val="0"/>
              <w:divBdr>
                <w:top w:val="none" w:sz="0" w:space="0" w:color="auto"/>
                <w:left w:val="none" w:sz="0" w:space="0" w:color="auto"/>
                <w:bottom w:val="none" w:sz="0" w:space="0" w:color="auto"/>
                <w:right w:val="none" w:sz="0" w:space="0" w:color="auto"/>
              </w:divBdr>
            </w:div>
            <w:div w:id="1052343337">
              <w:marLeft w:val="0"/>
              <w:marRight w:val="0"/>
              <w:marTop w:val="0"/>
              <w:marBottom w:val="0"/>
              <w:divBdr>
                <w:top w:val="none" w:sz="0" w:space="0" w:color="auto"/>
                <w:left w:val="none" w:sz="0" w:space="0" w:color="auto"/>
                <w:bottom w:val="none" w:sz="0" w:space="0" w:color="auto"/>
                <w:right w:val="none" w:sz="0" w:space="0" w:color="auto"/>
              </w:divBdr>
            </w:div>
            <w:div w:id="1812745582">
              <w:marLeft w:val="0"/>
              <w:marRight w:val="0"/>
              <w:marTop w:val="0"/>
              <w:marBottom w:val="0"/>
              <w:divBdr>
                <w:top w:val="none" w:sz="0" w:space="0" w:color="auto"/>
                <w:left w:val="none" w:sz="0" w:space="0" w:color="auto"/>
                <w:bottom w:val="none" w:sz="0" w:space="0" w:color="auto"/>
                <w:right w:val="none" w:sz="0" w:space="0" w:color="auto"/>
              </w:divBdr>
            </w:div>
            <w:div w:id="1818718677">
              <w:marLeft w:val="0"/>
              <w:marRight w:val="0"/>
              <w:marTop w:val="0"/>
              <w:marBottom w:val="0"/>
              <w:divBdr>
                <w:top w:val="none" w:sz="0" w:space="0" w:color="auto"/>
                <w:left w:val="none" w:sz="0" w:space="0" w:color="auto"/>
                <w:bottom w:val="none" w:sz="0" w:space="0" w:color="auto"/>
                <w:right w:val="none" w:sz="0" w:space="0" w:color="auto"/>
              </w:divBdr>
            </w:div>
          </w:divsChild>
        </w:div>
        <w:div w:id="1490249929">
          <w:marLeft w:val="0"/>
          <w:marRight w:val="0"/>
          <w:marTop w:val="0"/>
          <w:marBottom w:val="0"/>
          <w:divBdr>
            <w:top w:val="none" w:sz="0" w:space="0" w:color="auto"/>
            <w:left w:val="none" w:sz="0" w:space="0" w:color="auto"/>
            <w:bottom w:val="none" w:sz="0" w:space="0" w:color="auto"/>
            <w:right w:val="none" w:sz="0" w:space="0" w:color="auto"/>
          </w:divBdr>
          <w:divsChild>
            <w:div w:id="15890643">
              <w:marLeft w:val="0"/>
              <w:marRight w:val="0"/>
              <w:marTop w:val="0"/>
              <w:marBottom w:val="0"/>
              <w:divBdr>
                <w:top w:val="none" w:sz="0" w:space="0" w:color="auto"/>
                <w:left w:val="none" w:sz="0" w:space="0" w:color="auto"/>
                <w:bottom w:val="none" w:sz="0" w:space="0" w:color="auto"/>
                <w:right w:val="none" w:sz="0" w:space="0" w:color="auto"/>
              </w:divBdr>
            </w:div>
            <w:div w:id="226771042">
              <w:marLeft w:val="0"/>
              <w:marRight w:val="0"/>
              <w:marTop w:val="0"/>
              <w:marBottom w:val="0"/>
              <w:divBdr>
                <w:top w:val="none" w:sz="0" w:space="0" w:color="auto"/>
                <w:left w:val="none" w:sz="0" w:space="0" w:color="auto"/>
                <w:bottom w:val="none" w:sz="0" w:space="0" w:color="auto"/>
                <w:right w:val="none" w:sz="0" w:space="0" w:color="auto"/>
              </w:divBdr>
            </w:div>
            <w:div w:id="277495972">
              <w:marLeft w:val="0"/>
              <w:marRight w:val="0"/>
              <w:marTop w:val="0"/>
              <w:marBottom w:val="0"/>
              <w:divBdr>
                <w:top w:val="none" w:sz="0" w:space="0" w:color="auto"/>
                <w:left w:val="none" w:sz="0" w:space="0" w:color="auto"/>
                <w:bottom w:val="none" w:sz="0" w:space="0" w:color="auto"/>
                <w:right w:val="none" w:sz="0" w:space="0" w:color="auto"/>
              </w:divBdr>
            </w:div>
            <w:div w:id="738358486">
              <w:marLeft w:val="0"/>
              <w:marRight w:val="0"/>
              <w:marTop w:val="0"/>
              <w:marBottom w:val="0"/>
              <w:divBdr>
                <w:top w:val="none" w:sz="0" w:space="0" w:color="auto"/>
                <w:left w:val="none" w:sz="0" w:space="0" w:color="auto"/>
                <w:bottom w:val="none" w:sz="0" w:space="0" w:color="auto"/>
                <w:right w:val="none" w:sz="0" w:space="0" w:color="auto"/>
              </w:divBdr>
            </w:div>
            <w:div w:id="903221231">
              <w:marLeft w:val="0"/>
              <w:marRight w:val="0"/>
              <w:marTop w:val="0"/>
              <w:marBottom w:val="0"/>
              <w:divBdr>
                <w:top w:val="none" w:sz="0" w:space="0" w:color="auto"/>
                <w:left w:val="none" w:sz="0" w:space="0" w:color="auto"/>
                <w:bottom w:val="none" w:sz="0" w:space="0" w:color="auto"/>
                <w:right w:val="none" w:sz="0" w:space="0" w:color="auto"/>
              </w:divBdr>
            </w:div>
            <w:div w:id="937903860">
              <w:marLeft w:val="0"/>
              <w:marRight w:val="0"/>
              <w:marTop w:val="0"/>
              <w:marBottom w:val="0"/>
              <w:divBdr>
                <w:top w:val="none" w:sz="0" w:space="0" w:color="auto"/>
                <w:left w:val="none" w:sz="0" w:space="0" w:color="auto"/>
                <w:bottom w:val="none" w:sz="0" w:space="0" w:color="auto"/>
                <w:right w:val="none" w:sz="0" w:space="0" w:color="auto"/>
              </w:divBdr>
            </w:div>
            <w:div w:id="1077631276">
              <w:marLeft w:val="0"/>
              <w:marRight w:val="0"/>
              <w:marTop w:val="0"/>
              <w:marBottom w:val="0"/>
              <w:divBdr>
                <w:top w:val="none" w:sz="0" w:space="0" w:color="auto"/>
                <w:left w:val="none" w:sz="0" w:space="0" w:color="auto"/>
                <w:bottom w:val="none" w:sz="0" w:space="0" w:color="auto"/>
                <w:right w:val="none" w:sz="0" w:space="0" w:color="auto"/>
              </w:divBdr>
            </w:div>
            <w:div w:id="1160778296">
              <w:marLeft w:val="0"/>
              <w:marRight w:val="0"/>
              <w:marTop w:val="0"/>
              <w:marBottom w:val="0"/>
              <w:divBdr>
                <w:top w:val="none" w:sz="0" w:space="0" w:color="auto"/>
                <w:left w:val="none" w:sz="0" w:space="0" w:color="auto"/>
                <w:bottom w:val="none" w:sz="0" w:space="0" w:color="auto"/>
                <w:right w:val="none" w:sz="0" w:space="0" w:color="auto"/>
              </w:divBdr>
            </w:div>
            <w:div w:id="1255701695">
              <w:marLeft w:val="0"/>
              <w:marRight w:val="0"/>
              <w:marTop w:val="0"/>
              <w:marBottom w:val="0"/>
              <w:divBdr>
                <w:top w:val="none" w:sz="0" w:space="0" w:color="auto"/>
                <w:left w:val="none" w:sz="0" w:space="0" w:color="auto"/>
                <w:bottom w:val="none" w:sz="0" w:space="0" w:color="auto"/>
                <w:right w:val="none" w:sz="0" w:space="0" w:color="auto"/>
              </w:divBdr>
            </w:div>
            <w:div w:id="1491408906">
              <w:marLeft w:val="0"/>
              <w:marRight w:val="0"/>
              <w:marTop w:val="0"/>
              <w:marBottom w:val="0"/>
              <w:divBdr>
                <w:top w:val="none" w:sz="0" w:space="0" w:color="auto"/>
                <w:left w:val="none" w:sz="0" w:space="0" w:color="auto"/>
                <w:bottom w:val="none" w:sz="0" w:space="0" w:color="auto"/>
                <w:right w:val="none" w:sz="0" w:space="0" w:color="auto"/>
              </w:divBdr>
            </w:div>
            <w:div w:id="1667201271">
              <w:marLeft w:val="0"/>
              <w:marRight w:val="0"/>
              <w:marTop w:val="0"/>
              <w:marBottom w:val="0"/>
              <w:divBdr>
                <w:top w:val="none" w:sz="0" w:space="0" w:color="auto"/>
                <w:left w:val="none" w:sz="0" w:space="0" w:color="auto"/>
                <w:bottom w:val="none" w:sz="0" w:space="0" w:color="auto"/>
                <w:right w:val="none" w:sz="0" w:space="0" w:color="auto"/>
              </w:divBdr>
            </w:div>
            <w:div w:id="1703286077">
              <w:marLeft w:val="0"/>
              <w:marRight w:val="0"/>
              <w:marTop w:val="0"/>
              <w:marBottom w:val="0"/>
              <w:divBdr>
                <w:top w:val="none" w:sz="0" w:space="0" w:color="auto"/>
                <w:left w:val="none" w:sz="0" w:space="0" w:color="auto"/>
                <w:bottom w:val="none" w:sz="0" w:space="0" w:color="auto"/>
                <w:right w:val="none" w:sz="0" w:space="0" w:color="auto"/>
              </w:divBdr>
            </w:div>
            <w:div w:id="1727869479">
              <w:marLeft w:val="0"/>
              <w:marRight w:val="0"/>
              <w:marTop w:val="0"/>
              <w:marBottom w:val="0"/>
              <w:divBdr>
                <w:top w:val="none" w:sz="0" w:space="0" w:color="auto"/>
                <w:left w:val="none" w:sz="0" w:space="0" w:color="auto"/>
                <w:bottom w:val="none" w:sz="0" w:space="0" w:color="auto"/>
                <w:right w:val="none" w:sz="0" w:space="0" w:color="auto"/>
              </w:divBdr>
            </w:div>
            <w:div w:id="1824345904">
              <w:marLeft w:val="0"/>
              <w:marRight w:val="0"/>
              <w:marTop w:val="0"/>
              <w:marBottom w:val="0"/>
              <w:divBdr>
                <w:top w:val="none" w:sz="0" w:space="0" w:color="auto"/>
                <w:left w:val="none" w:sz="0" w:space="0" w:color="auto"/>
                <w:bottom w:val="none" w:sz="0" w:space="0" w:color="auto"/>
                <w:right w:val="none" w:sz="0" w:space="0" w:color="auto"/>
              </w:divBdr>
            </w:div>
            <w:div w:id="1847482013">
              <w:marLeft w:val="0"/>
              <w:marRight w:val="0"/>
              <w:marTop w:val="0"/>
              <w:marBottom w:val="0"/>
              <w:divBdr>
                <w:top w:val="none" w:sz="0" w:space="0" w:color="auto"/>
                <w:left w:val="none" w:sz="0" w:space="0" w:color="auto"/>
                <w:bottom w:val="none" w:sz="0" w:space="0" w:color="auto"/>
                <w:right w:val="none" w:sz="0" w:space="0" w:color="auto"/>
              </w:divBdr>
            </w:div>
            <w:div w:id="20157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1163153">
      <w:bodyDiv w:val="1"/>
      <w:marLeft w:val="0"/>
      <w:marRight w:val="0"/>
      <w:marTop w:val="0"/>
      <w:marBottom w:val="0"/>
      <w:divBdr>
        <w:top w:val="none" w:sz="0" w:space="0" w:color="auto"/>
        <w:left w:val="none" w:sz="0" w:space="0" w:color="auto"/>
        <w:bottom w:val="none" w:sz="0" w:space="0" w:color="auto"/>
        <w:right w:val="none" w:sz="0" w:space="0" w:color="auto"/>
      </w:divBdr>
    </w:div>
    <w:div w:id="177894958">
      <w:bodyDiv w:val="1"/>
      <w:marLeft w:val="0"/>
      <w:marRight w:val="0"/>
      <w:marTop w:val="0"/>
      <w:marBottom w:val="0"/>
      <w:divBdr>
        <w:top w:val="none" w:sz="0" w:space="0" w:color="auto"/>
        <w:left w:val="none" w:sz="0" w:space="0" w:color="auto"/>
        <w:bottom w:val="none" w:sz="0" w:space="0" w:color="auto"/>
        <w:right w:val="none" w:sz="0" w:space="0" w:color="auto"/>
      </w:divBdr>
      <w:divsChild>
        <w:div w:id="146098916">
          <w:marLeft w:val="0"/>
          <w:marRight w:val="0"/>
          <w:marTop w:val="0"/>
          <w:marBottom w:val="0"/>
          <w:divBdr>
            <w:top w:val="none" w:sz="0" w:space="0" w:color="auto"/>
            <w:left w:val="none" w:sz="0" w:space="0" w:color="auto"/>
            <w:bottom w:val="none" w:sz="0" w:space="0" w:color="auto"/>
            <w:right w:val="none" w:sz="0" w:space="0" w:color="auto"/>
          </w:divBdr>
          <w:divsChild>
            <w:div w:id="1158881673">
              <w:marLeft w:val="0"/>
              <w:marRight w:val="0"/>
              <w:marTop w:val="0"/>
              <w:marBottom w:val="0"/>
              <w:divBdr>
                <w:top w:val="none" w:sz="0" w:space="0" w:color="auto"/>
                <w:left w:val="none" w:sz="0" w:space="0" w:color="auto"/>
                <w:bottom w:val="none" w:sz="0" w:space="0" w:color="auto"/>
                <w:right w:val="none" w:sz="0" w:space="0" w:color="auto"/>
              </w:divBdr>
            </w:div>
          </w:divsChild>
        </w:div>
        <w:div w:id="225846887">
          <w:marLeft w:val="0"/>
          <w:marRight w:val="0"/>
          <w:marTop w:val="0"/>
          <w:marBottom w:val="0"/>
          <w:divBdr>
            <w:top w:val="none" w:sz="0" w:space="0" w:color="auto"/>
            <w:left w:val="none" w:sz="0" w:space="0" w:color="auto"/>
            <w:bottom w:val="none" w:sz="0" w:space="0" w:color="auto"/>
            <w:right w:val="none" w:sz="0" w:space="0" w:color="auto"/>
          </w:divBdr>
          <w:divsChild>
            <w:div w:id="111487289">
              <w:marLeft w:val="0"/>
              <w:marRight w:val="0"/>
              <w:marTop w:val="0"/>
              <w:marBottom w:val="0"/>
              <w:divBdr>
                <w:top w:val="none" w:sz="0" w:space="0" w:color="auto"/>
                <w:left w:val="none" w:sz="0" w:space="0" w:color="auto"/>
                <w:bottom w:val="none" w:sz="0" w:space="0" w:color="auto"/>
                <w:right w:val="none" w:sz="0" w:space="0" w:color="auto"/>
              </w:divBdr>
            </w:div>
          </w:divsChild>
        </w:div>
        <w:div w:id="263726501">
          <w:marLeft w:val="0"/>
          <w:marRight w:val="0"/>
          <w:marTop w:val="0"/>
          <w:marBottom w:val="0"/>
          <w:divBdr>
            <w:top w:val="none" w:sz="0" w:space="0" w:color="auto"/>
            <w:left w:val="none" w:sz="0" w:space="0" w:color="auto"/>
            <w:bottom w:val="none" w:sz="0" w:space="0" w:color="auto"/>
            <w:right w:val="none" w:sz="0" w:space="0" w:color="auto"/>
          </w:divBdr>
          <w:divsChild>
            <w:div w:id="455946628">
              <w:marLeft w:val="0"/>
              <w:marRight w:val="0"/>
              <w:marTop w:val="0"/>
              <w:marBottom w:val="0"/>
              <w:divBdr>
                <w:top w:val="none" w:sz="0" w:space="0" w:color="auto"/>
                <w:left w:val="none" w:sz="0" w:space="0" w:color="auto"/>
                <w:bottom w:val="none" w:sz="0" w:space="0" w:color="auto"/>
                <w:right w:val="none" w:sz="0" w:space="0" w:color="auto"/>
              </w:divBdr>
            </w:div>
            <w:div w:id="1702247322">
              <w:marLeft w:val="0"/>
              <w:marRight w:val="0"/>
              <w:marTop w:val="0"/>
              <w:marBottom w:val="0"/>
              <w:divBdr>
                <w:top w:val="none" w:sz="0" w:space="0" w:color="auto"/>
                <w:left w:val="none" w:sz="0" w:space="0" w:color="auto"/>
                <w:bottom w:val="none" w:sz="0" w:space="0" w:color="auto"/>
                <w:right w:val="none" w:sz="0" w:space="0" w:color="auto"/>
              </w:divBdr>
            </w:div>
          </w:divsChild>
        </w:div>
        <w:div w:id="285161484">
          <w:marLeft w:val="0"/>
          <w:marRight w:val="0"/>
          <w:marTop w:val="0"/>
          <w:marBottom w:val="0"/>
          <w:divBdr>
            <w:top w:val="none" w:sz="0" w:space="0" w:color="auto"/>
            <w:left w:val="none" w:sz="0" w:space="0" w:color="auto"/>
            <w:bottom w:val="none" w:sz="0" w:space="0" w:color="auto"/>
            <w:right w:val="none" w:sz="0" w:space="0" w:color="auto"/>
          </w:divBdr>
          <w:divsChild>
            <w:div w:id="371462389">
              <w:marLeft w:val="0"/>
              <w:marRight w:val="0"/>
              <w:marTop w:val="0"/>
              <w:marBottom w:val="0"/>
              <w:divBdr>
                <w:top w:val="none" w:sz="0" w:space="0" w:color="auto"/>
                <w:left w:val="none" w:sz="0" w:space="0" w:color="auto"/>
                <w:bottom w:val="none" w:sz="0" w:space="0" w:color="auto"/>
                <w:right w:val="none" w:sz="0" w:space="0" w:color="auto"/>
              </w:divBdr>
            </w:div>
          </w:divsChild>
        </w:div>
        <w:div w:id="324211156">
          <w:marLeft w:val="0"/>
          <w:marRight w:val="0"/>
          <w:marTop w:val="0"/>
          <w:marBottom w:val="0"/>
          <w:divBdr>
            <w:top w:val="none" w:sz="0" w:space="0" w:color="auto"/>
            <w:left w:val="none" w:sz="0" w:space="0" w:color="auto"/>
            <w:bottom w:val="none" w:sz="0" w:space="0" w:color="auto"/>
            <w:right w:val="none" w:sz="0" w:space="0" w:color="auto"/>
          </w:divBdr>
          <w:divsChild>
            <w:div w:id="1169713897">
              <w:marLeft w:val="0"/>
              <w:marRight w:val="0"/>
              <w:marTop w:val="0"/>
              <w:marBottom w:val="0"/>
              <w:divBdr>
                <w:top w:val="none" w:sz="0" w:space="0" w:color="auto"/>
                <w:left w:val="none" w:sz="0" w:space="0" w:color="auto"/>
                <w:bottom w:val="none" w:sz="0" w:space="0" w:color="auto"/>
                <w:right w:val="none" w:sz="0" w:space="0" w:color="auto"/>
              </w:divBdr>
            </w:div>
          </w:divsChild>
        </w:div>
        <w:div w:id="423182961">
          <w:marLeft w:val="0"/>
          <w:marRight w:val="0"/>
          <w:marTop w:val="0"/>
          <w:marBottom w:val="0"/>
          <w:divBdr>
            <w:top w:val="none" w:sz="0" w:space="0" w:color="auto"/>
            <w:left w:val="none" w:sz="0" w:space="0" w:color="auto"/>
            <w:bottom w:val="none" w:sz="0" w:space="0" w:color="auto"/>
            <w:right w:val="none" w:sz="0" w:space="0" w:color="auto"/>
          </w:divBdr>
          <w:divsChild>
            <w:div w:id="1735202441">
              <w:marLeft w:val="0"/>
              <w:marRight w:val="0"/>
              <w:marTop w:val="0"/>
              <w:marBottom w:val="0"/>
              <w:divBdr>
                <w:top w:val="none" w:sz="0" w:space="0" w:color="auto"/>
                <w:left w:val="none" w:sz="0" w:space="0" w:color="auto"/>
                <w:bottom w:val="none" w:sz="0" w:space="0" w:color="auto"/>
                <w:right w:val="none" w:sz="0" w:space="0" w:color="auto"/>
              </w:divBdr>
            </w:div>
          </w:divsChild>
        </w:div>
        <w:div w:id="443159524">
          <w:marLeft w:val="0"/>
          <w:marRight w:val="0"/>
          <w:marTop w:val="0"/>
          <w:marBottom w:val="0"/>
          <w:divBdr>
            <w:top w:val="none" w:sz="0" w:space="0" w:color="auto"/>
            <w:left w:val="none" w:sz="0" w:space="0" w:color="auto"/>
            <w:bottom w:val="none" w:sz="0" w:space="0" w:color="auto"/>
            <w:right w:val="none" w:sz="0" w:space="0" w:color="auto"/>
          </w:divBdr>
          <w:divsChild>
            <w:div w:id="1358385819">
              <w:marLeft w:val="0"/>
              <w:marRight w:val="0"/>
              <w:marTop w:val="0"/>
              <w:marBottom w:val="0"/>
              <w:divBdr>
                <w:top w:val="none" w:sz="0" w:space="0" w:color="auto"/>
                <w:left w:val="none" w:sz="0" w:space="0" w:color="auto"/>
                <w:bottom w:val="none" w:sz="0" w:space="0" w:color="auto"/>
                <w:right w:val="none" w:sz="0" w:space="0" w:color="auto"/>
              </w:divBdr>
            </w:div>
          </w:divsChild>
        </w:div>
        <w:div w:id="470558194">
          <w:marLeft w:val="0"/>
          <w:marRight w:val="0"/>
          <w:marTop w:val="0"/>
          <w:marBottom w:val="0"/>
          <w:divBdr>
            <w:top w:val="none" w:sz="0" w:space="0" w:color="auto"/>
            <w:left w:val="none" w:sz="0" w:space="0" w:color="auto"/>
            <w:bottom w:val="none" w:sz="0" w:space="0" w:color="auto"/>
            <w:right w:val="none" w:sz="0" w:space="0" w:color="auto"/>
          </w:divBdr>
          <w:divsChild>
            <w:div w:id="1642340722">
              <w:marLeft w:val="0"/>
              <w:marRight w:val="0"/>
              <w:marTop w:val="0"/>
              <w:marBottom w:val="0"/>
              <w:divBdr>
                <w:top w:val="none" w:sz="0" w:space="0" w:color="auto"/>
                <w:left w:val="none" w:sz="0" w:space="0" w:color="auto"/>
                <w:bottom w:val="none" w:sz="0" w:space="0" w:color="auto"/>
                <w:right w:val="none" w:sz="0" w:space="0" w:color="auto"/>
              </w:divBdr>
            </w:div>
          </w:divsChild>
        </w:div>
        <w:div w:id="482696916">
          <w:marLeft w:val="0"/>
          <w:marRight w:val="0"/>
          <w:marTop w:val="0"/>
          <w:marBottom w:val="0"/>
          <w:divBdr>
            <w:top w:val="none" w:sz="0" w:space="0" w:color="auto"/>
            <w:left w:val="none" w:sz="0" w:space="0" w:color="auto"/>
            <w:bottom w:val="none" w:sz="0" w:space="0" w:color="auto"/>
            <w:right w:val="none" w:sz="0" w:space="0" w:color="auto"/>
          </w:divBdr>
          <w:divsChild>
            <w:div w:id="556363004">
              <w:marLeft w:val="0"/>
              <w:marRight w:val="0"/>
              <w:marTop w:val="0"/>
              <w:marBottom w:val="0"/>
              <w:divBdr>
                <w:top w:val="none" w:sz="0" w:space="0" w:color="auto"/>
                <w:left w:val="none" w:sz="0" w:space="0" w:color="auto"/>
                <w:bottom w:val="none" w:sz="0" w:space="0" w:color="auto"/>
                <w:right w:val="none" w:sz="0" w:space="0" w:color="auto"/>
              </w:divBdr>
            </w:div>
          </w:divsChild>
        </w:div>
        <w:div w:id="505487942">
          <w:marLeft w:val="0"/>
          <w:marRight w:val="0"/>
          <w:marTop w:val="0"/>
          <w:marBottom w:val="0"/>
          <w:divBdr>
            <w:top w:val="none" w:sz="0" w:space="0" w:color="auto"/>
            <w:left w:val="none" w:sz="0" w:space="0" w:color="auto"/>
            <w:bottom w:val="none" w:sz="0" w:space="0" w:color="auto"/>
            <w:right w:val="none" w:sz="0" w:space="0" w:color="auto"/>
          </w:divBdr>
          <w:divsChild>
            <w:div w:id="353658291">
              <w:marLeft w:val="0"/>
              <w:marRight w:val="0"/>
              <w:marTop w:val="0"/>
              <w:marBottom w:val="0"/>
              <w:divBdr>
                <w:top w:val="none" w:sz="0" w:space="0" w:color="auto"/>
                <w:left w:val="none" w:sz="0" w:space="0" w:color="auto"/>
                <w:bottom w:val="none" w:sz="0" w:space="0" w:color="auto"/>
                <w:right w:val="none" w:sz="0" w:space="0" w:color="auto"/>
              </w:divBdr>
            </w:div>
          </w:divsChild>
        </w:div>
        <w:div w:id="536428102">
          <w:marLeft w:val="0"/>
          <w:marRight w:val="0"/>
          <w:marTop w:val="0"/>
          <w:marBottom w:val="0"/>
          <w:divBdr>
            <w:top w:val="none" w:sz="0" w:space="0" w:color="auto"/>
            <w:left w:val="none" w:sz="0" w:space="0" w:color="auto"/>
            <w:bottom w:val="none" w:sz="0" w:space="0" w:color="auto"/>
            <w:right w:val="none" w:sz="0" w:space="0" w:color="auto"/>
          </w:divBdr>
          <w:divsChild>
            <w:div w:id="267783343">
              <w:marLeft w:val="0"/>
              <w:marRight w:val="0"/>
              <w:marTop w:val="0"/>
              <w:marBottom w:val="0"/>
              <w:divBdr>
                <w:top w:val="none" w:sz="0" w:space="0" w:color="auto"/>
                <w:left w:val="none" w:sz="0" w:space="0" w:color="auto"/>
                <w:bottom w:val="none" w:sz="0" w:space="0" w:color="auto"/>
                <w:right w:val="none" w:sz="0" w:space="0" w:color="auto"/>
              </w:divBdr>
            </w:div>
          </w:divsChild>
        </w:div>
        <w:div w:id="606237030">
          <w:marLeft w:val="0"/>
          <w:marRight w:val="0"/>
          <w:marTop w:val="0"/>
          <w:marBottom w:val="0"/>
          <w:divBdr>
            <w:top w:val="none" w:sz="0" w:space="0" w:color="auto"/>
            <w:left w:val="none" w:sz="0" w:space="0" w:color="auto"/>
            <w:bottom w:val="none" w:sz="0" w:space="0" w:color="auto"/>
            <w:right w:val="none" w:sz="0" w:space="0" w:color="auto"/>
          </w:divBdr>
          <w:divsChild>
            <w:div w:id="1162547122">
              <w:marLeft w:val="0"/>
              <w:marRight w:val="0"/>
              <w:marTop w:val="0"/>
              <w:marBottom w:val="0"/>
              <w:divBdr>
                <w:top w:val="none" w:sz="0" w:space="0" w:color="auto"/>
                <w:left w:val="none" w:sz="0" w:space="0" w:color="auto"/>
                <w:bottom w:val="none" w:sz="0" w:space="0" w:color="auto"/>
                <w:right w:val="none" w:sz="0" w:space="0" w:color="auto"/>
              </w:divBdr>
            </w:div>
          </w:divsChild>
        </w:div>
        <w:div w:id="656762822">
          <w:marLeft w:val="0"/>
          <w:marRight w:val="0"/>
          <w:marTop w:val="0"/>
          <w:marBottom w:val="0"/>
          <w:divBdr>
            <w:top w:val="none" w:sz="0" w:space="0" w:color="auto"/>
            <w:left w:val="none" w:sz="0" w:space="0" w:color="auto"/>
            <w:bottom w:val="none" w:sz="0" w:space="0" w:color="auto"/>
            <w:right w:val="none" w:sz="0" w:space="0" w:color="auto"/>
          </w:divBdr>
          <w:divsChild>
            <w:div w:id="2108190545">
              <w:marLeft w:val="0"/>
              <w:marRight w:val="0"/>
              <w:marTop w:val="0"/>
              <w:marBottom w:val="0"/>
              <w:divBdr>
                <w:top w:val="none" w:sz="0" w:space="0" w:color="auto"/>
                <w:left w:val="none" w:sz="0" w:space="0" w:color="auto"/>
                <w:bottom w:val="none" w:sz="0" w:space="0" w:color="auto"/>
                <w:right w:val="none" w:sz="0" w:space="0" w:color="auto"/>
              </w:divBdr>
            </w:div>
          </w:divsChild>
        </w:div>
        <w:div w:id="673217837">
          <w:marLeft w:val="0"/>
          <w:marRight w:val="0"/>
          <w:marTop w:val="0"/>
          <w:marBottom w:val="0"/>
          <w:divBdr>
            <w:top w:val="none" w:sz="0" w:space="0" w:color="auto"/>
            <w:left w:val="none" w:sz="0" w:space="0" w:color="auto"/>
            <w:bottom w:val="none" w:sz="0" w:space="0" w:color="auto"/>
            <w:right w:val="none" w:sz="0" w:space="0" w:color="auto"/>
          </w:divBdr>
          <w:divsChild>
            <w:div w:id="494565636">
              <w:marLeft w:val="0"/>
              <w:marRight w:val="0"/>
              <w:marTop w:val="0"/>
              <w:marBottom w:val="0"/>
              <w:divBdr>
                <w:top w:val="none" w:sz="0" w:space="0" w:color="auto"/>
                <w:left w:val="none" w:sz="0" w:space="0" w:color="auto"/>
                <w:bottom w:val="none" w:sz="0" w:space="0" w:color="auto"/>
                <w:right w:val="none" w:sz="0" w:space="0" w:color="auto"/>
              </w:divBdr>
            </w:div>
          </w:divsChild>
        </w:div>
        <w:div w:id="776097510">
          <w:marLeft w:val="0"/>
          <w:marRight w:val="0"/>
          <w:marTop w:val="0"/>
          <w:marBottom w:val="0"/>
          <w:divBdr>
            <w:top w:val="none" w:sz="0" w:space="0" w:color="auto"/>
            <w:left w:val="none" w:sz="0" w:space="0" w:color="auto"/>
            <w:bottom w:val="none" w:sz="0" w:space="0" w:color="auto"/>
            <w:right w:val="none" w:sz="0" w:space="0" w:color="auto"/>
          </w:divBdr>
          <w:divsChild>
            <w:div w:id="2015261682">
              <w:marLeft w:val="0"/>
              <w:marRight w:val="0"/>
              <w:marTop w:val="0"/>
              <w:marBottom w:val="0"/>
              <w:divBdr>
                <w:top w:val="none" w:sz="0" w:space="0" w:color="auto"/>
                <w:left w:val="none" w:sz="0" w:space="0" w:color="auto"/>
                <w:bottom w:val="none" w:sz="0" w:space="0" w:color="auto"/>
                <w:right w:val="none" w:sz="0" w:space="0" w:color="auto"/>
              </w:divBdr>
            </w:div>
          </w:divsChild>
        </w:div>
        <w:div w:id="778456060">
          <w:marLeft w:val="0"/>
          <w:marRight w:val="0"/>
          <w:marTop w:val="0"/>
          <w:marBottom w:val="0"/>
          <w:divBdr>
            <w:top w:val="none" w:sz="0" w:space="0" w:color="auto"/>
            <w:left w:val="none" w:sz="0" w:space="0" w:color="auto"/>
            <w:bottom w:val="none" w:sz="0" w:space="0" w:color="auto"/>
            <w:right w:val="none" w:sz="0" w:space="0" w:color="auto"/>
          </w:divBdr>
          <w:divsChild>
            <w:div w:id="15354403">
              <w:marLeft w:val="0"/>
              <w:marRight w:val="0"/>
              <w:marTop w:val="0"/>
              <w:marBottom w:val="0"/>
              <w:divBdr>
                <w:top w:val="none" w:sz="0" w:space="0" w:color="auto"/>
                <w:left w:val="none" w:sz="0" w:space="0" w:color="auto"/>
                <w:bottom w:val="none" w:sz="0" w:space="0" w:color="auto"/>
                <w:right w:val="none" w:sz="0" w:space="0" w:color="auto"/>
              </w:divBdr>
            </w:div>
            <w:div w:id="1516729058">
              <w:marLeft w:val="0"/>
              <w:marRight w:val="0"/>
              <w:marTop w:val="0"/>
              <w:marBottom w:val="0"/>
              <w:divBdr>
                <w:top w:val="none" w:sz="0" w:space="0" w:color="auto"/>
                <w:left w:val="none" w:sz="0" w:space="0" w:color="auto"/>
                <w:bottom w:val="none" w:sz="0" w:space="0" w:color="auto"/>
                <w:right w:val="none" w:sz="0" w:space="0" w:color="auto"/>
              </w:divBdr>
            </w:div>
          </w:divsChild>
        </w:div>
        <w:div w:id="797333170">
          <w:marLeft w:val="0"/>
          <w:marRight w:val="0"/>
          <w:marTop w:val="0"/>
          <w:marBottom w:val="0"/>
          <w:divBdr>
            <w:top w:val="none" w:sz="0" w:space="0" w:color="auto"/>
            <w:left w:val="none" w:sz="0" w:space="0" w:color="auto"/>
            <w:bottom w:val="none" w:sz="0" w:space="0" w:color="auto"/>
            <w:right w:val="none" w:sz="0" w:space="0" w:color="auto"/>
          </w:divBdr>
          <w:divsChild>
            <w:div w:id="204492733">
              <w:marLeft w:val="0"/>
              <w:marRight w:val="0"/>
              <w:marTop w:val="0"/>
              <w:marBottom w:val="0"/>
              <w:divBdr>
                <w:top w:val="none" w:sz="0" w:space="0" w:color="auto"/>
                <w:left w:val="none" w:sz="0" w:space="0" w:color="auto"/>
                <w:bottom w:val="none" w:sz="0" w:space="0" w:color="auto"/>
                <w:right w:val="none" w:sz="0" w:space="0" w:color="auto"/>
              </w:divBdr>
            </w:div>
          </w:divsChild>
        </w:div>
        <w:div w:id="820923837">
          <w:marLeft w:val="0"/>
          <w:marRight w:val="0"/>
          <w:marTop w:val="0"/>
          <w:marBottom w:val="0"/>
          <w:divBdr>
            <w:top w:val="none" w:sz="0" w:space="0" w:color="auto"/>
            <w:left w:val="none" w:sz="0" w:space="0" w:color="auto"/>
            <w:bottom w:val="none" w:sz="0" w:space="0" w:color="auto"/>
            <w:right w:val="none" w:sz="0" w:space="0" w:color="auto"/>
          </w:divBdr>
          <w:divsChild>
            <w:div w:id="1698382857">
              <w:marLeft w:val="0"/>
              <w:marRight w:val="0"/>
              <w:marTop w:val="0"/>
              <w:marBottom w:val="0"/>
              <w:divBdr>
                <w:top w:val="none" w:sz="0" w:space="0" w:color="auto"/>
                <w:left w:val="none" w:sz="0" w:space="0" w:color="auto"/>
                <w:bottom w:val="none" w:sz="0" w:space="0" w:color="auto"/>
                <w:right w:val="none" w:sz="0" w:space="0" w:color="auto"/>
              </w:divBdr>
            </w:div>
          </w:divsChild>
        </w:div>
        <w:div w:id="829950048">
          <w:marLeft w:val="0"/>
          <w:marRight w:val="0"/>
          <w:marTop w:val="0"/>
          <w:marBottom w:val="0"/>
          <w:divBdr>
            <w:top w:val="none" w:sz="0" w:space="0" w:color="auto"/>
            <w:left w:val="none" w:sz="0" w:space="0" w:color="auto"/>
            <w:bottom w:val="none" w:sz="0" w:space="0" w:color="auto"/>
            <w:right w:val="none" w:sz="0" w:space="0" w:color="auto"/>
          </w:divBdr>
          <w:divsChild>
            <w:div w:id="1887982432">
              <w:marLeft w:val="0"/>
              <w:marRight w:val="0"/>
              <w:marTop w:val="0"/>
              <w:marBottom w:val="0"/>
              <w:divBdr>
                <w:top w:val="none" w:sz="0" w:space="0" w:color="auto"/>
                <w:left w:val="none" w:sz="0" w:space="0" w:color="auto"/>
                <w:bottom w:val="none" w:sz="0" w:space="0" w:color="auto"/>
                <w:right w:val="none" w:sz="0" w:space="0" w:color="auto"/>
              </w:divBdr>
            </w:div>
          </w:divsChild>
        </w:div>
        <w:div w:id="831986087">
          <w:marLeft w:val="0"/>
          <w:marRight w:val="0"/>
          <w:marTop w:val="0"/>
          <w:marBottom w:val="0"/>
          <w:divBdr>
            <w:top w:val="none" w:sz="0" w:space="0" w:color="auto"/>
            <w:left w:val="none" w:sz="0" w:space="0" w:color="auto"/>
            <w:bottom w:val="none" w:sz="0" w:space="0" w:color="auto"/>
            <w:right w:val="none" w:sz="0" w:space="0" w:color="auto"/>
          </w:divBdr>
          <w:divsChild>
            <w:div w:id="675425021">
              <w:marLeft w:val="0"/>
              <w:marRight w:val="0"/>
              <w:marTop w:val="0"/>
              <w:marBottom w:val="0"/>
              <w:divBdr>
                <w:top w:val="none" w:sz="0" w:space="0" w:color="auto"/>
                <w:left w:val="none" w:sz="0" w:space="0" w:color="auto"/>
                <w:bottom w:val="none" w:sz="0" w:space="0" w:color="auto"/>
                <w:right w:val="none" w:sz="0" w:space="0" w:color="auto"/>
              </w:divBdr>
            </w:div>
          </w:divsChild>
        </w:div>
        <w:div w:id="1025789462">
          <w:marLeft w:val="0"/>
          <w:marRight w:val="0"/>
          <w:marTop w:val="0"/>
          <w:marBottom w:val="0"/>
          <w:divBdr>
            <w:top w:val="none" w:sz="0" w:space="0" w:color="auto"/>
            <w:left w:val="none" w:sz="0" w:space="0" w:color="auto"/>
            <w:bottom w:val="none" w:sz="0" w:space="0" w:color="auto"/>
            <w:right w:val="none" w:sz="0" w:space="0" w:color="auto"/>
          </w:divBdr>
          <w:divsChild>
            <w:div w:id="1161576424">
              <w:marLeft w:val="0"/>
              <w:marRight w:val="0"/>
              <w:marTop w:val="0"/>
              <w:marBottom w:val="0"/>
              <w:divBdr>
                <w:top w:val="none" w:sz="0" w:space="0" w:color="auto"/>
                <w:left w:val="none" w:sz="0" w:space="0" w:color="auto"/>
                <w:bottom w:val="none" w:sz="0" w:space="0" w:color="auto"/>
                <w:right w:val="none" w:sz="0" w:space="0" w:color="auto"/>
              </w:divBdr>
            </w:div>
            <w:div w:id="1713767858">
              <w:marLeft w:val="0"/>
              <w:marRight w:val="0"/>
              <w:marTop w:val="0"/>
              <w:marBottom w:val="0"/>
              <w:divBdr>
                <w:top w:val="none" w:sz="0" w:space="0" w:color="auto"/>
                <w:left w:val="none" w:sz="0" w:space="0" w:color="auto"/>
                <w:bottom w:val="none" w:sz="0" w:space="0" w:color="auto"/>
                <w:right w:val="none" w:sz="0" w:space="0" w:color="auto"/>
              </w:divBdr>
            </w:div>
          </w:divsChild>
        </w:div>
        <w:div w:id="1029449714">
          <w:marLeft w:val="0"/>
          <w:marRight w:val="0"/>
          <w:marTop w:val="0"/>
          <w:marBottom w:val="0"/>
          <w:divBdr>
            <w:top w:val="none" w:sz="0" w:space="0" w:color="auto"/>
            <w:left w:val="none" w:sz="0" w:space="0" w:color="auto"/>
            <w:bottom w:val="none" w:sz="0" w:space="0" w:color="auto"/>
            <w:right w:val="none" w:sz="0" w:space="0" w:color="auto"/>
          </w:divBdr>
          <w:divsChild>
            <w:div w:id="208685840">
              <w:marLeft w:val="0"/>
              <w:marRight w:val="0"/>
              <w:marTop w:val="0"/>
              <w:marBottom w:val="0"/>
              <w:divBdr>
                <w:top w:val="none" w:sz="0" w:space="0" w:color="auto"/>
                <w:left w:val="none" w:sz="0" w:space="0" w:color="auto"/>
                <w:bottom w:val="none" w:sz="0" w:space="0" w:color="auto"/>
                <w:right w:val="none" w:sz="0" w:space="0" w:color="auto"/>
              </w:divBdr>
            </w:div>
          </w:divsChild>
        </w:div>
        <w:div w:id="1059592188">
          <w:marLeft w:val="0"/>
          <w:marRight w:val="0"/>
          <w:marTop w:val="0"/>
          <w:marBottom w:val="0"/>
          <w:divBdr>
            <w:top w:val="none" w:sz="0" w:space="0" w:color="auto"/>
            <w:left w:val="none" w:sz="0" w:space="0" w:color="auto"/>
            <w:bottom w:val="none" w:sz="0" w:space="0" w:color="auto"/>
            <w:right w:val="none" w:sz="0" w:space="0" w:color="auto"/>
          </w:divBdr>
          <w:divsChild>
            <w:div w:id="1738045323">
              <w:marLeft w:val="0"/>
              <w:marRight w:val="0"/>
              <w:marTop w:val="0"/>
              <w:marBottom w:val="0"/>
              <w:divBdr>
                <w:top w:val="none" w:sz="0" w:space="0" w:color="auto"/>
                <w:left w:val="none" w:sz="0" w:space="0" w:color="auto"/>
                <w:bottom w:val="none" w:sz="0" w:space="0" w:color="auto"/>
                <w:right w:val="none" w:sz="0" w:space="0" w:color="auto"/>
              </w:divBdr>
            </w:div>
          </w:divsChild>
        </w:div>
        <w:div w:id="1110397373">
          <w:marLeft w:val="0"/>
          <w:marRight w:val="0"/>
          <w:marTop w:val="0"/>
          <w:marBottom w:val="0"/>
          <w:divBdr>
            <w:top w:val="none" w:sz="0" w:space="0" w:color="auto"/>
            <w:left w:val="none" w:sz="0" w:space="0" w:color="auto"/>
            <w:bottom w:val="none" w:sz="0" w:space="0" w:color="auto"/>
            <w:right w:val="none" w:sz="0" w:space="0" w:color="auto"/>
          </w:divBdr>
          <w:divsChild>
            <w:div w:id="1392844770">
              <w:marLeft w:val="0"/>
              <w:marRight w:val="0"/>
              <w:marTop w:val="0"/>
              <w:marBottom w:val="0"/>
              <w:divBdr>
                <w:top w:val="none" w:sz="0" w:space="0" w:color="auto"/>
                <w:left w:val="none" w:sz="0" w:space="0" w:color="auto"/>
                <w:bottom w:val="none" w:sz="0" w:space="0" w:color="auto"/>
                <w:right w:val="none" w:sz="0" w:space="0" w:color="auto"/>
              </w:divBdr>
            </w:div>
          </w:divsChild>
        </w:div>
        <w:div w:id="1180852918">
          <w:marLeft w:val="0"/>
          <w:marRight w:val="0"/>
          <w:marTop w:val="0"/>
          <w:marBottom w:val="0"/>
          <w:divBdr>
            <w:top w:val="none" w:sz="0" w:space="0" w:color="auto"/>
            <w:left w:val="none" w:sz="0" w:space="0" w:color="auto"/>
            <w:bottom w:val="none" w:sz="0" w:space="0" w:color="auto"/>
            <w:right w:val="none" w:sz="0" w:space="0" w:color="auto"/>
          </w:divBdr>
          <w:divsChild>
            <w:div w:id="321784611">
              <w:marLeft w:val="0"/>
              <w:marRight w:val="0"/>
              <w:marTop w:val="0"/>
              <w:marBottom w:val="0"/>
              <w:divBdr>
                <w:top w:val="none" w:sz="0" w:space="0" w:color="auto"/>
                <w:left w:val="none" w:sz="0" w:space="0" w:color="auto"/>
                <w:bottom w:val="none" w:sz="0" w:space="0" w:color="auto"/>
                <w:right w:val="none" w:sz="0" w:space="0" w:color="auto"/>
              </w:divBdr>
            </w:div>
            <w:div w:id="618339859">
              <w:marLeft w:val="0"/>
              <w:marRight w:val="0"/>
              <w:marTop w:val="0"/>
              <w:marBottom w:val="0"/>
              <w:divBdr>
                <w:top w:val="none" w:sz="0" w:space="0" w:color="auto"/>
                <w:left w:val="none" w:sz="0" w:space="0" w:color="auto"/>
                <w:bottom w:val="none" w:sz="0" w:space="0" w:color="auto"/>
                <w:right w:val="none" w:sz="0" w:space="0" w:color="auto"/>
              </w:divBdr>
            </w:div>
          </w:divsChild>
        </w:div>
        <w:div w:id="1261140459">
          <w:marLeft w:val="0"/>
          <w:marRight w:val="0"/>
          <w:marTop w:val="0"/>
          <w:marBottom w:val="0"/>
          <w:divBdr>
            <w:top w:val="none" w:sz="0" w:space="0" w:color="auto"/>
            <w:left w:val="none" w:sz="0" w:space="0" w:color="auto"/>
            <w:bottom w:val="none" w:sz="0" w:space="0" w:color="auto"/>
            <w:right w:val="none" w:sz="0" w:space="0" w:color="auto"/>
          </w:divBdr>
          <w:divsChild>
            <w:div w:id="1507670766">
              <w:marLeft w:val="0"/>
              <w:marRight w:val="0"/>
              <w:marTop w:val="0"/>
              <w:marBottom w:val="0"/>
              <w:divBdr>
                <w:top w:val="none" w:sz="0" w:space="0" w:color="auto"/>
                <w:left w:val="none" w:sz="0" w:space="0" w:color="auto"/>
                <w:bottom w:val="none" w:sz="0" w:space="0" w:color="auto"/>
                <w:right w:val="none" w:sz="0" w:space="0" w:color="auto"/>
              </w:divBdr>
            </w:div>
          </w:divsChild>
        </w:div>
        <w:div w:id="1274247119">
          <w:marLeft w:val="0"/>
          <w:marRight w:val="0"/>
          <w:marTop w:val="0"/>
          <w:marBottom w:val="0"/>
          <w:divBdr>
            <w:top w:val="none" w:sz="0" w:space="0" w:color="auto"/>
            <w:left w:val="none" w:sz="0" w:space="0" w:color="auto"/>
            <w:bottom w:val="none" w:sz="0" w:space="0" w:color="auto"/>
            <w:right w:val="none" w:sz="0" w:space="0" w:color="auto"/>
          </w:divBdr>
          <w:divsChild>
            <w:div w:id="201477304">
              <w:marLeft w:val="0"/>
              <w:marRight w:val="0"/>
              <w:marTop w:val="0"/>
              <w:marBottom w:val="0"/>
              <w:divBdr>
                <w:top w:val="none" w:sz="0" w:space="0" w:color="auto"/>
                <w:left w:val="none" w:sz="0" w:space="0" w:color="auto"/>
                <w:bottom w:val="none" w:sz="0" w:space="0" w:color="auto"/>
                <w:right w:val="none" w:sz="0" w:space="0" w:color="auto"/>
              </w:divBdr>
            </w:div>
          </w:divsChild>
        </w:div>
        <w:div w:id="1368330732">
          <w:marLeft w:val="0"/>
          <w:marRight w:val="0"/>
          <w:marTop w:val="0"/>
          <w:marBottom w:val="0"/>
          <w:divBdr>
            <w:top w:val="none" w:sz="0" w:space="0" w:color="auto"/>
            <w:left w:val="none" w:sz="0" w:space="0" w:color="auto"/>
            <w:bottom w:val="none" w:sz="0" w:space="0" w:color="auto"/>
            <w:right w:val="none" w:sz="0" w:space="0" w:color="auto"/>
          </w:divBdr>
          <w:divsChild>
            <w:div w:id="195047284">
              <w:marLeft w:val="0"/>
              <w:marRight w:val="0"/>
              <w:marTop w:val="0"/>
              <w:marBottom w:val="0"/>
              <w:divBdr>
                <w:top w:val="none" w:sz="0" w:space="0" w:color="auto"/>
                <w:left w:val="none" w:sz="0" w:space="0" w:color="auto"/>
                <w:bottom w:val="none" w:sz="0" w:space="0" w:color="auto"/>
                <w:right w:val="none" w:sz="0" w:space="0" w:color="auto"/>
              </w:divBdr>
            </w:div>
            <w:div w:id="1677154507">
              <w:marLeft w:val="0"/>
              <w:marRight w:val="0"/>
              <w:marTop w:val="0"/>
              <w:marBottom w:val="0"/>
              <w:divBdr>
                <w:top w:val="none" w:sz="0" w:space="0" w:color="auto"/>
                <w:left w:val="none" w:sz="0" w:space="0" w:color="auto"/>
                <w:bottom w:val="none" w:sz="0" w:space="0" w:color="auto"/>
                <w:right w:val="none" w:sz="0" w:space="0" w:color="auto"/>
              </w:divBdr>
            </w:div>
            <w:div w:id="1719816840">
              <w:marLeft w:val="0"/>
              <w:marRight w:val="0"/>
              <w:marTop w:val="0"/>
              <w:marBottom w:val="0"/>
              <w:divBdr>
                <w:top w:val="none" w:sz="0" w:space="0" w:color="auto"/>
                <w:left w:val="none" w:sz="0" w:space="0" w:color="auto"/>
                <w:bottom w:val="none" w:sz="0" w:space="0" w:color="auto"/>
                <w:right w:val="none" w:sz="0" w:space="0" w:color="auto"/>
              </w:divBdr>
            </w:div>
            <w:div w:id="2076051316">
              <w:marLeft w:val="0"/>
              <w:marRight w:val="0"/>
              <w:marTop w:val="0"/>
              <w:marBottom w:val="0"/>
              <w:divBdr>
                <w:top w:val="none" w:sz="0" w:space="0" w:color="auto"/>
                <w:left w:val="none" w:sz="0" w:space="0" w:color="auto"/>
                <w:bottom w:val="none" w:sz="0" w:space="0" w:color="auto"/>
                <w:right w:val="none" w:sz="0" w:space="0" w:color="auto"/>
              </w:divBdr>
            </w:div>
          </w:divsChild>
        </w:div>
        <w:div w:id="1396971162">
          <w:marLeft w:val="0"/>
          <w:marRight w:val="0"/>
          <w:marTop w:val="0"/>
          <w:marBottom w:val="0"/>
          <w:divBdr>
            <w:top w:val="none" w:sz="0" w:space="0" w:color="auto"/>
            <w:left w:val="none" w:sz="0" w:space="0" w:color="auto"/>
            <w:bottom w:val="none" w:sz="0" w:space="0" w:color="auto"/>
            <w:right w:val="none" w:sz="0" w:space="0" w:color="auto"/>
          </w:divBdr>
          <w:divsChild>
            <w:div w:id="626353858">
              <w:marLeft w:val="0"/>
              <w:marRight w:val="0"/>
              <w:marTop w:val="0"/>
              <w:marBottom w:val="0"/>
              <w:divBdr>
                <w:top w:val="none" w:sz="0" w:space="0" w:color="auto"/>
                <w:left w:val="none" w:sz="0" w:space="0" w:color="auto"/>
                <w:bottom w:val="none" w:sz="0" w:space="0" w:color="auto"/>
                <w:right w:val="none" w:sz="0" w:space="0" w:color="auto"/>
              </w:divBdr>
            </w:div>
          </w:divsChild>
        </w:div>
        <w:div w:id="1502085835">
          <w:marLeft w:val="0"/>
          <w:marRight w:val="0"/>
          <w:marTop w:val="0"/>
          <w:marBottom w:val="0"/>
          <w:divBdr>
            <w:top w:val="none" w:sz="0" w:space="0" w:color="auto"/>
            <w:left w:val="none" w:sz="0" w:space="0" w:color="auto"/>
            <w:bottom w:val="none" w:sz="0" w:space="0" w:color="auto"/>
            <w:right w:val="none" w:sz="0" w:space="0" w:color="auto"/>
          </w:divBdr>
          <w:divsChild>
            <w:div w:id="454564678">
              <w:marLeft w:val="0"/>
              <w:marRight w:val="0"/>
              <w:marTop w:val="0"/>
              <w:marBottom w:val="0"/>
              <w:divBdr>
                <w:top w:val="none" w:sz="0" w:space="0" w:color="auto"/>
                <w:left w:val="none" w:sz="0" w:space="0" w:color="auto"/>
                <w:bottom w:val="none" w:sz="0" w:space="0" w:color="auto"/>
                <w:right w:val="none" w:sz="0" w:space="0" w:color="auto"/>
              </w:divBdr>
            </w:div>
            <w:div w:id="1735619708">
              <w:marLeft w:val="0"/>
              <w:marRight w:val="0"/>
              <w:marTop w:val="0"/>
              <w:marBottom w:val="0"/>
              <w:divBdr>
                <w:top w:val="none" w:sz="0" w:space="0" w:color="auto"/>
                <w:left w:val="none" w:sz="0" w:space="0" w:color="auto"/>
                <w:bottom w:val="none" w:sz="0" w:space="0" w:color="auto"/>
                <w:right w:val="none" w:sz="0" w:space="0" w:color="auto"/>
              </w:divBdr>
            </w:div>
          </w:divsChild>
        </w:div>
        <w:div w:id="1512187471">
          <w:marLeft w:val="0"/>
          <w:marRight w:val="0"/>
          <w:marTop w:val="0"/>
          <w:marBottom w:val="0"/>
          <w:divBdr>
            <w:top w:val="none" w:sz="0" w:space="0" w:color="auto"/>
            <w:left w:val="none" w:sz="0" w:space="0" w:color="auto"/>
            <w:bottom w:val="none" w:sz="0" w:space="0" w:color="auto"/>
            <w:right w:val="none" w:sz="0" w:space="0" w:color="auto"/>
          </w:divBdr>
          <w:divsChild>
            <w:div w:id="442959918">
              <w:marLeft w:val="0"/>
              <w:marRight w:val="0"/>
              <w:marTop w:val="0"/>
              <w:marBottom w:val="0"/>
              <w:divBdr>
                <w:top w:val="none" w:sz="0" w:space="0" w:color="auto"/>
                <w:left w:val="none" w:sz="0" w:space="0" w:color="auto"/>
                <w:bottom w:val="none" w:sz="0" w:space="0" w:color="auto"/>
                <w:right w:val="none" w:sz="0" w:space="0" w:color="auto"/>
              </w:divBdr>
            </w:div>
          </w:divsChild>
        </w:div>
        <w:div w:id="1613825314">
          <w:marLeft w:val="0"/>
          <w:marRight w:val="0"/>
          <w:marTop w:val="0"/>
          <w:marBottom w:val="0"/>
          <w:divBdr>
            <w:top w:val="none" w:sz="0" w:space="0" w:color="auto"/>
            <w:left w:val="none" w:sz="0" w:space="0" w:color="auto"/>
            <w:bottom w:val="none" w:sz="0" w:space="0" w:color="auto"/>
            <w:right w:val="none" w:sz="0" w:space="0" w:color="auto"/>
          </w:divBdr>
          <w:divsChild>
            <w:div w:id="1858618842">
              <w:marLeft w:val="0"/>
              <w:marRight w:val="0"/>
              <w:marTop w:val="0"/>
              <w:marBottom w:val="0"/>
              <w:divBdr>
                <w:top w:val="none" w:sz="0" w:space="0" w:color="auto"/>
                <w:left w:val="none" w:sz="0" w:space="0" w:color="auto"/>
                <w:bottom w:val="none" w:sz="0" w:space="0" w:color="auto"/>
                <w:right w:val="none" w:sz="0" w:space="0" w:color="auto"/>
              </w:divBdr>
            </w:div>
          </w:divsChild>
        </w:div>
        <w:div w:id="1690833068">
          <w:marLeft w:val="0"/>
          <w:marRight w:val="0"/>
          <w:marTop w:val="0"/>
          <w:marBottom w:val="0"/>
          <w:divBdr>
            <w:top w:val="none" w:sz="0" w:space="0" w:color="auto"/>
            <w:left w:val="none" w:sz="0" w:space="0" w:color="auto"/>
            <w:bottom w:val="none" w:sz="0" w:space="0" w:color="auto"/>
            <w:right w:val="none" w:sz="0" w:space="0" w:color="auto"/>
          </w:divBdr>
          <w:divsChild>
            <w:div w:id="729310064">
              <w:marLeft w:val="0"/>
              <w:marRight w:val="0"/>
              <w:marTop w:val="0"/>
              <w:marBottom w:val="0"/>
              <w:divBdr>
                <w:top w:val="none" w:sz="0" w:space="0" w:color="auto"/>
                <w:left w:val="none" w:sz="0" w:space="0" w:color="auto"/>
                <w:bottom w:val="none" w:sz="0" w:space="0" w:color="auto"/>
                <w:right w:val="none" w:sz="0" w:space="0" w:color="auto"/>
              </w:divBdr>
            </w:div>
          </w:divsChild>
        </w:div>
        <w:div w:id="1700081071">
          <w:marLeft w:val="0"/>
          <w:marRight w:val="0"/>
          <w:marTop w:val="0"/>
          <w:marBottom w:val="0"/>
          <w:divBdr>
            <w:top w:val="none" w:sz="0" w:space="0" w:color="auto"/>
            <w:left w:val="none" w:sz="0" w:space="0" w:color="auto"/>
            <w:bottom w:val="none" w:sz="0" w:space="0" w:color="auto"/>
            <w:right w:val="none" w:sz="0" w:space="0" w:color="auto"/>
          </w:divBdr>
          <w:divsChild>
            <w:div w:id="1252666797">
              <w:marLeft w:val="0"/>
              <w:marRight w:val="0"/>
              <w:marTop w:val="0"/>
              <w:marBottom w:val="0"/>
              <w:divBdr>
                <w:top w:val="none" w:sz="0" w:space="0" w:color="auto"/>
                <w:left w:val="none" w:sz="0" w:space="0" w:color="auto"/>
                <w:bottom w:val="none" w:sz="0" w:space="0" w:color="auto"/>
                <w:right w:val="none" w:sz="0" w:space="0" w:color="auto"/>
              </w:divBdr>
            </w:div>
          </w:divsChild>
        </w:div>
        <w:div w:id="1715813588">
          <w:marLeft w:val="0"/>
          <w:marRight w:val="0"/>
          <w:marTop w:val="0"/>
          <w:marBottom w:val="0"/>
          <w:divBdr>
            <w:top w:val="none" w:sz="0" w:space="0" w:color="auto"/>
            <w:left w:val="none" w:sz="0" w:space="0" w:color="auto"/>
            <w:bottom w:val="none" w:sz="0" w:space="0" w:color="auto"/>
            <w:right w:val="none" w:sz="0" w:space="0" w:color="auto"/>
          </w:divBdr>
          <w:divsChild>
            <w:div w:id="1095131799">
              <w:marLeft w:val="0"/>
              <w:marRight w:val="0"/>
              <w:marTop w:val="0"/>
              <w:marBottom w:val="0"/>
              <w:divBdr>
                <w:top w:val="none" w:sz="0" w:space="0" w:color="auto"/>
                <w:left w:val="none" w:sz="0" w:space="0" w:color="auto"/>
                <w:bottom w:val="none" w:sz="0" w:space="0" w:color="auto"/>
                <w:right w:val="none" w:sz="0" w:space="0" w:color="auto"/>
              </w:divBdr>
            </w:div>
          </w:divsChild>
        </w:div>
        <w:div w:id="1727099045">
          <w:marLeft w:val="0"/>
          <w:marRight w:val="0"/>
          <w:marTop w:val="0"/>
          <w:marBottom w:val="0"/>
          <w:divBdr>
            <w:top w:val="none" w:sz="0" w:space="0" w:color="auto"/>
            <w:left w:val="none" w:sz="0" w:space="0" w:color="auto"/>
            <w:bottom w:val="none" w:sz="0" w:space="0" w:color="auto"/>
            <w:right w:val="none" w:sz="0" w:space="0" w:color="auto"/>
          </w:divBdr>
          <w:divsChild>
            <w:div w:id="371805509">
              <w:marLeft w:val="0"/>
              <w:marRight w:val="0"/>
              <w:marTop w:val="0"/>
              <w:marBottom w:val="0"/>
              <w:divBdr>
                <w:top w:val="none" w:sz="0" w:space="0" w:color="auto"/>
                <w:left w:val="none" w:sz="0" w:space="0" w:color="auto"/>
                <w:bottom w:val="none" w:sz="0" w:space="0" w:color="auto"/>
                <w:right w:val="none" w:sz="0" w:space="0" w:color="auto"/>
              </w:divBdr>
            </w:div>
          </w:divsChild>
        </w:div>
        <w:div w:id="1760326898">
          <w:marLeft w:val="0"/>
          <w:marRight w:val="0"/>
          <w:marTop w:val="0"/>
          <w:marBottom w:val="0"/>
          <w:divBdr>
            <w:top w:val="none" w:sz="0" w:space="0" w:color="auto"/>
            <w:left w:val="none" w:sz="0" w:space="0" w:color="auto"/>
            <w:bottom w:val="none" w:sz="0" w:space="0" w:color="auto"/>
            <w:right w:val="none" w:sz="0" w:space="0" w:color="auto"/>
          </w:divBdr>
          <w:divsChild>
            <w:div w:id="788814677">
              <w:marLeft w:val="0"/>
              <w:marRight w:val="0"/>
              <w:marTop w:val="0"/>
              <w:marBottom w:val="0"/>
              <w:divBdr>
                <w:top w:val="none" w:sz="0" w:space="0" w:color="auto"/>
                <w:left w:val="none" w:sz="0" w:space="0" w:color="auto"/>
                <w:bottom w:val="none" w:sz="0" w:space="0" w:color="auto"/>
                <w:right w:val="none" w:sz="0" w:space="0" w:color="auto"/>
              </w:divBdr>
            </w:div>
            <w:div w:id="1921988741">
              <w:marLeft w:val="0"/>
              <w:marRight w:val="0"/>
              <w:marTop w:val="0"/>
              <w:marBottom w:val="0"/>
              <w:divBdr>
                <w:top w:val="none" w:sz="0" w:space="0" w:color="auto"/>
                <w:left w:val="none" w:sz="0" w:space="0" w:color="auto"/>
                <w:bottom w:val="none" w:sz="0" w:space="0" w:color="auto"/>
                <w:right w:val="none" w:sz="0" w:space="0" w:color="auto"/>
              </w:divBdr>
            </w:div>
          </w:divsChild>
        </w:div>
        <w:div w:id="1855728902">
          <w:marLeft w:val="0"/>
          <w:marRight w:val="0"/>
          <w:marTop w:val="0"/>
          <w:marBottom w:val="0"/>
          <w:divBdr>
            <w:top w:val="none" w:sz="0" w:space="0" w:color="auto"/>
            <w:left w:val="none" w:sz="0" w:space="0" w:color="auto"/>
            <w:bottom w:val="none" w:sz="0" w:space="0" w:color="auto"/>
            <w:right w:val="none" w:sz="0" w:space="0" w:color="auto"/>
          </w:divBdr>
          <w:divsChild>
            <w:div w:id="243613450">
              <w:marLeft w:val="0"/>
              <w:marRight w:val="0"/>
              <w:marTop w:val="0"/>
              <w:marBottom w:val="0"/>
              <w:divBdr>
                <w:top w:val="none" w:sz="0" w:space="0" w:color="auto"/>
                <w:left w:val="none" w:sz="0" w:space="0" w:color="auto"/>
                <w:bottom w:val="none" w:sz="0" w:space="0" w:color="auto"/>
                <w:right w:val="none" w:sz="0" w:space="0" w:color="auto"/>
              </w:divBdr>
            </w:div>
          </w:divsChild>
        </w:div>
        <w:div w:id="1855798360">
          <w:marLeft w:val="0"/>
          <w:marRight w:val="0"/>
          <w:marTop w:val="0"/>
          <w:marBottom w:val="0"/>
          <w:divBdr>
            <w:top w:val="none" w:sz="0" w:space="0" w:color="auto"/>
            <w:left w:val="none" w:sz="0" w:space="0" w:color="auto"/>
            <w:bottom w:val="none" w:sz="0" w:space="0" w:color="auto"/>
            <w:right w:val="none" w:sz="0" w:space="0" w:color="auto"/>
          </w:divBdr>
          <w:divsChild>
            <w:div w:id="283461713">
              <w:marLeft w:val="0"/>
              <w:marRight w:val="0"/>
              <w:marTop w:val="0"/>
              <w:marBottom w:val="0"/>
              <w:divBdr>
                <w:top w:val="none" w:sz="0" w:space="0" w:color="auto"/>
                <w:left w:val="none" w:sz="0" w:space="0" w:color="auto"/>
                <w:bottom w:val="none" w:sz="0" w:space="0" w:color="auto"/>
                <w:right w:val="none" w:sz="0" w:space="0" w:color="auto"/>
              </w:divBdr>
            </w:div>
          </w:divsChild>
        </w:div>
        <w:div w:id="1888949472">
          <w:marLeft w:val="0"/>
          <w:marRight w:val="0"/>
          <w:marTop w:val="0"/>
          <w:marBottom w:val="0"/>
          <w:divBdr>
            <w:top w:val="none" w:sz="0" w:space="0" w:color="auto"/>
            <w:left w:val="none" w:sz="0" w:space="0" w:color="auto"/>
            <w:bottom w:val="none" w:sz="0" w:space="0" w:color="auto"/>
            <w:right w:val="none" w:sz="0" w:space="0" w:color="auto"/>
          </w:divBdr>
          <w:divsChild>
            <w:div w:id="582639499">
              <w:marLeft w:val="0"/>
              <w:marRight w:val="0"/>
              <w:marTop w:val="0"/>
              <w:marBottom w:val="0"/>
              <w:divBdr>
                <w:top w:val="none" w:sz="0" w:space="0" w:color="auto"/>
                <w:left w:val="none" w:sz="0" w:space="0" w:color="auto"/>
                <w:bottom w:val="none" w:sz="0" w:space="0" w:color="auto"/>
                <w:right w:val="none" w:sz="0" w:space="0" w:color="auto"/>
              </w:divBdr>
            </w:div>
          </w:divsChild>
        </w:div>
        <w:div w:id="1893344073">
          <w:marLeft w:val="0"/>
          <w:marRight w:val="0"/>
          <w:marTop w:val="0"/>
          <w:marBottom w:val="0"/>
          <w:divBdr>
            <w:top w:val="none" w:sz="0" w:space="0" w:color="auto"/>
            <w:left w:val="none" w:sz="0" w:space="0" w:color="auto"/>
            <w:bottom w:val="none" w:sz="0" w:space="0" w:color="auto"/>
            <w:right w:val="none" w:sz="0" w:space="0" w:color="auto"/>
          </w:divBdr>
          <w:divsChild>
            <w:div w:id="956791239">
              <w:marLeft w:val="0"/>
              <w:marRight w:val="0"/>
              <w:marTop w:val="0"/>
              <w:marBottom w:val="0"/>
              <w:divBdr>
                <w:top w:val="none" w:sz="0" w:space="0" w:color="auto"/>
                <w:left w:val="none" w:sz="0" w:space="0" w:color="auto"/>
                <w:bottom w:val="none" w:sz="0" w:space="0" w:color="auto"/>
                <w:right w:val="none" w:sz="0" w:space="0" w:color="auto"/>
              </w:divBdr>
            </w:div>
          </w:divsChild>
        </w:div>
        <w:div w:id="1911192907">
          <w:marLeft w:val="0"/>
          <w:marRight w:val="0"/>
          <w:marTop w:val="0"/>
          <w:marBottom w:val="0"/>
          <w:divBdr>
            <w:top w:val="none" w:sz="0" w:space="0" w:color="auto"/>
            <w:left w:val="none" w:sz="0" w:space="0" w:color="auto"/>
            <w:bottom w:val="none" w:sz="0" w:space="0" w:color="auto"/>
            <w:right w:val="none" w:sz="0" w:space="0" w:color="auto"/>
          </w:divBdr>
          <w:divsChild>
            <w:div w:id="250552081">
              <w:marLeft w:val="0"/>
              <w:marRight w:val="0"/>
              <w:marTop w:val="0"/>
              <w:marBottom w:val="0"/>
              <w:divBdr>
                <w:top w:val="none" w:sz="0" w:space="0" w:color="auto"/>
                <w:left w:val="none" w:sz="0" w:space="0" w:color="auto"/>
                <w:bottom w:val="none" w:sz="0" w:space="0" w:color="auto"/>
                <w:right w:val="none" w:sz="0" w:space="0" w:color="auto"/>
              </w:divBdr>
            </w:div>
          </w:divsChild>
        </w:div>
        <w:div w:id="1961758328">
          <w:marLeft w:val="0"/>
          <w:marRight w:val="0"/>
          <w:marTop w:val="0"/>
          <w:marBottom w:val="0"/>
          <w:divBdr>
            <w:top w:val="none" w:sz="0" w:space="0" w:color="auto"/>
            <w:left w:val="none" w:sz="0" w:space="0" w:color="auto"/>
            <w:bottom w:val="none" w:sz="0" w:space="0" w:color="auto"/>
            <w:right w:val="none" w:sz="0" w:space="0" w:color="auto"/>
          </w:divBdr>
          <w:divsChild>
            <w:div w:id="135338142">
              <w:marLeft w:val="0"/>
              <w:marRight w:val="0"/>
              <w:marTop w:val="0"/>
              <w:marBottom w:val="0"/>
              <w:divBdr>
                <w:top w:val="none" w:sz="0" w:space="0" w:color="auto"/>
                <w:left w:val="none" w:sz="0" w:space="0" w:color="auto"/>
                <w:bottom w:val="none" w:sz="0" w:space="0" w:color="auto"/>
                <w:right w:val="none" w:sz="0" w:space="0" w:color="auto"/>
              </w:divBdr>
            </w:div>
            <w:div w:id="736241794">
              <w:marLeft w:val="0"/>
              <w:marRight w:val="0"/>
              <w:marTop w:val="0"/>
              <w:marBottom w:val="0"/>
              <w:divBdr>
                <w:top w:val="none" w:sz="0" w:space="0" w:color="auto"/>
                <w:left w:val="none" w:sz="0" w:space="0" w:color="auto"/>
                <w:bottom w:val="none" w:sz="0" w:space="0" w:color="auto"/>
                <w:right w:val="none" w:sz="0" w:space="0" w:color="auto"/>
              </w:divBdr>
            </w:div>
          </w:divsChild>
        </w:div>
        <w:div w:id="1964966497">
          <w:marLeft w:val="0"/>
          <w:marRight w:val="0"/>
          <w:marTop w:val="0"/>
          <w:marBottom w:val="0"/>
          <w:divBdr>
            <w:top w:val="none" w:sz="0" w:space="0" w:color="auto"/>
            <w:left w:val="none" w:sz="0" w:space="0" w:color="auto"/>
            <w:bottom w:val="none" w:sz="0" w:space="0" w:color="auto"/>
            <w:right w:val="none" w:sz="0" w:space="0" w:color="auto"/>
          </w:divBdr>
          <w:divsChild>
            <w:div w:id="1945459424">
              <w:marLeft w:val="0"/>
              <w:marRight w:val="0"/>
              <w:marTop w:val="0"/>
              <w:marBottom w:val="0"/>
              <w:divBdr>
                <w:top w:val="none" w:sz="0" w:space="0" w:color="auto"/>
                <w:left w:val="none" w:sz="0" w:space="0" w:color="auto"/>
                <w:bottom w:val="none" w:sz="0" w:space="0" w:color="auto"/>
                <w:right w:val="none" w:sz="0" w:space="0" w:color="auto"/>
              </w:divBdr>
            </w:div>
          </w:divsChild>
        </w:div>
        <w:div w:id="2054765491">
          <w:marLeft w:val="0"/>
          <w:marRight w:val="0"/>
          <w:marTop w:val="0"/>
          <w:marBottom w:val="0"/>
          <w:divBdr>
            <w:top w:val="none" w:sz="0" w:space="0" w:color="auto"/>
            <w:left w:val="none" w:sz="0" w:space="0" w:color="auto"/>
            <w:bottom w:val="none" w:sz="0" w:space="0" w:color="auto"/>
            <w:right w:val="none" w:sz="0" w:space="0" w:color="auto"/>
          </w:divBdr>
          <w:divsChild>
            <w:div w:id="75709868">
              <w:marLeft w:val="0"/>
              <w:marRight w:val="0"/>
              <w:marTop w:val="0"/>
              <w:marBottom w:val="0"/>
              <w:divBdr>
                <w:top w:val="none" w:sz="0" w:space="0" w:color="auto"/>
                <w:left w:val="none" w:sz="0" w:space="0" w:color="auto"/>
                <w:bottom w:val="none" w:sz="0" w:space="0" w:color="auto"/>
                <w:right w:val="none" w:sz="0" w:space="0" w:color="auto"/>
              </w:divBdr>
            </w:div>
          </w:divsChild>
        </w:div>
        <w:div w:id="2082756028">
          <w:marLeft w:val="0"/>
          <w:marRight w:val="0"/>
          <w:marTop w:val="0"/>
          <w:marBottom w:val="0"/>
          <w:divBdr>
            <w:top w:val="none" w:sz="0" w:space="0" w:color="auto"/>
            <w:left w:val="none" w:sz="0" w:space="0" w:color="auto"/>
            <w:bottom w:val="none" w:sz="0" w:space="0" w:color="auto"/>
            <w:right w:val="none" w:sz="0" w:space="0" w:color="auto"/>
          </w:divBdr>
          <w:divsChild>
            <w:div w:id="1296254060">
              <w:marLeft w:val="0"/>
              <w:marRight w:val="0"/>
              <w:marTop w:val="0"/>
              <w:marBottom w:val="0"/>
              <w:divBdr>
                <w:top w:val="none" w:sz="0" w:space="0" w:color="auto"/>
                <w:left w:val="none" w:sz="0" w:space="0" w:color="auto"/>
                <w:bottom w:val="none" w:sz="0" w:space="0" w:color="auto"/>
                <w:right w:val="none" w:sz="0" w:space="0" w:color="auto"/>
              </w:divBdr>
            </w:div>
          </w:divsChild>
        </w:div>
        <w:div w:id="2086805960">
          <w:marLeft w:val="0"/>
          <w:marRight w:val="0"/>
          <w:marTop w:val="0"/>
          <w:marBottom w:val="0"/>
          <w:divBdr>
            <w:top w:val="none" w:sz="0" w:space="0" w:color="auto"/>
            <w:left w:val="none" w:sz="0" w:space="0" w:color="auto"/>
            <w:bottom w:val="none" w:sz="0" w:space="0" w:color="auto"/>
            <w:right w:val="none" w:sz="0" w:space="0" w:color="auto"/>
          </w:divBdr>
          <w:divsChild>
            <w:div w:id="547382432">
              <w:marLeft w:val="0"/>
              <w:marRight w:val="0"/>
              <w:marTop w:val="0"/>
              <w:marBottom w:val="0"/>
              <w:divBdr>
                <w:top w:val="none" w:sz="0" w:space="0" w:color="auto"/>
                <w:left w:val="none" w:sz="0" w:space="0" w:color="auto"/>
                <w:bottom w:val="none" w:sz="0" w:space="0" w:color="auto"/>
                <w:right w:val="none" w:sz="0" w:space="0" w:color="auto"/>
              </w:divBdr>
            </w:div>
          </w:divsChild>
        </w:div>
        <w:div w:id="2141070574">
          <w:marLeft w:val="0"/>
          <w:marRight w:val="0"/>
          <w:marTop w:val="0"/>
          <w:marBottom w:val="0"/>
          <w:divBdr>
            <w:top w:val="none" w:sz="0" w:space="0" w:color="auto"/>
            <w:left w:val="none" w:sz="0" w:space="0" w:color="auto"/>
            <w:bottom w:val="none" w:sz="0" w:space="0" w:color="auto"/>
            <w:right w:val="none" w:sz="0" w:space="0" w:color="auto"/>
          </w:divBdr>
          <w:divsChild>
            <w:div w:id="21148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281857">
      <w:bodyDiv w:val="1"/>
      <w:marLeft w:val="0"/>
      <w:marRight w:val="0"/>
      <w:marTop w:val="0"/>
      <w:marBottom w:val="0"/>
      <w:divBdr>
        <w:top w:val="none" w:sz="0" w:space="0" w:color="auto"/>
        <w:left w:val="none" w:sz="0" w:space="0" w:color="auto"/>
        <w:bottom w:val="none" w:sz="0" w:space="0" w:color="auto"/>
        <w:right w:val="none" w:sz="0" w:space="0" w:color="auto"/>
      </w:divBdr>
    </w:div>
    <w:div w:id="344601433">
      <w:bodyDiv w:val="1"/>
      <w:marLeft w:val="0"/>
      <w:marRight w:val="0"/>
      <w:marTop w:val="0"/>
      <w:marBottom w:val="0"/>
      <w:divBdr>
        <w:top w:val="none" w:sz="0" w:space="0" w:color="auto"/>
        <w:left w:val="none" w:sz="0" w:space="0" w:color="auto"/>
        <w:bottom w:val="none" w:sz="0" w:space="0" w:color="auto"/>
        <w:right w:val="none" w:sz="0" w:space="0" w:color="auto"/>
      </w:divBdr>
    </w:div>
    <w:div w:id="420415378">
      <w:bodyDiv w:val="1"/>
      <w:marLeft w:val="0"/>
      <w:marRight w:val="0"/>
      <w:marTop w:val="0"/>
      <w:marBottom w:val="0"/>
      <w:divBdr>
        <w:top w:val="none" w:sz="0" w:space="0" w:color="auto"/>
        <w:left w:val="none" w:sz="0" w:space="0" w:color="auto"/>
        <w:bottom w:val="none" w:sz="0" w:space="0" w:color="auto"/>
        <w:right w:val="none" w:sz="0" w:space="0" w:color="auto"/>
      </w:divBdr>
    </w:div>
    <w:div w:id="553273334">
      <w:bodyDiv w:val="1"/>
      <w:marLeft w:val="0"/>
      <w:marRight w:val="0"/>
      <w:marTop w:val="0"/>
      <w:marBottom w:val="0"/>
      <w:divBdr>
        <w:top w:val="none" w:sz="0" w:space="0" w:color="auto"/>
        <w:left w:val="none" w:sz="0" w:space="0" w:color="auto"/>
        <w:bottom w:val="none" w:sz="0" w:space="0" w:color="auto"/>
        <w:right w:val="none" w:sz="0" w:space="0" w:color="auto"/>
      </w:divBdr>
      <w:divsChild>
        <w:div w:id="1577282695">
          <w:marLeft w:val="274"/>
          <w:marRight w:val="0"/>
          <w:marTop w:val="0"/>
          <w:marBottom w:val="0"/>
          <w:divBdr>
            <w:top w:val="none" w:sz="0" w:space="0" w:color="auto"/>
            <w:left w:val="none" w:sz="0" w:space="0" w:color="auto"/>
            <w:bottom w:val="none" w:sz="0" w:space="0" w:color="auto"/>
            <w:right w:val="none" w:sz="0" w:space="0" w:color="auto"/>
          </w:divBdr>
        </w:div>
      </w:divsChild>
    </w:div>
    <w:div w:id="5804057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sChild>
        <w:div w:id="1256984417">
          <w:marLeft w:val="0"/>
          <w:marRight w:val="0"/>
          <w:marTop w:val="0"/>
          <w:marBottom w:val="0"/>
          <w:divBdr>
            <w:top w:val="none" w:sz="0" w:space="0" w:color="auto"/>
            <w:left w:val="none" w:sz="0" w:space="0" w:color="auto"/>
            <w:bottom w:val="none" w:sz="0" w:space="0" w:color="auto"/>
            <w:right w:val="none" w:sz="0" w:space="0" w:color="auto"/>
          </w:divBdr>
          <w:divsChild>
            <w:div w:id="59403841">
              <w:marLeft w:val="0"/>
              <w:marRight w:val="0"/>
              <w:marTop w:val="0"/>
              <w:marBottom w:val="0"/>
              <w:divBdr>
                <w:top w:val="none" w:sz="0" w:space="0" w:color="auto"/>
                <w:left w:val="none" w:sz="0" w:space="0" w:color="auto"/>
                <w:bottom w:val="none" w:sz="0" w:space="0" w:color="auto"/>
                <w:right w:val="none" w:sz="0" w:space="0" w:color="auto"/>
              </w:divBdr>
            </w:div>
            <w:div w:id="60369465">
              <w:marLeft w:val="0"/>
              <w:marRight w:val="0"/>
              <w:marTop w:val="0"/>
              <w:marBottom w:val="0"/>
              <w:divBdr>
                <w:top w:val="none" w:sz="0" w:space="0" w:color="auto"/>
                <w:left w:val="none" w:sz="0" w:space="0" w:color="auto"/>
                <w:bottom w:val="none" w:sz="0" w:space="0" w:color="auto"/>
                <w:right w:val="none" w:sz="0" w:space="0" w:color="auto"/>
              </w:divBdr>
            </w:div>
            <w:div w:id="244147621">
              <w:marLeft w:val="0"/>
              <w:marRight w:val="0"/>
              <w:marTop w:val="0"/>
              <w:marBottom w:val="0"/>
              <w:divBdr>
                <w:top w:val="none" w:sz="0" w:space="0" w:color="auto"/>
                <w:left w:val="none" w:sz="0" w:space="0" w:color="auto"/>
                <w:bottom w:val="none" w:sz="0" w:space="0" w:color="auto"/>
                <w:right w:val="none" w:sz="0" w:space="0" w:color="auto"/>
              </w:divBdr>
            </w:div>
            <w:div w:id="301234644">
              <w:marLeft w:val="0"/>
              <w:marRight w:val="0"/>
              <w:marTop w:val="0"/>
              <w:marBottom w:val="0"/>
              <w:divBdr>
                <w:top w:val="none" w:sz="0" w:space="0" w:color="auto"/>
                <w:left w:val="none" w:sz="0" w:space="0" w:color="auto"/>
                <w:bottom w:val="none" w:sz="0" w:space="0" w:color="auto"/>
                <w:right w:val="none" w:sz="0" w:space="0" w:color="auto"/>
              </w:divBdr>
            </w:div>
            <w:div w:id="569928306">
              <w:marLeft w:val="0"/>
              <w:marRight w:val="0"/>
              <w:marTop w:val="0"/>
              <w:marBottom w:val="0"/>
              <w:divBdr>
                <w:top w:val="none" w:sz="0" w:space="0" w:color="auto"/>
                <w:left w:val="none" w:sz="0" w:space="0" w:color="auto"/>
                <w:bottom w:val="none" w:sz="0" w:space="0" w:color="auto"/>
                <w:right w:val="none" w:sz="0" w:space="0" w:color="auto"/>
              </w:divBdr>
            </w:div>
            <w:div w:id="615256135">
              <w:marLeft w:val="0"/>
              <w:marRight w:val="0"/>
              <w:marTop w:val="0"/>
              <w:marBottom w:val="0"/>
              <w:divBdr>
                <w:top w:val="none" w:sz="0" w:space="0" w:color="auto"/>
                <w:left w:val="none" w:sz="0" w:space="0" w:color="auto"/>
                <w:bottom w:val="none" w:sz="0" w:space="0" w:color="auto"/>
                <w:right w:val="none" w:sz="0" w:space="0" w:color="auto"/>
              </w:divBdr>
            </w:div>
            <w:div w:id="1044601931">
              <w:marLeft w:val="0"/>
              <w:marRight w:val="0"/>
              <w:marTop w:val="0"/>
              <w:marBottom w:val="0"/>
              <w:divBdr>
                <w:top w:val="none" w:sz="0" w:space="0" w:color="auto"/>
                <w:left w:val="none" w:sz="0" w:space="0" w:color="auto"/>
                <w:bottom w:val="none" w:sz="0" w:space="0" w:color="auto"/>
                <w:right w:val="none" w:sz="0" w:space="0" w:color="auto"/>
              </w:divBdr>
            </w:div>
            <w:div w:id="1081558368">
              <w:marLeft w:val="0"/>
              <w:marRight w:val="0"/>
              <w:marTop w:val="0"/>
              <w:marBottom w:val="0"/>
              <w:divBdr>
                <w:top w:val="none" w:sz="0" w:space="0" w:color="auto"/>
                <w:left w:val="none" w:sz="0" w:space="0" w:color="auto"/>
                <w:bottom w:val="none" w:sz="0" w:space="0" w:color="auto"/>
                <w:right w:val="none" w:sz="0" w:space="0" w:color="auto"/>
              </w:divBdr>
            </w:div>
            <w:div w:id="1156534583">
              <w:marLeft w:val="0"/>
              <w:marRight w:val="0"/>
              <w:marTop w:val="0"/>
              <w:marBottom w:val="0"/>
              <w:divBdr>
                <w:top w:val="none" w:sz="0" w:space="0" w:color="auto"/>
                <w:left w:val="none" w:sz="0" w:space="0" w:color="auto"/>
                <w:bottom w:val="none" w:sz="0" w:space="0" w:color="auto"/>
                <w:right w:val="none" w:sz="0" w:space="0" w:color="auto"/>
              </w:divBdr>
            </w:div>
            <w:div w:id="1178429258">
              <w:marLeft w:val="0"/>
              <w:marRight w:val="0"/>
              <w:marTop w:val="0"/>
              <w:marBottom w:val="0"/>
              <w:divBdr>
                <w:top w:val="none" w:sz="0" w:space="0" w:color="auto"/>
                <w:left w:val="none" w:sz="0" w:space="0" w:color="auto"/>
                <w:bottom w:val="none" w:sz="0" w:space="0" w:color="auto"/>
                <w:right w:val="none" w:sz="0" w:space="0" w:color="auto"/>
              </w:divBdr>
            </w:div>
            <w:div w:id="1226791985">
              <w:marLeft w:val="0"/>
              <w:marRight w:val="0"/>
              <w:marTop w:val="0"/>
              <w:marBottom w:val="0"/>
              <w:divBdr>
                <w:top w:val="none" w:sz="0" w:space="0" w:color="auto"/>
                <w:left w:val="none" w:sz="0" w:space="0" w:color="auto"/>
                <w:bottom w:val="none" w:sz="0" w:space="0" w:color="auto"/>
                <w:right w:val="none" w:sz="0" w:space="0" w:color="auto"/>
              </w:divBdr>
            </w:div>
            <w:div w:id="1439909716">
              <w:marLeft w:val="0"/>
              <w:marRight w:val="0"/>
              <w:marTop w:val="0"/>
              <w:marBottom w:val="0"/>
              <w:divBdr>
                <w:top w:val="none" w:sz="0" w:space="0" w:color="auto"/>
                <w:left w:val="none" w:sz="0" w:space="0" w:color="auto"/>
                <w:bottom w:val="none" w:sz="0" w:space="0" w:color="auto"/>
                <w:right w:val="none" w:sz="0" w:space="0" w:color="auto"/>
              </w:divBdr>
            </w:div>
            <w:div w:id="1560438622">
              <w:marLeft w:val="0"/>
              <w:marRight w:val="0"/>
              <w:marTop w:val="0"/>
              <w:marBottom w:val="0"/>
              <w:divBdr>
                <w:top w:val="none" w:sz="0" w:space="0" w:color="auto"/>
                <w:left w:val="none" w:sz="0" w:space="0" w:color="auto"/>
                <w:bottom w:val="none" w:sz="0" w:space="0" w:color="auto"/>
                <w:right w:val="none" w:sz="0" w:space="0" w:color="auto"/>
              </w:divBdr>
            </w:div>
            <w:div w:id="1851679049">
              <w:marLeft w:val="0"/>
              <w:marRight w:val="0"/>
              <w:marTop w:val="0"/>
              <w:marBottom w:val="0"/>
              <w:divBdr>
                <w:top w:val="none" w:sz="0" w:space="0" w:color="auto"/>
                <w:left w:val="none" w:sz="0" w:space="0" w:color="auto"/>
                <w:bottom w:val="none" w:sz="0" w:space="0" w:color="auto"/>
                <w:right w:val="none" w:sz="0" w:space="0" w:color="auto"/>
              </w:divBdr>
            </w:div>
            <w:div w:id="1871071500">
              <w:marLeft w:val="0"/>
              <w:marRight w:val="0"/>
              <w:marTop w:val="0"/>
              <w:marBottom w:val="0"/>
              <w:divBdr>
                <w:top w:val="none" w:sz="0" w:space="0" w:color="auto"/>
                <w:left w:val="none" w:sz="0" w:space="0" w:color="auto"/>
                <w:bottom w:val="none" w:sz="0" w:space="0" w:color="auto"/>
                <w:right w:val="none" w:sz="0" w:space="0" w:color="auto"/>
              </w:divBdr>
            </w:div>
            <w:div w:id="2139638554">
              <w:marLeft w:val="0"/>
              <w:marRight w:val="0"/>
              <w:marTop w:val="0"/>
              <w:marBottom w:val="0"/>
              <w:divBdr>
                <w:top w:val="none" w:sz="0" w:space="0" w:color="auto"/>
                <w:left w:val="none" w:sz="0" w:space="0" w:color="auto"/>
                <w:bottom w:val="none" w:sz="0" w:space="0" w:color="auto"/>
                <w:right w:val="none" w:sz="0" w:space="0" w:color="auto"/>
              </w:divBdr>
            </w:div>
          </w:divsChild>
        </w:div>
        <w:div w:id="1567498597">
          <w:marLeft w:val="0"/>
          <w:marRight w:val="0"/>
          <w:marTop w:val="0"/>
          <w:marBottom w:val="0"/>
          <w:divBdr>
            <w:top w:val="none" w:sz="0" w:space="0" w:color="auto"/>
            <w:left w:val="none" w:sz="0" w:space="0" w:color="auto"/>
            <w:bottom w:val="none" w:sz="0" w:space="0" w:color="auto"/>
            <w:right w:val="none" w:sz="0" w:space="0" w:color="auto"/>
          </w:divBdr>
          <w:divsChild>
            <w:div w:id="69238303">
              <w:marLeft w:val="0"/>
              <w:marRight w:val="0"/>
              <w:marTop w:val="0"/>
              <w:marBottom w:val="0"/>
              <w:divBdr>
                <w:top w:val="none" w:sz="0" w:space="0" w:color="auto"/>
                <w:left w:val="none" w:sz="0" w:space="0" w:color="auto"/>
                <w:bottom w:val="none" w:sz="0" w:space="0" w:color="auto"/>
                <w:right w:val="none" w:sz="0" w:space="0" w:color="auto"/>
              </w:divBdr>
            </w:div>
            <w:div w:id="342828426">
              <w:marLeft w:val="0"/>
              <w:marRight w:val="0"/>
              <w:marTop w:val="0"/>
              <w:marBottom w:val="0"/>
              <w:divBdr>
                <w:top w:val="none" w:sz="0" w:space="0" w:color="auto"/>
                <w:left w:val="none" w:sz="0" w:space="0" w:color="auto"/>
                <w:bottom w:val="none" w:sz="0" w:space="0" w:color="auto"/>
                <w:right w:val="none" w:sz="0" w:space="0" w:color="auto"/>
              </w:divBdr>
            </w:div>
            <w:div w:id="508835892">
              <w:marLeft w:val="0"/>
              <w:marRight w:val="0"/>
              <w:marTop w:val="0"/>
              <w:marBottom w:val="0"/>
              <w:divBdr>
                <w:top w:val="none" w:sz="0" w:space="0" w:color="auto"/>
                <w:left w:val="none" w:sz="0" w:space="0" w:color="auto"/>
                <w:bottom w:val="none" w:sz="0" w:space="0" w:color="auto"/>
                <w:right w:val="none" w:sz="0" w:space="0" w:color="auto"/>
              </w:divBdr>
            </w:div>
            <w:div w:id="702681161">
              <w:marLeft w:val="0"/>
              <w:marRight w:val="0"/>
              <w:marTop w:val="0"/>
              <w:marBottom w:val="0"/>
              <w:divBdr>
                <w:top w:val="none" w:sz="0" w:space="0" w:color="auto"/>
                <w:left w:val="none" w:sz="0" w:space="0" w:color="auto"/>
                <w:bottom w:val="none" w:sz="0" w:space="0" w:color="auto"/>
                <w:right w:val="none" w:sz="0" w:space="0" w:color="auto"/>
              </w:divBdr>
            </w:div>
            <w:div w:id="975986576">
              <w:marLeft w:val="0"/>
              <w:marRight w:val="0"/>
              <w:marTop w:val="0"/>
              <w:marBottom w:val="0"/>
              <w:divBdr>
                <w:top w:val="none" w:sz="0" w:space="0" w:color="auto"/>
                <w:left w:val="none" w:sz="0" w:space="0" w:color="auto"/>
                <w:bottom w:val="none" w:sz="0" w:space="0" w:color="auto"/>
                <w:right w:val="none" w:sz="0" w:space="0" w:color="auto"/>
              </w:divBdr>
            </w:div>
            <w:div w:id="1040781689">
              <w:marLeft w:val="0"/>
              <w:marRight w:val="0"/>
              <w:marTop w:val="0"/>
              <w:marBottom w:val="0"/>
              <w:divBdr>
                <w:top w:val="none" w:sz="0" w:space="0" w:color="auto"/>
                <w:left w:val="none" w:sz="0" w:space="0" w:color="auto"/>
                <w:bottom w:val="none" w:sz="0" w:space="0" w:color="auto"/>
                <w:right w:val="none" w:sz="0" w:space="0" w:color="auto"/>
              </w:divBdr>
            </w:div>
            <w:div w:id="1264992877">
              <w:marLeft w:val="0"/>
              <w:marRight w:val="0"/>
              <w:marTop w:val="0"/>
              <w:marBottom w:val="0"/>
              <w:divBdr>
                <w:top w:val="none" w:sz="0" w:space="0" w:color="auto"/>
                <w:left w:val="none" w:sz="0" w:space="0" w:color="auto"/>
                <w:bottom w:val="none" w:sz="0" w:space="0" w:color="auto"/>
                <w:right w:val="none" w:sz="0" w:space="0" w:color="auto"/>
              </w:divBdr>
            </w:div>
            <w:div w:id="1353607713">
              <w:marLeft w:val="0"/>
              <w:marRight w:val="0"/>
              <w:marTop w:val="0"/>
              <w:marBottom w:val="0"/>
              <w:divBdr>
                <w:top w:val="none" w:sz="0" w:space="0" w:color="auto"/>
                <w:left w:val="none" w:sz="0" w:space="0" w:color="auto"/>
                <w:bottom w:val="none" w:sz="0" w:space="0" w:color="auto"/>
                <w:right w:val="none" w:sz="0" w:space="0" w:color="auto"/>
              </w:divBdr>
            </w:div>
            <w:div w:id="1564679098">
              <w:marLeft w:val="0"/>
              <w:marRight w:val="0"/>
              <w:marTop w:val="0"/>
              <w:marBottom w:val="0"/>
              <w:divBdr>
                <w:top w:val="none" w:sz="0" w:space="0" w:color="auto"/>
                <w:left w:val="none" w:sz="0" w:space="0" w:color="auto"/>
                <w:bottom w:val="none" w:sz="0" w:space="0" w:color="auto"/>
                <w:right w:val="none" w:sz="0" w:space="0" w:color="auto"/>
              </w:divBdr>
            </w:div>
            <w:div w:id="17001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228">
      <w:bodyDiv w:val="1"/>
      <w:marLeft w:val="0"/>
      <w:marRight w:val="0"/>
      <w:marTop w:val="0"/>
      <w:marBottom w:val="0"/>
      <w:divBdr>
        <w:top w:val="none" w:sz="0" w:space="0" w:color="auto"/>
        <w:left w:val="none" w:sz="0" w:space="0" w:color="auto"/>
        <w:bottom w:val="none" w:sz="0" w:space="0" w:color="auto"/>
        <w:right w:val="none" w:sz="0" w:space="0" w:color="auto"/>
      </w:divBdr>
    </w:div>
    <w:div w:id="836773210">
      <w:bodyDiv w:val="1"/>
      <w:marLeft w:val="0"/>
      <w:marRight w:val="0"/>
      <w:marTop w:val="0"/>
      <w:marBottom w:val="0"/>
      <w:divBdr>
        <w:top w:val="none" w:sz="0" w:space="0" w:color="auto"/>
        <w:left w:val="none" w:sz="0" w:space="0" w:color="auto"/>
        <w:bottom w:val="none" w:sz="0" w:space="0" w:color="auto"/>
        <w:right w:val="none" w:sz="0" w:space="0" w:color="auto"/>
      </w:divBdr>
    </w:div>
    <w:div w:id="83842260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317574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089135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868999">
      <w:bodyDiv w:val="1"/>
      <w:marLeft w:val="0"/>
      <w:marRight w:val="0"/>
      <w:marTop w:val="0"/>
      <w:marBottom w:val="0"/>
      <w:divBdr>
        <w:top w:val="none" w:sz="0" w:space="0" w:color="auto"/>
        <w:left w:val="none" w:sz="0" w:space="0" w:color="auto"/>
        <w:bottom w:val="none" w:sz="0" w:space="0" w:color="auto"/>
        <w:right w:val="none" w:sz="0" w:space="0" w:color="auto"/>
      </w:divBdr>
    </w:div>
    <w:div w:id="1002198051">
      <w:bodyDiv w:val="1"/>
      <w:marLeft w:val="0"/>
      <w:marRight w:val="0"/>
      <w:marTop w:val="0"/>
      <w:marBottom w:val="0"/>
      <w:divBdr>
        <w:top w:val="none" w:sz="0" w:space="0" w:color="auto"/>
        <w:left w:val="none" w:sz="0" w:space="0" w:color="auto"/>
        <w:bottom w:val="none" w:sz="0" w:space="0" w:color="auto"/>
        <w:right w:val="none" w:sz="0" w:space="0" w:color="auto"/>
      </w:divBdr>
      <w:divsChild>
        <w:div w:id="48579479">
          <w:marLeft w:val="0"/>
          <w:marRight w:val="0"/>
          <w:marTop w:val="0"/>
          <w:marBottom w:val="0"/>
          <w:divBdr>
            <w:top w:val="none" w:sz="0" w:space="0" w:color="auto"/>
            <w:left w:val="none" w:sz="0" w:space="0" w:color="auto"/>
            <w:bottom w:val="none" w:sz="0" w:space="0" w:color="auto"/>
            <w:right w:val="none" w:sz="0" w:space="0" w:color="auto"/>
          </w:divBdr>
          <w:divsChild>
            <w:div w:id="958074244">
              <w:marLeft w:val="0"/>
              <w:marRight w:val="0"/>
              <w:marTop w:val="0"/>
              <w:marBottom w:val="0"/>
              <w:divBdr>
                <w:top w:val="none" w:sz="0" w:space="0" w:color="auto"/>
                <w:left w:val="none" w:sz="0" w:space="0" w:color="auto"/>
                <w:bottom w:val="none" w:sz="0" w:space="0" w:color="auto"/>
                <w:right w:val="none" w:sz="0" w:space="0" w:color="auto"/>
              </w:divBdr>
            </w:div>
          </w:divsChild>
        </w:div>
        <w:div w:id="51199317">
          <w:marLeft w:val="0"/>
          <w:marRight w:val="0"/>
          <w:marTop w:val="0"/>
          <w:marBottom w:val="0"/>
          <w:divBdr>
            <w:top w:val="none" w:sz="0" w:space="0" w:color="auto"/>
            <w:left w:val="none" w:sz="0" w:space="0" w:color="auto"/>
            <w:bottom w:val="none" w:sz="0" w:space="0" w:color="auto"/>
            <w:right w:val="none" w:sz="0" w:space="0" w:color="auto"/>
          </w:divBdr>
          <w:divsChild>
            <w:div w:id="1149060134">
              <w:marLeft w:val="0"/>
              <w:marRight w:val="0"/>
              <w:marTop w:val="0"/>
              <w:marBottom w:val="0"/>
              <w:divBdr>
                <w:top w:val="none" w:sz="0" w:space="0" w:color="auto"/>
                <w:left w:val="none" w:sz="0" w:space="0" w:color="auto"/>
                <w:bottom w:val="none" w:sz="0" w:space="0" w:color="auto"/>
                <w:right w:val="none" w:sz="0" w:space="0" w:color="auto"/>
              </w:divBdr>
            </w:div>
          </w:divsChild>
        </w:div>
        <w:div w:id="59183579">
          <w:marLeft w:val="0"/>
          <w:marRight w:val="0"/>
          <w:marTop w:val="0"/>
          <w:marBottom w:val="0"/>
          <w:divBdr>
            <w:top w:val="none" w:sz="0" w:space="0" w:color="auto"/>
            <w:left w:val="none" w:sz="0" w:space="0" w:color="auto"/>
            <w:bottom w:val="none" w:sz="0" w:space="0" w:color="auto"/>
            <w:right w:val="none" w:sz="0" w:space="0" w:color="auto"/>
          </w:divBdr>
          <w:divsChild>
            <w:div w:id="804391019">
              <w:marLeft w:val="0"/>
              <w:marRight w:val="0"/>
              <w:marTop w:val="0"/>
              <w:marBottom w:val="0"/>
              <w:divBdr>
                <w:top w:val="none" w:sz="0" w:space="0" w:color="auto"/>
                <w:left w:val="none" w:sz="0" w:space="0" w:color="auto"/>
                <w:bottom w:val="none" w:sz="0" w:space="0" w:color="auto"/>
                <w:right w:val="none" w:sz="0" w:space="0" w:color="auto"/>
              </w:divBdr>
            </w:div>
            <w:div w:id="825706115">
              <w:marLeft w:val="0"/>
              <w:marRight w:val="0"/>
              <w:marTop w:val="0"/>
              <w:marBottom w:val="0"/>
              <w:divBdr>
                <w:top w:val="none" w:sz="0" w:space="0" w:color="auto"/>
                <w:left w:val="none" w:sz="0" w:space="0" w:color="auto"/>
                <w:bottom w:val="none" w:sz="0" w:space="0" w:color="auto"/>
                <w:right w:val="none" w:sz="0" w:space="0" w:color="auto"/>
              </w:divBdr>
            </w:div>
            <w:div w:id="1004474215">
              <w:marLeft w:val="0"/>
              <w:marRight w:val="0"/>
              <w:marTop w:val="0"/>
              <w:marBottom w:val="0"/>
              <w:divBdr>
                <w:top w:val="none" w:sz="0" w:space="0" w:color="auto"/>
                <w:left w:val="none" w:sz="0" w:space="0" w:color="auto"/>
                <w:bottom w:val="none" w:sz="0" w:space="0" w:color="auto"/>
                <w:right w:val="none" w:sz="0" w:space="0" w:color="auto"/>
              </w:divBdr>
            </w:div>
            <w:div w:id="1211192871">
              <w:marLeft w:val="0"/>
              <w:marRight w:val="0"/>
              <w:marTop w:val="0"/>
              <w:marBottom w:val="0"/>
              <w:divBdr>
                <w:top w:val="none" w:sz="0" w:space="0" w:color="auto"/>
                <w:left w:val="none" w:sz="0" w:space="0" w:color="auto"/>
                <w:bottom w:val="none" w:sz="0" w:space="0" w:color="auto"/>
                <w:right w:val="none" w:sz="0" w:space="0" w:color="auto"/>
              </w:divBdr>
            </w:div>
            <w:div w:id="1359164962">
              <w:marLeft w:val="0"/>
              <w:marRight w:val="0"/>
              <w:marTop w:val="0"/>
              <w:marBottom w:val="0"/>
              <w:divBdr>
                <w:top w:val="none" w:sz="0" w:space="0" w:color="auto"/>
                <w:left w:val="none" w:sz="0" w:space="0" w:color="auto"/>
                <w:bottom w:val="none" w:sz="0" w:space="0" w:color="auto"/>
                <w:right w:val="none" w:sz="0" w:space="0" w:color="auto"/>
              </w:divBdr>
            </w:div>
            <w:div w:id="1582132410">
              <w:marLeft w:val="0"/>
              <w:marRight w:val="0"/>
              <w:marTop w:val="0"/>
              <w:marBottom w:val="0"/>
              <w:divBdr>
                <w:top w:val="none" w:sz="0" w:space="0" w:color="auto"/>
                <w:left w:val="none" w:sz="0" w:space="0" w:color="auto"/>
                <w:bottom w:val="none" w:sz="0" w:space="0" w:color="auto"/>
                <w:right w:val="none" w:sz="0" w:space="0" w:color="auto"/>
              </w:divBdr>
            </w:div>
            <w:div w:id="1801874323">
              <w:marLeft w:val="0"/>
              <w:marRight w:val="0"/>
              <w:marTop w:val="0"/>
              <w:marBottom w:val="0"/>
              <w:divBdr>
                <w:top w:val="none" w:sz="0" w:space="0" w:color="auto"/>
                <w:left w:val="none" w:sz="0" w:space="0" w:color="auto"/>
                <w:bottom w:val="none" w:sz="0" w:space="0" w:color="auto"/>
                <w:right w:val="none" w:sz="0" w:space="0" w:color="auto"/>
              </w:divBdr>
            </w:div>
          </w:divsChild>
        </w:div>
        <w:div w:id="61173385">
          <w:marLeft w:val="0"/>
          <w:marRight w:val="0"/>
          <w:marTop w:val="0"/>
          <w:marBottom w:val="0"/>
          <w:divBdr>
            <w:top w:val="none" w:sz="0" w:space="0" w:color="auto"/>
            <w:left w:val="none" w:sz="0" w:space="0" w:color="auto"/>
            <w:bottom w:val="none" w:sz="0" w:space="0" w:color="auto"/>
            <w:right w:val="none" w:sz="0" w:space="0" w:color="auto"/>
          </w:divBdr>
          <w:divsChild>
            <w:div w:id="175577847">
              <w:marLeft w:val="0"/>
              <w:marRight w:val="0"/>
              <w:marTop w:val="0"/>
              <w:marBottom w:val="0"/>
              <w:divBdr>
                <w:top w:val="none" w:sz="0" w:space="0" w:color="auto"/>
                <w:left w:val="none" w:sz="0" w:space="0" w:color="auto"/>
                <w:bottom w:val="none" w:sz="0" w:space="0" w:color="auto"/>
                <w:right w:val="none" w:sz="0" w:space="0" w:color="auto"/>
              </w:divBdr>
            </w:div>
          </w:divsChild>
        </w:div>
        <w:div w:id="189268151">
          <w:marLeft w:val="0"/>
          <w:marRight w:val="0"/>
          <w:marTop w:val="0"/>
          <w:marBottom w:val="0"/>
          <w:divBdr>
            <w:top w:val="none" w:sz="0" w:space="0" w:color="auto"/>
            <w:left w:val="none" w:sz="0" w:space="0" w:color="auto"/>
            <w:bottom w:val="none" w:sz="0" w:space="0" w:color="auto"/>
            <w:right w:val="none" w:sz="0" w:space="0" w:color="auto"/>
          </w:divBdr>
          <w:divsChild>
            <w:div w:id="1615863053">
              <w:marLeft w:val="0"/>
              <w:marRight w:val="0"/>
              <w:marTop w:val="0"/>
              <w:marBottom w:val="0"/>
              <w:divBdr>
                <w:top w:val="none" w:sz="0" w:space="0" w:color="auto"/>
                <w:left w:val="none" w:sz="0" w:space="0" w:color="auto"/>
                <w:bottom w:val="none" w:sz="0" w:space="0" w:color="auto"/>
                <w:right w:val="none" w:sz="0" w:space="0" w:color="auto"/>
              </w:divBdr>
            </w:div>
          </w:divsChild>
        </w:div>
        <w:div w:id="194588479">
          <w:marLeft w:val="0"/>
          <w:marRight w:val="0"/>
          <w:marTop w:val="0"/>
          <w:marBottom w:val="0"/>
          <w:divBdr>
            <w:top w:val="none" w:sz="0" w:space="0" w:color="auto"/>
            <w:left w:val="none" w:sz="0" w:space="0" w:color="auto"/>
            <w:bottom w:val="none" w:sz="0" w:space="0" w:color="auto"/>
            <w:right w:val="none" w:sz="0" w:space="0" w:color="auto"/>
          </w:divBdr>
          <w:divsChild>
            <w:div w:id="405612270">
              <w:marLeft w:val="0"/>
              <w:marRight w:val="0"/>
              <w:marTop w:val="0"/>
              <w:marBottom w:val="0"/>
              <w:divBdr>
                <w:top w:val="none" w:sz="0" w:space="0" w:color="auto"/>
                <w:left w:val="none" w:sz="0" w:space="0" w:color="auto"/>
                <w:bottom w:val="none" w:sz="0" w:space="0" w:color="auto"/>
                <w:right w:val="none" w:sz="0" w:space="0" w:color="auto"/>
              </w:divBdr>
            </w:div>
          </w:divsChild>
        </w:div>
        <w:div w:id="199975126">
          <w:marLeft w:val="0"/>
          <w:marRight w:val="0"/>
          <w:marTop w:val="0"/>
          <w:marBottom w:val="0"/>
          <w:divBdr>
            <w:top w:val="none" w:sz="0" w:space="0" w:color="auto"/>
            <w:left w:val="none" w:sz="0" w:space="0" w:color="auto"/>
            <w:bottom w:val="none" w:sz="0" w:space="0" w:color="auto"/>
            <w:right w:val="none" w:sz="0" w:space="0" w:color="auto"/>
          </w:divBdr>
          <w:divsChild>
            <w:div w:id="202449235">
              <w:marLeft w:val="0"/>
              <w:marRight w:val="0"/>
              <w:marTop w:val="0"/>
              <w:marBottom w:val="0"/>
              <w:divBdr>
                <w:top w:val="none" w:sz="0" w:space="0" w:color="auto"/>
                <w:left w:val="none" w:sz="0" w:space="0" w:color="auto"/>
                <w:bottom w:val="none" w:sz="0" w:space="0" w:color="auto"/>
                <w:right w:val="none" w:sz="0" w:space="0" w:color="auto"/>
              </w:divBdr>
            </w:div>
          </w:divsChild>
        </w:div>
        <w:div w:id="230704120">
          <w:marLeft w:val="0"/>
          <w:marRight w:val="0"/>
          <w:marTop w:val="0"/>
          <w:marBottom w:val="0"/>
          <w:divBdr>
            <w:top w:val="none" w:sz="0" w:space="0" w:color="auto"/>
            <w:left w:val="none" w:sz="0" w:space="0" w:color="auto"/>
            <w:bottom w:val="none" w:sz="0" w:space="0" w:color="auto"/>
            <w:right w:val="none" w:sz="0" w:space="0" w:color="auto"/>
          </w:divBdr>
          <w:divsChild>
            <w:div w:id="14493">
              <w:marLeft w:val="0"/>
              <w:marRight w:val="0"/>
              <w:marTop w:val="0"/>
              <w:marBottom w:val="0"/>
              <w:divBdr>
                <w:top w:val="none" w:sz="0" w:space="0" w:color="auto"/>
                <w:left w:val="none" w:sz="0" w:space="0" w:color="auto"/>
                <w:bottom w:val="none" w:sz="0" w:space="0" w:color="auto"/>
                <w:right w:val="none" w:sz="0" w:space="0" w:color="auto"/>
              </w:divBdr>
            </w:div>
            <w:div w:id="166023309">
              <w:marLeft w:val="0"/>
              <w:marRight w:val="0"/>
              <w:marTop w:val="0"/>
              <w:marBottom w:val="0"/>
              <w:divBdr>
                <w:top w:val="none" w:sz="0" w:space="0" w:color="auto"/>
                <w:left w:val="none" w:sz="0" w:space="0" w:color="auto"/>
                <w:bottom w:val="none" w:sz="0" w:space="0" w:color="auto"/>
                <w:right w:val="none" w:sz="0" w:space="0" w:color="auto"/>
              </w:divBdr>
            </w:div>
            <w:div w:id="426852919">
              <w:marLeft w:val="0"/>
              <w:marRight w:val="0"/>
              <w:marTop w:val="0"/>
              <w:marBottom w:val="0"/>
              <w:divBdr>
                <w:top w:val="none" w:sz="0" w:space="0" w:color="auto"/>
                <w:left w:val="none" w:sz="0" w:space="0" w:color="auto"/>
                <w:bottom w:val="none" w:sz="0" w:space="0" w:color="auto"/>
                <w:right w:val="none" w:sz="0" w:space="0" w:color="auto"/>
              </w:divBdr>
            </w:div>
            <w:div w:id="1239287542">
              <w:marLeft w:val="0"/>
              <w:marRight w:val="0"/>
              <w:marTop w:val="0"/>
              <w:marBottom w:val="0"/>
              <w:divBdr>
                <w:top w:val="none" w:sz="0" w:space="0" w:color="auto"/>
                <w:left w:val="none" w:sz="0" w:space="0" w:color="auto"/>
                <w:bottom w:val="none" w:sz="0" w:space="0" w:color="auto"/>
                <w:right w:val="none" w:sz="0" w:space="0" w:color="auto"/>
              </w:divBdr>
            </w:div>
            <w:div w:id="1326012782">
              <w:marLeft w:val="0"/>
              <w:marRight w:val="0"/>
              <w:marTop w:val="0"/>
              <w:marBottom w:val="0"/>
              <w:divBdr>
                <w:top w:val="none" w:sz="0" w:space="0" w:color="auto"/>
                <w:left w:val="none" w:sz="0" w:space="0" w:color="auto"/>
                <w:bottom w:val="none" w:sz="0" w:space="0" w:color="auto"/>
                <w:right w:val="none" w:sz="0" w:space="0" w:color="auto"/>
              </w:divBdr>
            </w:div>
            <w:div w:id="1390374970">
              <w:marLeft w:val="0"/>
              <w:marRight w:val="0"/>
              <w:marTop w:val="0"/>
              <w:marBottom w:val="0"/>
              <w:divBdr>
                <w:top w:val="none" w:sz="0" w:space="0" w:color="auto"/>
                <w:left w:val="none" w:sz="0" w:space="0" w:color="auto"/>
                <w:bottom w:val="none" w:sz="0" w:space="0" w:color="auto"/>
                <w:right w:val="none" w:sz="0" w:space="0" w:color="auto"/>
              </w:divBdr>
            </w:div>
            <w:div w:id="1456800252">
              <w:marLeft w:val="0"/>
              <w:marRight w:val="0"/>
              <w:marTop w:val="0"/>
              <w:marBottom w:val="0"/>
              <w:divBdr>
                <w:top w:val="none" w:sz="0" w:space="0" w:color="auto"/>
                <w:left w:val="none" w:sz="0" w:space="0" w:color="auto"/>
                <w:bottom w:val="none" w:sz="0" w:space="0" w:color="auto"/>
                <w:right w:val="none" w:sz="0" w:space="0" w:color="auto"/>
              </w:divBdr>
            </w:div>
            <w:div w:id="1470318359">
              <w:marLeft w:val="0"/>
              <w:marRight w:val="0"/>
              <w:marTop w:val="0"/>
              <w:marBottom w:val="0"/>
              <w:divBdr>
                <w:top w:val="none" w:sz="0" w:space="0" w:color="auto"/>
                <w:left w:val="none" w:sz="0" w:space="0" w:color="auto"/>
                <w:bottom w:val="none" w:sz="0" w:space="0" w:color="auto"/>
                <w:right w:val="none" w:sz="0" w:space="0" w:color="auto"/>
              </w:divBdr>
            </w:div>
            <w:div w:id="1770537584">
              <w:marLeft w:val="0"/>
              <w:marRight w:val="0"/>
              <w:marTop w:val="0"/>
              <w:marBottom w:val="0"/>
              <w:divBdr>
                <w:top w:val="none" w:sz="0" w:space="0" w:color="auto"/>
                <w:left w:val="none" w:sz="0" w:space="0" w:color="auto"/>
                <w:bottom w:val="none" w:sz="0" w:space="0" w:color="auto"/>
                <w:right w:val="none" w:sz="0" w:space="0" w:color="auto"/>
              </w:divBdr>
            </w:div>
            <w:div w:id="1800028901">
              <w:marLeft w:val="0"/>
              <w:marRight w:val="0"/>
              <w:marTop w:val="0"/>
              <w:marBottom w:val="0"/>
              <w:divBdr>
                <w:top w:val="none" w:sz="0" w:space="0" w:color="auto"/>
                <w:left w:val="none" w:sz="0" w:space="0" w:color="auto"/>
                <w:bottom w:val="none" w:sz="0" w:space="0" w:color="auto"/>
                <w:right w:val="none" w:sz="0" w:space="0" w:color="auto"/>
              </w:divBdr>
            </w:div>
            <w:div w:id="1800302645">
              <w:marLeft w:val="0"/>
              <w:marRight w:val="0"/>
              <w:marTop w:val="0"/>
              <w:marBottom w:val="0"/>
              <w:divBdr>
                <w:top w:val="none" w:sz="0" w:space="0" w:color="auto"/>
                <w:left w:val="none" w:sz="0" w:space="0" w:color="auto"/>
                <w:bottom w:val="none" w:sz="0" w:space="0" w:color="auto"/>
                <w:right w:val="none" w:sz="0" w:space="0" w:color="auto"/>
              </w:divBdr>
            </w:div>
          </w:divsChild>
        </w:div>
        <w:div w:id="250042705">
          <w:marLeft w:val="0"/>
          <w:marRight w:val="0"/>
          <w:marTop w:val="0"/>
          <w:marBottom w:val="0"/>
          <w:divBdr>
            <w:top w:val="none" w:sz="0" w:space="0" w:color="auto"/>
            <w:left w:val="none" w:sz="0" w:space="0" w:color="auto"/>
            <w:bottom w:val="none" w:sz="0" w:space="0" w:color="auto"/>
            <w:right w:val="none" w:sz="0" w:space="0" w:color="auto"/>
          </w:divBdr>
          <w:divsChild>
            <w:div w:id="565455652">
              <w:marLeft w:val="0"/>
              <w:marRight w:val="0"/>
              <w:marTop w:val="0"/>
              <w:marBottom w:val="0"/>
              <w:divBdr>
                <w:top w:val="none" w:sz="0" w:space="0" w:color="auto"/>
                <w:left w:val="none" w:sz="0" w:space="0" w:color="auto"/>
                <w:bottom w:val="none" w:sz="0" w:space="0" w:color="auto"/>
                <w:right w:val="none" w:sz="0" w:space="0" w:color="auto"/>
              </w:divBdr>
            </w:div>
          </w:divsChild>
        </w:div>
        <w:div w:id="257324985">
          <w:marLeft w:val="0"/>
          <w:marRight w:val="0"/>
          <w:marTop w:val="0"/>
          <w:marBottom w:val="0"/>
          <w:divBdr>
            <w:top w:val="none" w:sz="0" w:space="0" w:color="auto"/>
            <w:left w:val="none" w:sz="0" w:space="0" w:color="auto"/>
            <w:bottom w:val="none" w:sz="0" w:space="0" w:color="auto"/>
            <w:right w:val="none" w:sz="0" w:space="0" w:color="auto"/>
          </w:divBdr>
          <w:divsChild>
            <w:div w:id="303395218">
              <w:marLeft w:val="0"/>
              <w:marRight w:val="0"/>
              <w:marTop w:val="0"/>
              <w:marBottom w:val="0"/>
              <w:divBdr>
                <w:top w:val="none" w:sz="0" w:space="0" w:color="auto"/>
                <w:left w:val="none" w:sz="0" w:space="0" w:color="auto"/>
                <w:bottom w:val="none" w:sz="0" w:space="0" w:color="auto"/>
                <w:right w:val="none" w:sz="0" w:space="0" w:color="auto"/>
              </w:divBdr>
            </w:div>
            <w:div w:id="329870728">
              <w:marLeft w:val="0"/>
              <w:marRight w:val="0"/>
              <w:marTop w:val="0"/>
              <w:marBottom w:val="0"/>
              <w:divBdr>
                <w:top w:val="none" w:sz="0" w:space="0" w:color="auto"/>
                <w:left w:val="none" w:sz="0" w:space="0" w:color="auto"/>
                <w:bottom w:val="none" w:sz="0" w:space="0" w:color="auto"/>
                <w:right w:val="none" w:sz="0" w:space="0" w:color="auto"/>
              </w:divBdr>
            </w:div>
            <w:div w:id="431708618">
              <w:marLeft w:val="0"/>
              <w:marRight w:val="0"/>
              <w:marTop w:val="0"/>
              <w:marBottom w:val="0"/>
              <w:divBdr>
                <w:top w:val="none" w:sz="0" w:space="0" w:color="auto"/>
                <w:left w:val="none" w:sz="0" w:space="0" w:color="auto"/>
                <w:bottom w:val="none" w:sz="0" w:space="0" w:color="auto"/>
                <w:right w:val="none" w:sz="0" w:space="0" w:color="auto"/>
              </w:divBdr>
            </w:div>
            <w:div w:id="1146584532">
              <w:marLeft w:val="0"/>
              <w:marRight w:val="0"/>
              <w:marTop w:val="0"/>
              <w:marBottom w:val="0"/>
              <w:divBdr>
                <w:top w:val="none" w:sz="0" w:space="0" w:color="auto"/>
                <w:left w:val="none" w:sz="0" w:space="0" w:color="auto"/>
                <w:bottom w:val="none" w:sz="0" w:space="0" w:color="auto"/>
                <w:right w:val="none" w:sz="0" w:space="0" w:color="auto"/>
              </w:divBdr>
            </w:div>
            <w:div w:id="1627350944">
              <w:marLeft w:val="0"/>
              <w:marRight w:val="0"/>
              <w:marTop w:val="0"/>
              <w:marBottom w:val="0"/>
              <w:divBdr>
                <w:top w:val="none" w:sz="0" w:space="0" w:color="auto"/>
                <w:left w:val="none" w:sz="0" w:space="0" w:color="auto"/>
                <w:bottom w:val="none" w:sz="0" w:space="0" w:color="auto"/>
                <w:right w:val="none" w:sz="0" w:space="0" w:color="auto"/>
              </w:divBdr>
            </w:div>
            <w:div w:id="1655256108">
              <w:marLeft w:val="0"/>
              <w:marRight w:val="0"/>
              <w:marTop w:val="0"/>
              <w:marBottom w:val="0"/>
              <w:divBdr>
                <w:top w:val="none" w:sz="0" w:space="0" w:color="auto"/>
                <w:left w:val="none" w:sz="0" w:space="0" w:color="auto"/>
                <w:bottom w:val="none" w:sz="0" w:space="0" w:color="auto"/>
                <w:right w:val="none" w:sz="0" w:space="0" w:color="auto"/>
              </w:divBdr>
            </w:div>
          </w:divsChild>
        </w:div>
        <w:div w:id="267664739">
          <w:marLeft w:val="0"/>
          <w:marRight w:val="0"/>
          <w:marTop w:val="0"/>
          <w:marBottom w:val="0"/>
          <w:divBdr>
            <w:top w:val="none" w:sz="0" w:space="0" w:color="auto"/>
            <w:left w:val="none" w:sz="0" w:space="0" w:color="auto"/>
            <w:bottom w:val="none" w:sz="0" w:space="0" w:color="auto"/>
            <w:right w:val="none" w:sz="0" w:space="0" w:color="auto"/>
          </w:divBdr>
          <w:divsChild>
            <w:div w:id="1609582176">
              <w:marLeft w:val="0"/>
              <w:marRight w:val="0"/>
              <w:marTop w:val="0"/>
              <w:marBottom w:val="0"/>
              <w:divBdr>
                <w:top w:val="none" w:sz="0" w:space="0" w:color="auto"/>
                <w:left w:val="none" w:sz="0" w:space="0" w:color="auto"/>
                <w:bottom w:val="none" w:sz="0" w:space="0" w:color="auto"/>
                <w:right w:val="none" w:sz="0" w:space="0" w:color="auto"/>
              </w:divBdr>
            </w:div>
            <w:div w:id="1772159173">
              <w:marLeft w:val="0"/>
              <w:marRight w:val="0"/>
              <w:marTop w:val="0"/>
              <w:marBottom w:val="0"/>
              <w:divBdr>
                <w:top w:val="none" w:sz="0" w:space="0" w:color="auto"/>
                <w:left w:val="none" w:sz="0" w:space="0" w:color="auto"/>
                <w:bottom w:val="none" w:sz="0" w:space="0" w:color="auto"/>
                <w:right w:val="none" w:sz="0" w:space="0" w:color="auto"/>
              </w:divBdr>
            </w:div>
            <w:div w:id="2005935513">
              <w:marLeft w:val="0"/>
              <w:marRight w:val="0"/>
              <w:marTop w:val="0"/>
              <w:marBottom w:val="0"/>
              <w:divBdr>
                <w:top w:val="none" w:sz="0" w:space="0" w:color="auto"/>
                <w:left w:val="none" w:sz="0" w:space="0" w:color="auto"/>
                <w:bottom w:val="none" w:sz="0" w:space="0" w:color="auto"/>
                <w:right w:val="none" w:sz="0" w:space="0" w:color="auto"/>
              </w:divBdr>
            </w:div>
          </w:divsChild>
        </w:div>
        <w:div w:id="351491995">
          <w:marLeft w:val="0"/>
          <w:marRight w:val="0"/>
          <w:marTop w:val="0"/>
          <w:marBottom w:val="0"/>
          <w:divBdr>
            <w:top w:val="none" w:sz="0" w:space="0" w:color="auto"/>
            <w:left w:val="none" w:sz="0" w:space="0" w:color="auto"/>
            <w:bottom w:val="none" w:sz="0" w:space="0" w:color="auto"/>
            <w:right w:val="none" w:sz="0" w:space="0" w:color="auto"/>
          </w:divBdr>
          <w:divsChild>
            <w:div w:id="1140615870">
              <w:marLeft w:val="0"/>
              <w:marRight w:val="0"/>
              <w:marTop w:val="0"/>
              <w:marBottom w:val="0"/>
              <w:divBdr>
                <w:top w:val="none" w:sz="0" w:space="0" w:color="auto"/>
                <w:left w:val="none" w:sz="0" w:space="0" w:color="auto"/>
                <w:bottom w:val="none" w:sz="0" w:space="0" w:color="auto"/>
                <w:right w:val="none" w:sz="0" w:space="0" w:color="auto"/>
              </w:divBdr>
            </w:div>
          </w:divsChild>
        </w:div>
        <w:div w:id="499076495">
          <w:marLeft w:val="0"/>
          <w:marRight w:val="0"/>
          <w:marTop w:val="0"/>
          <w:marBottom w:val="0"/>
          <w:divBdr>
            <w:top w:val="none" w:sz="0" w:space="0" w:color="auto"/>
            <w:left w:val="none" w:sz="0" w:space="0" w:color="auto"/>
            <w:bottom w:val="none" w:sz="0" w:space="0" w:color="auto"/>
            <w:right w:val="none" w:sz="0" w:space="0" w:color="auto"/>
          </w:divBdr>
          <w:divsChild>
            <w:div w:id="99647448">
              <w:marLeft w:val="0"/>
              <w:marRight w:val="0"/>
              <w:marTop w:val="0"/>
              <w:marBottom w:val="0"/>
              <w:divBdr>
                <w:top w:val="none" w:sz="0" w:space="0" w:color="auto"/>
                <w:left w:val="none" w:sz="0" w:space="0" w:color="auto"/>
                <w:bottom w:val="none" w:sz="0" w:space="0" w:color="auto"/>
                <w:right w:val="none" w:sz="0" w:space="0" w:color="auto"/>
              </w:divBdr>
            </w:div>
          </w:divsChild>
        </w:div>
        <w:div w:id="720859102">
          <w:marLeft w:val="0"/>
          <w:marRight w:val="0"/>
          <w:marTop w:val="0"/>
          <w:marBottom w:val="0"/>
          <w:divBdr>
            <w:top w:val="none" w:sz="0" w:space="0" w:color="auto"/>
            <w:left w:val="none" w:sz="0" w:space="0" w:color="auto"/>
            <w:bottom w:val="none" w:sz="0" w:space="0" w:color="auto"/>
            <w:right w:val="none" w:sz="0" w:space="0" w:color="auto"/>
          </w:divBdr>
          <w:divsChild>
            <w:div w:id="1921793613">
              <w:marLeft w:val="0"/>
              <w:marRight w:val="0"/>
              <w:marTop w:val="0"/>
              <w:marBottom w:val="0"/>
              <w:divBdr>
                <w:top w:val="none" w:sz="0" w:space="0" w:color="auto"/>
                <w:left w:val="none" w:sz="0" w:space="0" w:color="auto"/>
                <w:bottom w:val="none" w:sz="0" w:space="0" w:color="auto"/>
                <w:right w:val="none" w:sz="0" w:space="0" w:color="auto"/>
              </w:divBdr>
            </w:div>
          </w:divsChild>
        </w:div>
        <w:div w:id="867647188">
          <w:marLeft w:val="0"/>
          <w:marRight w:val="0"/>
          <w:marTop w:val="0"/>
          <w:marBottom w:val="0"/>
          <w:divBdr>
            <w:top w:val="none" w:sz="0" w:space="0" w:color="auto"/>
            <w:left w:val="none" w:sz="0" w:space="0" w:color="auto"/>
            <w:bottom w:val="none" w:sz="0" w:space="0" w:color="auto"/>
            <w:right w:val="none" w:sz="0" w:space="0" w:color="auto"/>
          </w:divBdr>
          <w:divsChild>
            <w:div w:id="1713071182">
              <w:marLeft w:val="0"/>
              <w:marRight w:val="0"/>
              <w:marTop w:val="0"/>
              <w:marBottom w:val="0"/>
              <w:divBdr>
                <w:top w:val="none" w:sz="0" w:space="0" w:color="auto"/>
                <w:left w:val="none" w:sz="0" w:space="0" w:color="auto"/>
                <w:bottom w:val="none" w:sz="0" w:space="0" w:color="auto"/>
                <w:right w:val="none" w:sz="0" w:space="0" w:color="auto"/>
              </w:divBdr>
            </w:div>
          </w:divsChild>
        </w:div>
        <w:div w:id="984429368">
          <w:marLeft w:val="0"/>
          <w:marRight w:val="0"/>
          <w:marTop w:val="0"/>
          <w:marBottom w:val="0"/>
          <w:divBdr>
            <w:top w:val="none" w:sz="0" w:space="0" w:color="auto"/>
            <w:left w:val="none" w:sz="0" w:space="0" w:color="auto"/>
            <w:bottom w:val="none" w:sz="0" w:space="0" w:color="auto"/>
            <w:right w:val="none" w:sz="0" w:space="0" w:color="auto"/>
          </w:divBdr>
          <w:divsChild>
            <w:div w:id="7803653">
              <w:marLeft w:val="0"/>
              <w:marRight w:val="0"/>
              <w:marTop w:val="0"/>
              <w:marBottom w:val="0"/>
              <w:divBdr>
                <w:top w:val="none" w:sz="0" w:space="0" w:color="auto"/>
                <w:left w:val="none" w:sz="0" w:space="0" w:color="auto"/>
                <w:bottom w:val="none" w:sz="0" w:space="0" w:color="auto"/>
                <w:right w:val="none" w:sz="0" w:space="0" w:color="auto"/>
              </w:divBdr>
            </w:div>
          </w:divsChild>
        </w:div>
        <w:div w:id="1130896926">
          <w:marLeft w:val="0"/>
          <w:marRight w:val="0"/>
          <w:marTop w:val="0"/>
          <w:marBottom w:val="0"/>
          <w:divBdr>
            <w:top w:val="none" w:sz="0" w:space="0" w:color="auto"/>
            <w:left w:val="none" w:sz="0" w:space="0" w:color="auto"/>
            <w:bottom w:val="none" w:sz="0" w:space="0" w:color="auto"/>
            <w:right w:val="none" w:sz="0" w:space="0" w:color="auto"/>
          </w:divBdr>
          <w:divsChild>
            <w:div w:id="117380322">
              <w:marLeft w:val="0"/>
              <w:marRight w:val="0"/>
              <w:marTop w:val="0"/>
              <w:marBottom w:val="0"/>
              <w:divBdr>
                <w:top w:val="none" w:sz="0" w:space="0" w:color="auto"/>
                <w:left w:val="none" w:sz="0" w:space="0" w:color="auto"/>
                <w:bottom w:val="none" w:sz="0" w:space="0" w:color="auto"/>
                <w:right w:val="none" w:sz="0" w:space="0" w:color="auto"/>
              </w:divBdr>
            </w:div>
            <w:div w:id="320475151">
              <w:marLeft w:val="0"/>
              <w:marRight w:val="0"/>
              <w:marTop w:val="0"/>
              <w:marBottom w:val="0"/>
              <w:divBdr>
                <w:top w:val="none" w:sz="0" w:space="0" w:color="auto"/>
                <w:left w:val="none" w:sz="0" w:space="0" w:color="auto"/>
                <w:bottom w:val="none" w:sz="0" w:space="0" w:color="auto"/>
                <w:right w:val="none" w:sz="0" w:space="0" w:color="auto"/>
              </w:divBdr>
            </w:div>
            <w:div w:id="365297801">
              <w:marLeft w:val="0"/>
              <w:marRight w:val="0"/>
              <w:marTop w:val="0"/>
              <w:marBottom w:val="0"/>
              <w:divBdr>
                <w:top w:val="none" w:sz="0" w:space="0" w:color="auto"/>
                <w:left w:val="none" w:sz="0" w:space="0" w:color="auto"/>
                <w:bottom w:val="none" w:sz="0" w:space="0" w:color="auto"/>
                <w:right w:val="none" w:sz="0" w:space="0" w:color="auto"/>
              </w:divBdr>
            </w:div>
            <w:div w:id="448473264">
              <w:marLeft w:val="0"/>
              <w:marRight w:val="0"/>
              <w:marTop w:val="0"/>
              <w:marBottom w:val="0"/>
              <w:divBdr>
                <w:top w:val="none" w:sz="0" w:space="0" w:color="auto"/>
                <w:left w:val="none" w:sz="0" w:space="0" w:color="auto"/>
                <w:bottom w:val="none" w:sz="0" w:space="0" w:color="auto"/>
                <w:right w:val="none" w:sz="0" w:space="0" w:color="auto"/>
              </w:divBdr>
            </w:div>
            <w:div w:id="572593312">
              <w:marLeft w:val="0"/>
              <w:marRight w:val="0"/>
              <w:marTop w:val="0"/>
              <w:marBottom w:val="0"/>
              <w:divBdr>
                <w:top w:val="none" w:sz="0" w:space="0" w:color="auto"/>
                <w:left w:val="none" w:sz="0" w:space="0" w:color="auto"/>
                <w:bottom w:val="none" w:sz="0" w:space="0" w:color="auto"/>
                <w:right w:val="none" w:sz="0" w:space="0" w:color="auto"/>
              </w:divBdr>
            </w:div>
            <w:div w:id="581450062">
              <w:marLeft w:val="0"/>
              <w:marRight w:val="0"/>
              <w:marTop w:val="0"/>
              <w:marBottom w:val="0"/>
              <w:divBdr>
                <w:top w:val="none" w:sz="0" w:space="0" w:color="auto"/>
                <w:left w:val="none" w:sz="0" w:space="0" w:color="auto"/>
                <w:bottom w:val="none" w:sz="0" w:space="0" w:color="auto"/>
                <w:right w:val="none" w:sz="0" w:space="0" w:color="auto"/>
              </w:divBdr>
            </w:div>
            <w:div w:id="600720886">
              <w:marLeft w:val="0"/>
              <w:marRight w:val="0"/>
              <w:marTop w:val="0"/>
              <w:marBottom w:val="0"/>
              <w:divBdr>
                <w:top w:val="none" w:sz="0" w:space="0" w:color="auto"/>
                <w:left w:val="none" w:sz="0" w:space="0" w:color="auto"/>
                <w:bottom w:val="none" w:sz="0" w:space="0" w:color="auto"/>
                <w:right w:val="none" w:sz="0" w:space="0" w:color="auto"/>
              </w:divBdr>
            </w:div>
            <w:div w:id="785074993">
              <w:marLeft w:val="0"/>
              <w:marRight w:val="0"/>
              <w:marTop w:val="0"/>
              <w:marBottom w:val="0"/>
              <w:divBdr>
                <w:top w:val="none" w:sz="0" w:space="0" w:color="auto"/>
                <w:left w:val="none" w:sz="0" w:space="0" w:color="auto"/>
                <w:bottom w:val="none" w:sz="0" w:space="0" w:color="auto"/>
                <w:right w:val="none" w:sz="0" w:space="0" w:color="auto"/>
              </w:divBdr>
            </w:div>
            <w:div w:id="800421314">
              <w:marLeft w:val="0"/>
              <w:marRight w:val="0"/>
              <w:marTop w:val="0"/>
              <w:marBottom w:val="0"/>
              <w:divBdr>
                <w:top w:val="none" w:sz="0" w:space="0" w:color="auto"/>
                <w:left w:val="none" w:sz="0" w:space="0" w:color="auto"/>
                <w:bottom w:val="none" w:sz="0" w:space="0" w:color="auto"/>
                <w:right w:val="none" w:sz="0" w:space="0" w:color="auto"/>
              </w:divBdr>
            </w:div>
            <w:div w:id="868571239">
              <w:marLeft w:val="0"/>
              <w:marRight w:val="0"/>
              <w:marTop w:val="0"/>
              <w:marBottom w:val="0"/>
              <w:divBdr>
                <w:top w:val="none" w:sz="0" w:space="0" w:color="auto"/>
                <w:left w:val="none" w:sz="0" w:space="0" w:color="auto"/>
                <w:bottom w:val="none" w:sz="0" w:space="0" w:color="auto"/>
                <w:right w:val="none" w:sz="0" w:space="0" w:color="auto"/>
              </w:divBdr>
            </w:div>
            <w:div w:id="941496253">
              <w:marLeft w:val="0"/>
              <w:marRight w:val="0"/>
              <w:marTop w:val="0"/>
              <w:marBottom w:val="0"/>
              <w:divBdr>
                <w:top w:val="none" w:sz="0" w:space="0" w:color="auto"/>
                <w:left w:val="none" w:sz="0" w:space="0" w:color="auto"/>
                <w:bottom w:val="none" w:sz="0" w:space="0" w:color="auto"/>
                <w:right w:val="none" w:sz="0" w:space="0" w:color="auto"/>
              </w:divBdr>
            </w:div>
            <w:div w:id="979042409">
              <w:marLeft w:val="0"/>
              <w:marRight w:val="0"/>
              <w:marTop w:val="0"/>
              <w:marBottom w:val="0"/>
              <w:divBdr>
                <w:top w:val="none" w:sz="0" w:space="0" w:color="auto"/>
                <w:left w:val="none" w:sz="0" w:space="0" w:color="auto"/>
                <w:bottom w:val="none" w:sz="0" w:space="0" w:color="auto"/>
                <w:right w:val="none" w:sz="0" w:space="0" w:color="auto"/>
              </w:divBdr>
            </w:div>
            <w:div w:id="1007756335">
              <w:marLeft w:val="0"/>
              <w:marRight w:val="0"/>
              <w:marTop w:val="0"/>
              <w:marBottom w:val="0"/>
              <w:divBdr>
                <w:top w:val="none" w:sz="0" w:space="0" w:color="auto"/>
                <w:left w:val="none" w:sz="0" w:space="0" w:color="auto"/>
                <w:bottom w:val="none" w:sz="0" w:space="0" w:color="auto"/>
                <w:right w:val="none" w:sz="0" w:space="0" w:color="auto"/>
              </w:divBdr>
            </w:div>
            <w:div w:id="2068071586">
              <w:marLeft w:val="0"/>
              <w:marRight w:val="0"/>
              <w:marTop w:val="0"/>
              <w:marBottom w:val="0"/>
              <w:divBdr>
                <w:top w:val="none" w:sz="0" w:space="0" w:color="auto"/>
                <w:left w:val="none" w:sz="0" w:space="0" w:color="auto"/>
                <w:bottom w:val="none" w:sz="0" w:space="0" w:color="auto"/>
                <w:right w:val="none" w:sz="0" w:space="0" w:color="auto"/>
              </w:divBdr>
            </w:div>
            <w:div w:id="2101025945">
              <w:marLeft w:val="0"/>
              <w:marRight w:val="0"/>
              <w:marTop w:val="0"/>
              <w:marBottom w:val="0"/>
              <w:divBdr>
                <w:top w:val="none" w:sz="0" w:space="0" w:color="auto"/>
                <w:left w:val="none" w:sz="0" w:space="0" w:color="auto"/>
                <w:bottom w:val="none" w:sz="0" w:space="0" w:color="auto"/>
                <w:right w:val="none" w:sz="0" w:space="0" w:color="auto"/>
              </w:divBdr>
            </w:div>
          </w:divsChild>
        </w:div>
        <w:div w:id="1153327131">
          <w:marLeft w:val="0"/>
          <w:marRight w:val="0"/>
          <w:marTop w:val="0"/>
          <w:marBottom w:val="0"/>
          <w:divBdr>
            <w:top w:val="none" w:sz="0" w:space="0" w:color="auto"/>
            <w:left w:val="none" w:sz="0" w:space="0" w:color="auto"/>
            <w:bottom w:val="none" w:sz="0" w:space="0" w:color="auto"/>
            <w:right w:val="none" w:sz="0" w:space="0" w:color="auto"/>
          </w:divBdr>
          <w:divsChild>
            <w:div w:id="671030182">
              <w:marLeft w:val="0"/>
              <w:marRight w:val="0"/>
              <w:marTop w:val="0"/>
              <w:marBottom w:val="0"/>
              <w:divBdr>
                <w:top w:val="none" w:sz="0" w:space="0" w:color="auto"/>
                <w:left w:val="none" w:sz="0" w:space="0" w:color="auto"/>
                <w:bottom w:val="none" w:sz="0" w:space="0" w:color="auto"/>
                <w:right w:val="none" w:sz="0" w:space="0" w:color="auto"/>
              </w:divBdr>
            </w:div>
          </w:divsChild>
        </w:div>
        <w:div w:id="1185290792">
          <w:marLeft w:val="0"/>
          <w:marRight w:val="0"/>
          <w:marTop w:val="0"/>
          <w:marBottom w:val="0"/>
          <w:divBdr>
            <w:top w:val="none" w:sz="0" w:space="0" w:color="auto"/>
            <w:left w:val="none" w:sz="0" w:space="0" w:color="auto"/>
            <w:bottom w:val="none" w:sz="0" w:space="0" w:color="auto"/>
            <w:right w:val="none" w:sz="0" w:space="0" w:color="auto"/>
          </w:divBdr>
          <w:divsChild>
            <w:div w:id="380205326">
              <w:marLeft w:val="0"/>
              <w:marRight w:val="0"/>
              <w:marTop w:val="0"/>
              <w:marBottom w:val="0"/>
              <w:divBdr>
                <w:top w:val="none" w:sz="0" w:space="0" w:color="auto"/>
                <w:left w:val="none" w:sz="0" w:space="0" w:color="auto"/>
                <w:bottom w:val="none" w:sz="0" w:space="0" w:color="auto"/>
                <w:right w:val="none" w:sz="0" w:space="0" w:color="auto"/>
              </w:divBdr>
            </w:div>
          </w:divsChild>
        </w:div>
        <w:div w:id="1192493709">
          <w:marLeft w:val="0"/>
          <w:marRight w:val="0"/>
          <w:marTop w:val="0"/>
          <w:marBottom w:val="0"/>
          <w:divBdr>
            <w:top w:val="none" w:sz="0" w:space="0" w:color="auto"/>
            <w:left w:val="none" w:sz="0" w:space="0" w:color="auto"/>
            <w:bottom w:val="none" w:sz="0" w:space="0" w:color="auto"/>
            <w:right w:val="none" w:sz="0" w:space="0" w:color="auto"/>
          </w:divBdr>
          <w:divsChild>
            <w:div w:id="2024629680">
              <w:marLeft w:val="0"/>
              <w:marRight w:val="0"/>
              <w:marTop w:val="0"/>
              <w:marBottom w:val="0"/>
              <w:divBdr>
                <w:top w:val="none" w:sz="0" w:space="0" w:color="auto"/>
                <w:left w:val="none" w:sz="0" w:space="0" w:color="auto"/>
                <w:bottom w:val="none" w:sz="0" w:space="0" w:color="auto"/>
                <w:right w:val="none" w:sz="0" w:space="0" w:color="auto"/>
              </w:divBdr>
            </w:div>
          </w:divsChild>
        </w:div>
        <w:div w:id="1202590577">
          <w:marLeft w:val="0"/>
          <w:marRight w:val="0"/>
          <w:marTop w:val="0"/>
          <w:marBottom w:val="0"/>
          <w:divBdr>
            <w:top w:val="none" w:sz="0" w:space="0" w:color="auto"/>
            <w:left w:val="none" w:sz="0" w:space="0" w:color="auto"/>
            <w:bottom w:val="none" w:sz="0" w:space="0" w:color="auto"/>
            <w:right w:val="none" w:sz="0" w:space="0" w:color="auto"/>
          </w:divBdr>
          <w:divsChild>
            <w:div w:id="1787577137">
              <w:marLeft w:val="0"/>
              <w:marRight w:val="0"/>
              <w:marTop w:val="0"/>
              <w:marBottom w:val="0"/>
              <w:divBdr>
                <w:top w:val="none" w:sz="0" w:space="0" w:color="auto"/>
                <w:left w:val="none" w:sz="0" w:space="0" w:color="auto"/>
                <w:bottom w:val="none" w:sz="0" w:space="0" w:color="auto"/>
                <w:right w:val="none" w:sz="0" w:space="0" w:color="auto"/>
              </w:divBdr>
            </w:div>
          </w:divsChild>
        </w:div>
        <w:div w:id="1281036290">
          <w:marLeft w:val="0"/>
          <w:marRight w:val="0"/>
          <w:marTop w:val="0"/>
          <w:marBottom w:val="0"/>
          <w:divBdr>
            <w:top w:val="none" w:sz="0" w:space="0" w:color="auto"/>
            <w:left w:val="none" w:sz="0" w:space="0" w:color="auto"/>
            <w:bottom w:val="none" w:sz="0" w:space="0" w:color="auto"/>
            <w:right w:val="none" w:sz="0" w:space="0" w:color="auto"/>
          </w:divBdr>
          <w:divsChild>
            <w:div w:id="2144542147">
              <w:marLeft w:val="0"/>
              <w:marRight w:val="0"/>
              <w:marTop w:val="0"/>
              <w:marBottom w:val="0"/>
              <w:divBdr>
                <w:top w:val="none" w:sz="0" w:space="0" w:color="auto"/>
                <w:left w:val="none" w:sz="0" w:space="0" w:color="auto"/>
                <w:bottom w:val="none" w:sz="0" w:space="0" w:color="auto"/>
                <w:right w:val="none" w:sz="0" w:space="0" w:color="auto"/>
              </w:divBdr>
            </w:div>
          </w:divsChild>
        </w:div>
        <w:div w:id="1299532290">
          <w:marLeft w:val="0"/>
          <w:marRight w:val="0"/>
          <w:marTop w:val="0"/>
          <w:marBottom w:val="0"/>
          <w:divBdr>
            <w:top w:val="none" w:sz="0" w:space="0" w:color="auto"/>
            <w:left w:val="none" w:sz="0" w:space="0" w:color="auto"/>
            <w:bottom w:val="none" w:sz="0" w:space="0" w:color="auto"/>
            <w:right w:val="none" w:sz="0" w:space="0" w:color="auto"/>
          </w:divBdr>
          <w:divsChild>
            <w:div w:id="1771270234">
              <w:marLeft w:val="0"/>
              <w:marRight w:val="0"/>
              <w:marTop w:val="0"/>
              <w:marBottom w:val="0"/>
              <w:divBdr>
                <w:top w:val="none" w:sz="0" w:space="0" w:color="auto"/>
                <w:left w:val="none" w:sz="0" w:space="0" w:color="auto"/>
                <w:bottom w:val="none" w:sz="0" w:space="0" w:color="auto"/>
                <w:right w:val="none" w:sz="0" w:space="0" w:color="auto"/>
              </w:divBdr>
            </w:div>
          </w:divsChild>
        </w:div>
        <w:div w:id="1314405292">
          <w:marLeft w:val="0"/>
          <w:marRight w:val="0"/>
          <w:marTop w:val="0"/>
          <w:marBottom w:val="0"/>
          <w:divBdr>
            <w:top w:val="none" w:sz="0" w:space="0" w:color="auto"/>
            <w:left w:val="none" w:sz="0" w:space="0" w:color="auto"/>
            <w:bottom w:val="none" w:sz="0" w:space="0" w:color="auto"/>
            <w:right w:val="none" w:sz="0" w:space="0" w:color="auto"/>
          </w:divBdr>
          <w:divsChild>
            <w:div w:id="182020370">
              <w:marLeft w:val="0"/>
              <w:marRight w:val="0"/>
              <w:marTop w:val="0"/>
              <w:marBottom w:val="0"/>
              <w:divBdr>
                <w:top w:val="none" w:sz="0" w:space="0" w:color="auto"/>
                <w:left w:val="none" w:sz="0" w:space="0" w:color="auto"/>
                <w:bottom w:val="none" w:sz="0" w:space="0" w:color="auto"/>
                <w:right w:val="none" w:sz="0" w:space="0" w:color="auto"/>
              </w:divBdr>
            </w:div>
            <w:div w:id="883978026">
              <w:marLeft w:val="0"/>
              <w:marRight w:val="0"/>
              <w:marTop w:val="0"/>
              <w:marBottom w:val="0"/>
              <w:divBdr>
                <w:top w:val="none" w:sz="0" w:space="0" w:color="auto"/>
                <w:left w:val="none" w:sz="0" w:space="0" w:color="auto"/>
                <w:bottom w:val="none" w:sz="0" w:space="0" w:color="auto"/>
                <w:right w:val="none" w:sz="0" w:space="0" w:color="auto"/>
              </w:divBdr>
            </w:div>
            <w:div w:id="1878733652">
              <w:marLeft w:val="0"/>
              <w:marRight w:val="0"/>
              <w:marTop w:val="0"/>
              <w:marBottom w:val="0"/>
              <w:divBdr>
                <w:top w:val="none" w:sz="0" w:space="0" w:color="auto"/>
                <w:left w:val="none" w:sz="0" w:space="0" w:color="auto"/>
                <w:bottom w:val="none" w:sz="0" w:space="0" w:color="auto"/>
                <w:right w:val="none" w:sz="0" w:space="0" w:color="auto"/>
              </w:divBdr>
            </w:div>
          </w:divsChild>
        </w:div>
        <w:div w:id="1349524223">
          <w:marLeft w:val="0"/>
          <w:marRight w:val="0"/>
          <w:marTop w:val="0"/>
          <w:marBottom w:val="0"/>
          <w:divBdr>
            <w:top w:val="none" w:sz="0" w:space="0" w:color="auto"/>
            <w:left w:val="none" w:sz="0" w:space="0" w:color="auto"/>
            <w:bottom w:val="none" w:sz="0" w:space="0" w:color="auto"/>
            <w:right w:val="none" w:sz="0" w:space="0" w:color="auto"/>
          </w:divBdr>
          <w:divsChild>
            <w:div w:id="927733007">
              <w:marLeft w:val="0"/>
              <w:marRight w:val="0"/>
              <w:marTop w:val="0"/>
              <w:marBottom w:val="0"/>
              <w:divBdr>
                <w:top w:val="none" w:sz="0" w:space="0" w:color="auto"/>
                <w:left w:val="none" w:sz="0" w:space="0" w:color="auto"/>
                <w:bottom w:val="none" w:sz="0" w:space="0" w:color="auto"/>
                <w:right w:val="none" w:sz="0" w:space="0" w:color="auto"/>
              </w:divBdr>
            </w:div>
            <w:div w:id="1151563246">
              <w:marLeft w:val="0"/>
              <w:marRight w:val="0"/>
              <w:marTop w:val="0"/>
              <w:marBottom w:val="0"/>
              <w:divBdr>
                <w:top w:val="none" w:sz="0" w:space="0" w:color="auto"/>
                <w:left w:val="none" w:sz="0" w:space="0" w:color="auto"/>
                <w:bottom w:val="none" w:sz="0" w:space="0" w:color="auto"/>
                <w:right w:val="none" w:sz="0" w:space="0" w:color="auto"/>
              </w:divBdr>
            </w:div>
            <w:div w:id="1162234861">
              <w:marLeft w:val="0"/>
              <w:marRight w:val="0"/>
              <w:marTop w:val="0"/>
              <w:marBottom w:val="0"/>
              <w:divBdr>
                <w:top w:val="none" w:sz="0" w:space="0" w:color="auto"/>
                <w:left w:val="none" w:sz="0" w:space="0" w:color="auto"/>
                <w:bottom w:val="none" w:sz="0" w:space="0" w:color="auto"/>
                <w:right w:val="none" w:sz="0" w:space="0" w:color="auto"/>
              </w:divBdr>
            </w:div>
            <w:div w:id="1587880901">
              <w:marLeft w:val="0"/>
              <w:marRight w:val="0"/>
              <w:marTop w:val="0"/>
              <w:marBottom w:val="0"/>
              <w:divBdr>
                <w:top w:val="none" w:sz="0" w:space="0" w:color="auto"/>
                <w:left w:val="none" w:sz="0" w:space="0" w:color="auto"/>
                <w:bottom w:val="none" w:sz="0" w:space="0" w:color="auto"/>
                <w:right w:val="none" w:sz="0" w:space="0" w:color="auto"/>
              </w:divBdr>
            </w:div>
            <w:div w:id="1839996949">
              <w:marLeft w:val="0"/>
              <w:marRight w:val="0"/>
              <w:marTop w:val="0"/>
              <w:marBottom w:val="0"/>
              <w:divBdr>
                <w:top w:val="none" w:sz="0" w:space="0" w:color="auto"/>
                <w:left w:val="none" w:sz="0" w:space="0" w:color="auto"/>
                <w:bottom w:val="none" w:sz="0" w:space="0" w:color="auto"/>
                <w:right w:val="none" w:sz="0" w:space="0" w:color="auto"/>
              </w:divBdr>
            </w:div>
            <w:div w:id="1957328903">
              <w:marLeft w:val="0"/>
              <w:marRight w:val="0"/>
              <w:marTop w:val="0"/>
              <w:marBottom w:val="0"/>
              <w:divBdr>
                <w:top w:val="none" w:sz="0" w:space="0" w:color="auto"/>
                <w:left w:val="none" w:sz="0" w:space="0" w:color="auto"/>
                <w:bottom w:val="none" w:sz="0" w:space="0" w:color="auto"/>
                <w:right w:val="none" w:sz="0" w:space="0" w:color="auto"/>
              </w:divBdr>
            </w:div>
            <w:div w:id="2115395899">
              <w:marLeft w:val="0"/>
              <w:marRight w:val="0"/>
              <w:marTop w:val="0"/>
              <w:marBottom w:val="0"/>
              <w:divBdr>
                <w:top w:val="none" w:sz="0" w:space="0" w:color="auto"/>
                <w:left w:val="none" w:sz="0" w:space="0" w:color="auto"/>
                <w:bottom w:val="none" w:sz="0" w:space="0" w:color="auto"/>
                <w:right w:val="none" w:sz="0" w:space="0" w:color="auto"/>
              </w:divBdr>
            </w:div>
          </w:divsChild>
        </w:div>
        <w:div w:id="1405836606">
          <w:marLeft w:val="0"/>
          <w:marRight w:val="0"/>
          <w:marTop w:val="0"/>
          <w:marBottom w:val="0"/>
          <w:divBdr>
            <w:top w:val="none" w:sz="0" w:space="0" w:color="auto"/>
            <w:left w:val="none" w:sz="0" w:space="0" w:color="auto"/>
            <w:bottom w:val="none" w:sz="0" w:space="0" w:color="auto"/>
            <w:right w:val="none" w:sz="0" w:space="0" w:color="auto"/>
          </w:divBdr>
          <w:divsChild>
            <w:div w:id="1353649679">
              <w:marLeft w:val="0"/>
              <w:marRight w:val="0"/>
              <w:marTop w:val="0"/>
              <w:marBottom w:val="0"/>
              <w:divBdr>
                <w:top w:val="none" w:sz="0" w:space="0" w:color="auto"/>
                <w:left w:val="none" w:sz="0" w:space="0" w:color="auto"/>
                <w:bottom w:val="none" w:sz="0" w:space="0" w:color="auto"/>
                <w:right w:val="none" w:sz="0" w:space="0" w:color="auto"/>
              </w:divBdr>
            </w:div>
          </w:divsChild>
        </w:div>
        <w:div w:id="1437746004">
          <w:marLeft w:val="0"/>
          <w:marRight w:val="0"/>
          <w:marTop w:val="0"/>
          <w:marBottom w:val="0"/>
          <w:divBdr>
            <w:top w:val="none" w:sz="0" w:space="0" w:color="auto"/>
            <w:left w:val="none" w:sz="0" w:space="0" w:color="auto"/>
            <w:bottom w:val="none" w:sz="0" w:space="0" w:color="auto"/>
            <w:right w:val="none" w:sz="0" w:space="0" w:color="auto"/>
          </w:divBdr>
          <w:divsChild>
            <w:div w:id="132795479">
              <w:marLeft w:val="0"/>
              <w:marRight w:val="0"/>
              <w:marTop w:val="0"/>
              <w:marBottom w:val="0"/>
              <w:divBdr>
                <w:top w:val="none" w:sz="0" w:space="0" w:color="auto"/>
                <w:left w:val="none" w:sz="0" w:space="0" w:color="auto"/>
                <w:bottom w:val="none" w:sz="0" w:space="0" w:color="auto"/>
                <w:right w:val="none" w:sz="0" w:space="0" w:color="auto"/>
              </w:divBdr>
            </w:div>
          </w:divsChild>
        </w:div>
        <w:div w:id="1581014334">
          <w:marLeft w:val="0"/>
          <w:marRight w:val="0"/>
          <w:marTop w:val="0"/>
          <w:marBottom w:val="0"/>
          <w:divBdr>
            <w:top w:val="none" w:sz="0" w:space="0" w:color="auto"/>
            <w:left w:val="none" w:sz="0" w:space="0" w:color="auto"/>
            <w:bottom w:val="none" w:sz="0" w:space="0" w:color="auto"/>
            <w:right w:val="none" w:sz="0" w:space="0" w:color="auto"/>
          </w:divBdr>
          <w:divsChild>
            <w:div w:id="502092548">
              <w:marLeft w:val="0"/>
              <w:marRight w:val="0"/>
              <w:marTop w:val="0"/>
              <w:marBottom w:val="0"/>
              <w:divBdr>
                <w:top w:val="none" w:sz="0" w:space="0" w:color="auto"/>
                <w:left w:val="none" w:sz="0" w:space="0" w:color="auto"/>
                <w:bottom w:val="none" w:sz="0" w:space="0" w:color="auto"/>
                <w:right w:val="none" w:sz="0" w:space="0" w:color="auto"/>
              </w:divBdr>
            </w:div>
          </w:divsChild>
        </w:div>
        <w:div w:id="1623266424">
          <w:marLeft w:val="0"/>
          <w:marRight w:val="0"/>
          <w:marTop w:val="0"/>
          <w:marBottom w:val="0"/>
          <w:divBdr>
            <w:top w:val="none" w:sz="0" w:space="0" w:color="auto"/>
            <w:left w:val="none" w:sz="0" w:space="0" w:color="auto"/>
            <w:bottom w:val="none" w:sz="0" w:space="0" w:color="auto"/>
            <w:right w:val="none" w:sz="0" w:space="0" w:color="auto"/>
          </w:divBdr>
          <w:divsChild>
            <w:div w:id="1101530021">
              <w:marLeft w:val="0"/>
              <w:marRight w:val="0"/>
              <w:marTop w:val="0"/>
              <w:marBottom w:val="0"/>
              <w:divBdr>
                <w:top w:val="none" w:sz="0" w:space="0" w:color="auto"/>
                <w:left w:val="none" w:sz="0" w:space="0" w:color="auto"/>
                <w:bottom w:val="none" w:sz="0" w:space="0" w:color="auto"/>
                <w:right w:val="none" w:sz="0" w:space="0" w:color="auto"/>
              </w:divBdr>
            </w:div>
          </w:divsChild>
        </w:div>
        <w:div w:id="1634217457">
          <w:marLeft w:val="0"/>
          <w:marRight w:val="0"/>
          <w:marTop w:val="0"/>
          <w:marBottom w:val="0"/>
          <w:divBdr>
            <w:top w:val="none" w:sz="0" w:space="0" w:color="auto"/>
            <w:left w:val="none" w:sz="0" w:space="0" w:color="auto"/>
            <w:bottom w:val="none" w:sz="0" w:space="0" w:color="auto"/>
            <w:right w:val="none" w:sz="0" w:space="0" w:color="auto"/>
          </w:divBdr>
          <w:divsChild>
            <w:div w:id="240258849">
              <w:marLeft w:val="0"/>
              <w:marRight w:val="0"/>
              <w:marTop w:val="0"/>
              <w:marBottom w:val="0"/>
              <w:divBdr>
                <w:top w:val="none" w:sz="0" w:space="0" w:color="auto"/>
                <w:left w:val="none" w:sz="0" w:space="0" w:color="auto"/>
                <w:bottom w:val="none" w:sz="0" w:space="0" w:color="auto"/>
                <w:right w:val="none" w:sz="0" w:space="0" w:color="auto"/>
              </w:divBdr>
            </w:div>
          </w:divsChild>
        </w:div>
        <w:div w:id="1648362091">
          <w:marLeft w:val="0"/>
          <w:marRight w:val="0"/>
          <w:marTop w:val="0"/>
          <w:marBottom w:val="0"/>
          <w:divBdr>
            <w:top w:val="none" w:sz="0" w:space="0" w:color="auto"/>
            <w:left w:val="none" w:sz="0" w:space="0" w:color="auto"/>
            <w:bottom w:val="none" w:sz="0" w:space="0" w:color="auto"/>
            <w:right w:val="none" w:sz="0" w:space="0" w:color="auto"/>
          </w:divBdr>
          <w:divsChild>
            <w:div w:id="486558581">
              <w:marLeft w:val="0"/>
              <w:marRight w:val="0"/>
              <w:marTop w:val="0"/>
              <w:marBottom w:val="0"/>
              <w:divBdr>
                <w:top w:val="none" w:sz="0" w:space="0" w:color="auto"/>
                <w:left w:val="none" w:sz="0" w:space="0" w:color="auto"/>
                <w:bottom w:val="none" w:sz="0" w:space="0" w:color="auto"/>
                <w:right w:val="none" w:sz="0" w:space="0" w:color="auto"/>
              </w:divBdr>
            </w:div>
          </w:divsChild>
        </w:div>
        <w:div w:id="1754234535">
          <w:marLeft w:val="0"/>
          <w:marRight w:val="0"/>
          <w:marTop w:val="0"/>
          <w:marBottom w:val="0"/>
          <w:divBdr>
            <w:top w:val="none" w:sz="0" w:space="0" w:color="auto"/>
            <w:left w:val="none" w:sz="0" w:space="0" w:color="auto"/>
            <w:bottom w:val="none" w:sz="0" w:space="0" w:color="auto"/>
            <w:right w:val="none" w:sz="0" w:space="0" w:color="auto"/>
          </w:divBdr>
          <w:divsChild>
            <w:div w:id="644622618">
              <w:marLeft w:val="0"/>
              <w:marRight w:val="0"/>
              <w:marTop w:val="0"/>
              <w:marBottom w:val="0"/>
              <w:divBdr>
                <w:top w:val="none" w:sz="0" w:space="0" w:color="auto"/>
                <w:left w:val="none" w:sz="0" w:space="0" w:color="auto"/>
                <w:bottom w:val="none" w:sz="0" w:space="0" w:color="auto"/>
                <w:right w:val="none" w:sz="0" w:space="0" w:color="auto"/>
              </w:divBdr>
            </w:div>
          </w:divsChild>
        </w:div>
        <w:div w:id="1800342588">
          <w:marLeft w:val="0"/>
          <w:marRight w:val="0"/>
          <w:marTop w:val="0"/>
          <w:marBottom w:val="0"/>
          <w:divBdr>
            <w:top w:val="none" w:sz="0" w:space="0" w:color="auto"/>
            <w:left w:val="none" w:sz="0" w:space="0" w:color="auto"/>
            <w:bottom w:val="none" w:sz="0" w:space="0" w:color="auto"/>
            <w:right w:val="none" w:sz="0" w:space="0" w:color="auto"/>
          </w:divBdr>
          <w:divsChild>
            <w:div w:id="2062318660">
              <w:marLeft w:val="0"/>
              <w:marRight w:val="0"/>
              <w:marTop w:val="0"/>
              <w:marBottom w:val="0"/>
              <w:divBdr>
                <w:top w:val="none" w:sz="0" w:space="0" w:color="auto"/>
                <w:left w:val="none" w:sz="0" w:space="0" w:color="auto"/>
                <w:bottom w:val="none" w:sz="0" w:space="0" w:color="auto"/>
                <w:right w:val="none" w:sz="0" w:space="0" w:color="auto"/>
              </w:divBdr>
            </w:div>
          </w:divsChild>
        </w:div>
        <w:div w:id="1806460140">
          <w:marLeft w:val="0"/>
          <w:marRight w:val="0"/>
          <w:marTop w:val="0"/>
          <w:marBottom w:val="0"/>
          <w:divBdr>
            <w:top w:val="none" w:sz="0" w:space="0" w:color="auto"/>
            <w:left w:val="none" w:sz="0" w:space="0" w:color="auto"/>
            <w:bottom w:val="none" w:sz="0" w:space="0" w:color="auto"/>
            <w:right w:val="none" w:sz="0" w:space="0" w:color="auto"/>
          </w:divBdr>
          <w:divsChild>
            <w:div w:id="1384014274">
              <w:marLeft w:val="0"/>
              <w:marRight w:val="0"/>
              <w:marTop w:val="0"/>
              <w:marBottom w:val="0"/>
              <w:divBdr>
                <w:top w:val="none" w:sz="0" w:space="0" w:color="auto"/>
                <w:left w:val="none" w:sz="0" w:space="0" w:color="auto"/>
                <w:bottom w:val="none" w:sz="0" w:space="0" w:color="auto"/>
                <w:right w:val="none" w:sz="0" w:space="0" w:color="auto"/>
              </w:divBdr>
            </w:div>
          </w:divsChild>
        </w:div>
        <w:div w:id="1814179617">
          <w:marLeft w:val="0"/>
          <w:marRight w:val="0"/>
          <w:marTop w:val="0"/>
          <w:marBottom w:val="0"/>
          <w:divBdr>
            <w:top w:val="none" w:sz="0" w:space="0" w:color="auto"/>
            <w:left w:val="none" w:sz="0" w:space="0" w:color="auto"/>
            <w:bottom w:val="none" w:sz="0" w:space="0" w:color="auto"/>
            <w:right w:val="none" w:sz="0" w:space="0" w:color="auto"/>
          </w:divBdr>
          <w:divsChild>
            <w:div w:id="909773781">
              <w:marLeft w:val="0"/>
              <w:marRight w:val="0"/>
              <w:marTop w:val="0"/>
              <w:marBottom w:val="0"/>
              <w:divBdr>
                <w:top w:val="none" w:sz="0" w:space="0" w:color="auto"/>
                <w:left w:val="none" w:sz="0" w:space="0" w:color="auto"/>
                <w:bottom w:val="none" w:sz="0" w:space="0" w:color="auto"/>
                <w:right w:val="none" w:sz="0" w:space="0" w:color="auto"/>
              </w:divBdr>
            </w:div>
          </w:divsChild>
        </w:div>
        <w:div w:id="1814330440">
          <w:marLeft w:val="0"/>
          <w:marRight w:val="0"/>
          <w:marTop w:val="0"/>
          <w:marBottom w:val="0"/>
          <w:divBdr>
            <w:top w:val="none" w:sz="0" w:space="0" w:color="auto"/>
            <w:left w:val="none" w:sz="0" w:space="0" w:color="auto"/>
            <w:bottom w:val="none" w:sz="0" w:space="0" w:color="auto"/>
            <w:right w:val="none" w:sz="0" w:space="0" w:color="auto"/>
          </w:divBdr>
          <w:divsChild>
            <w:div w:id="1289817619">
              <w:marLeft w:val="0"/>
              <w:marRight w:val="0"/>
              <w:marTop w:val="0"/>
              <w:marBottom w:val="0"/>
              <w:divBdr>
                <w:top w:val="none" w:sz="0" w:space="0" w:color="auto"/>
                <w:left w:val="none" w:sz="0" w:space="0" w:color="auto"/>
                <w:bottom w:val="none" w:sz="0" w:space="0" w:color="auto"/>
                <w:right w:val="none" w:sz="0" w:space="0" w:color="auto"/>
              </w:divBdr>
            </w:div>
          </w:divsChild>
        </w:div>
        <w:div w:id="1889223200">
          <w:marLeft w:val="0"/>
          <w:marRight w:val="0"/>
          <w:marTop w:val="0"/>
          <w:marBottom w:val="0"/>
          <w:divBdr>
            <w:top w:val="none" w:sz="0" w:space="0" w:color="auto"/>
            <w:left w:val="none" w:sz="0" w:space="0" w:color="auto"/>
            <w:bottom w:val="none" w:sz="0" w:space="0" w:color="auto"/>
            <w:right w:val="none" w:sz="0" w:space="0" w:color="auto"/>
          </w:divBdr>
          <w:divsChild>
            <w:div w:id="507332993">
              <w:marLeft w:val="0"/>
              <w:marRight w:val="0"/>
              <w:marTop w:val="0"/>
              <w:marBottom w:val="0"/>
              <w:divBdr>
                <w:top w:val="none" w:sz="0" w:space="0" w:color="auto"/>
                <w:left w:val="none" w:sz="0" w:space="0" w:color="auto"/>
                <w:bottom w:val="none" w:sz="0" w:space="0" w:color="auto"/>
                <w:right w:val="none" w:sz="0" w:space="0" w:color="auto"/>
              </w:divBdr>
            </w:div>
            <w:div w:id="508375268">
              <w:marLeft w:val="0"/>
              <w:marRight w:val="0"/>
              <w:marTop w:val="0"/>
              <w:marBottom w:val="0"/>
              <w:divBdr>
                <w:top w:val="none" w:sz="0" w:space="0" w:color="auto"/>
                <w:left w:val="none" w:sz="0" w:space="0" w:color="auto"/>
                <w:bottom w:val="none" w:sz="0" w:space="0" w:color="auto"/>
                <w:right w:val="none" w:sz="0" w:space="0" w:color="auto"/>
              </w:divBdr>
            </w:div>
            <w:div w:id="685056934">
              <w:marLeft w:val="0"/>
              <w:marRight w:val="0"/>
              <w:marTop w:val="0"/>
              <w:marBottom w:val="0"/>
              <w:divBdr>
                <w:top w:val="none" w:sz="0" w:space="0" w:color="auto"/>
                <w:left w:val="none" w:sz="0" w:space="0" w:color="auto"/>
                <w:bottom w:val="none" w:sz="0" w:space="0" w:color="auto"/>
                <w:right w:val="none" w:sz="0" w:space="0" w:color="auto"/>
              </w:divBdr>
            </w:div>
            <w:div w:id="773481583">
              <w:marLeft w:val="0"/>
              <w:marRight w:val="0"/>
              <w:marTop w:val="0"/>
              <w:marBottom w:val="0"/>
              <w:divBdr>
                <w:top w:val="none" w:sz="0" w:space="0" w:color="auto"/>
                <w:left w:val="none" w:sz="0" w:space="0" w:color="auto"/>
                <w:bottom w:val="none" w:sz="0" w:space="0" w:color="auto"/>
                <w:right w:val="none" w:sz="0" w:space="0" w:color="auto"/>
              </w:divBdr>
            </w:div>
            <w:div w:id="793409347">
              <w:marLeft w:val="0"/>
              <w:marRight w:val="0"/>
              <w:marTop w:val="0"/>
              <w:marBottom w:val="0"/>
              <w:divBdr>
                <w:top w:val="none" w:sz="0" w:space="0" w:color="auto"/>
                <w:left w:val="none" w:sz="0" w:space="0" w:color="auto"/>
                <w:bottom w:val="none" w:sz="0" w:space="0" w:color="auto"/>
                <w:right w:val="none" w:sz="0" w:space="0" w:color="auto"/>
              </w:divBdr>
            </w:div>
            <w:div w:id="954143159">
              <w:marLeft w:val="0"/>
              <w:marRight w:val="0"/>
              <w:marTop w:val="0"/>
              <w:marBottom w:val="0"/>
              <w:divBdr>
                <w:top w:val="none" w:sz="0" w:space="0" w:color="auto"/>
                <w:left w:val="none" w:sz="0" w:space="0" w:color="auto"/>
                <w:bottom w:val="none" w:sz="0" w:space="0" w:color="auto"/>
                <w:right w:val="none" w:sz="0" w:space="0" w:color="auto"/>
              </w:divBdr>
            </w:div>
            <w:div w:id="1145582276">
              <w:marLeft w:val="0"/>
              <w:marRight w:val="0"/>
              <w:marTop w:val="0"/>
              <w:marBottom w:val="0"/>
              <w:divBdr>
                <w:top w:val="none" w:sz="0" w:space="0" w:color="auto"/>
                <w:left w:val="none" w:sz="0" w:space="0" w:color="auto"/>
                <w:bottom w:val="none" w:sz="0" w:space="0" w:color="auto"/>
                <w:right w:val="none" w:sz="0" w:space="0" w:color="auto"/>
              </w:divBdr>
            </w:div>
            <w:div w:id="1156989567">
              <w:marLeft w:val="0"/>
              <w:marRight w:val="0"/>
              <w:marTop w:val="0"/>
              <w:marBottom w:val="0"/>
              <w:divBdr>
                <w:top w:val="none" w:sz="0" w:space="0" w:color="auto"/>
                <w:left w:val="none" w:sz="0" w:space="0" w:color="auto"/>
                <w:bottom w:val="none" w:sz="0" w:space="0" w:color="auto"/>
                <w:right w:val="none" w:sz="0" w:space="0" w:color="auto"/>
              </w:divBdr>
            </w:div>
            <w:div w:id="1650208861">
              <w:marLeft w:val="0"/>
              <w:marRight w:val="0"/>
              <w:marTop w:val="0"/>
              <w:marBottom w:val="0"/>
              <w:divBdr>
                <w:top w:val="none" w:sz="0" w:space="0" w:color="auto"/>
                <w:left w:val="none" w:sz="0" w:space="0" w:color="auto"/>
                <w:bottom w:val="none" w:sz="0" w:space="0" w:color="auto"/>
                <w:right w:val="none" w:sz="0" w:space="0" w:color="auto"/>
              </w:divBdr>
            </w:div>
            <w:div w:id="1798403212">
              <w:marLeft w:val="0"/>
              <w:marRight w:val="0"/>
              <w:marTop w:val="0"/>
              <w:marBottom w:val="0"/>
              <w:divBdr>
                <w:top w:val="none" w:sz="0" w:space="0" w:color="auto"/>
                <w:left w:val="none" w:sz="0" w:space="0" w:color="auto"/>
                <w:bottom w:val="none" w:sz="0" w:space="0" w:color="auto"/>
                <w:right w:val="none" w:sz="0" w:space="0" w:color="auto"/>
              </w:divBdr>
            </w:div>
          </w:divsChild>
        </w:div>
        <w:div w:id="1946036922">
          <w:marLeft w:val="0"/>
          <w:marRight w:val="0"/>
          <w:marTop w:val="0"/>
          <w:marBottom w:val="0"/>
          <w:divBdr>
            <w:top w:val="none" w:sz="0" w:space="0" w:color="auto"/>
            <w:left w:val="none" w:sz="0" w:space="0" w:color="auto"/>
            <w:bottom w:val="none" w:sz="0" w:space="0" w:color="auto"/>
            <w:right w:val="none" w:sz="0" w:space="0" w:color="auto"/>
          </w:divBdr>
          <w:divsChild>
            <w:div w:id="310988158">
              <w:marLeft w:val="0"/>
              <w:marRight w:val="0"/>
              <w:marTop w:val="0"/>
              <w:marBottom w:val="0"/>
              <w:divBdr>
                <w:top w:val="none" w:sz="0" w:space="0" w:color="auto"/>
                <w:left w:val="none" w:sz="0" w:space="0" w:color="auto"/>
                <w:bottom w:val="none" w:sz="0" w:space="0" w:color="auto"/>
                <w:right w:val="none" w:sz="0" w:space="0" w:color="auto"/>
              </w:divBdr>
            </w:div>
          </w:divsChild>
        </w:div>
        <w:div w:id="1984847747">
          <w:marLeft w:val="0"/>
          <w:marRight w:val="0"/>
          <w:marTop w:val="0"/>
          <w:marBottom w:val="0"/>
          <w:divBdr>
            <w:top w:val="none" w:sz="0" w:space="0" w:color="auto"/>
            <w:left w:val="none" w:sz="0" w:space="0" w:color="auto"/>
            <w:bottom w:val="none" w:sz="0" w:space="0" w:color="auto"/>
            <w:right w:val="none" w:sz="0" w:space="0" w:color="auto"/>
          </w:divBdr>
          <w:divsChild>
            <w:div w:id="1059094220">
              <w:marLeft w:val="0"/>
              <w:marRight w:val="0"/>
              <w:marTop w:val="0"/>
              <w:marBottom w:val="0"/>
              <w:divBdr>
                <w:top w:val="none" w:sz="0" w:space="0" w:color="auto"/>
                <w:left w:val="none" w:sz="0" w:space="0" w:color="auto"/>
                <w:bottom w:val="none" w:sz="0" w:space="0" w:color="auto"/>
                <w:right w:val="none" w:sz="0" w:space="0" w:color="auto"/>
              </w:divBdr>
            </w:div>
          </w:divsChild>
        </w:div>
        <w:div w:id="2122873446">
          <w:marLeft w:val="0"/>
          <w:marRight w:val="0"/>
          <w:marTop w:val="0"/>
          <w:marBottom w:val="0"/>
          <w:divBdr>
            <w:top w:val="none" w:sz="0" w:space="0" w:color="auto"/>
            <w:left w:val="none" w:sz="0" w:space="0" w:color="auto"/>
            <w:bottom w:val="none" w:sz="0" w:space="0" w:color="auto"/>
            <w:right w:val="none" w:sz="0" w:space="0" w:color="auto"/>
          </w:divBdr>
          <w:divsChild>
            <w:div w:id="10663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1926">
      <w:bodyDiv w:val="1"/>
      <w:marLeft w:val="0"/>
      <w:marRight w:val="0"/>
      <w:marTop w:val="0"/>
      <w:marBottom w:val="0"/>
      <w:divBdr>
        <w:top w:val="none" w:sz="0" w:space="0" w:color="auto"/>
        <w:left w:val="none" w:sz="0" w:space="0" w:color="auto"/>
        <w:bottom w:val="none" w:sz="0" w:space="0" w:color="auto"/>
        <w:right w:val="none" w:sz="0" w:space="0" w:color="auto"/>
      </w:divBdr>
    </w:div>
    <w:div w:id="1045760088">
      <w:bodyDiv w:val="1"/>
      <w:marLeft w:val="0"/>
      <w:marRight w:val="0"/>
      <w:marTop w:val="0"/>
      <w:marBottom w:val="0"/>
      <w:divBdr>
        <w:top w:val="none" w:sz="0" w:space="0" w:color="auto"/>
        <w:left w:val="none" w:sz="0" w:space="0" w:color="auto"/>
        <w:bottom w:val="none" w:sz="0" w:space="0" w:color="auto"/>
        <w:right w:val="none" w:sz="0" w:space="0" w:color="auto"/>
      </w:divBdr>
      <w:divsChild>
        <w:div w:id="170145818">
          <w:marLeft w:val="0"/>
          <w:marRight w:val="0"/>
          <w:marTop w:val="0"/>
          <w:marBottom w:val="0"/>
          <w:divBdr>
            <w:top w:val="none" w:sz="0" w:space="0" w:color="auto"/>
            <w:left w:val="none" w:sz="0" w:space="0" w:color="auto"/>
            <w:bottom w:val="none" w:sz="0" w:space="0" w:color="auto"/>
            <w:right w:val="none" w:sz="0" w:space="0" w:color="auto"/>
          </w:divBdr>
          <w:divsChild>
            <w:div w:id="135949700">
              <w:marLeft w:val="0"/>
              <w:marRight w:val="0"/>
              <w:marTop w:val="0"/>
              <w:marBottom w:val="0"/>
              <w:divBdr>
                <w:top w:val="none" w:sz="0" w:space="0" w:color="auto"/>
                <w:left w:val="none" w:sz="0" w:space="0" w:color="auto"/>
                <w:bottom w:val="none" w:sz="0" w:space="0" w:color="auto"/>
                <w:right w:val="none" w:sz="0" w:space="0" w:color="auto"/>
              </w:divBdr>
            </w:div>
            <w:div w:id="881788905">
              <w:marLeft w:val="0"/>
              <w:marRight w:val="0"/>
              <w:marTop w:val="0"/>
              <w:marBottom w:val="0"/>
              <w:divBdr>
                <w:top w:val="none" w:sz="0" w:space="0" w:color="auto"/>
                <w:left w:val="none" w:sz="0" w:space="0" w:color="auto"/>
                <w:bottom w:val="none" w:sz="0" w:space="0" w:color="auto"/>
                <w:right w:val="none" w:sz="0" w:space="0" w:color="auto"/>
              </w:divBdr>
            </w:div>
            <w:div w:id="885029184">
              <w:marLeft w:val="0"/>
              <w:marRight w:val="0"/>
              <w:marTop w:val="0"/>
              <w:marBottom w:val="0"/>
              <w:divBdr>
                <w:top w:val="none" w:sz="0" w:space="0" w:color="auto"/>
                <w:left w:val="none" w:sz="0" w:space="0" w:color="auto"/>
                <w:bottom w:val="none" w:sz="0" w:space="0" w:color="auto"/>
                <w:right w:val="none" w:sz="0" w:space="0" w:color="auto"/>
              </w:divBdr>
            </w:div>
            <w:div w:id="1055858910">
              <w:marLeft w:val="0"/>
              <w:marRight w:val="0"/>
              <w:marTop w:val="0"/>
              <w:marBottom w:val="0"/>
              <w:divBdr>
                <w:top w:val="none" w:sz="0" w:space="0" w:color="auto"/>
                <w:left w:val="none" w:sz="0" w:space="0" w:color="auto"/>
                <w:bottom w:val="none" w:sz="0" w:space="0" w:color="auto"/>
                <w:right w:val="none" w:sz="0" w:space="0" w:color="auto"/>
              </w:divBdr>
            </w:div>
            <w:div w:id="1062561921">
              <w:marLeft w:val="0"/>
              <w:marRight w:val="0"/>
              <w:marTop w:val="0"/>
              <w:marBottom w:val="0"/>
              <w:divBdr>
                <w:top w:val="none" w:sz="0" w:space="0" w:color="auto"/>
                <w:left w:val="none" w:sz="0" w:space="0" w:color="auto"/>
                <w:bottom w:val="none" w:sz="0" w:space="0" w:color="auto"/>
                <w:right w:val="none" w:sz="0" w:space="0" w:color="auto"/>
              </w:divBdr>
            </w:div>
            <w:div w:id="1116483046">
              <w:marLeft w:val="0"/>
              <w:marRight w:val="0"/>
              <w:marTop w:val="0"/>
              <w:marBottom w:val="0"/>
              <w:divBdr>
                <w:top w:val="none" w:sz="0" w:space="0" w:color="auto"/>
                <w:left w:val="none" w:sz="0" w:space="0" w:color="auto"/>
                <w:bottom w:val="none" w:sz="0" w:space="0" w:color="auto"/>
                <w:right w:val="none" w:sz="0" w:space="0" w:color="auto"/>
              </w:divBdr>
            </w:div>
            <w:div w:id="1154644556">
              <w:marLeft w:val="0"/>
              <w:marRight w:val="0"/>
              <w:marTop w:val="0"/>
              <w:marBottom w:val="0"/>
              <w:divBdr>
                <w:top w:val="none" w:sz="0" w:space="0" w:color="auto"/>
                <w:left w:val="none" w:sz="0" w:space="0" w:color="auto"/>
                <w:bottom w:val="none" w:sz="0" w:space="0" w:color="auto"/>
                <w:right w:val="none" w:sz="0" w:space="0" w:color="auto"/>
              </w:divBdr>
            </w:div>
            <w:div w:id="1385134757">
              <w:marLeft w:val="0"/>
              <w:marRight w:val="0"/>
              <w:marTop w:val="0"/>
              <w:marBottom w:val="0"/>
              <w:divBdr>
                <w:top w:val="none" w:sz="0" w:space="0" w:color="auto"/>
                <w:left w:val="none" w:sz="0" w:space="0" w:color="auto"/>
                <w:bottom w:val="none" w:sz="0" w:space="0" w:color="auto"/>
                <w:right w:val="none" w:sz="0" w:space="0" w:color="auto"/>
              </w:divBdr>
            </w:div>
            <w:div w:id="1415012982">
              <w:marLeft w:val="0"/>
              <w:marRight w:val="0"/>
              <w:marTop w:val="0"/>
              <w:marBottom w:val="0"/>
              <w:divBdr>
                <w:top w:val="none" w:sz="0" w:space="0" w:color="auto"/>
                <w:left w:val="none" w:sz="0" w:space="0" w:color="auto"/>
                <w:bottom w:val="none" w:sz="0" w:space="0" w:color="auto"/>
                <w:right w:val="none" w:sz="0" w:space="0" w:color="auto"/>
              </w:divBdr>
            </w:div>
            <w:div w:id="1650477828">
              <w:marLeft w:val="0"/>
              <w:marRight w:val="0"/>
              <w:marTop w:val="0"/>
              <w:marBottom w:val="0"/>
              <w:divBdr>
                <w:top w:val="none" w:sz="0" w:space="0" w:color="auto"/>
                <w:left w:val="none" w:sz="0" w:space="0" w:color="auto"/>
                <w:bottom w:val="none" w:sz="0" w:space="0" w:color="auto"/>
                <w:right w:val="none" w:sz="0" w:space="0" w:color="auto"/>
              </w:divBdr>
            </w:div>
            <w:div w:id="1755467017">
              <w:marLeft w:val="0"/>
              <w:marRight w:val="0"/>
              <w:marTop w:val="0"/>
              <w:marBottom w:val="0"/>
              <w:divBdr>
                <w:top w:val="none" w:sz="0" w:space="0" w:color="auto"/>
                <w:left w:val="none" w:sz="0" w:space="0" w:color="auto"/>
                <w:bottom w:val="none" w:sz="0" w:space="0" w:color="auto"/>
                <w:right w:val="none" w:sz="0" w:space="0" w:color="auto"/>
              </w:divBdr>
            </w:div>
            <w:div w:id="1830748782">
              <w:marLeft w:val="0"/>
              <w:marRight w:val="0"/>
              <w:marTop w:val="0"/>
              <w:marBottom w:val="0"/>
              <w:divBdr>
                <w:top w:val="none" w:sz="0" w:space="0" w:color="auto"/>
                <w:left w:val="none" w:sz="0" w:space="0" w:color="auto"/>
                <w:bottom w:val="none" w:sz="0" w:space="0" w:color="auto"/>
                <w:right w:val="none" w:sz="0" w:space="0" w:color="auto"/>
              </w:divBdr>
            </w:div>
            <w:div w:id="1926642667">
              <w:marLeft w:val="0"/>
              <w:marRight w:val="0"/>
              <w:marTop w:val="0"/>
              <w:marBottom w:val="0"/>
              <w:divBdr>
                <w:top w:val="none" w:sz="0" w:space="0" w:color="auto"/>
                <w:left w:val="none" w:sz="0" w:space="0" w:color="auto"/>
                <w:bottom w:val="none" w:sz="0" w:space="0" w:color="auto"/>
                <w:right w:val="none" w:sz="0" w:space="0" w:color="auto"/>
              </w:divBdr>
            </w:div>
            <w:div w:id="1953441544">
              <w:marLeft w:val="0"/>
              <w:marRight w:val="0"/>
              <w:marTop w:val="0"/>
              <w:marBottom w:val="0"/>
              <w:divBdr>
                <w:top w:val="none" w:sz="0" w:space="0" w:color="auto"/>
                <w:left w:val="none" w:sz="0" w:space="0" w:color="auto"/>
                <w:bottom w:val="none" w:sz="0" w:space="0" w:color="auto"/>
                <w:right w:val="none" w:sz="0" w:space="0" w:color="auto"/>
              </w:divBdr>
            </w:div>
            <w:div w:id="1965575725">
              <w:marLeft w:val="0"/>
              <w:marRight w:val="0"/>
              <w:marTop w:val="0"/>
              <w:marBottom w:val="0"/>
              <w:divBdr>
                <w:top w:val="none" w:sz="0" w:space="0" w:color="auto"/>
                <w:left w:val="none" w:sz="0" w:space="0" w:color="auto"/>
                <w:bottom w:val="none" w:sz="0" w:space="0" w:color="auto"/>
                <w:right w:val="none" w:sz="0" w:space="0" w:color="auto"/>
              </w:divBdr>
            </w:div>
            <w:div w:id="2050915161">
              <w:marLeft w:val="0"/>
              <w:marRight w:val="0"/>
              <w:marTop w:val="0"/>
              <w:marBottom w:val="0"/>
              <w:divBdr>
                <w:top w:val="none" w:sz="0" w:space="0" w:color="auto"/>
                <w:left w:val="none" w:sz="0" w:space="0" w:color="auto"/>
                <w:bottom w:val="none" w:sz="0" w:space="0" w:color="auto"/>
                <w:right w:val="none" w:sz="0" w:space="0" w:color="auto"/>
              </w:divBdr>
            </w:div>
          </w:divsChild>
        </w:div>
        <w:div w:id="683479066">
          <w:marLeft w:val="0"/>
          <w:marRight w:val="0"/>
          <w:marTop w:val="0"/>
          <w:marBottom w:val="0"/>
          <w:divBdr>
            <w:top w:val="none" w:sz="0" w:space="0" w:color="auto"/>
            <w:left w:val="none" w:sz="0" w:space="0" w:color="auto"/>
            <w:bottom w:val="none" w:sz="0" w:space="0" w:color="auto"/>
            <w:right w:val="none" w:sz="0" w:space="0" w:color="auto"/>
          </w:divBdr>
          <w:divsChild>
            <w:div w:id="112023087">
              <w:marLeft w:val="0"/>
              <w:marRight w:val="0"/>
              <w:marTop w:val="0"/>
              <w:marBottom w:val="0"/>
              <w:divBdr>
                <w:top w:val="none" w:sz="0" w:space="0" w:color="auto"/>
                <w:left w:val="none" w:sz="0" w:space="0" w:color="auto"/>
                <w:bottom w:val="none" w:sz="0" w:space="0" w:color="auto"/>
                <w:right w:val="none" w:sz="0" w:space="0" w:color="auto"/>
              </w:divBdr>
            </w:div>
            <w:div w:id="150873074">
              <w:marLeft w:val="0"/>
              <w:marRight w:val="0"/>
              <w:marTop w:val="0"/>
              <w:marBottom w:val="0"/>
              <w:divBdr>
                <w:top w:val="none" w:sz="0" w:space="0" w:color="auto"/>
                <w:left w:val="none" w:sz="0" w:space="0" w:color="auto"/>
                <w:bottom w:val="none" w:sz="0" w:space="0" w:color="auto"/>
                <w:right w:val="none" w:sz="0" w:space="0" w:color="auto"/>
              </w:divBdr>
            </w:div>
            <w:div w:id="326442010">
              <w:marLeft w:val="0"/>
              <w:marRight w:val="0"/>
              <w:marTop w:val="0"/>
              <w:marBottom w:val="0"/>
              <w:divBdr>
                <w:top w:val="none" w:sz="0" w:space="0" w:color="auto"/>
                <w:left w:val="none" w:sz="0" w:space="0" w:color="auto"/>
                <w:bottom w:val="none" w:sz="0" w:space="0" w:color="auto"/>
                <w:right w:val="none" w:sz="0" w:space="0" w:color="auto"/>
              </w:divBdr>
            </w:div>
            <w:div w:id="416749948">
              <w:marLeft w:val="0"/>
              <w:marRight w:val="0"/>
              <w:marTop w:val="0"/>
              <w:marBottom w:val="0"/>
              <w:divBdr>
                <w:top w:val="none" w:sz="0" w:space="0" w:color="auto"/>
                <w:left w:val="none" w:sz="0" w:space="0" w:color="auto"/>
                <w:bottom w:val="none" w:sz="0" w:space="0" w:color="auto"/>
                <w:right w:val="none" w:sz="0" w:space="0" w:color="auto"/>
              </w:divBdr>
            </w:div>
            <w:div w:id="1169180457">
              <w:marLeft w:val="0"/>
              <w:marRight w:val="0"/>
              <w:marTop w:val="0"/>
              <w:marBottom w:val="0"/>
              <w:divBdr>
                <w:top w:val="none" w:sz="0" w:space="0" w:color="auto"/>
                <w:left w:val="none" w:sz="0" w:space="0" w:color="auto"/>
                <w:bottom w:val="none" w:sz="0" w:space="0" w:color="auto"/>
                <w:right w:val="none" w:sz="0" w:space="0" w:color="auto"/>
              </w:divBdr>
            </w:div>
            <w:div w:id="1338653580">
              <w:marLeft w:val="0"/>
              <w:marRight w:val="0"/>
              <w:marTop w:val="0"/>
              <w:marBottom w:val="0"/>
              <w:divBdr>
                <w:top w:val="none" w:sz="0" w:space="0" w:color="auto"/>
                <w:left w:val="none" w:sz="0" w:space="0" w:color="auto"/>
                <w:bottom w:val="none" w:sz="0" w:space="0" w:color="auto"/>
                <w:right w:val="none" w:sz="0" w:space="0" w:color="auto"/>
              </w:divBdr>
            </w:div>
            <w:div w:id="1474639973">
              <w:marLeft w:val="0"/>
              <w:marRight w:val="0"/>
              <w:marTop w:val="0"/>
              <w:marBottom w:val="0"/>
              <w:divBdr>
                <w:top w:val="none" w:sz="0" w:space="0" w:color="auto"/>
                <w:left w:val="none" w:sz="0" w:space="0" w:color="auto"/>
                <w:bottom w:val="none" w:sz="0" w:space="0" w:color="auto"/>
                <w:right w:val="none" w:sz="0" w:space="0" w:color="auto"/>
              </w:divBdr>
            </w:div>
            <w:div w:id="1486241451">
              <w:marLeft w:val="0"/>
              <w:marRight w:val="0"/>
              <w:marTop w:val="0"/>
              <w:marBottom w:val="0"/>
              <w:divBdr>
                <w:top w:val="none" w:sz="0" w:space="0" w:color="auto"/>
                <w:left w:val="none" w:sz="0" w:space="0" w:color="auto"/>
                <w:bottom w:val="none" w:sz="0" w:space="0" w:color="auto"/>
                <w:right w:val="none" w:sz="0" w:space="0" w:color="auto"/>
              </w:divBdr>
            </w:div>
            <w:div w:id="1724597399">
              <w:marLeft w:val="0"/>
              <w:marRight w:val="0"/>
              <w:marTop w:val="0"/>
              <w:marBottom w:val="0"/>
              <w:divBdr>
                <w:top w:val="none" w:sz="0" w:space="0" w:color="auto"/>
                <w:left w:val="none" w:sz="0" w:space="0" w:color="auto"/>
                <w:bottom w:val="none" w:sz="0" w:space="0" w:color="auto"/>
                <w:right w:val="none" w:sz="0" w:space="0" w:color="auto"/>
              </w:divBdr>
            </w:div>
            <w:div w:id="18419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949">
      <w:bodyDiv w:val="1"/>
      <w:marLeft w:val="0"/>
      <w:marRight w:val="0"/>
      <w:marTop w:val="0"/>
      <w:marBottom w:val="0"/>
      <w:divBdr>
        <w:top w:val="none" w:sz="0" w:space="0" w:color="auto"/>
        <w:left w:val="none" w:sz="0" w:space="0" w:color="auto"/>
        <w:bottom w:val="none" w:sz="0" w:space="0" w:color="auto"/>
        <w:right w:val="none" w:sz="0" w:space="0" w:color="auto"/>
      </w:divBdr>
    </w:div>
    <w:div w:id="1194613303">
      <w:bodyDiv w:val="1"/>
      <w:marLeft w:val="0"/>
      <w:marRight w:val="0"/>
      <w:marTop w:val="0"/>
      <w:marBottom w:val="0"/>
      <w:divBdr>
        <w:top w:val="none" w:sz="0" w:space="0" w:color="auto"/>
        <w:left w:val="none" w:sz="0" w:space="0" w:color="auto"/>
        <w:bottom w:val="none" w:sz="0" w:space="0" w:color="auto"/>
        <w:right w:val="none" w:sz="0" w:space="0" w:color="auto"/>
      </w:divBdr>
    </w:div>
    <w:div w:id="1205606165">
      <w:bodyDiv w:val="1"/>
      <w:marLeft w:val="0"/>
      <w:marRight w:val="0"/>
      <w:marTop w:val="0"/>
      <w:marBottom w:val="0"/>
      <w:divBdr>
        <w:top w:val="none" w:sz="0" w:space="0" w:color="auto"/>
        <w:left w:val="none" w:sz="0" w:space="0" w:color="auto"/>
        <w:bottom w:val="none" w:sz="0" w:space="0" w:color="auto"/>
        <w:right w:val="none" w:sz="0" w:space="0" w:color="auto"/>
      </w:divBdr>
      <w:divsChild>
        <w:div w:id="532498535">
          <w:marLeft w:val="0"/>
          <w:marRight w:val="0"/>
          <w:marTop w:val="0"/>
          <w:marBottom w:val="0"/>
          <w:divBdr>
            <w:top w:val="none" w:sz="0" w:space="0" w:color="auto"/>
            <w:left w:val="none" w:sz="0" w:space="0" w:color="auto"/>
            <w:bottom w:val="none" w:sz="0" w:space="0" w:color="auto"/>
            <w:right w:val="none" w:sz="0" w:space="0" w:color="auto"/>
          </w:divBdr>
          <w:divsChild>
            <w:div w:id="146746886">
              <w:marLeft w:val="0"/>
              <w:marRight w:val="0"/>
              <w:marTop w:val="0"/>
              <w:marBottom w:val="0"/>
              <w:divBdr>
                <w:top w:val="none" w:sz="0" w:space="0" w:color="auto"/>
                <w:left w:val="none" w:sz="0" w:space="0" w:color="auto"/>
                <w:bottom w:val="none" w:sz="0" w:space="0" w:color="auto"/>
                <w:right w:val="none" w:sz="0" w:space="0" w:color="auto"/>
              </w:divBdr>
            </w:div>
            <w:div w:id="754977644">
              <w:marLeft w:val="0"/>
              <w:marRight w:val="0"/>
              <w:marTop w:val="0"/>
              <w:marBottom w:val="0"/>
              <w:divBdr>
                <w:top w:val="none" w:sz="0" w:space="0" w:color="auto"/>
                <w:left w:val="none" w:sz="0" w:space="0" w:color="auto"/>
                <w:bottom w:val="none" w:sz="0" w:space="0" w:color="auto"/>
                <w:right w:val="none" w:sz="0" w:space="0" w:color="auto"/>
              </w:divBdr>
            </w:div>
            <w:div w:id="908267294">
              <w:marLeft w:val="0"/>
              <w:marRight w:val="0"/>
              <w:marTop w:val="0"/>
              <w:marBottom w:val="0"/>
              <w:divBdr>
                <w:top w:val="none" w:sz="0" w:space="0" w:color="auto"/>
                <w:left w:val="none" w:sz="0" w:space="0" w:color="auto"/>
                <w:bottom w:val="none" w:sz="0" w:space="0" w:color="auto"/>
                <w:right w:val="none" w:sz="0" w:space="0" w:color="auto"/>
              </w:divBdr>
            </w:div>
            <w:div w:id="1117526160">
              <w:marLeft w:val="0"/>
              <w:marRight w:val="0"/>
              <w:marTop w:val="0"/>
              <w:marBottom w:val="0"/>
              <w:divBdr>
                <w:top w:val="none" w:sz="0" w:space="0" w:color="auto"/>
                <w:left w:val="none" w:sz="0" w:space="0" w:color="auto"/>
                <w:bottom w:val="none" w:sz="0" w:space="0" w:color="auto"/>
                <w:right w:val="none" w:sz="0" w:space="0" w:color="auto"/>
              </w:divBdr>
            </w:div>
            <w:div w:id="1222668247">
              <w:marLeft w:val="0"/>
              <w:marRight w:val="0"/>
              <w:marTop w:val="0"/>
              <w:marBottom w:val="0"/>
              <w:divBdr>
                <w:top w:val="none" w:sz="0" w:space="0" w:color="auto"/>
                <w:left w:val="none" w:sz="0" w:space="0" w:color="auto"/>
                <w:bottom w:val="none" w:sz="0" w:space="0" w:color="auto"/>
                <w:right w:val="none" w:sz="0" w:space="0" w:color="auto"/>
              </w:divBdr>
            </w:div>
            <w:div w:id="1426078667">
              <w:marLeft w:val="0"/>
              <w:marRight w:val="0"/>
              <w:marTop w:val="0"/>
              <w:marBottom w:val="0"/>
              <w:divBdr>
                <w:top w:val="none" w:sz="0" w:space="0" w:color="auto"/>
                <w:left w:val="none" w:sz="0" w:space="0" w:color="auto"/>
                <w:bottom w:val="none" w:sz="0" w:space="0" w:color="auto"/>
                <w:right w:val="none" w:sz="0" w:space="0" w:color="auto"/>
              </w:divBdr>
            </w:div>
            <w:div w:id="1449355958">
              <w:marLeft w:val="0"/>
              <w:marRight w:val="0"/>
              <w:marTop w:val="0"/>
              <w:marBottom w:val="0"/>
              <w:divBdr>
                <w:top w:val="none" w:sz="0" w:space="0" w:color="auto"/>
                <w:left w:val="none" w:sz="0" w:space="0" w:color="auto"/>
                <w:bottom w:val="none" w:sz="0" w:space="0" w:color="auto"/>
                <w:right w:val="none" w:sz="0" w:space="0" w:color="auto"/>
              </w:divBdr>
            </w:div>
            <w:div w:id="1622346887">
              <w:marLeft w:val="0"/>
              <w:marRight w:val="0"/>
              <w:marTop w:val="0"/>
              <w:marBottom w:val="0"/>
              <w:divBdr>
                <w:top w:val="none" w:sz="0" w:space="0" w:color="auto"/>
                <w:left w:val="none" w:sz="0" w:space="0" w:color="auto"/>
                <w:bottom w:val="none" w:sz="0" w:space="0" w:color="auto"/>
                <w:right w:val="none" w:sz="0" w:space="0" w:color="auto"/>
              </w:divBdr>
            </w:div>
            <w:div w:id="1657879168">
              <w:marLeft w:val="0"/>
              <w:marRight w:val="0"/>
              <w:marTop w:val="0"/>
              <w:marBottom w:val="0"/>
              <w:divBdr>
                <w:top w:val="none" w:sz="0" w:space="0" w:color="auto"/>
                <w:left w:val="none" w:sz="0" w:space="0" w:color="auto"/>
                <w:bottom w:val="none" w:sz="0" w:space="0" w:color="auto"/>
                <w:right w:val="none" w:sz="0" w:space="0" w:color="auto"/>
              </w:divBdr>
            </w:div>
            <w:div w:id="2072118804">
              <w:marLeft w:val="0"/>
              <w:marRight w:val="0"/>
              <w:marTop w:val="0"/>
              <w:marBottom w:val="0"/>
              <w:divBdr>
                <w:top w:val="none" w:sz="0" w:space="0" w:color="auto"/>
                <w:left w:val="none" w:sz="0" w:space="0" w:color="auto"/>
                <w:bottom w:val="none" w:sz="0" w:space="0" w:color="auto"/>
                <w:right w:val="none" w:sz="0" w:space="0" w:color="auto"/>
              </w:divBdr>
            </w:div>
          </w:divsChild>
        </w:div>
        <w:div w:id="1945767752">
          <w:marLeft w:val="0"/>
          <w:marRight w:val="0"/>
          <w:marTop w:val="0"/>
          <w:marBottom w:val="0"/>
          <w:divBdr>
            <w:top w:val="none" w:sz="0" w:space="0" w:color="auto"/>
            <w:left w:val="none" w:sz="0" w:space="0" w:color="auto"/>
            <w:bottom w:val="none" w:sz="0" w:space="0" w:color="auto"/>
            <w:right w:val="none" w:sz="0" w:space="0" w:color="auto"/>
          </w:divBdr>
          <w:divsChild>
            <w:div w:id="36391168">
              <w:marLeft w:val="0"/>
              <w:marRight w:val="0"/>
              <w:marTop w:val="0"/>
              <w:marBottom w:val="0"/>
              <w:divBdr>
                <w:top w:val="none" w:sz="0" w:space="0" w:color="auto"/>
                <w:left w:val="none" w:sz="0" w:space="0" w:color="auto"/>
                <w:bottom w:val="none" w:sz="0" w:space="0" w:color="auto"/>
                <w:right w:val="none" w:sz="0" w:space="0" w:color="auto"/>
              </w:divBdr>
            </w:div>
            <w:div w:id="105470488">
              <w:marLeft w:val="0"/>
              <w:marRight w:val="0"/>
              <w:marTop w:val="0"/>
              <w:marBottom w:val="0"/>
              <w:divBdr>
                <w:top w:val="none" w:sz="0" w:space="0" w:color="auto"/>
                <w:left w:val="none" w:sz="0" w:space="0" w:color="auto"/>
                <w:bottom w:val="none" w:sz="0" w:space="0" w:color="auto"/>
                <w:right w:val="none" w:sz="0" w:space="0" w:color="auto"/>
              </w:divBdr>
            </w:div>
            <w:div w:id="139733073">
              <w:marLeft w:val="0"/>
              <w:marRight w:val="0"/>
              <w:marTop w:val="0"/>
              <w:marBottom w:val="0"/>
              <w:divBdr>
                <w:top w:val="none" w:sz="0" w:space="0" w:color="auto"/>
                <w:left w:val="none" w:sz="0" w:space="0" w:color="auto"/>
                <w:bottom w:val="none" w:sz="0" w:space="0" w:color="auto"/>
                <w:right w:val="none" w:sz="0" w:space="0" w:color="auto"/>
              </w:divBdr>
            </w:div>
            <w:div w:id="218590487">
              <w:marLeft w:val="0"/>
              <w:marRight w:val="0"/>
              <w:marTop w:val="0"/>
              <w:marBottom w:val="0"/>
              <w:divBdr>
                <w:top w:val="none" w:sz="0" w:space="0" w:color="auto"/>
                <w:left w:val="none" w:sz="0" w:space="0" w:color="auto"/>
                <w:bottom w:val="none" w:sz="0" w:space="0" w:color="auto"/>
                <w:right w:val="none" w:sz="0" w:space="0" w:color="auto"/>
              </w:divBdr>
            </w:div>
            <w:div w:id="285622346">
              <w:marLeft w:val="0"/>
              <w:marRight w:val="0"/>
              <w:marTop w:val="0"/>
              <w:marBottom w:val="0"/>
              <w:divBdr>
                <w:top w:val="none" w:sz="0" w:space="0" w:color="auto"/>
                <w:left w:val="none" w:sz="0" w:space="0" w:color="auto"/>
                <w:bottom w:val="none" w:sz="0" w:space="0" w:color="auto"/>
                <w:right w:val="none" w:sz="0" w:space="0" w:color="auto"/>
              </w:divBdr>
            </w:div>
            <w:div w:id="360011324">
              <w:marLeft w:val="0"/>
              <w:marRight w:val="0"/>
              <w:marTop w:val="0"/>
              <w:marBottom w:val="0"/>
              <w:divBdr>
                <w:top w:val="none" w:sz="0" w:space="0" w:color="auto"/>
                <w:left w:val="none" w:sz="0" w:space="0" w:color="auto"/>
                <w:bottom w:val="none" w:sz="0" w:space="0" w:color="auto"/>
                <w:right w:val="none" w:sz="0" w:space="0" w:color="auto"/>
              </w:divBdr>
            </w:div>
            <w:div w:id="904753569">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
            <w:div w:id="1024288539">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
            <w:div w:id="1152675774">
              <w:marLeft w:val="0"/>
              <w:marRight w:val="0"/>
              <w:marTop w:val="0"/>
              <w:marBottom w:val="0"/>
              <w:divBdr>
                <w:top w:val="none" w:sz="0" w:space="0" w:color="auto"/>
                <w:left w:val="none" w:sz="0" w:space="0" w:color="auto"/>
                <w:bottom w:val="none" w:sz="0" w:space="0" w:color="auto"/>
                <w:right w:val="none" w:sz="0" w:space="0" w:color="auto"/>
              </w:divBdr>
            </w:div>
            <w:div w:id="1319068472">
              <w:marLeft w:val="0"/>
              <w:marRight w:val="0"/>
              <w:marTop w:val="0"/>
              <w:marBottom w:val="0"/>
              <w:divBdr>
                <w:top w:val="none" w:sz="0" w:space="0" w:color="auto"/>
                <w:left w:val="none" w:sz="0" w:space="0" w:color="auto"/>
                <w:bottom w:val="none" w:sz="0" w:space="0" w:color="auto"/>
                <w:right w:val="none" w:sz="0" w:space="0" w:color="auto"/>
              </w:divBdr>
            </w:div>
            <w:div w:id="1320966309">
              <w:marLeft w:val="0"/>
              <w:marRight w:val="0"/>
              <w:marTop w:val="0"/>
              <w:marBottom w:val="0"/>
              <w:divBdr>
                <w:top w:val="none" w:sz="0" w:space="0" w:color="auto"/>
                <w:left w:val="none" w:sz="0" w:space="0" w:color="auto"/>
                <w:bottom w:val="none" w:sz="0" w:space="0" w:color="auto"/>
                <w:right w:val="none" w:sz="0" w:space="0" w:color="auto"/>
              </w:divBdr>
            </w:div>
            <w:div w:id="1405104369">
              <w:marLeft w:val="0"/>
              <w:marRight w:val="0"/>
              <w:marTop w:val="0"/>
              <w:marBottom w:val="0"/>
              <w:divBdr>
                <w:top w:val="none" w:sz="0" w:space="0" w:color="auto"/>
                <w:left w:val="none" w:sz="0" w:space="0" w:color="auto"/>
                <w:bottom w:val="none" w:sz="0" w:space="0" w:color="auto"/>
                <w:right w:val="none" w:sz="0" w:space="0" w:color="auto"/>
              </w:divBdr>
            </w:div>
            <w:div w:id="1779056846">
              <w:marLeft w:val="0"/>
              <w:marRight w:val="0"/>
              <w:marTop w:val="0"/>
              <w:marBottom w:val="0"/>
              <w:divBdr>
                <w:top w:val="none" w:sz="0" w:space="0" w:color="auto"/>
                <w:left w:val="none" w:sz="0" w:space="0" w:color="auto"/>
                <w:bottom w:val="none" w:sz="0" w:space="0" w:color="auto"/>
                <w:right w:val="none" w:sz="0" w:space="0" w:color="auto"/>
              </w:divBdr>
            </w:div>
            <w:div w:id="21053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5387">
      <w:bodyDiv w:val="1"/>
      <w:marLeft w:val="0"/>
      <w:marRight w:val="0"/>
      <w:marTop w:val="0"/>
      <w:marBottom w:val="0"/>
      <w:divBdr>
        <w:top w:val="none" w:sz="0" w:space="0" w:color="auto"/>
        <w:left w:val="none" w:sz="0" w:space="0" w:color="auto"/>
        <w:bottom w:val="none" w:sz="0" w:space="0" w:color="auto"/>
        <w:right w:val="none" w:sz="0" w:space="0" w:color="auto"/>
      </w:divBdr>
    </w:div>
    <w:div w:id="12757914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4955693">
      <w:bodyDiv w:val="1"/>
      <w:marLeft w:val="0"/>
      <w:marRight w:val="0"/>
      <w:marTop w:val="0"/>
      <w:marBottom w:val="0"/>
      <w:divBdr>
        <w:top w:val="none" w:sz="0" w:space="0" w:color="auto"/>
        <w:left w:val="none" w:sz="0" w:space="0" w:color="auto"/>
        <w:bottom w:val="none" w:sz="0" w:space="0" w:color="auto"/>
        <w:right w:val="none" w:sz="0" w:space="0" w:color="auto"/>
      </w:divBdr>
    </w:div>
    <w:div w:id="155827807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076230">
      <w:bodyDiv w:val="1"/>
      <w:marLeft w:val="0"/>
      <w:marRight w:val="0"/>
      <w:marTop w:val="0"/>
      <w:marBottom w:val="0"/>
      <w:divBdr>
        <w:top w:val="none" w:sz="0" w:space="0" w:color="auto"/>
        <w:left w:val="none" w:sz="0" w:space="0" w:color="auto"/>
        <w:bottom w:val="none" w:sz="0" w:space="0" w:color="auto"/>
        <w:right w:val="none" w:sz="0" w:space="0" w:color="auto"/>
      </w:divBdr>
      <w:divsChild>
        <w:div w:id="18435024">
          <w:marLeft w:val="0"/>
          <w:marRight w:val="0"/>
          <w:marTop w:val="0"/>
          <w:marBottom w:val="0"/>
          <w:divBdr>
            <w:top w:val="none" w:sz="0" w:space="0" w:color="auto"/>
            <w:left w:val="none" w:sz="0" w:space="0" w:color="auto"/>
            <w:bottom w:val="none" w:sz="0" w:space="0" w:color="auto"/>
            <w:right w:val="none" w:sz="0" w:space="0" w:color="auto"/>
          </w:divBdr>
          <w:divsChild>
            <w:div w:id="1179546122">
              <w:marLeft w:val="0"/>
              <w:marRight w:val="0"/>
              <w:marTop w:val="0"/>
              <w:marBottom w:val="0"/>
              <w:divBdr>
                <w:top w:val="none" w:sz="0" w:space="0" w:color="auto"/>
                <w:left w:val="none" w:sz="0" w:space="0" w:color="auto"/>
                <w:bottom w:val="none" w:sz="0" w:space="0" w:color="auto"/>
                <w:right w:val="none" w:sz="0" w:space="0" w:color="auto"/>
              </w:divBdr>
            </w:div>
          </w:divsChild>
        </w:div>
        <w:div w:id="266426696">
          <w:marLeft w:val="0"/>
          <w:marRight w:val="0"/>
          <w:marTop w:val="0"/>
          <w:marBottom w:val="0"/>
          <w:divBdr>
            <w:top w:val="none" w:sz="0" w:space="0" w:color="auto"/>
            <w:left w:val="none" w:sz="0" w:space="0" w:color="auto"/>
            <w:bottom w:val="none" w:sz="0" w:space="0" w:color="auto"/>
            <w:right w:val="none" w:sz="0" w:space="0" w:color="auto"/>
          </w:divBdr>
          <w:divsChild>
            <w:div w:id="1640304144">
              <w:marLeft w:val="0"/>
              <w:marRight w:val="0"/>
              <w:marTop w:val="0"/>
              <w:marBottom w:val="0"/>
              <w:divBdr>
                <w:top w:val="none" w:sz="0" w:space="0" w:color="auto"/>
                <w:left w:val="none" w:sz="0" w:space="0" w:color="auto"/>
                <w:bottom w:val="none" w:sz="0" w:space="0" w:color="auto"/>
                <w:right w:val="none" w:sz="0" w:space="0" w:color="auto"/>
              </w:divBdr>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532840248">
              <w:marLeft w:val="0"/>
              <w:marRight w:val="0"/>
              <w:marTop w:val="0"/>
              <w:marBottom w:val="0"/>
              <w:divBdr>
                <w:top w:val="none" w:sz="0" w:space="0" w:color="auto"/>
                <w:left w:val="none" w:sz="0" w:space="0" w:color="auto"/>
                <w:bottom w:val="none" w:sz="0" w:space="0" w:color="auto"/>
                <w:right w:val="none" w:sz="0" w:space="0" w:color="auto"/>
              </w:divBdr>
            </w:div>
          </w:divsChild>
        </w:div>
        <w:div w:id="371855185">
          <w:marLeft w:val="0"/>
          <w:marRight w:val="0"/>
          <w:marTop w:val="0"/>
          <w:marBottom w:val="0"/>
          <w:divBdr>
            <w:top w:val="none" w:sz="0" w:space="0" w:color="auto"/>
            <w:left w:val="none" w:sz="0" w:space="0" w:color="auto"/>
            <w:bottom w:val="none" w:sz="0" w:space="0" w:color="auto"/>
            <w:right w:val="none" w:sz="0" w:space="0" w:color="auto"/>
          </w:divBdr>
          <w:divsChild>
            <w:div w:id="52701231">
              <w:marLeft w:val="0"/>
              <w:marRight w:val="0"/>
              <w:marTop w:val="0"/>
              <w:marBottom w:val="0"/>
              <w:divBdr>
                <w:top w:val="none" w:sz="0" w:space="0" w:color="auto"/>
                <w:left w:val="none" w:sz="0" w:space="0" w:color="auto"/>
                <w:bottom w:val="none" w:sz="0" w:space="0" w:color="auto"/>
                <w:right w:val="none" w:sz="0" w:space="0" w:color="auto"/>
              </w:divBdr>
            </w:div>
            <w:div w:id="67195980">
              <w:marLeft w:val="0"/>
              <w:marRight w:val="0"/>
              <w:marTop w:val="0"/>
              <w:marBottom w:val="0"/>
              <w:divBdr>
                <w:top w:val="none" w:sz="0" w:space="0" w:color="auto"/>
                <w:left w:val="none" w:sz="0" w:space="0" w:color="auto"/>
                <w:bottom w:val="none" w:sz="0" w:space="0" w:color="auto"/>
                <w:right w:val="none" w:sz="0" w:space="0" w:color="auto"/>
              </w:divBdr>
            </w:div>
            <w:div w:id="573122209">
              <w:marLeft w:val="0"/>
              <w:marRight w:val="0"/>
              <w:marTop w:val="0"/>
              <w:marBottom w:val="0"/>
              <w:divBdr>
                <w:top w:val="none" w:sz="0" w:space="0" w:color="auto"/>
                <w:left w:val="none" w:sz="0" w:space="0" w:color="auto"/>
                <w:bottom w:val="none" w:sz="0" w:space="0" w:color="auto"/>
                <w:right w:val="none" w:sz="0" w:space="0" w:color="auto"/>
              </w:divBdr>
            </w:div>
            <w:div w:id="1084567218">
              <w:marLeft w:val="0"/>
              <w:marRight w:val="0"/>
              <w:marTop w:val="0"/>
              <w:marBottom w:val="0"/>
              <w:divBdr>
                <w:top w:val="none" w:sz="0" w:space="0" w:color="auto"/>
                <w:left w:val="none" w:sz="0" w:space="0" w:color="auto"/>
                <w:bottom w:val="none" w:sz="0" w:space="0" w:color="auto"/>
                <w:right w:val="none" w:sz="0" w:space="0" w:color="auto"/>
              </w:divBdr>
            </w:div>
            <w:div w:id="1178884294">
              <w:marLeft w:val="0"/>
              <w:marRight w:val="0"/>
              <w:marTop w:val="0"/>
              <w:marBottom w:val="0"/>
              <w:divBdr>
                <w:top w:val="none" w:sz="0" w:space="0" w:color="auto"/>
                <w:left w:val="none" w:sz="0" w:space="0" w:color="auto"/>
                <w:bottom w:val="none" w:sz="0" w:space="0" w:color="auto"/>
                <w:right w:val="none" w:sz="0" w:space="0" w:color="auto"/>
              </w:divBdr>
            </w:div>
            <w:div w:id="1218855426">
              <w:marLeft w:val="0"/>
              <w:marRight w:val="0"/>
              <w:marTop w:val="0"/>
              <w:marBottom w:val="0"/>
              <w:divBdr>
                <w:top w:val="none" w:sz="0" w:space="0" w:color="auto"/>
                <w:left w:val="none" w:sz="0" w:space="0" w:color="auto"/>
                <w:bottom w:val="none" w:sz="0" w:space="0" w:color="auto"/>
                <w:right w:val="none" w:sz="0" w:space="0" w:color="auto"/>
              </w:divBdr>
            </w:div>
            <w:div w:id="1280647204">
              <w:marLeft w:val="0"/>
              <w:marRight w:val="0"/>
              <w:marTop w:val="0"/>
              <w:marBottom w:val="0"/>
              <w:divBdr>
                <w:top w:val="none" w:sz="0" w:space="0" w:color="auto"/>
                <w:left w:val="none" w:sz="0" w:space="0" w:color="auto"/>
                <w:bottom w:val="none" w:sz="0" w:space="0" w:color="auto"/>
                <w:right w:val="none" w:sz="0" w:space="0" w:color="auto"/>
              </w:divBdr>
            </w:div>
            <w:div w:id="1492604180">
              <w:marLeft w:val="0"/>
              <w:marRight w:val="0"/>
              <w:marTop w:val="0"/>
              <w:marBottom w:val="0"/>
              <w:divBdr>
                <w:top w:val="none" w:sz="0" w:space="0" w:color="auto"/>
                <w:left w:val="none" w:sz="0" w:space="0" w:color="auto"/>
                <w:bottom w:val="none" w:sz="0" w:space="0" w:color="auto"/>
                <w:right w:val="none" w:sz="0" w:space="0" w:color="auto"/>
              </w:divBdr>
            </w:div>
            <w:div w:id="1793329044">
              <w:marLeft w:val="0"/>
              <w:marRight w:val="0"/>
              <w:marTop w:val="0"/>
              <w:marBottom w:val="0"/>
              <w:divBdr>
                <w:top w:val="none" w:sz="0" w:space="0" w:color="auto"/>
                <w:left w:val="none" w:sz="0" w:space="0" w:color="auto"/>
                <w:bottom w:val="none" w:sz="0" w:space="0" w:color="auto"/>
                <w:right w:val="none" w:sz="0" w:space="0" w:color="auto"/>
              </w:divBdr>
            </w:div>
            <w:div w:id="1927642937">
              <w:marLeft w:val="0"/>
              <w:marRight w:val="0"/>
              <w:marTop w:val="0"/>
              <w:marBottom w:val="0"/>
              <w:divBdr>
                <w:top w:val="none" w:sz="0" w:space="0" w:color="auto"/>
                <w:left w:val="none" w:sz="0" w:space="0" w:color="auto"/>
                <w:bottom w:val="none" w:sz="0" w:space="0" w:color="auto"/>
                <w:right w:val="none" w:sz="0" w:space="0" w:color="auto"/>
              </w:divBdr>
            </w:div>
            <w:div w:id="2085101185">
              <w:marLeft w:val="0"/>
              <w:marRight w:val="0"/>
              <w:marTop w:val="0"/>
              <w:marBottom w:val="0"/>
              <w:divBdr>
                <w:top w:val="none" w:sz="0" w:space="0" w:color="auto"/>
                <w:left w:val="none" w:sz="0" w:space="0" w:color="auto"/>
                <w:bottom w:val="none" w:sz="0" w:space="0" w:color="auto"/>
                <w:right w:val="none" w:sz="0" w:space="0" w:color="auto"/>
              </w:divBdr>
            </w:div>
          </w:divsChild>
        </w:div>
        <w:div w:id="459030267">
          <w:marLeft w:val="0"/>
          <w:marRight w:val="0"/>
          <w:marTop w:val="0"/>
          <w:marBottom w:val="0"/>
          <w:divBdr>
            <w:top w:val="none" w:sz="0" w:space="0" w:color="auto"/>
            <w:left w:val="none" w:sz="0" w:space="0" w:color="auto"/>
            <w:bottom w:val="none" w:sz="0" w:space="0" w:color="auto"/>
            <w:right w:val="none" w:sz="0" w:space="0" w:color="auto"/>
          </w:divBdr>
          <w:divsChild>
            <w:div w:id="1683121360">
              <w:marLeft w:val="0"/>
              <w:marRight w:val="0"/>
              <w:marTop w:val="0"/>
              <w:marBottom w:val="0"/>
              <w:divBdr>
                <w:top w:val="none" w:sz="0" w:space="0" w:color="auto"/>
                <w:left w:val="none" w:sz="0" w:space="0" w:color="auto"/>
                <w:bottom w:val="none" w:sz="0" w:space="0" w:color="auto"/>
                <w:right w:val="none" w:sz="0" w:space="0" w:color="auto"/>
              </w:divBdr>
            </w:div>
          </w:divsChild>
        </w:div>
        <w:div w:id="496725033">
          <w:marLeft w:val="0"/>
          <w:marRight w:val="0"/>
          <w:marTop w:val="0"/>
          <w:marBottom w:val="0"/>
          <w:divBdr>
            <w:top w:val="none" w:sz="0" w:space="0" w:color="auto"/>
            <w:left w:val="none" w:sz="0" w:space="0" w:color="auto"/>
            <w:bottom w:val="none" w:sz="0" w:space="0" w:color="auto"/>
            <w:right w:val="none" w:sz="0" w:space="0" w:color="auto"/>
          </w:divBdr>
          <w:divsChild>
            <w:div w:id="1256355222">
              <w:marLeft w:val="0"/>
              <w:marRight w:val="0"/>
              <w:marTop w:val="0"/>
              <w:marBottom w:val="0"/>
              <w:divBdr>
                <w:top w:val="none" w:sz="0" w:space="0" w:color="auto"/>
                <w:left w:val="none" w:sz="0" w:space="0" w:color="auto"/>
                <w:bottom w:val="none" w:sz="0" w:space="0" w:color="auto"/>
                <w:right w:val="none" w:sz="0" w:space="0" w:color="auto"/>
              </w:divBdr>
            </w:div>
          </w:divsChild>
        </w:div>
        <w:div w:id="511649702">
          <w:marLeft w:val="0"/>
          <w:marRight w:val="0"/>
          <w:marTop w:val="0"/>
          <w:marBottom w:val="0"/>
          <w:divBdr>
            <w:top w:val="none" w:sz="0" w:space="0" w:color="auto"/>
            <w:left w:val="none" w:sz="0" w:space="0" w:color="auto"/>
            <w:bottom w:val="none" w:sz="0" w:space="0" w:color="auto"/>
            <w:right w:val="none" w:sz="0" w:space="0" w:color="auto"/>
          </w:divBdr>
          <w:divsChild>
            <w:div w:id="1229342579">
              <w:marLeft w:val="0"/>
              <w:marRight w:val="0"/>
              <w:marTop w:val="0"/>
              <w:marBottom w:val="0"/>
              <w:divBdr>
                <w:top w:val="none" w:sz="0" w:space="0" w:color="auto"/>
                <w:left w:val="none" w:sz="0" w:space="0" w:color="auto"/>
                <w:bottom w:val="none" w:sz="0" w:space="0" w:color="auto"/>
                <w:right w:val="none" w:sz="0" w:space="0" w:color="auto"/>
              </w:divBdr>
            </w:div>
          </w:divsChild>
        </w:div>
        <w:div w:id="523328199">
          <w:marLeft w:val="0"/>
          <w:marRight w:val="0"/>
          <w:marTop w:val="0"/>
          <w:marBottom w:val="0"/>
          <w:divBdr>
            <w:top w:val="none" w:sz="0" w:space="0" w:color="auto"/>
            <w:left w:val="none" w:sz="0" w:space="0" w:color="auto"/>
            <w:bottom w:val="none" w:sz="0" w:space="0" w:color="auto"/>
            <w:right w:val="none" w:sz="0" w:space="0" w:color="auto"/>
          </w:divBdr>
          <w:divsChild>
            <w:div w:id="1411540790">
              <w:marLeft w:val="0"/>
              <w:marRight w:val="0"/>
              <w:marTop w:val="0"/>
              <w:marBottom w:val="0"/>
              <w:divBdr>
                <w:top w:val="none" w:sz="0" w:space="0" w:color="auto"/>
                <w:left w:val="none" w:sz="0" w:space="0" w:color="auto"/>
                <w:bottom w:val="none" w:sz="0" w:space="0" w:color="auto"/>
                <w:right w:val="none" w:sz="0" w:space="0" w:color="auto"/>
              </w:divBdr>
            </w:div>
          </w:divsChild>
        </w:div>
        <w:div w:id="553126527">
          <w:marLeft w:val="0"/>
          <w:marRight w:val="0"/>
          <w:marTop w:val="0"/>
          <w:marBottom w:val="0"/>
          <w:divBdr>
            <w:top w:val="none" w:sz="0" w:space="0" w:color="auto"/>
            <w:left w:val="none" w:sz="0" w:space="0" w:color="auto"/>
            <w:bottom w:val="none" w:sz="0" w:space="0" w:color="auto"/>
            <w:right w:val="none" w:sz="0" w:space="0" w:color="auto"/>
          </w:divBdr>
          <w:divsChild>
            <w:div w:id="1243292268">
              <w:marLeft w:val="0"/>
              <w:marRight w:val="0"/>
              <w:marTop w:val="0"/>
              <w:marBottom w:val="0"/>
              <w:divBdr>
                <w:top w:val="none" w:sz="0" w:space="0" w:color="auto"/>
                <w:left w:val="none" w:sz="0" w:space="0" w:color="auto"/>
                <w:bottom w:val="none" w:sz="0" w:space="0" w:color="auto"/>
                <w:right w:val="none" w:sz="0" w:space="0" w:color="auto"/>
              </w:divBdr>
            </w:div>
          </w:divsChild>
        </w:div>
        <w:div w:id="699864478">
          <w:marLeft w:val="0"/>
          <w:marRight w:val="0"/>
          <w:marTop w:val="0"/>
          <w:marBottom w:val="0"/>
          <w:divBdr>
            <w:top w:val="none" w:sz="0" w:space="0" w:color="auto"/>
            <w:left w:val="none" w:sz="0" w:space="0" w:color="auto"/>
            <w:bottom w:val="none" w:sz="0" w:space="0" w:color="auto"/>
            <w:right w:val="none" w:sz="0" w:space="0" w:color="auto"/>
          </w:divBdr>
          <w:divsChild>
            <w:div w:id="872696348">
              <w:marLeft w:val="0"/>
              <w:marRight w:val="0"/>
              <w:marTop w:val="0"/>
              <w:marBottom w:val="0"/>
              <w:divBdr>
                <w:top w:val="none" w:sz="0" w:space="0" w:color="auto"/>
                <w:left w:val="none" w:sz="0" w:space="0" w:color="auto"/>
                <w:bottom w:val="none" w:sz="0" w:space="0" w:color="auto"/>
                <w:right w:val="none" w:sz="0" w:space="0" w:color="auto"/>
              </w:divBdr>
            </w:div>
          </w:divsChild>
        </w:div>
        <w:div w:id="709645645">
          <w:marLeft w:val="0"/>
          <w:marRight w:val="0"/>
          <w:marTop w:val="0"/>
          <w:marBottom w:val="0"/>
          <w:divBdr>
            <w:top w:val="none" w:sz="0" w:space="0" w:color="auto"/>
            <w:left w:val="none" w:sz="0" w:space="0" w:color="auto"/>
            <w:bottom w:val="none" w:sz="0" w:space="0" w:color="auto"/>
            <w:right w:val="none" w:sz="0" w:space="0" w:color="auto"/>
          </w:divBdr>
          <w:divsChild>
            <w:div w:id="631862519">
              <w:marLeft w:val="0"/>
              <w:marRight w:val="0"/>
              <w:marTop w:val="0"/>
              <w:marBottom w:val="0"/>
              <w:divBdr>
                <w:top w:val="none" w:sz="0" w:space="0" w:color="auto"/>
                <w:left w:val="none" w:sz="0" w:space="0" w:color="auto"/>
                <w:bottom w:val="none" w:sz="0" w:space="0" w:color="auto"/>
                <w:right w:val="none" w:sz="0" w:space="0" w:color="auto"/>
              </w:divBdr>
            </w:div>
            <w:div w:id="1461730734">
              <w:marLeft w:val="0"/>
              <w:marRight w:val="0"/>
              <w:marTop w:val="0"/>
              <w:marBottom w:val="0"/>
              <w:divBdr>
                <w:top w:val="none" w:sz="0" w:space="0" w:color="auto"/>
                <w:left w:val="none" w:sz="0" w:space="0" w:color="auto"/>
                <w:bottom w:val="none" w:sz="0" w:space="0" w:color="auto"/>
                <w:right w:val="none" w:sz="0" w:space="0" w:color="auto"/>
              </w:divBdr>
            </w:div>
            <w:div w:id="1740663980">
              <w:marLeft w:val="0"/>
              <w:marRight w:val="0"/>
              <w:marTop w:val="0"/>
              <w:marBottom w:val="0"/>
              <w:divBdr>
                <w:top w:val="none" w:sz="0" w:space="0" w:color="auto"/>
                <w:left w:val="none" w:sz="0" w:space="0" w:color="auto"/>
                <w:bottom w:val="none" w:sz="0" w:space="0" w:color="auto"/>
                <w:right w:val="none" w:sz="0" w:space="0" w:color="auto"/>
              </w:divBdr>
            </w:div>
          </w:divsChild>
        </w:div>
        <w:div w:id="731805760">
          <w:marLeft w:val="0"/>
          <w:marRight w:val="0"/>
          <w:marTop w:val="0"/>
          <w:marBottom w:val="0"/>
          <w:divBdr>
            <w:top w:val="none" w:sz="0" w:space="0" w:color="auto"/>
            <w:left w:val="none" w:sz="0" w:space="0" w:color="auto"/>
            <w:bottom w:val="none" w:sz="0" w:space="0" w:color="auto"/>
            <w:right w:val="none" w:sz="0" w:space="0" w:color="auto"/>
          </w:divBdr>
          <w:divsChild>
            <w:div w:id="733814417">
              <w:marLeft w:val="0"/>
              <w:marRight w:val="0"/>
              <w:marTop w:val="0"/>
              <w:marBottom w:val="0"/>
              <w:divBdr>
                <w:top w:val="none" w:sz="0" w:space="0" w:color="auto"/>
                <w:left w:val="none" w:sz="0" w:space="0" w:color="auto"/>
                <w:bottom w:val="none" w:sz="0" w:space="0" w:color="auto"/>
                <w:right w:val="none" w:sz="0" w:space="0" w:color="auto"/>
              </w:divBdr>
            </w:div>
          </w:divsChild>
        </w:div>
        <w:div w:id="783422785">
          <w:marLeft w:val="0"/>
          <w:marRight w:val="0"/>
          <w:marTop w:val="0"/>
          <w:marBottom w:val="0"/>
          <w:divBdr>
            <w:top w:val="none" w:sz="0" w:space="0" w:color="auto"/>
            <w:left w:val="none" w:sz="0" w:space="0" w:color="auto"/>
            <w:bottom w:val="none" w:sz="0" w:space="0" w:color="auto"/>
            <w:right w:val="none" w:sz="0" w:space="0" w:color="auto"/>
          </w:divBdr>
          <w:divsChild>
            <w:div w:id="184711607">
              <w:marLeft w:val="0"/>
              <w:marRight w:val="0"/>
              <w:marTop w:val="0"/>
              <w:marBottom w:val="0"/>
              <w:divBdr>
                <w:top w:val="none" w:sz="0" w:space="0" w:color="auto"/>
                <w:left w:val="none" w:sz="0" w:space="0" w:color="auto"/>
                <w:bottom w:val="none" w:sz="0" w:space="0" w:color="auto"/>
                <w:right w:val="none" w:sz="0" w:space="0" w:color="auto"/>
              </w:divBdr>
            </w:div>
            <w:div w:id="230426763">
              <w:marLeft w:val="0"/>
              <w:marRight w:val="0"/>
              <w:marTop w:val="0"/>
              <w:marBottom w:val="0"/>
              <w:divBdr>
                <w:top w:val="none" w:sz="0" w:space="0" w:color="auto"/>
                <w:left w:val="none" w:sz="0" w:space="0" w:color="auto"/>
                <w:bottom w:val="none" w:sz="0" w:space="0" w:color="auto"/>
                <w:right w:val="none" w:sz="0" w:space="0" w:color="auto"/>
              </w:divBdr>
            </w:div>
            <w:div w:id="260574748">
              <w:marLeft w:val="0"/>
              <w:marRight w:val="0"/>
              <w:marTop w:val="0"/>
              <w:marBottom w:val="0"/>
              <w:divBdr>
                <w:top w:val="none" w:sz="0" w:space="0" w:color="auto"/>
                <w:left w:val="none" w:sz="0" w:space="0" w:color="auto"/>
                <w:bottom w:val="none" w:sz="0" w:space="0" w:color="auto"/>
                <w:right w:val="none" w:sz="0" w:space="0" w:color="auto"/>
              </w:divBdr>
            </w:div>
            <w:div w:id="783307797">
              <w:marLeft w:val="0"/>
              <w:marRight w:val="0"/>
              <w:marTop w:val="0"/>
              <w:marBottom w:val="0"/>
              <w:divBdr>
                <w:top w:val="none" w:sz="0" w:space="0" w:color="auto"/>
                <w:left w:val="none" w:sz="0" w:space="0" w:color="auto"/>
                <w:bottom w:val="none" w:sz="0" w:space="0" w:color="auto"/>
                <w:right w:val="none" w:sz="0" w:space="0" w:color="auto"/>
              </w:divBdr>
            </w:div>
            <w:div w:id="991711039">
              <w:marLeft w:val="0"/>
              <w:marRight w:val="0"/>
              <w:marTop w:val="0"/>
              <w:marBottom w:val="0"/>
              <w:divBdr>
                <w:top w:val="none" w:sz="0" w:space="0" w:color="auto"/>
                <w:left w:val="none" w:sz="0" w:space="0" w:color="auto"/>
                <w:bottom w:val="none" w:sz="0" w:space="0" w:color="auto"/>
                <w:right w:val="none" w:sz="0" w:space="0" w:color="auto"/>
              </w:divBdr>
            </w:div>
            <w:div w:id="1166356877">
              <w:marLeft w:val="0"/>
              <w:marRight w:val="0"/>
              <w:marTop w:val="0"/>
              <w:marBottom w:val="0"/>
              <w:divBdr>
                <w:top w:val="none" w:sz="0" w:space="0" w:color="auto"/>
                <w:left w:val="none" w:sz="0" w:space="0" w:color="auto"/>
                <w:bottom w:val="none" w:sz="0" w:space="0" w:color="auto"/>
                <w:right w:val="none" w:sz="0" w:space="0" w:color="auto"/>
              </w:divBdr>
            </w:div>
            <w:div w:id="1202590637">
              <w:marLeft w:val="0"/>
              <w:marRight w:val="0"/>
              <w:marTop w:val="0"/>
              <w:marBottom w:val="0"/>
              <w:divBdr>
                <w:top w:val="none" w:sz="0" w:space="0" w:color="auto"/>
                <w:left w:val="none" w:sz="0" w:space="0" w:color="auto"/>
                <w:bottom w:val="none" w:sz="0" w:space="0" w:color="auto"/>
                <w:right w:val="none" w:sz="0" w:space="0" w:color="auto"/>
              </w:divBdr>
            </w:div>
            <w:div w:id="1321546425">
              <w:marLeft w:val="0"/>
              <w:marRight w:val="0"/>
              <w:marTop w:val="0"/>
              <w:marBottom w:val="0"/>
              <w:divBdr>
                <w:top w:val="none" w:sz="0" w:space="0" w:color="auto"/>
                <w:left w:val="none" w:sz="0" w:space="0" w:color="auto"/>
                <w:bottom w:val="none" w:sz="0" w:space="0" w:color="auto"/>
                <w:right w:val="none" w:sz="0" w:space="0" w:color="auto"/>
              </w:divBdr>
            </w:div>
            <w:div w:id="1325625694">
              <w:marLeft w:val="0"/>
              <w:marRight w:val="0"/>
              <w:marTop w:val="0"/>
              <w:marBottom w:val="0"/>
              <w:divBdr>
                <w:top w:val="none" w:sz="0" w:space="0" w:color="auto"/>
                <w:left w:val="none" w:sz="0" w:space="0" w:color="auto"/>
                <w:bottom w:val="none" w:sz="0" w:space="0" w:color="auto"/>
                <w:right w:val="none" w:sz="0" w:space="0" w:color="auto"/>
              </w:divBdr>
            </w:div>
            <w:div w:id="1427921925">
              <w:marLeft w:val="0"/>
              <w:marRight w:val="0"/>
              <w:marTop w:val="0"/>
              <w:marBottom w:val="0"/>
              <w:divBdr>
                <w:top w:val="none" w:sz="0" w:space="0" w:color="auto"/>
                <w:left w:val="none" w:sz="0" w:space="0" w:color="auto"/>
                <w:bottom w:val="none" w:sz="0" w:space="0" w:color="auto"/>
                <w:right w:val="none" w:sz="0" w:space="0" w:color="auto"/>
              </w:divBdr>
            </w:div>
            <w:div w:id="1566067838">
              <w:marLeft w:val="0"/>
              <w:marRight w:val="0"/>
              <w:marTop w:val="0"/>
              <w:marBottom w:val="0"/>
              <w:divBdr>
                <w:top w:val="none" w:sz="0" w:space="0" w:color="auto"/>
                <w:left w:val="none" w:sz="0" w:space="0" w:color="auto"/>
                <w:bottom w:val="none" w:sz="0" w:space="0" w:color="auto"/>
                <w:right w:val="none" w:sz="0" w:space="0" w:color="auto"/>
              </w:divBdr>
            </w:div>
            <w:div w:id="1639842424">
              <w:marLeft w:val="0"/>
              <w:marRight w:val="0"/>
              <w:marTop w:val="0"/>
              <w:marBottom w:val="0"/>
              <w:divBdr>
                <w:top w:val="none" w:sz="0" w:space="0" w:color="auto"/>
                <w:left w:val="none" w:sz="0" w:space="0" w:color="auto"/>
                <w:bottom w:val="none" w:sz="0" w:space="0" w:color="auto"/>
                <w:right w:val="none" w:sz="0" w:space="0" w:color="auto"/>
              </w:divBdr>
            </w:div>
            <w:div w:id="1705984933">
              <w:marLeft w:val="0"/>
              <w:marRight w:val="0"/>
              <w:marTop w:val="0"/>
              <w:marBottom w:val="0"/>
              <w:divBdr>
                <w:top w:val="none" w:sz="0" w:space="0" w:color="auto"/>
                <w:left w:val="none" w:sz="0" w:space="0" w:color="auto"/>
                <w:bottom w:val="none" w:sz="0" w:space="0" w:color="auto"/>
                <w:right w:val="none" w:sz="0" w:space="0" w:color="auto"/>
              </w:divBdr>
            </w:div>
            <w:div w:id="1749227287">
              <w:marLeft w:val="0"/>
              <w:marRight w:val="0"/>
              <w:marTop w:val="0"/>
              <w:marBottom w:val="0"/>
              <w:divBdr>
                <w:top w:val="none" w:sz="0" w:space="0" w:color="auto"/>
                <w:left w:val="none" w:sz="0" w:space="0" w:color="auto"/>
                <w:bottom w:val="none" w:sz="0" w:space="0" w:color="auto"/>
                <w:right w:val="none" w:sz="0" w:space="0" w:color="auto"/>
              </w:divBdr>
            </w:div>
            <w:div w:id="2142528475">
              <w:marLeft w:val="0"/>
              <w:marRight w:val="0"/>
              <w:marTop w:val="0"/>
              <w:marBottom w:val="0"/>
              <w:divBdr>
                <w:top w:val="none" w:sz="0" w:space="0" w:color="auto"/>
                <w:left w:val="none" w:sz="0" w:space="0" w:color="auto"/>
                <w:bottom w:val="none" w:sz="0" w:space="0" w:color="auto"/>
                <w:right w:val="none" w:sz="0" w:space="0" w:color="auto"/>
              </w:divBdr>
            </w:div>
          </w:divsChild>
        </w:div>
        <w:div w:id="798492524">
          <w:marLeft w:val="0"/>
          <w:marRight w:val="0"/>
          <w:marTop w:val="0"/>
          <w:marBottom w:val="0"/>
          <w:divBdr>
            <w:top w:val="none" w:sz="0" w:space="0" w:color="auto"/>
            <w:left w:val="none" w:sz="0" w:space="0" w:color="auto"/>
            <w:bottom w:val="none" w:sz="0" w:space="0" w:color="auto"/>
            <w:right w:val="none" w:sz="0" w:space="0" w:color="auto"/>
          </w:divBdr>
          <w:divsChild>
            <w:div w:id="1240366220">
              <w:marLeft w:val="0"/>
              <w:marRight w:val="0"/>
              <w:marTop w:val="0"/>
              <w:marBottom w:val="0"/>
              <w:divBdr>
                <w:top w:val="none" w:sz="0" w:space="0" w:color="auto"/>
                <w:left w:val="none" w:sz="0" w:space="0" w:color="auto"/>
                <w:bottom w:val="none" w:sz="0" w:space="0" w:color="auto"/>
                <w:right w:val="none" w:sz="0" w:space="0" w:color="auto"/>
              </w:divBdr>
            </w:div>
          </w:divsChild>
        </w:div>
        <w:div w:id="825246242">
          <w:marLeft w:val="0"/>
          <w:marRight w:val="0"/>
          <w:marTop w:val="0"/>
          <w:marBottom w:val="0"/>
          <w:divBdr>
            <w:top w:val="none" w:sz="0" w:space="0" w:color="auto"/>
            <w:left w:val="none" w:sz="0" w:space="0" w:color="auto"/>
            <w:bottom w:val="none" w:sz="0" w:space="0" w:color="auto"/>
            <w:right w:val="none" w:sz="0" w:space="0" w:color="auto"/>
          </w:divBdr>
          <w:divsChild>
            <w:div w:id="1640112448">
              <w:marLeft w:val="0"/>
              <w:marRight w:val="0"/>
              <w:marTop w:val="0"/>
              <w:marBottom w:val="0"/>
              <w:divBdr>
                <w:top w:val="none" w:sz="0" w:space="0" w:color="auto"/>
                <w:left w:val="none" w:sz="0" w:space="0" w:color="auto"/>
                <w:bottom w:val="none" w:sz="0" w:space="0" w:color="auto"/>
                <w:right w:val="none" w:sz="0" w:space="0" w:color="auto"/>
              </w:divBdr>
            </w:div>
          </w:divsChild>
        </w:div>
        <w:div w:id="849566510">
          <w:marLeft w:val="0"/>
          <w:marRight w:val="0"/>
          <w:marTop w:val="0"/>
          <w:marBottom w:val="0"/>
          <w:divBdr>
            <w:top w:val="none" w:sz="0" w:space="0" w:color="auto"/>
            <w:left w:val="none" w:sz="0" w:space="0" w:color="auto"/>
            <w:bottom w:val="none" w:sz="0" w:space="0" w:color="auto"/>
            <w:right w:val="none" w:sz="0" w:space="0" w:color="auto"/>
          </w:divBdr>
          <w:divsChild>
            <w:div w:id="1836603910">
              <w:marLeft w:val="0"/>
              <w:marRight w:val="0"/>
              <w:marTop w:val="0"/>
              <w:marBottom w:val="0"/>
              <w:divBdr>
                <w:top w:val="none" w:sz="0" w:space="0" w:color="auto"/>
                <w:left w:val="none" w:sz="0" w:space="0" w:color="auto"/>
                <w:bottom w:val="none" w:sz="0" w:space="0" w:color="auto"/>
                <w:right w:val="none" w:sz="0" w:space="0" w:color="auto"/>
              </w:divBdr>
            </w:div>
          </w:divsChild>
        </w:div>
        <w:div w:id="970862370">
          <w:marLeft w:val="0"/>
          <w:marRight w:val="0"/>
          <w:marTop w:val="0"/>
          <w:marBottom w:val="0"/>
          <w:divBdr>
            <w:top w:val="none" w:sz="0" w:space="0" w:color="auto"/>
            <w:left w:val="none" w:sz="0" w:space="0" w:color="auto"/>
            <w:bottom w:val="none" w:sz="0" w:space="0" w:color="auto"/>
            <w:right w:val="none" w:sz="0" w:space="0" w:color="auto"/>
          </w:divBdr>
          <w:divsChild>
            <w:div w:id="79907670">
              <w:marLeft w:val="0"/>
              <w:marRight w:val="0"/>
              <w:marTop w:val="0"/>
              <w:marBottom w:val="0"/>
              <w:divBdr>
                <w:top w:val="none" w:sz="0" w:space="0" w:color="auto"/>
                <w:left w:val="none" w:sz="0" w:space="0" w:color="auto"/>
                <w:bottom w:val="none" w:sz="0" w:space="0" w:color="auto"/>
                <w:right w:val="none" w:sz="0" w:space="0" w:color="auto"/>
              </w:divBdr>
            </w:div>
            <w:div w:id="148326305">
              <w:marLeft w:val="0"/>
              <w:marRight w:val="0"/>
              <w:marTop w:val="0"/>
              <w:marBottom w:val="0"/>
              <w:divBdr>
                <w:top w:val="none" w:sz="0" w:space="0" w:color="auto"/>
                <w:left w:val="none" w:sz="0" w:space="0" w:color="auto"/>
                <w:bottom w:val="none" w:sz="0" w:space="0" w:color="auto"/>
                <w:right w:val="none" w:sz="0" w:space="0" w:color="auto"/>
              </w:divBdr>
            </w:div>
            <w:div w:id="384523431">
              <w:marLeft w:val="0"/>
              <w:marRight w:val="0"/>
              <w:marTop w:val="0"/>
              <w:marBottom w:val="0"/>
              <w:divBdr>
                <w:top w:val="none" w:sz="0" w:space="0" w:color="auto"/>
                <w:left w:val="none" w:sz="0" w:space="0" w:color="auto"/>
                <w:bottom w:val="none" w:sz="0" w:space="0" w:color="auto"/>
                <w:right w:val="none" w:sz="0" w:space="0" w:color="auto"/>
              </w:divBdr>
            </w:div>
            <w:div w:id="515121429">
              <w:marLeft w:val="0"/>
              <w:marRight w:val="0"/>
              <w:marTop w:val="0"/>
              <w:marBottom w:val="0"/>
              <w:divBdr>
                <w:top w:val="none" w:sz="0" w:space="0" w:color="auto"/>
                <w:left w:val="none" w:sz="0" w:space="0" w:color="auto"/>
                <w:bottom w:val="none" w:sz="0" w:space="0" w:color="auto"/>
                <w:right w:val="none" w:sz="0" w:space="0" w:color="auto"/>
              </w:divBdr>
            </w:div>
            <w:div w:id="575551214">
              <w:marLeft w:val="0"/>
              <w:marRight w:val="0"/>
              <w:marTop w:val="0"/>
              <w:marBottom w:val="0"/>
              <w:divBdr>
                <w:top w:val="none" w:sz="0" w:space="0" w:color="auto"/>
                <w:left w:val="none" w:sz="0" w:space="0" w:color="auto"/>
                <w:bottom w:val="none" w:sz="0" w:space="0" w:color="auto"/>
                <w:right w:val="none" w:sz="0" w:space="0" w:color="auto"/>
              </w:divBdr>
            </w:div>
            <w:div w:id="633365089">
              <w:marLeft w:val="0"/>
              <w:marRight w:val="0"/>
              <w:marTop w:val="0"/>
              <w:marBottom w:val="0"/>
              <w:divBdr>
                <w:top w:val="none" w:sz="0" w:space="0" w:color="auto"/>
                <w:left w:val="none" w:sz="0" w:space="0" w:color="auto"/>
                <w:bottom w:val="none" w:sz="0" w:space="0" w:color="auto"/>
                <w:right w:val="none" w:sz="0" w:space="0" w:color="auto"/>
              </w:divBdr>
            </w:div>
            <w:div w:id="955210632">
              <w:marLeft w:val="0"/>
              <w:marRight w:val="0"/>
              <w:marTop w:val="0"/>
              <w:marBottom w:val="0"/>
              <w:divBdr>
                <w:top w:val="none" w:sz="0" w:space="0" w:color="auto"/>
                <w:left w:val="none" w:sz="0" w:space="0" w:color="auto"/>
                <w:bottom w:val="none" w:sz="0" w:space="0" w:color="auto"/>
                <w:right w:val="none" w:sz="0" w:space="0" w:color="auto"/>
              </w:divBdr>
            </w:div>
            <w:div w:id="1113132100">
              <w:marLeft w:val="0"/>
              <w:marRight w:val="0"/>
              <w:marTop w:val="0"/>
              <w:marBottom w:val="0"/>
              <w:divBdr>
                <w:top w:val="none" w:sz="0" w:space="0" w:color="auto"/>
                <w:left w:val="none" w:sz="0" w:space="0" w:color="auto"/>
                <w:bottom w:val="none" w:sz="0" w:space="0" w:color="auto"/>
                <w:right w:val="none" w:sz="0" w:space="0" w:color="auto"/>
              </w:divBdr>
            </w:div>
            <w:div w:id="1277247660">
              <w:marLeft w:val="0"/>
              <w:marRight w:val="0"/>
              <w:marTop w:val="0"/>
              <w:marBottom w:val="0"/>
              <w:divBdr>
                <w:top w:val="none" w:sz="0" w:space="0" w:color="auto"/>
                <w:left w:val="none" w:sz="0" w:space="0" w:color="auto"/>
                <w:bottom w:val="none" w:sz="0" w:space="0" w:color="auto"/>
                <w:right w:val="none" w:sz="0" w:space="0" w:color="auto"/>
              </w:divBdr>
            </w:div>
            <w:div w:id="1413354485">
              <w:marLeft w:val="0"/>
              <w:marRight w:val="0"/>
              <w:marTop w:val="0"/>
              <w:marBottom w:val="0"/>
              <w:divBdr>
                <w:top w:val="none" w:sz="0" w:space="0" w:color="auto"/>
                <w:left w:val="none" w:sz="0" w:space="0" w:color="auto"/>
                <w:bottom w:val="none" w:sz="0" w:space="0" w:color="auto"/>
                <w:right w:val="none" w:sz="0" w:space="0" w:color="auto"/>
              </w:divBdr>
            </w:div>
          </w:divsChild>
        </w:div>
        <w:div w:id="981271130">
          <w:marLeft w:val="0"/>
          <w:marRight w:val="0"/>
          <w:marTop w:val="0"/>
          <w:marBottom w:val="0"/>
          <w:divBdr>
            <w:top w:val="none" w:sz="0" w:space="0" w:color="auto"/>
            <w:left w:val="none" w:sz="0" w:space="0" w:color="auto"/>
            <w:bottom w:val="none" w:sz="0" w:space="0" w:color="auto"/>
            <w:right w:val="none" w:sz="0" w:space="0" w:color="auto"/>
          </w:divBdr>
          <w:divsChild>
            <w:div w:id="225577562">
              <w:marLeft w:val="0"/>
              <w:marRight w:val="0"/>
              <w:marTop w:val="0"/>
              <w:marBottom w:val="0"/>
              <w:divBdr>
                <w:top w:val="none" w:sz="0" w:space="0" w:color="auto"/>
                <w:left w:val="none" w:sz="0" w:space="0" w:color="auto"/>
                <w:bottom w:val="none" w:sz="0" w:space="0" w:color="auto"/>
                <w:right w:val="none" w:sz="0" w:space="0" w:color="auto"/>
              </w:divBdr>
            </w:div>
          </w:divsChild>
        </w:div>
        <w:div w:id="1013533624">
          <w:marLeft w:val="0"/>
          <w:marRight w:val="0"/>
          <w:marTop w:val="0"/>
          <w:marBottom w:val="0"/>
          <w:divBdr>
            <w:top w:val="none" w:sz="0" w:space="0" w:color="auto"/>
            <w:left w:val="none" w:sz="0" w:space="0" w:color="auto"/>
            <w:bottom w:val="none" w:sz="0" w:space="0" w:color="auto"/>
            <w:right w:val="none" w:sz="0" w:space="0" w:color="auto"/>
          </w:divBdr>
          <w:divsChild>
            <w:div w:id="1877042745">
              <w:marLeft w:val="0"/>
              <w:marRight w:val="0"/>
              <w:marTop w:val="0"/>
              <w:marBottom w:val="0"/>
              <w:divBdr>
                <w:top w:val="none" w:sz="0" w:space="0" w:color="auto"/>
                <w:left w:val="none" w:sz="0" w:space="0" w:color="auto"/>
                <w:bottom w:val="none" w:sz="0" w:space="0" w:color="auto"/>
                <w:right w:val="none" w:sz="0" w:space="0" w:color="auto"/>
              </w:divBdr>
            </w:div>
          </w:divsChild>
        </w:div>
        <w:div w:id="1039738677">
          <w:marLeft w:val="0"/>
          <w:marRight w:val="0"/>
          <w:marTop w:val="0"/>
          <w:marBottom w:val="0"/>
          <w:divBdr>
            <w:top w:val="none" w:sz="0" w:space="0" w:color="auto"/>
            <w:left w:val="none" w:sz="0" w:space="0" w:color="auto"/>
            <w:bottom w:val="none" w:sz="0" w:space="0" w:color="auto"/>
            <w:right w:val="none" w:sz="0" w:space="0" w:color="auto"/>
          </w:divBdr>
          <w:divsChild>
            <w:div w:id="1759710357">
              <w:marLeft w:val="0"/>
              <w:marRight w:val="0"/>
              <w:marTop w:val="0"/>
              <w:marBottom w:val="0"/>
              <w:divBdr>
                <w:top w:val="none" w:sz="0" w:space="0" w:color="auto"/>
                <w:left w:val="none" w:sz="0" w:space="0" w:color="auto"/>
                <w:bottom w:val="none" w:sz="0" w:space="0" w:color="auto"/>
                <w:right w:val="none" w:sz="0" w:space="0" w:color="auto"/>
              </w:divBdr>
            </w:div>
          </w:divsChild>
        </w:div>
        <w:div w:id="1116677803">
          <w:marLeft w:val="0"/>
          <w:marRight w:val="0"/>
          <w:marTop w:val="0"/>
          <w:marBottom w:val="0"/>
          <w:divBdr>
            <w:top w:val="none" w:sz="0" w:space="0" w:color="auto"/>
            <w:left w:val="none" w:sz="0" w:space="0" w:color="auto"/>
            <w:bottom w:val="none" w:sz="0" w:space="0" w:color="auto"/>
            <w:right w:val="none" w:sz="0" w:space="0" w:color="auto"/>
          </w:divBdr>
          <w:divsChild>
            <w:div w:id="960721409">
              <w:marLeft w:val="0"/>
              <w:marRight w:val="0"/>
              <w:marTop w:val="0"/>
              <w:marBottom w:val="0"/>
              <w:divBdr>
                <w:top w:val="none" w:sz="0" w:space="0" w:color="auto"/>
                <w:left w:val="none" w:sz="0" w:space="0" w:color="auto"/>
                <w:bottom w:val="none" w:sz="0" w:space="0" w:color="auto"/>
                <w:right w:val="none" w:sz="0" w:space="0" w:color="auto"/>
              </w:divBdr>
            </w:div>
          </w:divsChild>
        </w:div>
        <w:div w:id="1126434245">
          <w:marLeft w:val="0"/>
          <w:marRight w:val="0"/>
          <w:marTop w:val="0"/>
          <w:marBottom w:val="0"/>
          <w:divBdr>
            <w:top w:val="none" w:sz="0" w:space="0" w:color="auto"/>
            <w:left w:val="none" w:sz="0" w:space="0" w:color="auto"/>
            <w:bottom w:val="none" w:sz="0" w:space="0" w:color="auto"/>
            <w:right w:val="none" w:sz="0" w:space="0" w:color="auto"/>
          </w:divBdr>
          <w:divsChild>
            <w:div w:id="138771257">
              <w:marLeft w:val="0"/>
              <w:marRight w:val="0"/>
              <w:marTop w:val="0"/>
              <w:marBottom w:val="0"/>
              <w:divBdr>
                <w:top w:val="none" w:sz="0" w:space="0" w:color="auto"/>
                <w:left w:val="none" w:sz="0" w:space="0" w:color="auto"/>
                <w:bottom w:val="none" w:sz="0" w:space="0" w:color="auto"/>
                <w:right w:val="none" w:sz="0" w:space="0" w:color="auto"/>
              </w:divBdr>
            </w:div>
            <w:div w:id="250700746">
              <w:marLeft w:val="0"/>
              <w:marRight w:val="0"/>
              <w:marTop w:val="0"/>
              <w:marBottom w:val="0"/>
              <w:divBdr>
                <w:top w:val="none" w:sz="0" w:space="0" w:color="auto"/>
                <w:left w:val="none" w:sz="0" w:space="0" w:color="auto"/>
                <w:bottom w:val="none" w:sz="0" w:space="0" w:color="auto"/>
                <w:right w:val="none" w:sz="0" w:space="0" w:color="auto"/>
              </w:divBdr>
            </w:div>
            <w:div w:id="865413635">
              <w:marLeft w:val="0"/>
              <w:marRight w:val="0"/>
              <w:marTop w:val="0"/>
              <w:marBottom w:val="0"/>
              <w:divBdr>
                <w:top w:val="none" w:sz="0" w:space="0" w:color="auto"/>
                <w:left w:val="none" w:sz="0" w:space="0" w:color="auto"/>
                <w:bottom w:val="none" w:sz="0" w:space="0" w:color="auto"/>
                <w:right w:val="none" w:sz="0" w:space="0" w:color="auto"/>
              </w:divBdr>
            </w:div>
            <w:div w:id="1683897871">
              <w:marLeft w:val="0"/>
              <w:marRight w:val="0"/>
              <w:marTop w:val="0"/>
              <w:marBottom w:val="0"/>
              <w:divBdr>
                <w:top w:val="none" w:sz="0" w:space="0" w:color="auto"/>
                <w:left w:val="none" w:sz="0" w:space="0" w:color="auto"/>
                <w:bottom w:val="none" w:sz="0" w:space="0" w:color="auto"/>
                <w:right w:val="none" w:sz="0" w:space="0" w:color="auto"/>
              </w:divBdr>
            </w:div>
            <w:div w:id="1721368613">
              <w:marLeft w:val="0"/>
              <w:marRight w:val="0"/>
              <w:marTop w:val="0"/>
              <w:marBottom w:val="0"/>
              <w:divBdr>
                <w:top w:val="none" w:sz="0" w:space="0" w:color="auto"/>
                <w:left w:val="none" w:sz="0" w:space="0" w:color="auto"/>
                <w:bottom w:val="none" w:sz="0" w:space="0" w:color="auto"/>
                <w:right w:val="none" w:sz="0" w:space="0" w:color="auto"/>
              </w:divBdr>
            </w:div>
            <w:div w:id="1759253186">
              <w:marLeft w:val="0"/>
              <w:marRight w:val="0"/>
              <w:marTop w:val="0"/>
              <w:marBottom w:val="0"/>
              <w:divBdr>
                <w:top w:val="none" w:sz="0" w:space="0" w:color="auto"/>
                <w:left w:val="none" w:sz="0" w:space="0" w:color="auto"/>
                <w:bottom w:val="none" w:sz="0" w:space="0" w:color="auto"/>
                <w:right w:val="none" w:sz="0" w:space="0" w:color="auto"/>
              </w:divBdr>
            </w:div>
          </w:divsChild>
        </w:div>
        <w:div w:id="1173303062">
          <w:marLeft w:val="0"/>
          <w:marRight w:val="0"/>
          <w:marTop w:val="0"/>
          <w:marBottom w:val="0"/>
          <w:divBdr>
            <w:top w:val="none" w:sz="0" w:space="0" w:color="auto"/>
            <w:left w:val="none" w:sz="0" w:space="0" w:color="auto"/>
            <w:bottom w:val="none" w:sz="0" w:space="0" w:color="auto"/>
            <w:right w:val="none" w:sz="0" w:space="0" w:color="auto"/>
          </w:divBdr>
          <w:divsChild>
            <w:div w:id="376123173">
              <w:marLeft w:val="0"/>
              <w:marRight w:val="0"/>
              <w:marTop w:val="0"/>
              <w:marBottom w:val="0"/>
              <w:divBdr>
                <w:top w:val="none" w:sz="0" w:space="0" w:color="auto"/>
                <w:left w:val="none" w:sz="0" w:space="0" w:color="auto"/>
                <w:bottom w:val="none" w:sz="0" w:space="0" w:color="auto"/>
                <w:right w:val="none" w:sz="0" w:space="0" w:color="auto"/>
              </w:divBdr>
            </w:div>
          </w:divsChild>
        </w:div>
        <w:div w:id="1225483523">
          <w:marLeft w:val="0"/>
          <w:marRight w:val="0"/>
          <w:marTop w:val="0"/>
          <w:marBottom w:val="0"/>
          <w:divBdr>
            <w:top w:val="none" w:sz="0" w:space="0" w:color="auto"/>
            <w:left w:val="none" w:sz="0" w:space="0" w:color="auto"/>
            <w:bottom w:val="none" w:sz="0" w:space="0" w:color="auto"/>
            <w:right w:val="none" w:sz="0" w:space="0" w:color="auto"/>
          </w:divBdr>
          <w:divsChild>
            <w:div w:id="1168668649">
              <w:marLeft w:val="0"/>
              <w:marRight w:val="0"/>
              <w:marTop w:val="0"/>
              <w:marBottom w:val="0"/>
              <w:divBdr>
                <w:top w:val="none" w:sz="0" w:space="0" w:color="auto"/>
                <w:left w:val="none" w:sz="0" w:space="0" w:color="auto"/>
                <w:bottom w:val="none" w:sz="0" w:space="0" w:color="auto"/>
                <w:right w:val="none" w:sz="0" w:space="0" w:color="auto"/>
              </w:divBdr>
            </w:div>
          </w:divsChild>
        </w:div>
        <w:div w:id="1227373814">
          <w:marLeft w:val="0"/>
          <w:marRight w:val="0"/>
          <w:marTop w:val="0"/>
          <w:marBottom w:val="0"/>
          <w:divBdr>
            <w:top w:val="none" w:sz="0" w:space="0" w:color="auto"/>
            <w:left w:val="none" w:sz="0" w:space="0" w:color="auto"/>
            <w:bottom w:val="none" w:sz="0" w:space="0" w:color="auto"/>
            <w:right w:val="none" w:sz="0" w:space="0" w:color="auto"/>
          </w:divBdr>
          <w:divsChild>
            <w:div w:id="487941929">
              <w:marLeft w:val="0"/>
              <w:marRight w:val="0"/>
              <w:marTop w:val="0"/>
              <w:marBottom w:val="0"/>
              <w:divBdr>
                <w:top w:val="none" w:sz="0" w:space="0" w:color="auto"/>
                <w:left w:val="none" w:sz="0" w:space="0" w:color="auto"/>
                <w:bottom w:val="none" w:sz="0" w:space="0" w:color="auto"/>
                <w:right w:val="none" w:sz="0" w:space="0" w:color="auto"/>
              </w:divBdr>
            </w:div>
          </w:divsChild>
        </w:div>
        <w:div w:id="1311640763">
          <w:marLeft w:val="0"/>
          <w:marRight w:val="0"/>
          <w:marTop w:val="0"/>
          <w:marBottom w:val="0"/>
          <w:divBdr>
            <w:top w:val="none" w:sz="0" w:space="0" w:color="auto"/>
            <w:left w:val="none" w:sz="0" w:space="0" w:color="auto"/>
            <w:bottom w:val="none" w:sz="0" w:space="0" w:color="auto"/>
            <w:right w:val="none" w:sz="0" w:space="0" w:color="auto"/>
          </w:divBdr>
          <w:divsChild>
            <w:div w:id="405764603">
              <w:marLeft w:val="0"/>
              <w:marRight w:val="0"/>
              <w:marTop w:val="0"/>
              <w:marBottom w:val="0"/>
              <w:divBdr>
                <w:top w:val="none" w:sz="0" w:space="0" w:color="auto"/>
                <w:left w:val="none" w:sz="0" w:space="0" w:color="auto"/>
                <w:bottom w:val="none" w:sz="0" w:space="0" w:color="auto"/>
                <w:right w:val="none" w:sz="0" w:space="0" w:color="auto"/>
              </w:divBdr>
            </w:div>
          </w:divsChild>
        </w:div>
        <w:div w:id="1321887831">
          <w:marLeft w:val="0"/>
          <w:marRight w:val="0"/>
          <w:marTop w:val="0"/>
          <w:marBottom w:val="0"/>
          <w:divBdr>
            <w:top w:val="none" w:sz="0" w:space="0" w:color="auto"/>
            <w:left w:val="none" w:sz="0" w:space="0" w:color="auto"/>
            <w:bottom w:val="none" w:sz="0" w:space="0" w:color="auto"/>
            <w:right w:val="none" w:sz="0" w:space="0" w:color="auto"/>
          </w:divBdr>
          <w:divsChild>
            <w:div w:id="625696893">
              <w:marLeft w:val="0"/>
              <w:marRight w:val="0"/>
              <w:marTop w:val="0"/>
              <w:marBottom w:val="0"/>
              <w:divBdr>
                <w:top w:val="none" w:sz="0" w:space="0" w:color="auto"/>
                <w:left w:val="none" w:sz="0" w:space="0" w:color="auto"/>
                <w:bottom w:val="none" w:sz="0" w:space="0" w:color="auto"/>
                <w:right w:val="none" w:sz="0" w:space="0" w:color="auto"/>
              </w:divBdr>
            </w:div>
            <w:div w:id="1070888832">
              <w:marLeft w:val="0"/>
              <w:marRight w:val="0"/>
              <w:marTop w:val="0"/>
              <w:marBottom w:val="0"/>
              <w:divBdr>
                <w:top w:val="none" w:sz="0" w:space="0" w:color="auto"/>
                <w:left w:val="none" w:sz="0" w:space="0" w:color="auto"/>
                <w:bottom w:val="none" w:sz="0" w:space="0" w:color="auto"/>
                <w:right w:val="none" w:sz="0" w:space="0" w:color="auto"/>
              </w:divBdr>
            </w:div>
            <w:div w:id="1172599074">
              <w:marLeft w:val="0"/>
              <w:marRight w:val="0"/>
              <w:marTop w:val="0"/>
              <w:marBottom w:val="0"/>
              <w:divBdr>
                <w:top w:val="none" w:sz="0" w:space="0" w:color="auto"/>
                <w:left w:val="none" w:sz="0" w:space="0" w:color="auto"/>
                <w:bottom w:val="none" w:sz="0" w:space="0" w:color="auto"/>
                <w:right w:val="none" w:sz="0" w:space="0" w:color="auto"/>
              </w:divBdr>
            </w:div>
          </w:divsChild>
        </w:div>
        <w:div w:id="1357583407">
          <w:marLeft w:val="0"/>
          <w:marRight w:val="0"/>
          <w:marTop w:val="0"/>
          <w:marBottom w:val="0"/>
          <w:divBdr>
            <w:top w:val="none" w:sz="0" w:space="0" w:color="auto"/>
            <w:left w:val="none" w:sz="0" w:space="0" w:color="auto"/>
            <w:bottom w:val="none" w:sz="0" w:space="0" w:color="auto"/>
            <w:right w:val="none" w:sz="0" w:space="0" w:color="auto"/>
          </w:divBdr>
          <w:divsChild>
            <w:div w:id="561597056">
              <w:marLeft w:val="0"/>
              <w:marRight w:val="0"/>
              <w:marTop w:val="0"/>
              <w:marBottom w:val="0"/>
              <w:divBdr>
                <w:top w:val="none" w:sz="0" w:space="0" w:color="auto"/>
                <w:left w:val="none" w:sz="0" w:space="0" w:color="auto"/>
                <w:bottom w:val="none" w:sz="0" w:space="0" w:color="auto"/>
                <w:right w:val="none" w:sz="0" w:space="0" w:color="auto"/>
              </w:divBdr>
            </w:div>
            <w:div w:id="696733761">
              <w:marLeft w:val="0"/>
              <w:marRight w:val="0"/>
              <w:marTop w:val="0"/>
              <w:marBottom w:val="0"/>
              <w:divBdr>
                <w:top w:val="none" w:sz="0" w:space="0" w:color="auto"/>
                <w:left w:val="none" w:sz="0" w:space="0" w:color="auto"/>
                <w:bottom w:val="none" w:sz="0" w:space="0" w:color="auto"/>
                <w:right w:val="none" w:sz="0" w:space="0" w:color="auto"/>
              </w:divBdr>
            </w:div>
            <w:div w:id="1463617801">
              <w:marLeft w:val="0"/>
              <w:marRight w:val="0"/>
              <w:marTop w:val="0"/>
              <w:marBottom w:val="0"/>
              <w:divBdr>
                <w:top w:val="none" w:sz="0" w:space="0" w:color="auto"/>
                <w:left w:val="none" w:sz="0" w:space="0" w:color="auto"/>
                <w:bottom w:val="none" w:sz="0" w:space="0" w:color="auto"/>
                <w:right w:val="none" w:sz="0" w:space="0" w:color="auto"/>
              </w:divBdr>
            </w:div>
            <w:div w:id="1496650762">
              <w:marLeft w:val="0"/>
              <w:marRight w:val="0"/>
              <w:marTop w:val="0"/>
              <w:marBottom w:val="0"/>
              <w:divBdr>
                <w:top w:val="none" w:sz="0" w:space="0" w:color="auto"/>
                <w:left w:val="none" w:sz="0" w:space="0" w:color="auto"/>
                <w:bottom w:val="none" w:sz="0" w:space="0" w:color="auto"/>
                <w:right w:val="none" w:sz="0" w:space="0" w:color="auto"/>
              </w:divBdr>
            </w:div>
            <w:div w:id="1585604104">
              <w:marLeft w:val="0"/>
              <w:marRight w:val="0"/>
              <w:marTop w:val="0"/>
              <w:marBottom w:val="0"/>
              <w:divBdr>
                <w:top w:val="none" w:sz="0" w:space="0" w:color="auto"/>
                <w:left w:val="none" w:sz="0" w:space="0" w:color="auto"/>
                <w:bottom w:val="none" w:sz="0" w:space="0" w:color="auto"/>
                <w:right w:val="none" w:sz="0" w:space="0" w:color="auto"/>
              </w:divBdr>
            </w:div>
            <w:div w:id="1980451093">
              <w:marLeft w:val="0"/>
              <w:marRight w:val="0"/>
              <w:marTop w:val="0"/>
              <w:marBottom w:val="0"/>
              <w:divBdr>
                <w:top w:val="none" w:sz="0" w:space="0" w:color="auto"/>
                <w:left w:val="none" w:sz="0" w:space="0" w:color="auto"/>
                <w:bottom w:val="none" w:sz="0" w:space="0" w:color="auto"/>
                <w:right w:val="none" w:sz="0" w:space="0" w:color="auto"/>
              </w:divBdr>
            </w:div>
            <w:div w:id="1982072325">
              <w:marLeft w:val="0"/>
              <w:marRight w:val="0"/>
              <w:marTop w:val="0"/>
              <w:marBottom w:val="0"/>
              <w:divBdr>
                <w:top w:val="none" w:sz="0" w:space="0" w:color="auto"/>
                <w:left w:val="none" w:sz="0" w:space="0" w:color="auto"/>
                <w:bottom w:val="none" w:sz="0" w:space="0" w:color="auto"/>
                <w:right w:val="none" w:sz="0" w:space="0" w:color="auto"/>
              </w:divBdr>
            </w:div>
          </w:divsChild>
        </w:div>
        <w:div w:id="1372265667">
          <w:marLeft w:val="0"/>
          <w:marRight w:val="0"/>
          <w:marTop w:val="0"/>
          <w:marBottom w:val="0"/>
          <w:divBdr>
            <w:top w:val="none" w:sz="0" w:space="0" w:color="auto"/>
            <w:left w:val="none" w:sz="0" w:space="0" w:color="auto"/>
            <w:bottom w:val="none" w:sz="0" w:space="0" w:color="auto"/>
            <w:right w:val="none" w:sz="0" w:space="0" w:color="auto"/>
          </w:divBdr>
          <w:divsChild>
            <w:div w:id="1436946922">
              <w:marLeft w:val="0"/>
              <w:marRight w:val="0"/>
              <w:marTop w:val="0"/>
              <w:marBottom w:val="0"/>
              <w:divBdr>
                <w:top w:val="none" w:sz="0" w:space="0" w:color="auto"/>
                <w:left w:val="none" w:sz="0" w:space="0" w:color="auto"/>
                <w:bottom w:val="none" w:sz="0" w:space="0" w:color="auto"/>
                <w:right w:val="none" w:sz="0" w:space="0" w:color="auto"/>
              </w:divBdr>
            </w:div>
          </w:divsChild>
        </w:div>
        <w:div w:id="1426800780">
          <w:marLeft w:val="0"/>
          <w:marRight w:val="0"/>
          <w:marTop w:val="0"/>
          <w:marBottom w:val="0"/>
          <w:divBdr>
            <w:top w:val="none" w:sz="0" w:space="0" w:color="auto"/>
            <w:left w:val="none" w:sz="0" w:space="0" w:color="auto"/>
            <w:bottom w:val="none" w:sz="0" w:space="0" w:color="auto"/>
            <w:right w:val="none" w:sz="0" w:space="0" w:color="auto"/>
          </w:divBdr>
          <w:divsChild>
            <w:div w:id="1837842378">
              <w:marLeft w:val="0"/>
              <w:marRight w:val="0"/>
              <w:marTop w:val="0"/>
              <w:marBottom w:val="0"/>
              <w:divBdr>
                <w:top w:val="none" w:sz="0" w:space="0" w:color="auto"/>
                <w:left w:val="none" w:sz="0" w:space="0" w:color="auto"/>
                <w:bottom w:val="none" w:sz="0" w:space="0" w:color="auto"/>
                <w:right w:val="none" w:sz="0" w:space="0" w:color="auto"/>
              </w:divBdr>
            </w:div>
          </w:divsChild>
        </w:div>
        <w:div w:id="1497651977">
          <w:marLeft w:val="0"/>
          <w:marRight w:val="0"/>
          <w:marTop w:val="0"/>
          <w:marBottom w:val="0"/>
          <w:divBdr>
            <w:top w:val="none" w:sz="0" w:space="0" w:color="auto"/>
            <w:left w:val="none" w:sz="0" w:space="0" w:color="auto"/>
            <w:bottom w:val="none" w:sz="0" w:space="0" w:color="auto"/>
            <w:right w:val="none" w:sz="0" w:space="0" w:color="auto"/>
          </w:divBdr>
          <w:divsChild>
            <w:div w:id="493182201">
              <w:marLeft w:val="0"/>
              <w:marRight w:val="0"/>
              <w:marTop w:val="0"/>
              <w:marBottom w:val="0"/>
              <w:divBdr>
                <w:top w:val="none" w:sz="0" w:space="0" w:color="auto"/>
                <w:left w:val="none" w:sz="0" w:space="0" w:color="auto"/>
                <w:bottom w:val="none" w:sz="0" w:space="0" w:color="auto"/>
                <w:right w:val="none" w:sz="0" w:space="0" w:color="auto"/>
              </w:divBdr>
            </w:div>
          </w:divsChild>
        </w:div>
        <w:div w:id="1572616518">
          <w:marLeft w:val="0"/>
          <w:marRight w:val="0"/>
          <w:marTop w:val="0"/>
          <w:marBottom w:val="0"/>
          <w:divBdr>
            <w:top w:val="none" w:sz="0" w:space="0" w:color="auto"/>
            <w:left w:val="none" w:sz="0" w:space="0" w:color="auto"/>
            <w:bottom w:val="none" w:sz="0" w:space="0" w:color="auto"/>
            <w:right w:val="none" w:sz="0" w:space="0" w:color="auto"/>
          </w:divBdr>
          <w:divsChild>
            <w:div w:id="360741252">
              <w:marLeft w:val="0"/>
              <w:marRight w:val="0"/>
              <w:marTop w:val="0"/>
              <w:marBottom w:val="0"/>
              <w:divBdr>
                <w:top w:val="none" w:sz="0" w:space="0" w:color="auto"/>
                <w:left w:val="none" w:sz="0" w:space="0" w:color="auto"/>
                <w:bottom w:val="none" w:sz="0" w:space="0" w:color="auto"/>
                <w:right w:val="none" w:sz="0" w:space="0" w:color="auto"/>
              </w:divBdr>
            </w:div>
          </w:divsChild>
        </w:div>
        <w:div w:id="1614049660">
          <w:marLeft w:val="0"/>
          <w:marRight w:val="0"/>
          <w:marTop w:val="0"/>
          <w:marBottom w:val="0"/>
          <w:divBdr>
            <w:top w:val="none" w:sz="0" w:space="0" w:color="auto"/>
            <w:left w:val="none" w:sz="0" w:space="0" w:color="auto"/>
            <w:bottom w:val="none" w:sz="0" w:space="0" w:color="auto"/>
            <w:right w:val="none" w:sz="0" w:space="0" w:color="auto"/>
          </w:divBdr>
          <w:divsChild>
            <w:div w:id="921064186">
              <w:marLeft w:val="0"/>
              <w:marRight w:val="0"/>
              <w:marTop w:val="0"/>
              <w:marBottom w:val="0"/>
              <w:divBdr>
                <w:top w:val="none" w:sz="0" w:space="0" w:color="auto"/>
                <w:left w:val="none" w:sz="0" w:space="0" w:color="auto"/>
                <w:bottom w:val="none" w:sz="0" w:space="0" w:color="auto"/>
                <w:right w:val="none" w:sz="0" w:space="0" w:color="auto"/>
              </w:divBdr>
            </w:div>
          </w:divsChild>
        </w:div>
        <w:div w:id="1704477041">
          <w:marLeft w:val="0"/>
          <w:marRight w:val="0"/>
          <w:marTop w:val="0"/>
          <w:marBottom w:val="0"/>
          <w:divBdr>
            <w:top w:val="none" w:sz="0" w:space="0" w:color="auto"/>
            <w:left w:val="none" w:sz="0" w:space="0" w:color="auto"/>
            <w:bottom w:val="none" w:sz="0" w:space="0" w:color="auto"/>
            <w:right w:val="none" w:sz="0" w:space="0" w:color="auto"/>
          </w:divBdr>
          <w:divsChild>
            <w:div w:id="603075820">
              <w:marLeft w:val="0"/>
              <w:marRight w:val="0"/>
              <w:marTop w:val="0"/>
              <w:marBottom w:val="0"/>
              <w:divBdr>
                <w:top w:val="none" w:sz="0" w:space="0" w:color="auto"/>
                <w:left w:val="none" w:sz="0" w:space="0" w:color="auto"/>
                <w:bottom w:val="none" w:sz="0" w:space="0" w:color="auto"/>
                <w:right w:val="none" w:sz="0" w:space="0" w:color="auto"/>
              </w:divBdr>
            </w:div>
          </w:divsChild>
        </w:div>
        <w:div w:id="1710491730">
          <w:marLeft w:val="0"/>
          <w:marRight w:val="0"/>
          <w:marTop w:val="0"/>
          <w:marBottom w:val="0"/>
          <w:divBdr>
            <w:top w:val="none" w:sz="0" w:space="0" w:color="auto"/>
            <w:left w:val="none" w:sz="0" w:space="0" w:color="auto"/>
            <w:bottom w:val="none" w:sz="0" w:space="0" w:color="auto"/>
            <w:right w:val="none" w:sz="0" w:space="0" w:color="auto"/>
          </w:divBdr>
          <w:divsChild>
            <w:div w:id="188416615">
              <w:marLeft w:val="0"/>
              <w:marRight w:val="0"/>
              <w:marTop w:val="0"/>
              <w:marBottom w:val="0"/>
              <w:divBdr>
                <w:top w:val="none" w:sz="0" w:space="0" w:color="auto"/>
                <w:left w:val="none" w:sz="0" w:space="0" w:color="auto"/>
                <w:bottom w:val="none" w:sz="0" w:space="0" w:color="auto"/>
                <w:right w:val="none" w:sz="0" w:space="0" w:color="auto"/>
              </w:divBdr>
            </w:div>
            <w:div w:id="531042110">
              <w:marLeft w:val="0"/>
              <w:marRight w:val="0"/>
              <w:marTop w:val="0"/>
              <w:marBottom w:val="0"/>
              <w:divBdr>
                <w:top w:val="none" w:sz="0" w:space="0" w:color="auto"/>
                <w:left w:val="none" w:sz="0" w:space="0" w:color="auto"/>
                <w:bottom w:val="none" w:sz="0" w:space="0" w:color="auto"/>
                <w:right w:val="none" w:sz="0" w:space="0" w:color="auto"/>
              </w:divBdr>
            </w:div>
            <w:div w:id="617684163">
              <w:marLeft w:val="0"/>
              <w:marRight w:val="0"/>
              <w:marTop w:val="0"/>
              <w:marBottom w:val="0"/>
              <w:divBdr>
                <w:top w:val="none" w:sz="0" w:space="0" w:color="auto"/>
                <w:left w:val="none" w:sz="0" w:space="0" w:color="auto"/>
                <w:bottom w:val="none" w:sz="0" w:space="0" w:color="auto"/>
                <w:right w:val="none" w:sz="0" w:space="0" w:color="auto"/>
              </w:divBdr>
            </w:div>
            <w:div w:id="1135609113">
              <w:marLeft w:val="0"/>
              <w:marRight w:val="0"/>
              <w:marTop w:val="0"/>
              <w:marBottom w:val="0"/>
              <w:divBdr>
                <w:top w:val="none" w:sz="0" w:space="0" w:color="auto"/>
                <w:left w:val="none" w:sz="0" w:space="0" w:color="auto"/>
                <w:bottom w:val="none" w:sz="0" w:space="0" w:color="auto"/>
                <w:right w:val="none" w:sz="0" w:space="0" w:color="auto"/>
              </w:divBdr>
            </w:div>
            <w:div w:id="1668435376">
              <w:marLeft w:val="0"/>
              <w:marRight w:val="0"/>
              <w:marTop w:val="0"/>
              <w:marBottom w:val="0"/>
              <w:divBdr>
                <w:top w:val="none" w:sz="0" w:space="0" w:color="auto"/>
                <w:left w:val="none" w:sz="0" w:space="0" w:color="auto"/>
                <w:bottom w:val="none" w:sz="0" w:space="0" w:color="auto"/>
                <w:right w:val="none" w:sz="0" w:space="0" w:color="auto"/>
              </w:divBdr>
            </w:div>
            <w:div w:id="1740403352">
              <w:marLeft w:val="0"/>
              <w:marRight w:val="0"/>
              <w:marTop w:val="0"/>
              <w:marBottom w:val="0"/>
              <w:divBdr>
                <w:top w:val="none" w:sz="0" w:space="0" w:color="auto"/>
                <w:left w:val="none" w:sz="0" w:space="0" w:color="auto"/>
                <w:bottom w:val="none" w:sz="0" w:space="0" w:color="auto"/>
                <w:right w:val="none" w:sz="0" w:space="0" w:color="auto"/>
              </w:divBdr>
            </w:div>
            <w:div w:id="1934630740">
              <w:marLeft w:val="0"/>
              <w:marRight w:val="0"/>
              <w:marTop w:val="0"/>
              <w:marBottom w:val="0"/>
              <w:divBdr>
                <w:top w:val="none" w:sz="0" w:space="0" w:color="auto"/>
                <w:left w:val="none" w:sz="0" w:space="0" w:color="auto"/>
                <w:bottom w:val="none" w:sz="0" w:space="0" w:color="auto"/>
                <w:right w:val="none" w:sz="0" w:space="0" w:color="auto"/>
              </w:divBdr>
            </w:div>
          </w:divsChild>
        </w:div>
        <w:div w:id="1830708355">
          <w:marLeft w:val="0"/>
          <w:marRight w:val="0"/>
          <w:marTop w:val="0"/>
          <w:marBottom w:val="0"/>
          <w:divBdr>
            <w:top w:val="none" w:sz="0" w:space="0" w:color="auto"/>
            <w:left w:val="none" w:sz="0" w:space="0" w:color="auto"/>
            <w:bottom w:val="none" w:sz="0" w:space="0" w:color="auto"/>
            <w:right w:val="none" w:sz="0" w:space="0" w:color="auto"/>
          </w:divBdr>
          <w:divsChild>
            <w:div w:id="1080175572">
              <w:marLeft w:val="0"/>
              <w:marRight w:val="0"/>
              <w:marTop w:val="0"/>
              <w:marBottom w:val="0"/>
              <w:divBdr>
                <w:top w:val="none" w:sz="0" w:space="0" w:color="auto"/>
                <w:left w:val="none" w:sz="0" w:space="0" w:color="auto"/>
                <w:bottom w:val="none" w:sz="0" w:space="0" w:color="auto"/>
                <w:right w:val="none" w:sz="0" w:space="0" w:color="auto"/>
              </w:divBdr>
            </w:div>
          </w:divsChild>
        </w:div>
        <w:div w:id="1862236371">
          <w:marLeft w:val="0"/>
          <w:marRight w:val="0"/>
          <w:marTop w:val="0"/>
          <w:marBottom w:val="0"/>
          <w:divBdr>
            <w:top w:val="none" w:sz="0" w:space="0" w:color="auto"/>
            <w:left w:val="none" w:sz="0" w:space="0" w:color="auto"/>
            <w:bottom w:val="none" w:sz="0" w:space="0" w:color="auto"/>
            <w:right w:val="none" w:sz="0" w:space="0" w:color="auto"/>
          </w:divBdr>
          <w:divsChild>
            <w:div w:id="1274947132">
              <w:marLeft w:val="0"/>
              <w:marRight w:val="0"/>
              <w:marTop w:val="0"/>
              <w:marBottom w:val="0"/>
              <w:divBdr>
                <w:top w:val="none" w:sz="0" w:space="0" w:color="auto"/>
                <w:left w:val="none" w:sz="0" w:space="0" w:color="auto"/>
                <w:bottom w:val="none" w:sz="0" w:space="0" w:color="auto"/>
                <w:right w:val="none" w:sz="0" w:space="0" w:color="auto"/>
              </w:divBdr>
            </w:div>
          </w:divsChild>
        </w:div>
        <w:div w:id="2012681676">
          <w:marLeft w:val="0"/>
          <w:marRight w:val="0"/>
          <w:marTop w:val="0"/>
          <w:marBottom w:val="0"/>
          <w:divBdr>
            <w:top w:val="none" w:sz="0" w:space="0" w:color="auto"/>
            <w:left w:val="none" w:sz="0" w:space="0" w:color="auto"/>
            <w:bottom w:val="none" w:sz="0" w:space="0" w:color="auto"/>
            <w:right w:val="none" w:sz="0" w:space="0" w:color="auto"/>
          </w:divBdr>
          <w:divsChild>
            <w:div w:id="1745177468">
              <w:marLeft w:val="0"/>
              <w:marRight w:val="0"/>
              <w:marTop w:val="0"/>
              <w:marBottom w:val="0"/>
              <w:divBdr>
                <w:top w:val="none" w:sz="0" w:space="0" w:color="auto"/>
                <w:left w:val="none" w:sz="0" w:space="0" w:color="auto"/>
                <w:bottom w:val="none" w:sz="0" w:space="0" w:color="auto"/>
                <w:right w:val="none" w:sz="0" w:space="0" w:color="auto"/>
              </w:divBdr>
            </w:div>
          </w:divsChild>
        </w:div>
        <w:div w:id="2052341786">
          <w:marLeft w:val="0"/>
          <w:marRight w:val="0"/>
          <w:marTop w:val="0"/>
          <w:marBottom w:val="0"/>
          <w:divBdr>
            <w:top w:val="none" w:sz="0" w:space="0" w:color="auto"/>
            <w:left w:val="none" w:sz="0" w:space="0" w:color="auto"/>
            <w:bottom w:val="none" w:sz="0" w:space="0" w:color="auto"/>
            <w:right w:val="none" w:sz="0" w:space="0" w:color="auto"/>
          </w:divBdr>
          <w:divsChild>
            <w:div w:id="974988153">
              <w:marLeft w:val="0"/>
              <w:marRight w:val="0"/>
              <w:marTop w:val="0"/>
              <w:marBottom w:val="0"/>
              <w:divBdr>
                <w:top w:val="none" w:sz="0" w:space="0" w:color="auto"/>
                <w:left w:val="none" w:sz="0" w:space="0" w:color="auto"/>
                <w:bottom w:val="none" w:sz="0" w:space="0" w:color="auto"/>
                <w:right w:val="none" w:sz="0" w:space="0" w:color="auto"/>
              </w:divBdr>
            </w:div>
          </w:divsChild>
        </w:div>
        <w:div w:id="2061591531">
          <w:marLeft w:val="0"/>
          <w:marRight w:val="0"/>
          <w:marTop w:val="0"/>
          <w:marBottom w:val="0"/>
          <w:divBdr>
            <w:top w:val="none" w:sz="0" w:space="0" w:color="auto"/>
            <w:left w:val="none" w:sz="0" w:space="0" w:color="auto"/>
            <w:bottom w:val="none" w:sz="0" w:space="0" w:color="auto"/>
            <w:right w:val="none" w:sz="0" w:space="0" w:color="auto"/>
          </w:divBdr>
          <w:divsChild>
            <w:div w:id="833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8670553">
      <w:bodyDiv w:val="1"/>
      <w:marLeft w:val="0"/>
      <w:marRight w:val="0"/>
      <w:marTop w:val="0"/>
      <w:marBottom w:val="0"/>
      <w:divBdr>
        <w:top w:val="none" w:sz="0" w:space="0" w:color="auto"/>
        <w:left w:val="none" w:sz="0" w:space="0" w:color="auto"/>
        <w:bottom w:val="none" w:sz="0" w:space="0" w:color="auto"/>
        <w:right w:val="none" w:sz="0" w:space="0" w:color="auto"/>
      </w:divBdr>
    </w:div>
    <w:div w:id="189504639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53012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8917742">
      <w:bodyDiv w:val="1"/>
      <w:marLeft w:val="0"/>
      <w:marRight w:val="0"/>
      <w:marTop w:val="0"/>
      <w:marBottom w:val="0"/>
      <w:divBdr>
        <w:top w:val="none" w:sz="0" w:space="0" w:color="auto"/>
        <w:left w:val="none" w:sz="0" w:space="0" w:color="auto"/>
        <w:bottom w:val="none" w:sz="0" w:space="0" w:color="auto"/>
        <w:right w:val="none" w:sz="0" w:space="0" w:color="auto"/>
      </w:divBdr>
      <w:divsChild>
        <w:div w:id="564535455">
          <w:marLeft w:val="0"/>
          <w:marRight w:val="0"/>
          <w:marTop w:val="0"/>
          <w:marBottom w:val="0"/>
          <w:divBdr>
            <w:top w:val="none" w:sz="0" w:space="0" w:color="auto"/>
            <w:left w:val="none" w:sz="0" w:space="0" w:color="auto"/>
            <w:bottom w:val="none" w:sz="0" w:space="0" w:color="auto"/>
            <w:right w:val="none" w:sz="0" w:space="0" w:color="auto"/>
          </w:divBdr>
        </w:div>
      </w:divsChild>
    </w:div>
    <w:div w:id="210299036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our-work/2020-25-national-health-reform-agreement-nhra" TargetMode="External"/><Relationship Id="rId21" Type="http://schemas.openxmlformats.org/officeDocument/2006/relationships/footer" Target="footer6.xml"/><Relationship Id="rId42" Type="http://schemas.openxmlformats.org/officeDocument/2006/relationships/hyperlink" Target="https://www.health.vic.gov.au/policy-and-funding-guidelines-for-health-services" TargetMode="External"/><Relationship Id="rId47" Type="http://schemas.openxmlformats.org/officeDocument/2006/relationships/hyperlink" Target="https://www.health.vic.gov.au/patient-fees-charges/transport-accident-commission-patients" TargetMode="External"/><Relationship Id="rId63" Type="http://schemas.openxmlformats.org/officeDocument/2006/relationships/hyperlink" Target="file:///C:/Users/lgru2306/AppData/Local/Microsoft/Windows/INetCache/Content.Outlook/SK0T922T/Planning%20the%20future%20of%20Victoria&#8217;s%20sub-acute%20service%20system:%20a%20capability%20and%20access%20planning%20framework%20(2013)" TargetMode="External"/><Relationship Id="rId68" Type="http://schemas.openxmlformats.org/officeDocument/2006/relationships/hyperlink" Target="https://www.health.vic.gov.au/data-reporting/victorian-integrated-non-admitted-health-vinah-dataset" TargetMode="External"/><Relationship Id="rId84" Type="http://schemas.openxmlformats.org/officeDocument/2006/relationships/footer" Target="footer16.xml"/><Relationship Id="rId89" Type="http://schemas.openxmlformats.org/officeDocument/2006/relationships/footer" Target="footer19.xml"/><Relationship Id="rId112" Type="http://schemas.openxmlformats.org/officeDocument/2006/relationships/footer" Target="footer32.xml"/><Relationship Id="rId16" Type="http://schemas.openxmlformats.org/officeDocument/2006/relationships/hyperlink" Target="https://fac.dhhs.vic.gov.au/service-agreement" TargetMode="External"/><Relationship Id="rId107" Type="http://schemas.openxmlformats.org/officeDocument/2006/relationships/header" Target="header17.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hyperlink" Target="https://www.ihacpa.gov.au/resources/national-efficient-cost-determination-2025-26" TargetMode="External"/><Relationship Id="rId40" Type="http://schemas.openxmlformats.org/officeDocument/2006/relationships/hyperlink" Target="http://www.health.vic.gov.au/data-reporting/victorian-emergency-minimum-dataset-vemd" TargetMode="External"/><Relationship Id="rId45" Type="http://schemas.openxmlformats.org/officeDocument/2006/relationships/hyperlink" Target="https://www.dva.gov.au/health-and-wellbeing/home-and-care/rehabilitation-appliances-program-rap" TargetMode="External"/><Relationship Id="rId53" Type="http://schemas.openxmlformats.org/officeDocument/2006/relationships/hyperlink" Target="https://www.health.vic.gov.au/publications/aboriginal-cultural-safety-fixed-grant-guidelines-cultural-safety-planning-and" TargetMode="External"/><Relationship Id="rId58" Type="http://schemas.openxmlformats.org/officeDocument/2006/relationships/hyperlink" Target="https://www.health.vic.gov.au/data-reporting/health-data-standards-and-systems" TargetMode="External"/><Relationship Id="rId66" Type="http://schemas.openxmlformats.org/officeDocument/2006/relationships/hyperlink" Target="https://www.health.vic.gov.au/publications/non-admitted-clinic-management-system-nacms-manual" TargetMode="External"/><Relationship Id="rId74" Type="http://schemas.openxmlformats.org/officeDocument/2006/relationships/hyperlink" Target="https://www.ihacpa.gov.au/health-care/pricing/national-efficient-cost-determination" TargetMode="External"/><Relationship Id="rId79" Type="http://schemas.openxmlformats.org/officeDocument/2006/relationships/header" Target="header6.xml"/><Relationship Id="rId87" Type="http://schemas.openxmlformats.org/officeDocument/2006/relationships/header" Target="header8.xml"/><Relationship Id="rId102" Type="http://schemas.openxmlformats.org/officeDocument/2006/relationships/footer" Target="footer27.xml"/><Relationship Id="rId110" Type="http://schemas.openxmlformats.org/officeDocument/2006/relationships/header" Target="header19.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teor.aihw.gov.au" TargetMode="External"/><Relationship Id="rId82" Type="http://schemas.openxmlformats.org/officeDocument/2006/relationships/footer" Target="footer15.xml"/><Relationship Id="rId90" Type="http://schemas.openxmlformats.org/officeDocument/2006/relationships/footer" Target="footer20.xml"/><Relationship Id="rId95" Type="http://schemas.openxmlformats.org/officeDocument/2006/relationships/footer" Target="footer23.xml"/><Relationship Id="rId19" Type="http://schemas.openxmlformats.org/officeDocument/2006/relationships/footer" Target="footer5.xml"/><Relationship Id="rId14" Type="http://schemas.openxmlformats.org/officeDocument/2006/relationships/hyperlink" Target="https://www.health.vic.gov.au/policy-and-funding-guidelines-for-health-services" TargetMode="External"/><Relationship Id="rId22" Type="http://schemas.openxmlformats.org/officeDocument/2006/relationships/footer" Target="footer7.xml"/><Relationship Id="rId27" Type="http://schemas.openxmlformats.org/officeDocument/2006/relationships/hyperlink" Target="https://www.health.gov.au/our-work/2020-25-national-health-reform-agreement-nhra" TargetMode="External"/><Relationship Id="rId30" Type="http://schemas.openxmlformats.org/officeDocument/2006/relationships/footer" Target="footer10.xml"/><Relationship Id="rId35" Type="http://schemas.openxmlformats.org/officeDocument/2006/relationships/hyperlink" Target="https://www.health.vic.gov.au/health-strategies/radiotherapy-service-locations" TargetMode="External"/><Relationship Id="rId43" Type="http://schemas.openxmlformats.org/officeDocument/2006/relationships/hyperlink" Target="https://www.health.vic.gov.au/patient-care/nationally-funded-centres" TargetMode="External"/><Relationship Id="rId48" Type="http://schemas.openxmlformats.org/officeDocument/2006/relationships/hyperlink" Target="https://www.health.vic.gov.au/patient-fees-charges/worksafe-patients" TargetMode="External"/><Relationship Id="rId56" Type="http://schemas.openxmlformats.org/officeDocument/2006/relationships/hyperlink" Target="https://www.ihacpa.gov.au/resources/national-pricing-model-technical-specifications-2025-26" TargetMode="External"/><Relationship Id="rId64" Type="http://schemas.openxmlformats.org/officeDocument/2006/relationships/hyperlink" Target="https://www.ihacpa.gov.au/health-care/classification/subacute-and-non-acute-care" TargetMode="External"/><Relationship Id="rId69" Type="http://schemas.openxmlformats.org/officeDocument/2006/relationships/hyperlink" Target="https://www.ihacpa.gov.au/pricing/national-efficient-price-determination" TargetMode="External"/><Relationship Id="rId77" Type="http://schemas.openxmlformats.org/officeDocument/2006/relationships/hyperlink" Target="https://www.health.vic.gov.au/hospitals-and-health-services/patient-fees-and-charges-for-public-health-services" TargetMode="External"/><Relationship Id="rId100" Type="http://schemas.openxmlformats.org/officeDocument/2006/relationships/footer" Target="footer26.xml"/><Relationship Id="rId105" Type="http://schemas.openxmlformats.org/officeDocument/2006/relationships/footer" Target="footer28.xml"/><Relationship Id="rId113" Type="http://schemas.openxmlformats.org/officeDocument/2006/relationships/header" Target="header20.xml"/><Relationship Id="rId8" Type="http://schemas.openxmlformats.org/officeDocument/2006/relationships/image" Target="media/image1.jpg"/><Relationship Id="rId51" Type="http://schemas.openxmlformats.org/officeDocument/2006/relationships/hyperlink" Target="https://www.health.vic.gov.au/funding-performance-accountability/mbs-billing-policy-framework-victorian-public-hospitals" TargetMode="External"/><Relationship Id="rId72" Type="http://schemas.openxmlformats.org/officeDocument/2006/relationships/hyperlink" Target="https://www.ihacpa.gov.au/health-care/pricing/pricing-framework-australian-public-hospital-services" TargetMode="External"/><Relationship Id="rId80" Type="http://schemas.openxmlformats.org/officeDocument/2006/relationships/footer" Target="footer13.xml"/><Relationship Id="rId85" Type="http://schemas.openxmlformats.org/officeDocument/2006/relationships/footer" Target="footer17.xml"/><Relationship Id="rId93" Type="http://schemas.openxmlformats.org/officeDocument/2006/relationships/header" Target="header11.xml"/><Relationship Id="rId98"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providers.dffh.vic.gov.au/families-fairness-housing-health-activity-search" TargetMode="Externa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yperlink" Target="https://www.health.vic.gov.au/education-and-training/training-and-development-funding" TargetMode="External"/><Relationship Id="rId46" Type="http://schemas.openxmlformats.org/officeDocument/2006/relationships/hyperlink" Target="https://www.tac.vic.gov.au/providers" TargetMode="External"/><Relationship Id="rId59" Type="http://schemas.openxmlformats.org/officeDocument/2006/relationships/hyperlink" Target="https://www.health.vic.gov.au/data-reporting/victorian-admitted-episodes-dataset" TargetMode="External"/><Relationship Id="rId67" Type="http://schemas.openxmlformats.org/officeDocument/2006/relationships/hyperlink" Target="https://www.ihacpa.gov.au/health-care/classification/non-admitted-care/tier-2-non-admitted-services-classification" TargetMode="External"/><Relationship Id="rId103" Type="http://schemas.openxmlformats.org/officeDocument/2006/relationships/header" Target="header15.xml"/><Relationship Id="rId108" Type="http://schemas.openxmlformats.org/officeDocument/2006/relationships/footer" Target="footer30.xml"/><Relationship Id="rId11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www.health.vic.gov.au/alcohol-other-drugs" TargetMode="External"/><Relationship Id="rId54" Type="http://schemas.openxmlformats.org/officeDocument/2006/relationships/hyperlink" Target="https://www.safetyandquality.gov.au/our-work/indicators/hospital-acquired-complications" TargetMode="External"/><Relationship Id="rId62" Type="http://schemas.openxmlformats.org/officeDocument/2006/relationships/hyperlink" Target="https://www.health.vic.gov.au/data-reporting/victorian-admitted-episodes-dataset" TargetMode="External"/><Relationship Id="rId70" Type="http://schemas.openxmlformats.org/officeDocument/2006/relationships/hyperlink" Target="https://www.ihacpa.gov.au/resources/national-efficient-price-determination-2025-26" TargetMode="External"/><Relationship Id="rId75" Type="http://schemas.openxmlformats.org/officeDocument/2006/relationships/hyperlink" Target="https://www.ihacpa.gov.au/health-care/pricing/national-pricing-model-technical-specifications" TargetMode="External"/><Relationship Id="rId83" Type="http://schemas.openxmlformats.org/officeDocument/2006/relationships/header" Target="header7.xml"/><Relationship Id="rId88" Type="http://schemas.openxmlformats.org/officeDocument/2006/relationships/header" Target="header9.xml"/><Relationship Id="rId91" Type="http://schemas.openxmlformats.org/officeDocument/2006/relationships/header" Target="header10.xml"/><Relationship Id="rId96" Type="http://schemas.openxmlformats.org/officeDocument/2006/relationships/header" Target="header12.xml"/><Relationship Id="rId11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vic.gov.au/policy-and-funding-guidelines-for-health-services" TargetMode="External"/><Relationship Id="rId23" Type="http://schemas.openxmlformats.org/officeDocument/2006/relationships/footer" Target="footer8.xml"/><Relationship Id="rId28" Type="http://schemas.openxmlformats.org/officeDocument/2006/relationships/hyperlink" Target="https://www.ihacpa.gov.au/health-care/pricing/pricing-framework-australian-public-hospital-services" TargetMode="External"/><Relationship Id="rId36" Type="http://schemas.openxmlformats.org/officeDocument/2006/relationships/hyperlink" Target="https://www.ihacpa.gov.au/resources/national-efficient-cost-determination-2025-26%3e." TargetMode="External"/><Relationship Id="rId49" Type="http://schemas.openxmlformats.org/officeDocument/2006/relationships/hyperlink" Target="https://www.health.vic.gov.au/hospitals-and-health-services/patient-fees-and-charges-for-public-health-services" TargetMode="External"/><Relationship Id="rId57" Type="http://schemas.openxmlformats.org/officeDocument/2006/relationships/hyperlink" Target="https://www.health.vic.gov.au/data-reporting/victorian-cost-data-collection-vcdc" TargetMode="External"/><Relationship Id="rId106" Type="http://schemas.openxmlformats.org/officeDocument/2006/relationships/footer" Target="footer29.xml"/><Relationship Id="rId114" Type="http://schemas.openxmlformats.org/officeDocument/2006/relationships/footer" Target="footer33.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yperlink" Target="https://www.health.vic.gov.au/sites/default/files/2023-11/hacc-pyp-interim-guidelines.docx.docx" TargetMode="External"/><Relationship Id="rId52" Type="http://schemas.openxmlformats.org/officeDocument/2006/relationships/hyperlink" Target="https://www.health.vic.gov.au/publications/aboriginal-cultural-safety-fixed-grant-guidelines-cultural-safety-planning-and" TargetMode="External"/><Relationship Id="rId60" Type="http://schemas.openxmlformats.org/officeDocument/2006/relationships/hyperlink" Target="https://www.health.vic.gov.au/publications/hospital-access-for-people-seeking-asylum" TargetMode="External"/><Relationship Id="rId65" Type="http://schemas.openxmlformats.org/officeDocument/2006/relationships/hyperlink" Target="https://www.healthcollect.vic.gov.au" TargetMode="External"/><Relationship Id="rId73" Type="http://schemas.openxmlformats.org/officeDocument/2006/relationships/hyperlink" Target="https://www.ihacpa.gov.au/pricing/national-efficient-price-determination" TargetMode="External"/><Relationship Id="rId78" Type="http://schemas.openxmlformats.org/officeDocument/2006/relationships/hyperlink" Target="https://www.health.vic.gov.au/patient-fees-charges/private-patients" TargetMode="External"/><Relationship Id="rId81" Type="http://schemas.openxmlformats.org/officeDocument/2006/relationships/footer" Target="footer14.xml"/><Relationship Id="rId86" Type="http://schemas.openxmlformats.org/officeDocument/2006/relationships/footer" Target="footer18.xml"/><Relationship Id="rId94" Type="http://schemas.openxmlformats.org/officeDocument/2006/relationships/footer" Target="footer22.xml"/><Relationship Id="rId99" Type="http://schemas.openxmlformats.org/officeDocument/2006/relationships/footer" Target="footer25.xml"/><Relationship Id="rId10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accountability@health.vic.gov.au" TargetMode="External"/><Relationship Id="rId18" Type="http://schemas.openxmlformats.org/officeDocument/2006/relationships/footer" Target="footer4.xml"/><Relationship Id="rId39" Type="http://schemas.openxmlformats.org/officeDocument/2006/relationships/hyperlink" Target="https://www.health.vic.gov.au/health-workforce/education-and-training" TargetMode="External"/><Relationship Id="rId109" Type="http://schemas.openxmlformats.org/officeDocument/2006/relationships/header" Target="header18.xml"/><Relationship Id="rId34" Type="http://schemas.openxmlformats.org/officeDocument/2006/relationships/hyperlink" Target="https://www.health.vic.gov.au/patient-care/conditions-of-funding-for-palliative-care" TargetMode="External"/><Relationship Id="rId50" Type="http://schemas.openxmlformats.org/officeDocument/2006/relationships/hyperlink" Target="https://www.ihacpa.gov.au/pricing/national-efficient-price-determination" TargetMode="External"/><Relationship Id="rId55" Type="http://schemas.openxmlformats.org/officeDocument/2006/relationships/hyperlink" Target="file:///C:/Users/lgru2306/AppData/Local/Microsoft/Windows/INetCache/Content.Outlook/SK0T922T/National%20pricing%20model%20technical%20specifications%202025&#8211;26%20&#8211;%20Independent%20Health%20and%20Aged%20Care%20Pricing%20Authority%20website" TargetMode="External"/><Relationship Id="rId76" Type="http://schemas.openxmlformats.org/officeDocument/2006/relationships/hyperlink" Target="https://www.health.vic.gov.au/data-reporting/national-funding-model-implementation-resources" TargetMode="External"/><Relationship Id="rId97" Type="http://schemas.openxmlformats.org/officeDocument/2006/relationships/footer" Target="footer24.xml"/><Relationship Id="rId104"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s://www.publichospitalfunding.gov.au/public-hospital-funding/pay" TargetMode="External"/><Relationship Id="rId92" Type="http://schemas.openxmlformats.org/officeDocument/2006/relationships/footer" Target="footer21.xml"/><Relationship Id="rId2" Type="http://schemas.openxmlformats.org/officeDocument/2006/relationships/numbering" Target="numbering.xml"/><Relationship Id="rId2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36853</Words>
  <Characters>210068</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246429</CharactersWithSpaces>
  <SharedDoc>false</SharedDoc>
  <HyperlinkBase/>
  <HLinks>
    <vt:vector size="1284" baseType="variant">
      <vt:variant>
        <vt:i4>1966129</vt:i4>
      </vt:variant>
      <vt:variant>
        <vt:i4>1508</vt:i4>
      </vt:variant>
      <vt:variant>
        <vt:i4>0</vt:i4>
      </vt:variant>
      <vt:variant>
        <vt:i4>5</vt:i4>
      </vt:variant>
      <vt:variant>
        <vt:lpwstr/>
      </vt:variant>
      <vt:variant>
        <vt:lpwstr>_Toc201148608</vt:lpwstr>
      </vt:variant>
      <vt:variant>
        <vt:i4>1966129</vt:i4>
      </vt:variant>
      <vt:variant>
        <vt:i4>1502</vt:i4>
      </vt:variant>
      <vt:variant>
        <vt:i4>0</vt:i4>
      </vt:variant>
      <vt:variant>
        <vt:i4>5</vt:i4>
      </vt:variant>
      <vt:variant>
        <vt:lpwstr/>
      </vt:variant>
      <vt:variant>
        <vt:lpwstr>_Toc201148607</vt:lpwstr>
      </vt:variant>
      <vt:variant>
        <vt:i4>1966129</vt:i4>
      </vt:variant>
      <vt:variant>
        <vt:i4>1496</vt:i4>
      </vt:variant>
      <vt:variant>
        <vt:i4>0</vt:i4>
      </vt:variant>
      <vt:variant>
        <vt:i4>5</vt:i4>
      </vt:variant>
      <vt:variant>
        <vt:lpwstr/>
      </vt:variant>
      <vt:variant>
        <vt:lpwstr>_Toc201148606</vt:lpwstr>
      </vt:variant>
      <vt:variant>
        <vt:i4>1966129</vt:i4>
      </vt:variant>
      <vt:variant>
        <vt:i4>1490</vt:i4>
      </vt:variant>
      <vt:variant>
        <vt:i4>0</vt:i4>
      </vt:variant>
      <vt:variant>
        <vt:i4>5</vt:i4>
      </vt:variant>
      <vt:variant>
        <vt:lpwstr/>
      </vt:variant>
      <vt:variant>
        <vt:lpwstr>_Toc201148605</vt:lpwstr>
      </vt:variant>
      <vt:variant>
        <vt:i4>1966129</vt:i4>
      </vt:variant>
      <vt:variant>
        <vt:i4>1484</vt:i4>
      </vt:variant>
      <vt:variant>
        <vt:i4>0</vt:i4>
      </vt:variant>
      <vt:variant>
        <vt:i4>5</vt:i4>
      </vt:variant>
      <vt:variant>
        <vt:lpwstr/>
      </vt:variant>
      <vt:variant>
        <vt:lpwstr>_Toc201148604</vt:lpwstr>
      </vt:variant>
      <vt:variant>
        <vt:i4>1966129</vt:i4>
      </vt:variant>
      <vt:variant>
        <vt:i4>1478</vt:i4>
      </vt:variant>
      <vt:variant>
        <vt:i4>0</vt:i4>
      </vt:variant>
      <vt:variant>
        <vt:i4>5</vt:i4>
      </vt:variant>
      <vt:variant>
        <vt:lpwstr/>
      </vt:variant>
      <vt:variant>
        <vt:lpwstr>_Toc201148603</vt:lpwstr>
      </vt:variant>
      <vt:variant>
        <vt:i4>1966129</vt:i4>
      </vt:variant>
      <vt:variant>
        <vt:i4>1472</vt:i4>
      </vt:variant>
      <vt:variant>
        <vt:i4>0</vt:i4>
      </vt:variant>
      <vt:variant>
        <vt:i4>5</vt:i4>
      </vt:variant>
      <vt:variant>
        <vt:lpwstr/>
      </vt:variant>
      <vt:variant>
        <vt:lpwstr>_Toc201148602</vt:lpwstr>
      </vt:variant>
      <vt:variant>
        <vt:i4>1966129</vt:i4>
      </vt:variant>
      <vt:variant>
        <vt:i4>1466</vt:i4>
      </vt:variant>
      <vt:variant>
        <vt:i4>0</vt:i4>
      </vt:variant>
      <vt:variant>
        <vt:i4>5</vt:i4>
      </vt:variant>
      <vt:variant>
        <vt:lpwstr/>
      </vt:variant>
      <vt:variant>
        <vt:lpwstr>_Toc201148601</vt:lpwstr>
      </vt:variant>
      <vt:variant>
        <vt:i4>1966129</vt:i4>
      </vt:variant>
      <vt:variant>
        <vt:i4>1460</vt:i4>
      </vt:variant>
      <vt:variant>
        <vt:i4>0</vt:i4>
      </vt:variant>
      <vt:variant>
        <vt:i4>5</vt:i4>
      </vt:variant>
      <vt:variant>
        <vt:lpwstr/>
      </vt:variant>
      <vt:variant>
        <vt:lpwstr>_Toc201148600</vt:lpwstr>
      </vt:variant>
      <vt:variant>
        <vt:i4>1507378</vt:i4>
      </vt:variant>
      <vt:variant>
        <vt:i4>1454</vt:i4>
      </vt:variant>
      <vt:variant>
        <vt:i4>0</vt:i4>
      </vt:variant>
      <vt:variant>
        <vt:i4>5</vt:i4>
      </vt:variant>
      <vt:variant>
        <vt:lpwstr/>
      </vt:variant>
      <vt:variant>
        <vt:lpwstr>_Toc201148599</vt:lpwstr>
      </vt:variant>
      <vt:variant>
        <vt:i4>1507378</vt:i4>
      </vt:variant>
      <vt:variant>
        <vt:i4>1448</vt:i4>
      </vt:variant>
      <vt:variant>
        <vt:i4>0</vt:i4>
      </vt:variant>
      <vt:variant>
        <vt:i4>5</vt:i4>
      </vt:variant>
      <vt:variant>
        <vt:lpwstr/>
      </vt:variant>
      <vt:variant>
        <vt:lpwstr>_Toc201148598</vt:lpwstr>
      </vt:variant>
      <vt:variant>
        <vt:i4>1507378</vt:i4>
      </vt:variant>
      <vt:variant>
        <vt:i4>1442</vt:i4>
      </vt:variant>
      <vt:variant>
        <vt:i4>0</vt:i4>
      </vt:variant>
      <vt:variant>
        <vt:i4>5</vt:i4>
      </vt:variant>
      <vt:variant>
        <vt:lpwstr/>
      </vt:variant>
      <vt:variant>
        <vt:lpwstr>_Toc201148597</vt:lpwstr>
      </vt:variant>
      <vt:variant>
        <vt:i4>1507378</vt:i4>
      </vt:variant>
      <vt:variant>
        <vt:i4>1436</vt:i4>
      </vt:variant>
      <vt:variant>
        <vt:i4>0</vt:i4>
      </vt:variant>
      <vt:variant>
        <vt:i4>5</vt:i4>
      </vt:variant>
      <vt:variant>
        <vt:lpwstr/>
      </vt:variant>
      <vt:variant>
        <vt:lpwstr>_Toc201148596</vt:lpwstr>
      </vt:variant>
      <vt:variant>
        <vt:i4>1507378</vt:i4>
      </vt:variant>
      <vt:variant>
        <vt:i4>1430</vt:i4>
      </vt:variant>
      <vt:variant>
        <vt:i4>0</vt:i4>
      </vt:variant>
      <vt:variant>
        <vt:i4>5</vt:i4>
      </vt:variant>
      <vt:variant>
        <vt:lpwstr/>
      </vt:variant>
      <vt:variant>
        <vt:lpwstr>_Toc201148595</vt:lpwstr>
      </vt:variant>
      <vt:variant>
        <vt:i4>1507378</vt:i4>
      </vt:variant>
      <vt:variant>
        <vt:i4>1424</vt:i4>
      </vt:variant>
      <vt:variant>
        <vt:i4>0</vt:i4>
      </vt:variant>
      <vt:variant>
        <vt:i4>5</vt:i4>
      </vt:variant>
      <vt:variant>
        <vt:lpwstr/>
      </vt:variant>
      <vt:variant>
        <vt:lpwstr>_Toc201148594</vt:lpwstr>
      </vt:variant>
      <vt:variant>
        <vt:i4>1507378</vt:i4>
      </vt:variant>
      <vt:variant>
        <vt:i4>1418</vt:i4>
      </vt:variant>
      <vt:variant>
        <vt:i4>0</vt:i4>
      </vt:variant>
      <vt:variant>
        <vt:i4>5</vt:i4>
      </vt:variant>
      <vt:variant>
        <vt:lpwstr/>
      </vt:variant>
      <vt:variant>
        <vt:lpwstr>_Toc201148593</vt:lpwstr>
      </vt:variant>
      <vt:variant>
        <vt:i4>1507378</vt:i4>
      </vt:variant>
      <vt:variant>
        <vt:i4>1412</vt:i4>
      </vt:variant>
      <vt:variant>
        <vt:i4>0</vt:i4>
      </vt:variant>
      <vt:variant>
        <vt:i4>5</vt:i4>
      </vt:variant>
      <vt:variant>
        <vt:lpwstr/>
      </vt:variant>
      <vt:variant>
        <vt:lpwstr>_Toc201148592</vt:lpwstr>
      </vt:variant>
      <vt:variant>
        <vt:i4>1507378</vt:i4>
      </vt:variant>
      <vt:variant>
        <vt:i4>1406</vt:i4>
      </vt:variant>
      <vt:variant>
        <vt:i4>0</vt:i4>
      </vt:variant>
      <vt:variant>
        <vt:i4>5</vt:i4>
      </vt:variant>
      <vt:variant>
        <vt:lpwstr/>
      </vt:variant>
      <vt:variant>
        <vt:lpwstr>_Toc201148591</vt:lpwstr>
      </vt:variant>
      <vt:variant>
        <vt:i4>1507378</vt:i4>
      </vt:variant>
      <vt:variant>
        <vt:i4>1400</vt:i4>
      </vt:variant>
      <vt:variant>
        <vt:i4>0</vt:i4>
      </vt:variant>
      <vt:variant>
        <vt:i4>5</vt:i4>
      </vt:variant>
      <vt:variant>
        <vt:lpwstr/>
      </vt:variant>
      <vt:variant>
        <vt:lpwstr>_Toc201148590</vt:lpwstr>
      </vt:variant>
      <vt:variant>
        <vt:i4>1441842</vt:i4>
      </vt:variant>
      <vt:variant>
        <vt:i4>1394</vt:i4>
      </vt:variant>
      <vt:variant>
        <vt:i4>0</vt:i4>
      </vt:variant>
      <vt:variant>
        <vt:i4>5</vt:i4>
      </vt:variant>
      <vt:variant>
        <vt:lpwstr/>
      </vt:variant>
      <vt:variant>
        <vt:lpwstr>_Toc201148589</vt:lpwstr>
      </vt:variant>
      <vt:variant>
        <vt:i4>1441842</vt:i4>
      </vt:variant>
      <vt:variant>
        <vt:i4>1388</vt:i4>
      </vt:variant>
      <vt:variant>
        <vt:i4>0</vt:i4>
      </vt:variant>
      <vt:variant>
        <vt:i4>5</vt:i4>
      </vt:variant>
      <vt:variant>
        <vt:lpwstr/>
      </vt:variant>
      <vt:variant>
        <vt:lpwstr>_Toc201148588</vt:lpwstr>
      </vt:variant>
      <vt:variant>
        <vt:i4>1441842</vt:i4>
      </vt:variant>
      <vt:variant>
        <vt:i4>1382</vt:i4>
      </vt:variant>
      <vt:variant>
        <vt:i4>0</vt:i4>
      </vt:variant>
      <vt:variant>
        <vt:i4>5</vt:i4>
      </vt:variant>
      <vt:variant>
        <vt:lpwstr/>
      </vt:variant>
      <vt:variant>
        <vt:lpwstr>_Toc201148587</vt:lpwstr>
      </vt:variant>
      <vt:variant>
        <vt:i4>1441842</vt:i4>
      </vt:variant>
      <vt:variant>
        <vt:i4>1376</vt:i4>
      </vt:variant>
      <vt:variant>
        <vt:i4>0</vt:i4>
      </vt:variant>
      <vt:variant>
        <vt:i4>5</vt:i4>
      </vt:variant>
      <vt:variant>
        <vt:lpwstr/>
      </vt:variant>
      <vt:variant>
        <vt:lpwstr>_Toc201148586</vt:lpwstr>
      </vt:variant>
      <vt:variant>
        <vt:i4>1441842</vt:i4>
      </vt:variant>
      <vt:variant>
        <vt:i4>1370</vt:i4>
      </vt:variant>
      <vt:variant>
        <vt:i4>0</vt:i4>
      </vt:variant>
      <vt:variant>
        <vt:i4>5</vt:i4>
      </vt:variant>
      <vt:variant>
        <vt:lpwstr/>
      </vt:variant>
      <vt:variant>
        <vt:lpwstr>_Toc201148585</vt:lpwstr>
      </vt:variant>
      <vt:variant>
        <vt:i4>1441842</vt:i4>
      </vt:variant>
      <vt:variant>
        <vt:i4>1364</vt:i4>
      </vt:variant>
      <vt:variant>
        <vt:i4>0</vt:i4>
      </vt:variant>
      <vt:variant>
        <vt:i4>5</vt:i4>
      </vt:variant>
      <vt:variant>
        <vt:lpwstr/>
      </vt:variant>
      <vt:variant>
        <vt:lpwstr>_Toc201148584</vt:lpwstr>
      </vt:variant>
      <vt:variant>
        <vt:i4>1441842</vt:i4>
      </vt:variant>
      <vt:variant>
        <vt:i4>1358</vt:i4>
      </vt:variant>
      <vt:variant>
        <vt:i4>0</vt:i4>
      </vt:variant>
      <vt:variant>
        <vt:i4>5</vt:i4>
      </vt:variant>
      <vt:variant>
        <vt:lpwstr/>
      </vt:variant>
      <vt:variant>
        <vt:lpwstr>_Toc201148583</vt:lpwstr>
      </vt:variant>
      <vt:variant>
        <vt:i4>1441842</vt:i4>
      </vt:variant>
      <vt:variant>
        <vt:i4>1352</vt:i4>
      </vt:variant>
      <vt:variant>
        <vt:i4>0</vt:i4>
      </vt:variant>
      <vt:variant>
        <vt:i4>5</vt:i4>
      </vt:variant>
      <vt:variant>
        <vt:lpwstr/>
      </vt:variant>
      <vt:variant>
        <vt:lpwstr>_Toc201148582</vt:lpwstr>
      </vt:variant>
      <vt:variant>
        <vt:i4>1441842</vt:i4>
      </vt:variant>
      <vt:variant>
        <vt:i4>1346</vt:i4>
      </vt:variant>
      <vt:variant>
        <vt:i4>0</vt:i4>
      </vt:variant>
      <vt:variant>
        <vt:i4>5</vt:i4>
      </vt:variant>
      <vt:variant>
        <vt:lpwstr/>
      </vt:variant>
      <vt:variant>
        <vt:lpwstr>_Toc201148581</vt:lpwstr>
      </vt:variant>
      <vt:variant>
        <vt:i4>1441842</vt:i4>
      </vt:variant>
      <vt:variant>
        <vt:i4>1340</vt:i4>
      </vt:variant>
      <vt:variant>
        <vt:i4>0</vt:i4>
      </vt:variant>
      <vt:variant>
        <vt:i4>5</vt:i4>
      </vt:variant>
      <vt:variant>
        <vt:lpwstr/>
      </vt:variant>
      <vt:variant>
        <vt:lpwstr>_Toc201148580</vt:lpwstr>
      </vt:variant>
      <vt:variant>
        <vt:i4>1638450</vt:i4>
      </vt:variant>
      <vt:variant>
        <vt:i4>1334</vt:i4>
      </vt:variant>
      <vt:variant>
        <vt:i4>0</vt:i4>
      </vt:variant>
      <vt:variant>
        <vt:i4>5</vt:i4>
      </vt:variant>
      <vt:variant>
        <vt:lpwstr/>
      </vt:variant>
      <vt:variant>
        <vt:lpwstr>_Toc201148579</vt:lpwstr>
      </vt:variant>
      <vt:variant>
        <vt:i4>1638450</vt:i4>
      </vt:variant>
      <vt:variant>
        <vt:i4>1328</vt:i4>
      </vt:variant>
      <vt:variant>
        <vt:i4>0</vt:i4>
      </vt:variant>
      <vt:variant>
        <vt:i4>5</vt:i4>
      </vt:variant>
      <vt:variant>
        <vt:lpwstr/>
      </vt:variant>
      <vt:variant>
        <vt:lpwstr>_Toc201148578</vt:lpwstr>
      </vt:variant>
      <vt:variant>
        <vt:i4>1638450</vt:i4>
      </vt:variant>
      <vt:variant>
        <vt:i4>1322</vt:i4>
      </vt:variant>
      <vt:variant>
        <vt:i4>0</vt:i4>
      </vt:variant>
      <vt:variant>
        <vt:i4>5</vt:i4>
      </vt:variant>
      <vt:variant>
        <vt:lpwstr/>
      </vt:variant>
      <vt:variant>
        <vt:lpwstr>_Toc201148577</vt:lpwstr>
      </vt:variant>
      <vt:variant>
        <vt:i4>1638450</vt:i4>
      </vt:variant>
      <vt:variant>
        <vt:i4>1316</vt:i4>
      </vt:variant>
      <vt:variant>
        <vt:i4>0</vt:i4>
      </vt:variant>
      <vt:variant>
        <vt:i4>5</vt:i4>
      </vt:variant>
      <vt:variant>
        <vt:lpwstr/>
      </vt:variant>
      <vt:variant>
        <vt:lpwstr>_Toc201148576</vt:lpwstr>
      </vt:variant>
      <vt:variant>
        <vt:i4>1638450</vt:i4>
      </vt:variant>
      <vt:variant>
        <vt:i4>1310</vt:i4>
      </vt:variant>
      <vt:variant>
        <vt:i4>0</vt:i4>
      </vt:variant>
      <vt:variant>
        <vt:i4>5</vt:i4>
      </vt:variant>
      <vt:variant>
        <vt:lpwstr/>
      </vt:variant>
      <vt:variant>
        <vt:lpwstr>_Toc201148575</vt:lpwstr>
      </vt:variant>
      <vt:variant>
        <vt:i4>1638450</vt:i4>
      </vt:variant>
      <vt:variant>
        <vt:i4>1304</vt:i4>
      </vt:variant>
      <vt:variant>
        <vt:i4>0</vt:i4>
      </vt:variant>
      <vt:variant>
        <vt:i4>5</vt:i4>
      </vt:variant>
      <vt:variant>
        <vt:lpwstr/>
      </vt:variant>
      <vt:variant>
        <vt:lpwstr>_Toc201148574</vt:lpwstr>
      </vt:variant>
      <vt:variant>
        <vt:i4>1638450</vt:i4>
      </vt:variant>
      <vt:variant>
        <vt:i4>1298</vt:i4>
      </vt:variant>
      <vt:variant>
        <vt:i4>0</vt:i4>
      </vt:variant>
      <vt:variant>
        <vt:i4>5</vt:i4>
      </vt:variant>
      <vt:variant>
        <vt:lpwstr/>
      </vt:variant>
      <vt:variant>
        <vt:lpwstr>_Toc201148573</vt:lpwstr>
      </vt:variant>
      <vt:variant>
        <vt:i4>1638450</vt:i4>
      </vt:variant>
      <vt:variant>
        <vt:i4>1292</vt:i4>
      </vt:variant>
      <vt:variant>
        <vt:i4>0</vt:i4>
      </vt:variant>
      <vt:variant>
        <vt:i4>5</vt:i4>
      </vt:variant>
      <vt:variant>
        <vt:lpwstr/>
      </vt:variant>
      <vt:variant>
        <vt:lpwstr>_Toc201148572</vt:lpwstr>
      </vt:variant>
      <vt:variant>
        <vt:i4>1638450</vt:i4>
      </vt:variant>
      <vt:variant>
        <vt:i4>1286</vt:i4>
      </vt:variant>
      <vt:variant>
        <vt:i4>0</vt:i4>
      </vt:variant>
      <vt:variant>
        <vt:i4>5</vt:i4>
      </vt:variant>
      <vt:variant>
        <vt:lpwstr/>
      </vt:variant>
      <vt:variant>
        <vt:lpwstr>_Toc201148571</vt:lpwstr>
      </vt:variant>
      <vt:variant>
        <vt:i4>1638450</vt:i4>
      </vt:variant>
      <vt:variant>
        <vt:i4>1280</vt:i4>
      </vt:variant>
      <vt:variant>
        <vt:i4>0</vt:i4>
      </vt:variant>
      <vt:variant>
        <vt:i4>5</vt:i4>
      </vt:variant>
      <vt:variant>
        <vt:lpwstr/>
      </vt:variant>
      <vt:variant>
        <vt:lpwstr>_Toc201148570</vt:lpwstr>
      </vt:variant>
      <vt:variant>
        <vt:i4>1572914</vt:i4>
      </vt:variant>
      <vt:variant>
        <vt:i4>1274</vt:i4>
      </vt:variant>
      <vt:variant>
        <vt:i4>0</vt:i4>
      </vt:variant>
      <vt:variant>
        <vt:i4>5</vt:i4>
      </vt:variant>
      <vt:variant>
        <vt:lpwstr/>
      </vt:variant>
      <vt:variant>
        <vt:lpwstr>_Toc201148569</vt:lpwstr>
      </vt:variant>
      <vt:variant>
        <vt:i4>1572914</vt:i4>
      </vt:variant>
      <vt:variant>
        <vt:i4>1268</vt:i4>
      </vt:variant>
      <vt:variant>
        <vt:i4>0</vt:i4>
      </vt:variant>
      <vt:variant>
        <vt:i4>5</vt:i4>
      </vt:variant>
      <vt:variant>
        <vt:lpwstr/>
      </vt:variant>
      <vt:variant>
        <vt:lpwstr>_Toc201148568</vt:lpwstr>
      </vt:variant>
      <vt:variant>
        <vt:i4>1572914</vt:i4>
      </vt:variant>
      <vt:variant>
        <vt:i4>1262</vt:i4>
      </vt:variant>
      <vt:variant>
        <vt:i4>0</vt:i4>
      </vt:variant>
      <vt:variant>
        <vt:i4>5</vt:i4>
      </vt:variant>
      <vt:variant>
        <vt:lpwstr/>
      </vt:variant>
      <vt:variant>
        <vt:lpwstr>_Toc201148567</vt:lpwstr>
      </vt:variant>
      <vt:variant>
        <vt:i4>1572914</vt:i4>
      </vt:variant>
      <vt:variant>
        <vt:i4>1256</vt:i4>
      </vt:variant>
      <vt:variant>
        <vt:i4>0</vt:i4>
      </vt:variant>
      <vt:variant>
        <vt:i4>5</vt:i4>
      </vt:variant>
      <vt:variant>
        <vt:lpwstr/>
      </vt:variant>
      <vt:variant>
        <vt:lpwstr>_Toc201148566</vt:lpwstr>
      </vt:variant>
      <vt:variant>
        <vt:i4>1572914</vt:i4>
      </vt:variant>
      <vt:variant>
        <vt:i4>1250</vt:i4>
      </vt:variant>
      <vt:variant>
        <vt:i4>0</vt:i4>
      </vt:variant>
      <vt:variant>
        <vt:i4>5</vt:i4>
      </vt:variant>
      <vt:variant>
        <vt:lpwstr/>
      </vt:variant>
      <vt:variant>
        <vt:lpwstr>_Toc201148565</vt:lpwstr>
      </vt:variant>
      <vt:variant>
        <vt:i4>1572914</vt:i4>
      </vt:variant>
      <vt:variant>
        <vt:i4>1244</vt:i4>
      </vt:variant>
      <vt:variant>
        <vt:i4>0</vt:i4>
      </vt:variant>
      <vt:variant>
        <vt:i4>5</vt:i4>
      </vt:variant>
      <vt:variant>
        <vt:lpwstr/>
      </vt:variant>
      <vt:variant>
        <vt:lpwstr>_Toc201148564</vt:lpwstr>
      </vt:variant>
      <vt:variant>
        <vt:i4>1572914</vt:i4>
      </vt:variant>
      <vt:variant>
        <vt:i4>1238</vt:i4>
      </vt:variant>
      <vt:variant>
        <vt:i4>0</vt:i4>
      </vt:variant>
      <vt:variant>
        <vt:i4>5</vt:i4>
      </vt:variant>
      <vt:variant>
        <vt:lpwstr/>
      </vt:variant>
      <vt:variant>
        <vt:lpwstr>_Toc201148563</vt:lpwstr>
      </vt:variant>
      <vt:variant>
        <vt:i4>2097200</vt:i4>
      </vt:variant>
      <vt:variant>
        <vt:i4>1032</vt:i4>
      </vt:variant>
      <vt:variant>
        <vt:i4>0</vt:i4>
      </vt:variant>
      <vt:variant>
        <vt:i4>5</vt:i4>
      </vt:variant>
      <vt:variant>
        <vt:lpwstr>https://www.health.vic.gov.au/patient-fees-charges/private-patients</vt:lpwstr>
      </vt:variant>
      <vt:variant>
        <vt:lpwstr/>
      </vt:variant>
      <vt:variant>
        <vt:i4>2687076</vt:i4>
      </vt:variant>
      <vt:variant>
        <vt:i4>1029</vt:i4>
      </vt:variant>
      <vt:variant>
        <vt:i4>0</vt:i4>
      </vt:variant>
      <vt:variant>
        <vt:i4>5</vt:i4>
      </vt:variant>
      <vt:variant>
        <vt:lpwstr>https://www.health.vic.gov.au/hospitals-and-health-services/patient-fees-and-charges-for-public-health-services</vt:lpwstr>
      </vt:variant>
      <vt:variant>
        <vt:lpwstr/>
      </vt:variant>
      <vt:variant>
        <vt:i4>5308493</vt:i4>
      </vt:variant>
      <vt:variant>
        <vt:i4>1020</vt:i4>
      </vt:variant>
      <vt:variant>
        <vt:i4>0</vt:i4>
      </vt:variant>
      <vt:variant>
        <vt:i4>5</vt:i4>
      </vt:variant>
      <vt:variant>
        <vt:lpwstr>https://www.health.vic.gov.au/data-reporting/national-funding-model-implementation-resources</vt:lpwstr>
      </vt:variant>
      <vt:variant>
        <vt:lpwstr/>
      </vt:variant>
      <vt:variant>
        <vt:i4>786440</vt:i4>
      </vt:variant>
      <vt:variant>
        <vt:i4>981</vt:i4>
      </vt:variant>
      <vt:variant>
        <vt:i4>0</vt:i4>
      </vt:variant>
      <vt:variant>
        <vt:i4>5</vt:i4>
      </vt:variant>
      <vt:variant>
        <vt:lpwstr>https://www.ihacpa.gov.au/health-care/pricing/national-pricing-model-technical-specifications</vt:lpwstr>
      </vt:variant>
      <vt:variant>
        <vt:lpwstr/>
      </vt:variant>
      <vt:variant>
        <vt:i4>2883685</vt:i4>
      </vt:variant>
      <vt:variant>
        <vt:i4>978</vt:i4>
      </vt:variant>
      <vt:variant>
        <vt:i4>0</vt:i4>
      </vt:variant>
      <vt:variant>
        <vt:i4>5</vt:i4>
      </vt:variant>
      <vt:variant>
        <vt:lpwstr>https://www.ihacpa.gov.au/health-care/pricing/national-efficient-cost-determination</vt:lpwstr>
      </vt:variant>
      <vt:variant>
        <vt:lpwstr/>
      </vt:variant>
      <vt:variant>
        <vt:i4>4653069</vt:i4>
      </vt:variant>
      <vt:variant>
        <vt:i4>972</vt:i4>
      </vt:variant>
      <vt:variant>
        <vt:i4>0</vt:i4>
      </vt:variant>
      <vt:variant>
        <vt:i4>5</vt:i4>
      </vt:variant>
      <vt:variant>
        <vt:lpwstr>https://www.ihacpa.gov.au/pricing/national-efficient-price-determination</vt:lpwstr>
      </vt:variant>
      <vt:variant>
        <vt:lpwstr/>
      </vt:variant>
      <vt:variant>
        <vt:i4>2883684</vt:i4>
      </vt:variant>
      <vt:variant>
        <vt:i4>969</vt:i4>
      </vt:variant>
      <vt:variant>
        <vt:i4>0</vt:i4>
      </vt:variant>
      <vt:variant>
        <vt:i4>5</vt:i4>
      </vt:variant>
      <vt:variant>
        <vt:lpwstr>https://www.ihacpa.gov.au/health-care/pricing/pricing-framework-australian-public-hospital-services</vt:lpwstr>
      </vt:variant>
      <vt:variant>
        <vt:lpwstr/>
      </vt:variant>
      <vt:variant>
        <vt:i4>917508</vt:i4>
      </vt:variant>
      <vt:variant>
        <vt:i4>966</vt:i4>
      </vt:variant>
      <vt:variant>
        <vt:i4>0</vt:i4>
      </vt:variant>
      <vt:variant>
        <vt:i4>5</vt:i4>
      </vt:variant>
      <vt:variant>
        <vt:lpwstr>https://www.publichospitalfunding.gov.au/public-hospital-funding/pay</vt:lpwstr>
      </vt:variant>
      <vt:variant>
        <vt:lpwstr/>
      </vt:variant>
      <vt:variant>
        <vt:i4>4063332</vt:i4>
      </vt:variant>
      <vt:variant>
        <vt:i4>963</vt:i4>
      </vt:variant>
      <vt:variant>
        <vt:i4>0</vt:i4>
      </vt:variant>
      <vt:variant>
        <vt:i4>5</vt:i4>
      </vt:variant>
      <vt:variant>
        <vt:lpwstr>https://www.ihacpa.gov.au/resources/national-efficient-price-determination-2025-26</vt:lpwstr>
      </vt:variant>
      <vt:variant>
        <vt:lpwstr/>
      </vt:variant>
      <vt:variant>
        <vt:i4>4653069</vt:i4>
      </vt:variant>
      <vt:variant>
        <vt:i4>954</vt:i4>
      </vt:variant>
      <vt:variant>
        <vt:i4>0</vt:i4>
      </vt:variant>
      <vt:variant>
        <vt:i4>5</vt:i4>
      </vt:variant>
      <vt:variant>
        <vt:lpwstr>https://www.ihacpa.gov.au/pricing/national-efficient-price-determination</vt:lpwstr>
      </vt:variant>
      <vt:variant>
        <vt:lpwstr/>
      </vt:variant>
      <vt:variant>
        <vt:i4>8126570</vt:i4>
      </vt:variant>
      <vt:variant>
        <vt:i4>951</vt:i4>
      </vt:variant>
      <vt:variant>
        <vt:i4>0</vt:i4>
      </vt:variant>
      <vt:variant>
        <vt:i4>5</vt:i4>
      </vt:variant>
      <vt:variant>
        <vt:lpwstr>https://www.health.vic.gov.au/data-reporting/victorian-integrated-non-admitted-health-vinah-dataset</vt:lpwstr>
      </vt:variant>
      <vt:variant>
        <vt:lpwstr/>
      </vt:variant>
      <vt:variant>
        <vt:i4>7864354</vt:i4>
      </vt:variant>
      <vt:variant>
        <vt:i4>948</vt:i4>
      </vt:variant>
      <vt:variant>
        <vt:i4>0</vt:i4>
      </vt:variant>
      <vt:variant>
        <vt:i4>5</vt:i4>
      </vt:variant>
      <vt:variant>
        <vt:lpwstr>https://www.ihacpa.gov.au/health-care/classification/non-admitted-care/tier-2-non-admitted-services-classification</vt:lpwstr>
      </vt:variant>
      <vt:variant>
        <vt:lpwstr/>
      </vt:variant>
      <vt:variant>
        <vt:i4>1441866</vt:i4>
      </vt:variant>
      <vt:variant>
        <vt:i4>945</vt:i4>
      </vt:variant>
      <vt:variant>
        <vt:i4>0</vt:i4>
      </vt:variant>
      <vt:variant>
        <vt:i4>5</vt:i4>
      </vt:variant>
      <vt:variant>
        <vt:lpwstr>https://www.health.vic.gov.au/publications/non-admitted-clinic-management-system-nacms-manual</vt:lpwstr>
      </vt:variant>
      <vt:variant>
        <vt:lpwstr/>
      </vt:variant>
      <vt:variant>
        <vt:i4>1310790</vt:i4>
      </vt:variant>
      <vt:variant>
        <vt:i4>942</vt:i4>
      </vt:variant>
      <vt:variant>
        <vt:i4>0</vt:i4>
      </vt:variant>
      <vt:variant>
        <vt:i4>5</vt:i4>
      </vt:variant>
      <vt:variant>
        <vt:lpwstr>https://www.healthcollect.vic.gov.au/</vt:lpwstr>
      </vt:variant>
      <vt:variant>
        <vt:lpwstr/>
      </vt:variant>
      <vt:variant>
        <vt:i4>5177431</vt:i4>
      </vt:variant>
      <vt:variant>
        <vt:i4>939</vt:i4>
      </vt:variant>
      <vt:variant>
        <vt:i4>0</vt:i4>
      </vt:variant>
      <vt:variant>
        <vt:i4>5</vt:i4>
      </vt:variant>
      <vt:variant>
        <vt:lpwstr>https://www.ihacpa.gov.au/health-care/classification/subacute-and-non-acute-care</vt:lpwstr>
      </vt:variant>
      <vt:variant>
        <vt:lpwstr/>
      </vt:variant>
      <vt:variant>
        <vt:i4>4857892</vt:i4>
      </vt:variant>
      <vt:variant>
        <vt:i4>936</vt:i4>
      </vt:variant>
      <vt:variant>
        <vt:i4>0</vt:i4>
      </vt:variant>
      <vt:variant>
        <vt:i4>5</vt:i4>
      </vt:variant>
      <vt:variant>
        <vt:lpwstr>C:\Users\lgru2306\AppData\Local\Microsoft\Windows\INetCache\Content.Outlook\SK0T922T\Planning the future of Victoria’s sub-acute service system: a capability and access planning framework (2013)</vt:lpwstr>
      </vt:variant>
      <vt:variant>
        <vt:lpwstr/>
      </vt:variant>
      <vt:variant>
        <vt:i4>5439506</vt:i4>
      </vt:variant>
      <vt:variant>
        <vt:i4>933</vt:i4>
      </vt:variant>
      <vt:variant>
        <vt:i4>0</vt:i4>
      </vt:variant>
      <vt:variant>
        <vt:i4>5</vt:i4>
      </vt:variant>
      <vt:variant>
        <vt:lpwstr>https://www.health.vic.gov.au/data-reporting/victorian-admitted-episodes-dataset</vt:lpwstr>
      </vt:variant>
      <vt:variant>
        <vt:lpwstr/>
      </vt:variant>
      <vt:variant>
        <vt:i4>7340150</vt:i4>
      </vt:variant>
      <vt:variant>
        <vt:i4>930</vt:i4>
      </vt:variant>
      <vt:variant>
        <vt:i4>0</vt:i4>
      </vt:variant>
      <vt:variant>
        <vt:i4>5</vt:i4>
      </vt:variant>
      <vt:variant>
        <vt:lpwstr>https://meteor.aihw.gov.au/</vt:lpwstr>
      </vt:variant>
      <vt:variant>
        <vt:lpwstr/>
      </vt:variant>
      <vt:variant>
        <vt:i4>5177422</vt:i4>
      </vt:variant>
      <vt:variant>
        <vt:i4>927</vt:i4>
      </vt:variant>
      <vt:variant>
        <vt:i4>0</vt:i4>
      </vt:variant>
      <vt:variant>
        <vt:i4>5</vt:i4>
      </vt:variant>
      <vt:variant>
        <vt:lpwstr>https://www.health.vic.gov.au/publications/hospital-access-for-people-seeking-asylum</vt:lpwstr>
      </vt:variant>
      <vt:variant>
        <vt:lpwstr/>
      </vt:variant>
      <vt:variant>
        <vt:i4>5439506</vt:i4>
      </vt:variant>
      <vt:variant>
        <vt:i4>924</vt:i4>
      </vt:variant>
      <vt:variant>
        <vt:i4>0</vt:i4>
      </vt:variant>
      <vt:variant>
        <vt:i4>5</vt:i4>
      </vt:variant>
      <vt:variant>
        <vt:lpwstr>https://www.health.vic.gov.au/data-reporting/victorian-admitted-episodes-dataset</vt:lpwstr>
      </vt:variant>
      <vt:variant>
        <vt:lpwstr/>
      </vt:variant>
      <vt:variant>
        <vt:i4>2687023</vt:i4>
      </vt:variant>
      <vt:variant>
        <vt:i4>921</vt:i4>
      </vt:variant>
      <vt:variant>
        <vt:i4>0</vt:i4>
      </vt:variant>
      <vt:variant>
        <vt:i4>5</vt:i4>
      </vt:variant>
      <vt:variant>
        <vt:lpwstr>https://www.health.vic.gov.au/data-reporting/health-data-standards-and-systems</vt:lpwstr>
      </vt:variant>
      <vt:variant>
        <vt:lpwstr/>
      </vt:variant>
      <vt:variant>
        <vt:i4>65554</vt:i4>
      </vt:variant>
      <vt:variant>
        <vt:i4>918</vt:i4>
      </vt:variant>
      <vt:variant>
        <vt:i4>0</vt:i4>
      </vt:variant>
      <vt:variant>
        <vt:i4>5</vt:i4>
      </vt:variant>
      <vt:variant>
        <vt:lpwstr>https://www.health.vic.gov.au/data-reporting/victorian-cost-data-collection-vcdc</vt:lpwstr>
      </vt:variant>
      <vt:variant>
        <vt:lpwstr/>
      </vt:variant>
      <vt:variant>
        <vt:i4>2818161</vt:i4>
      </vt:variant>
      <vt:variant>
        <vt:i4>915</vt:i4>
      </vt:variant>
      <vt:variant>
        <vt:i4>0</vt:i4>
      </vt:variant>
      <vt:variant>
        <vt:i4>5</vt:i4>
      </vt:variant>
      <vt:variant>
        <vt:lpwstr>https://www.ihacpa.gov.au/resources/national-pricing-model-technical-specifications-2025-26</vt:lpwstr>
      </vt:variant>
      <vt:variant>
        <vt:lpwstr/>
      </vt:variant>
      <vt:variant>
        <vt:i4>7143534</vt:i4>
      </vt:variant>
      <vt:variant>
        <vt:i4>891</vt:i4>
      </vt:variant>
      <vt:variant>
        <vt:i4>0</vt:i4>
      </vt:variant>
      <vt:variant>
        <vt:i4>5</vt:i4>
      </vt:variant>
      <vt:variant>
        <vt:lpwstr>C:\Users\lgru2306\AppData\Local\Microsoft\Windows\INetCache\Content.Outlook\SK0T922T\National pricing model technical specifications 2025–26 – Independent Health and Aged Care Pricing Authority website</vt:lpwstr>
      </vt:variant>
      <vt:variant>
        <vt:lpwstr/>
      </vt:variant>
      <vt:variant>
        <vt:i4>3735610</vt:i4>
      </vt:variant>
      <vt:variant>
        <vt:i4>888</vt:i4>
      </vt:variant>
      <vt:variant>
        <vt:i4>0</vt:i4>
      </vt:variant>
      <vt:variant>
        <vt:i4>5</vt:i4>
      </vt:variant>
      <vt:variant>
        <vt:lpwstr>https://www.safetyandquality.gov.au/our-work/indicators/hospital-acquired-complications</vt:lpwstr>
      </vt:variant>
      <vt:variant>
        <vt:lpwstr/>
      </vt:variant>
      <vt:variant>
        <vt:i4>589840</vt:i4>
      </vt:variant>
      <vt:variant>
        <vt:i4>864</vt:i4>
      </vt:variant>
      <vt:variant>
        <vt:i4>0</vt:i4>
      </vt:variant>
      <vt:variant>
        <vt:i4>5</vt:i4>
      </vt:variant>
      <vt:variant>
        <vt:lpwstr>https://www.health.vic.gov.au/publications/aboriginal-cultural-safety-fixed-grant-guidelines-cultural-safety-planning-and</vt:lpwstr>
      </vt:variant>
      <vt:variant>
        <vt:lpwstr/>
      </vt:variant>
      <vt:variant>
        <vt:i4>589840</vt:i4>
      </vt:variant>
      <vt:variant>
        <vt:i4>861</vt:i4>
      </vt:variant>
      <vt:variant>
        <vt:i4>0</vt:i4>
      </vt:variant>
      <vt:variant>
        <vt:i4>5</vt:i4>
      </vt:variant>
      <vt:variant>
        <vt:lpwstr>https://www.health.vic.gov.au/publications/aboriginal-cultural-safety-fixed-grant-guidelines-cultural-safety-planning-and</vt:lpwstr>
      </vt:variant>
      <vt:variant>
        <vt:lpwstr/>
      </vt:variant>
      <vt:variant>
        <vt:i4>5701639</vt:i4>
      </vt:variant>
      <vt:variant>
        <vt:i4>852</vt:i4>
      </vt:variant>
      <vt:variant>
        <vt:i4>0</vt:i4>
      </vt:variant>
      <vt:variant>
        <vt:i4>5</vt:i4>
      </vt:variant>
      <vt:variant>
        <vt:lpwstr>https://www.health.vic.gov.au/funding-performance-accountability/mbs-billing-policy-framework-victorian-public-hospitals</vt:lpwstr>
      </vt:variant>
      <vt:variant>
        <vt:lpwstr/>
      </vt:variant>
      <vt:variant>
        <vt:i4>4653069</vt:i4>
      </vt:variant>
      <vt:variant>
        <vt:i4>849</vt:i4>
      </vt:variant>
      <vt:variant>
        <vt:i4>0</vt:i4>
      </vt:variant>
      <vt:variant>
        <vt:i4>5</vt:i4>
      </vt:variant>
      <vt:variant>
        <vt:lpwstr>https://www.ihacpa.gov.au/pricing/national-efficient-price-determination</vt:lpwstr>
      </vt:variant>
      <vt:variant>
        <vt:lpwstr/>
      </vt:variant>
      <vt:variant>
        <vt:i4>2687076</vt:i4>
      </vt:variant>
      <vt:variant>
        <vt:i4>840</vt:i4>
      </vt:variant>
      <vt:variant>
        <vt:i4>0</vt:i4>
      </vt:variant>
      <vt:variant>
        <vt:i4>5</vt:i4>
      </vt:variant>
      <vt:variant>
        <vt:lpwstr>https://www.health.vic.gov.au/hospitals-and-health-services/patient-fees-and-charges-for-public-health-services</vt:lpwstr>
      </vt:variant>
      <vt:variant>
        <vt:lpwstr/>
      </vt:variant>
      <vt:variant>
        <vt:i4>30</vt:i4>
      </vt:variant>
      <vt:variant>
        <vt:i4>837</vt:i4>
      </vt:variant>
      <vt:variant>
        <vt:i4>0</vt:i4>
      </vt:variant>
      <vt:variant>
        <vt:i4>5</vt:i4>
      </vt:variant>
      <vt:variant>
        <vt:lpwstr>https://www.health.vic.gov.au/patient-fees-charges/worksafe-patients</vt:lpwstr>
      </vt:variant>
      <vt:variant>
        <vt:lpwstr/>
      </vt:variant>
      <vt:variant>
        <vt:i4>1245203</vt:i4>
      </vt:variant>
      <vt:variant>
        <vt:i4>834</vt:i4>
      </vt:variant>
      <vt:variant>
        <vt:i4>0</vt:i4>
      </vt:variant>
      <vt:variant>
        <vt:i4>5</vt:i4>
      </vt:variant>
      <vt:variant>
        <vt:lpwstr>https://www.health.vic.gov.au/patient-fees-charges/transport-accident-commission-patients</vt:lpwstr>
      </vt:variant>
      <vt:variant>
        <vt:lpwstr/>
      </vt:variant>
      <vt:variant>
        <vt:i4>1310735</vt:i4>
      </vt:variant>
      <vt:variant>
        <vt:i4>831</vt:i4>
      </vt:variant>
      <vt:variant>
        <vt:i4>0</vt:i4>
      </vt:variant>
      <vt:variant>
        <vt:i4>5</vt:i4>
      </vt:variant>
      <vt:variant>
        <vt:lpwstr>https://www.tac.vic.gov.au/providers</vt:lpwstr>
      </vt:variant>
      <vt:variant>
        <vt:lpwstr/>
      </vt:variant>
      <vt:variant>
        <vt:i4>3080239</vt:i4>
      </vt:variant>
      <vt:variant>
        <vt:i4>825</vt:i4>
      </vt:variant>
      <vt:variant>
        <vt:i4>0</vt:i4>
      </vt:variant>
      <vt:variant>
        <vt:i4>5</vt:i4>
      </vt:variant>
      <vt:variant>
        <vt:lpwstr>https://www.dva.gov.au/health-and-wellbeing/home-and-care/rehabilitation-appliances-program-rap</vt:lpwstr>
      </vt:variant>
      <vt:variant>
        <vt:lpwstr/>
      </vt:variant>
      <vt:variant>
        <vt:i4>6291561</vt:i4>
      </vt:variant>
      <vt:variant>
        <vt:i4>822</vt:i4>
      </vt:variant>
      <vt:variant>
        <vt:i4>0</vt:i4>
      </vt:variant>
      <vt:variant>
        <vt:i4>5</vt:i4>
      </vt:variant>
      <vt:variant>
        <vt:lpwstr>https://www.health.vic.gov.au/sites/default/files/2023-11/hacc-pyp-interim-guidelines.docx.docx</vt:lpwstr>
      </vt:variant>
      <vt:variant>
        <vt:lpwstr/>
      </vt:variant>
      <vt:variant>
        <vt:i4>12</vt:i4>
      </vt:variant>
      <vt:variant>
        <vt:i4>804</vt:i4>
      </vt:variant>
      <vt:variant>
        <vt:i4>0</vt:i4>
      </vt:variant>
      <vt:variant>
        <vt:i4>5</vt:i4>
      </vt:variant>
      <vt:variant>
        <vt:lpwstr>https://www.health.vic.gov.au/patient-care/nationally-funded-centres</vt:lpwstr>
      </vt:variant>
      <vt:variant>
        <vt:lpwstr/>
      </vt:variant>
      <vt:variant>
        <vt:i4>8061047</vt:i4>
      </vt:variant>
      <vt:variant>
        <vt:i4>798</vt:i4>
      </vt:variant>
      <vt:variant>
        <vt:i4>0</vt:i4>
      </vt:variant>
      <vt:variant>
        <vt:i4>5</vt:i4>
      </vt:variant>
      <vt:variant>
        <vt:lpwstr>https://www.health.vic.gov.au/policy-and-funding-guidelines-for-health-services</vt:lpwstr>
      </vt:variant>
      <vt:variant>
        <vt:lpwstr/>
      </vt:variant>
      <vt:variant>
        <vt:i4>720898</vt:i4>
      </vt:variant>
      <vt:variant>
        <vt:i4>795</vt:i4>
      </vt:variant>
      <vt:variant>
        <vt:i4>0</vt:i4>
      </vt:variant>
      <vt:variant>
        <vt:i4>5</vt:i4>
      </vt:variant>
      <vt:variant>
        <vt:lpwstr>https://www.health.vic.gov.au/alcohol-other-drugs</vt:lpwstr>
      </vt:variant>
      <vt:variant>
        <vt:lpwstr/>
      </vt:variant>
      <vt:variant>
        <vt:i4>983047</vt:i4>
      </vt:variant>
      <vt:variant>
        <vt:i4>786</vt:i4>
      </vt:variant>
      <vt:variant>
        <vt:i4>0</vt:i4>
      </vt:variant>
      <vt:variant>
        <vt:i4>5</vt:i4>
      </vt:variant>
      <vt:variant>
        <vt:lpwstr>http://www.health.vic.gov.au/data-reporting/victorian-emergency-minimum-dataset-vemd</vt:lpwstr>
      </vt:variant>
      <vt:variant>
        <vt:lpwstr/>
      </vt:variant>
      <vt:variant>
        <vt:i4>1048599</vt:i4>
      </vt:variant>
      <vt:variant>
        <vt:i4>783</vt:i4>
      </vt:variant>
      <vt:variant>
        <vt:i4>0</vt:i4>
      </vt:variant>
      <vt:variant>
        <vt:i4>5</vt:i4>
      </vt:variant>
      <vt:variant>
        <vt:lpwstr>https://www.health.vic.gov.au/health-workforce/education-and-training</vt:lpwstr>
      </vt:variant>
      <vt:variant>
        <vt:lpwstr/>
      </vt:variant>
      <vt:variant>
        <vt:i4>4259911</vt:i4>
      </vt:variant>
      <vt:variant>
        <vt:i4>777</vt:i4>
      </vt:variant>
      <vt:variant>
        <vt:i4>0</vt:i4>
      </vt:variant>
      <vt:variant>
        <vt:i4>5</vt:i4>
      </vt:variant>
      <vt:variant>
        <vt:lpwstr>https://www.health.vic.gov.au/education-and-training/training-and-development-funding</vt:lpwstr>
      </vt:variant>
      <vt:variant>
        <vt:lpwstr/>
      </vt:variant>
      <vt:variant>
        <vt:i4>720897</vt:i4>
      </vt:variant>
      <vt:variant>
        <vt:i4>765</vt:i4>
      </vt:variant>
      <vt:variant>
        <vt:i4>0</vt:i4>
      </vt:variant>
      <vt:variant>
        <vt:i4>5</vt:i4>
      </vt:variant>
      <vt:variant>
        <vt:lpwstr>https://www.ihacpa.gov.au/resources/national-efficient-cost-determination-2025-26</vt:lpwstr>
      </vt:variant>
      <vt:variant>
        <vt:lpwstr/>
      </vt:variant>
      <vt:variant>
        <vt:i4>4915204</vt:i4>
      </vt:variant>
      <vt:variant>
        <vt:i4>762</vt:i4>
      </vt:variant>
      <vt:variant>
        <vt:i4>0</vt:i4>
      </vt:variant>
      <vt:variant>
        <vt:i4>5</vt:i4>
      </vt:variant>
      <vt:variant>
        <vt:lpwstr>https://www.ihacpa.gov.au/resources/national-efficient-cost-determination-2025-26%3e.</vt:lpwstr>
      </vt:variant>
      <vt:variant>
        <vt:lpwstr/>
      </vt:variant>
      <vt:variant>
        <vt:i4>3211312</vt:i4>
      </vt:variant>
      <vt:variant>
        <vt:i4>759</vt:i4>
      </vt:variant>
      <vt:variant>
        <vt:i4>0</vt:i4>
      </vt:variant>
      <vt:variant>
        <vt:i4>5</vt:i4>
      </vt:variant>
      <vt:variant>
        <vt:lpwstr>https://www.health.vic.gov.au/health-strategies/radiotherapy-service-locations</vt:lpwstr>
      </vt:variant>
      <vt:variant>
        <vt:lpwstr/>
      </vt:variant>
      <vt:variant>
        <vt:i4>4718603</vt:i4>
      </vt:variant>
      <vt:variant>
        <vt:i4>741</vt:i4>
      </vt:variant>
      <vt:variant>
        <vt:i4>0</vt:i4>
      </vt:variant>
      <vt:variant>
        <vt:i4>5</vt:i4>
      </vt:variant>
      <vt:variant>
        <vt:lpwstr>https://www.health.vic.gov.au/patient-care/conditions-of-funding-for-palliative-care</vt:lpwstr>
      </vt:variant>
      <vt:variant>
        <vt:lpwstr/>
      </vt:variant>
      <vt:variant>
        <vt:i4>2883684</vt:i4>
      </vt:variant>
      <vt:variant>
        <vt:i4>720</vt:i4>
      </vt:variant>
      <vt:variant>
        <vt:i4>0</vt:i4>
      </vt:variant>
      <vt:variant>
        <vt:i4>5</vt:i4>
      </vt:variant>
      <vt:variant>
        <vt:lpwstr>https://www.ihacpa.gov.au/health-care/pricing/pricing-framework-australian-public-hospital-services</vt:lpwstr>
      </vt:variant>
      <vt:variant>
        <vt:lpwstr/>
      </vt:variant>
      <vt:variant>
        <vt:i4>262217</vt:i4>
      </vt:variant>
      <vt:variant>
        <vt:i4>717</vt:i4>
      </vt:variant>
      <vt:variant>
        <vt:i4>0</vt:i4>
      </vt:variant>
      <vt:variant>
        <vt:i4>5</vt:i4>
      </vt:variant>
      <vt:variant>
        <vt:lpwstr>https://www.health.gov.au/our-work/2020-25-national-health-reform-agreement-nhra</vt:lpwstr>
      </vt:variant>
      <vt:variant>
        <vt:lpwstr/>
      </vt:variant>
      <vt:variant>
        <vt:i4>262217</vt:i4>
      </vt:variant>
      <vt:variant>
        <vt:i4>714</vt:i4>
      </vt:variant>
      <vt:variant>
        <vt:i4>0</vt:i4>
      </vt:variant>
      <vt:variant>
        <vt:i4>5</vt:i4>
      </vt:variant>
      <vt:variant>
        <vt:lpwstr>https://www.health.gov.au/our-work/2020-25-national-health-reform-agreement-nhra</vt:lpwstr>
      </vt:variant>
      <vt:variant>
        <vt:lpwstr/>
      </vt:variant>
      <vt:variant>
        <vt:i4>4128893</vt:i4>
      </vt:variant>
      <vt:variant>
        <vt:i4>708</vt:i4>
      </vt:variant>
      <vt:variant>
        <vt:i4>0</vt:i4>
      </vt:variant>
      <vt:variant>
        <vt:i4>5</vt:i4>
      </vt:variant>
      <vt:variant>
        <vt:lpwstr>https://providers.dffh.vic.gov.au/families-fairness-housing-health-activity-search</vt:lpwstr>
      </vt:variant>
      <vt:variant>
        <vt:lpwstr/>
      </vt:variant>
      <vt:variant>
        <vt:i4>5439498</vt:i4>
      </vt:variant>
      <vt:variant>
        <vt:i4>705</vt:i4>
      </vt:variant>
      <vt:variant>
        <vt:i4>0</vt:i4>
      </vt:variant>
      <vt:variant>
        <vt:i4>5</vt:i4>
      </vt:variant>
      <vt:variant>
        <vt:lpwstr>https://fac.dhhs.vic.gov.au/service-agreement</vt:lpwstr>
      </vt:variant>
      <vt:variant>
        <vt:lpwstr/>
      </vt:variant>
      <vt:variant>
        <vt:i4>8061047</vt:i4>
      </vt:variant>
      <vt:variant>
        <vt:i4>702</vt:i4>
      </vt:variant>
      <vt:variant>
        <vt:i4>0</vt:i4>
      </vt:variant>
      <vt:variant>
        <vt:i4>5</vt:i4>
      </vt:variant>
      <vt:variant>
        <vt:lpwstr>https://www.health.vic.gov.au/policy-and-funding-guidelines-for-health-services</vt:lpwstr>
      </vt:variant>
      <vt:variant>
        <vt:lpwstr/>
      </vt:variant>
      <vt:variant>
        <vt:i4>2031668</vt:i4>
      </vt:variant>
      <vt:variant>
        <vt:i4>695</vt:i4>
      </vt:variant>
      <vt:variant>
        <vt:i4>0</vt:i4>
      </vt:variant>
      <vt:variant>
        <vt:i4>5</vt:i4>
      </vt:variant>
      <vt:variant>
        <vt:lpwstr/>
      </vt:variant>
      <vt:variant>
        <vt:lpwstr>_Toc201148310</vt:lpwstr>
      </vt:variant>
      <vt:variant>
        <vt:i4>1966132</vt:i4>
      </vt:variant>
      <vt:variant>
        <vt:i4>689</vt:i4>
      </vt:variant>
      <vt:variant>
        <vt:i4>0</vt:i4>
      </vt:variant>
      <vt:variant>
        <vt:i4>5</vt:i4>
      </vt:variant>
      <vt:variant>
        <vt:lpwstr/>
      </vt:variant>
      <vt:variant>
        <vt:lpwstr>_Toc201148309</vt:lpwstr>
      </vt:variant>
      <vt:variant>
        <vt:i4>1966132</vt:i4>
      </vt:variant>
      <vt:variant>
        <vt:i4>683</vt:i4>
      </vt:variant>
      <vt:variant>
        <vt:i4>0</vt:i4>
      </vt:variant>
      <vt:variant>
        <vt:i4>5</vt:i4>
      </vt:variant>
      <vt:variant>
        <vt:lpwstr/>
      </vt:variant>
      <vt:variant>
        <vt:lpwstr>_Toc201148308</vt:lpwstr>
      </vt:variant>
      <vt:variant>
        <vt:i4>1966132</vt:i4>
      </vt:variant>
      <vt:variant>
        <vt:i4>677</vt:i4>
      </vt:variant>
      <vt:variant>
        <vt:i4>0</vt:i4>
      </vt:variant>
      <vt:variant>
        <vt:i4>5</vt:i4>
      </vt:variant>
      <vt:variant>
        <vt:lpwstr/>
      </vt:variant>
      <vt:variant>
        <vt:lpwstr>_Toc201148307</vt:lpwstr>
      </vt:variant>
      <vt:variant>
        <vt:i4>1966132</vt:i4>
      </vt:variant>
      <vt:variant>
        <vt:i4>671</vt:i4>
      </vt:variant>
      <vt:variant>
        <vt:i4>0</vt:i4>
      </vt:variant>
      <vt:variant>
        <vt:i4>5</vt:i4>
      </vt:variant>
      <vt:variant>
        <vt:lpwstr/>
      </vt:variant>
      <vt:variant>
        <vt:lpwstr>_Toc201148306</vt:lpwstr>
      </vt:variant>
      <vt:variant>
        <vt:i4>1966132</vt:i4>
      </vt:variant>
      <vt:variant>
        <vt:i4>665</vt:i4>
      </vt:variant>
      <vt:variant>
        <vt:i4>0</vt:i4>
      </vt:variant>
      <vt:variant>
        <vt:i4>5</vt:i4>
      </vt:variant>
      <vt:variant>
        <vt:lpwstr/>
      </vt:variant>
      <vt:variant>
        <vt:lpwstr>_Toc201148305</vt:lpwstr>
      </vt:variant>
      <vt:variant>
        <vt:i4>1966132</vt:i4>
      </vt:variant>
      <vt:variant>
        <vt:i4>659</vt:i4>
      </vt:variant>
      <vt:variant>
        <vt:i4>0</vt:i4>
      </vt:variant>
      <vt:variant>
        <vt:i4>5</vt:i4>
      </vt:variant>
      <vt:variant>
        <vt:lpwstr/>
      </vt:variant>
      <vt:variant>
        <vt:lpwstr>_Toc201148304</vt:lpwstr>
      </vt:variant>
      <vt:variant>
        <vt:i4>1966132</vt:i4>
      </vt:variant>
      <vt:variant>
        <vt:i4>653</vt:i4>
      </vt:variant>
      <vt:variant>
        <vt:i4>0</vt:i4>
      </vt:variant>
      <vt:variant>
        <vt:i4>5</vt:i4>
      </vt:variant>
      <vt:variant>
        <vt:lpwstr/>
      </vt:variant>
      <vt:variant>
        <vt:lpwstr>_Toc201148303</vt:lpwstr>
      </vt:variant>
      <vt:variant>
        <vt:i4>1966132</vt:i4>
      </vt:variant>
      <vt:variant>
        <vt:i4>647</vt:i4>
      </vt:variant>
      <vt:variant>
        <vt:i4>0</vt:i4>
      </vt:variant>
      <vt:variant>
        <vt:i4>5</vt:i4>
      </vt:variant>
      <vt:variant>
        <vt:lpwstr/>
      </vt:variant>
      <vt:variant>
        <vt:lpwstr>_Toc201148302</vt:lpwstr>
      </vt:variant>
      <vt:variant>
        <vt:i4>1966132</vt:i4>
      </vt:variant>
      <vt:variant>
        <vt:i4>641</vt:i4>
      </vt:variant>
      <vt:variant>
        <vt:i4>0</vt:i4>
      </vt:variant>
      <vt:variant>
        <vt:i4>5</vt:i4>
      </vt:variant>
      <vt:variant>
        <vt:lpwstr/>
      </vt:variant>
      <vt:variant>
        <vt:lpwstr>_Toc201148301</vt:lpwstr>
      </vt:variant>
      <vt:variant>
        <vt:i4>1966132</vt:i4>
      </vt:variant>
      <vt:variant>
        <vt:i4>635</vt:i4>
      </vt:variant>
      <vt:variant>
        <vt:i4>0</vt:i4>
      </vt:variant>
      <vt:variant>
        <vt:i4>5</vt:i4>
      </vt:variant>
      <vt:variant>
        <vt:lpwstr/>
      </vt:variant>
      <vt:variant>
        <vt:lpwstr>_Toc201148300</vt:lpwstr>
      </vt:variant>
      <vt:variant>
        <vt:i4>1507381</vt:i4>
      </vt:variant>
      <vt:variant>
        <vt:i4>629</vt:i4>
      </vt:variant>
      <vt:variant>
        <vt:i4>0</vt:i4>
      </vt:variant>
      <vt:variant>
        <vt:i4>5</vt:i4>
      </vt:variant>
      <vt:variant>
        <vt:lpwstr/>
      </vt:variant>
      <vt:variant>
        <vt:lpwstr>_Toc201148299</vt:lpwstr>
      </vt:variant>
      <vt:variant>
        <vt:i4>1507381</vt:i4>
      </vt:variant>
      <vt:variant>
        <vt:i4>623</vt:i4>
      </vt:variant>
      <vt:variant>
        <vt:i4>0</vt:i4>
      </vt:variant>
      <vt:variant>
        <vt:i4>5</vt:i4>
      </vt:variant>
      <vt:variant>
        <vt:lpwstr/>
      </vt:variant>
      <vt:variant>
        <vt:lpwstr>_Toc201148298</vt:lpwstr>
      </vt:variant>
      <vt:variant>
        <vt:i4>1507381</vt:i4>
      </vt:variant>
      <vt:variant>
        <vt:i4>617</vt:i4>
      </vt:variant>
      <vt:variant>
        <vt:i4>0</vt:i4>
      </vt:variant>
      <vt:variant>
        <vt:i4>5</vt:i4>
      </vt:variant>
      <vt:variant>
        <vt:lpwstr/>
      </vt:variant>
      <vt:variant>
        <vt:lpwstr>_Toc201148297</vt:lpwstr>
      </vt:variant>
      <vt:variant>
        <vt:i4>1507381</vt:i4>
      </vt:variant>
      <vt:variant>
        <vt:i4>611</vt:i4>
      </vt:variant>
      <vt:variant>
        <vt:i4>0</vt:i4>
      </vt:variant>
      <vt:variant>
        <vt:i4>5</vt:i4>
      </vt:variant>
      <vt:variant>
        <vt:lpwstr/>
      </vt:variant>
      <vt:variant>
        <vt:lpwstr>_Toc201148296</vt:lpwstr>
      </vt:variant>
      <vt:variant>
        <vt:i4>1507381</vt:i4>
      </vt:variant>
      <vt:variant>
        <vt:i4>605</vt:i4>
      </vt:variant>
      <vt:variant>
        <vt:i4>0</vt:i4>
      </vt:variant>
      <vt:variant>
        <vt:i4>5</vt:i4>
      </vt:variant>
      <vt:variant>
        <vt:lpwstr/>
      </vt:variant>
      <vt:variant>
        <vt:lpwstr>_Toc201148295</vt:lpwstr>
      </vt:variant>
      <vt:variant>
        <vt:i4>1507381</vt:i4>
      </vt:variant>
      <vt:variant>
        <vt:i4>599</vt:i4>
      </vt:variant>
      <vt:variant>
        <vt:i4>0</vt:i4>
      </vt:variant>
      <vt:variant>
        <vt:i4>5</vt:i4>
      </vt:variant>
      <vt:variant>
        <vt:lpwstr/>
      </vt:variant>
      <vt:variant>
        <vt:lpwstr>_Toc201148294</vt:lpwstr>
      </vt:variant>
      <vt:variant>
        <vt:i4>1507381</vt:i4>
      </vt:variant>
      <vt:variant>
        <vt:i4>593</vt:i4>
      </vt:variant>
      <vt:variant>
        <vt:i4>0</vt:i4>
      </vt:variant>
      <vt:variant>
        <vt:i4>5</vt:i4>
      </vt:variant>
      <vt:variant>
        <vt:lpwstr/>
      </vt:variant>
      <vt:variant>
        <vt:lpwstr>_Toc201148293</vt:lpwstr>
      </vt:variant>
      <vt:variant>
        <vt:i4>1507381</vt:i4>
      </vt:variant>
      <vt:variant>
        <vt:i4>587</vt:i4>
      </vt:variant>
      <vt:variant>
        <vt:i4>0</vt:i4>
      </vt:variant>
      <vt:variant>
        <vt:i4>5</vt:i4>
      </vt:variant>
      <vt:variant>
        <vt:lpwstr/>
      </vt:variant>
      <vt:variant>
        <vt:lpwstr>_Toc201148292</vt:lpwstr>
      </vt:variant>
      <vt:variant>
        <vt:i4>1507381</vt:i4>
      </vt:variant>
      <vt:variant>
        <vt:i4>581</vt:i4>
      </vt:variant>
      <vt:variant>
        <vt:i4>0</vt:i4>
      </vt:variant>
      <vt:variant>
        <vt:i4>5</vt:i4>
      </vt:variant>
      <vt:variant>
        <vt:lpwstr/>
      </vt:variant>
      <vt:variant>
        <vt:lpwstr>_Toc201148291</vt:lpwstr>
      </vt:variant>
      <vt:variant>
        <vt:i4>1507381</vt:i4>
      </vt:variant>
      <vt:variant>
        <vt:i4>575</vt:i4>
      </vt:variant>
      <vt:variant>
        <vt:i4>0</vt:i4>
      </vt:variant>
      <vt:variant>
        <vt:i4>5</vt:i4>
      </vt:variant>
      <vt:variant>
        <vt:lpwstr/>
      </vt:variant>
      <vt:variant>
        <vt:lpwstr>_Toc201148290</vt:lpwstr>
      </vt:variant>
      <vt:variant>
        <vt:i4>1441845</vt:i4>
      </vt:variant>
      <vt:variant>
        <vt:i4>569</vt:i4>
      </vt:variant>
      <vt:variant>
        <vt:i4>0</vt:i4>
      </vt:variant>
      <vt:variant>
        <vt:i4>5</vt:i4>
      </vt:variant>
      <vt:variant>
        <vt:lpwstr/>
      </vt:variant>
      <vt:variant>
        <vt:lpwstr>_Toc201148289</vt:lpwstr>
      </vt:variant>
      <vt:variant>
        <vt:i4>1441845</vt:i4>
      </vt:variant>
      <vt:variant>
        <vt:i4>563</vt:i4>
      </vt:variant>
      <vt:variant>
        <vt:i4>0</vt:i4>
      </vt:variant>
      <vt:variant>
        <vt:i4>5</vt:i4>
      </vt:variant>
      <vt:variant>
        <vt:lpwstr/>
      </vt:variant>
      <vt:variant>
        <vt:lpwstr>_Toc201148288</vt:lpwstr>
      </vt:variant>
      <vt:variant>
        <vt:i4>1441845</vt:i4>
      </vt:variant>
      <vt:variant>
        <vt:i4>557</vt:i4>
      </vt:variant>
      <vt:variant>
        <vt:i4>0</vt:i4>
      </vt:variant>
      <vt:variant>
        <vt:i4>5</vt:i4>
      </vt:variant>
      <vt:variant>
        <vt:lpwstr/>
      </vt:variant>
      <vt:variant>
        <vt:lpwstr>_Toc201148287</vt:lpwstr>
      </vt:variant>
      <vt:variant>
        <vt:i4>1441845</vt:i4>
      </vt:variant>
      <vt:variant>
        <vt:i4>551</vt:i4>
      </vt:variant>
      <vt:variant>
        <vt:i4>0</vt:i4>
      </vt:variant>
      <vt:variant>
        <vt:i4>5</vt:i4>
      </vt:variant>
      <vt:variant>
        <vt:lpwstr/>
      </vt:variant>
      <vt:variant>
        <vt:lpwstr>_Toc201148286</vt:lpwstr>
      </vt:variant>
      <vt:variant>
        <vt:i4>1441845</vt:i4>
      </vt:variant>
      <vt:variant>
        <vt:i4>545</vt:i4>
      </vt:variant>
      <vt:variant>
        <vt:i4>0</vt:i4>
      </vt:variant>
      <vt:variant>
        <vt:i4>5</vt:i4>
      </vt:variant>
      <vt:variant>
        <vt:lpwstr/>
      </vt:variant>
      <vt:variant>
        <vt:lpwstr>_Toc201148285</vt:lpwstr>
      </vt:variant>
      <vt:variant>
        <vt:i4>1441845</vt:i4>
      </vt:variant>
      <vt:variant>
        <vt:i4>539</vt:i4>
      </vt:variant>
      <vt:variant>
        <vt:i4>0</vt:i4>
      </vt:variant>
      <vt:variant>
        <vt:i4>5</vt:i4>
      </vt:variant>
      <vt:variant>
        <vt:lpwstr/>
      </vt:variant>
      <vt:variant>
        <vt:lpwstr>_Toc201148284</vt:lpwstr>
      </vt:variant>
      <vt:variant>
        <vt:i4>1441845</vt:i4>
      </vt:variant>
      <vt:variant>
        <vt:i4>533</vt:i4>
      </vt:variant>
      <vt:variant>
        <vt:i4>0</vt:i4>
      </vt:variant>
      <vt:variant>
        <vt:i4>5</vt:i4>
      </vt:variant>
      <vt:variant>
        <vt:lpwstr/>
      </vt:variant>
      <vt:variant>
        <vt:lpwstr>_Toc201148283</vt:lpwstr>
      </vt:variant>
      <vt:variant>
        <vt:i4>1441845</vt:i4>
      </vt:variant>
      <vt:variant>
        <vt:i4>527</vt:i4>
      </vt:variant>
      <vt:variant>
        <vt:i4>0</vt:i4>
      </vt:variant>
      <vt:variant>
        <vt:i4>5</vt:i4>
      </vt:variant>
      <vt:variant>
        <vt:lpwstr/>
      </vt:variant>
      <vt:variant>
        <vt:lpwstr>_Toc201148282</vt:lpwstr>
      </vt:variant>
      <vt:variant>
        <vt:i4>1441845</vt:i4>
      </vt:variant>
      <vt:variant>
        <vt:i4>521</vt:i4>
      </vt:variant>
      <vt:variant>
        <vt:i4>0</vt:i4>
      </vt:variant>
      <vt:variant>
        <vt:i4>5</vt:i4>
      </vt:variant>
      <vt:variant>
        <vt:lpwstr/>
      </vt:variant>
      <vt:variant>
        <vt:lpwstr>_Toc201148281</vt:lpwstr>
      </vt:variant>
      <vt:variant>
        <vt:i4>1441845</vt:i4>
      </vt:variant>
      <vt:variant>
        <vt:i4>515</vt:i4>
      </vt:variant>
      <vt:variant>
        <vt:i4>0</vt:i4>
      </vt:variant>
      <vt:variant>
        <vt:i4>5</vt:i4>
      </vt:variant>
      <vt:variant>
        <vt:lpwstr/>
      </vt:variant>
      <vt:variant>
        <vt:lpwstr>_Toc201148280</vt:lpwstr>
      </vt:variant>
      <vt:variant>
        <vt:i4>1638453</vt:i4>
      </vt:variant>
      <vt:variant>
        <vt:i4>509</vt:i4>
      </vt:variant>
      <vt:variant>
        <vt:i4>0</vt:i4>
      </vt:variant>
      <vt:variant>
        <vt:i4>5</vt:i4>
      </vt:variant>
      <vt:variant>
        <vt:lpwstr/>
      </vt:variant>
      <vt:variant>
        <vt:lpwstr>_Toc201148279</vt:lpwstr>
      </vt:variant>
      <vt:variant>
        <vt:i4>1638453</vt:i4>
      </vt:variant>
      <vt:variant>
        <vt:i4>503</vt:i4>
      </vt:variant>
      <vt:variant>
        <vt:i4>0</vt:i4>
      </vt:variant>
      <vt:variant>
        <vt:i4>5</vt:i4>
      </vt:variant>
      <vt:variant>
        <vt:lpwstr/>
      </vt:variant>
      <vt:variant>
        <vt:lpwstr>_Toc201148278</vt:lpwstr>
      </vt:variant>
      <vt:variant>
        <vt:i4>1638453</vt:i4>
      </vt:variant>
      <vt:variant>
        <vt:i4>497</vt:i4>
      </vt:variant>
      <vt:variant>
        <vt:i4>0</vt:i4>
      </vt:variant>
      <vt:variant>
        <vt:i4>5</vt:i4>
      </vt:variant>
      <vt:variant>
        <vt:lpwstr/>
      </vt:variant>
      <vt:variant>
        <vt:lpwstr>_Toc201148277</vt:lpwstr>
      </vt:variant>
      <vt:variant>
        <vt:i4>1638453</vt:i4>
      </vt:variant>
      <vt:variant>
        <vt:i4>491</vt:i4>
      </vt:variant>
      <vt:variant>
        <vt:i4>0</vt:i4>
      </vt:variant>
      <vt:variant>
        <vt:i4>5</vt:i4>
      </vt:variant>
      <vt:variant>
        <vt:lpwstr/>
      </vt:variant>
      <vt:variant>
        <vt:lpwstr>_Toc201148276</vt:lpwstr>
      </vt:variant>
      <vt:variant>
        <vt:i4>1638453</vt:i4>
      </vt:variant>
      <vt:variant>
        <vt:i4>485</vt:i4>
      </vt:variant>
      <vt:variant>
        <vt:i4>0</vt:i4>
      </vt:variant>
      <vt:variant>
        <vt:i4>5</vt:i4>
      </vt:variant>
      <vt:variant>
        <vt:lpwstr/>
      </vt:variant>
      <vt:variant>
        <vt:lpwstr>_Toc201148275</vt:lpwstr>
      </vt:variant>
      <vt:variant>
        <vt:i4>1638453</vt:i4>
      </vt:variant>
      <vt:variant>
        <vt:i4>479</vt:i4>
      </vt:variant>
      <vt:variant>
        <vt:i4>0</vt:i4>
      </vt:variant>
      <vt:variant>
        <vt:i4>5</vt:i4>
      </vt:variant>
      <vt:variant>
        <vt:lpwstr/>
      </vt:variant>
      <vt:variant>
        <vt:lpwstr>_Toc201148274</vt:lpwstr>
      </vt:variant>
      <vt:variant>
        <vt:i4>1638453</vt:i4>
      </vt:variant>
      <vt:variant>
        <vt:i4>473</vt:i4>
      </vt:variant>
      <vt:variant>
        <vt:i4>0</vt:i4>
      </vt:variant>
      <vt:variant>
        <vt:i4>5</vt:i4>
      </vt:variant>
      <vt:variant>
        <vt:lpwstr/>
      </vt:variant>
      <vt:variant>
        <vt:lpwstr>_Toc201148273</vt:lpwstr>
      </vt:variant>
      <vt:variant>
        <vt:i4>1638453</vt:i4>
      </vt:variant>
      <vt:variant>
        <vt:i4>467</vt:i4>
      </vt:variant>
      <vt:variant>
        <vt:i4>0</vt:i4>
      </vt:variant>
      <vt:variant>
        <vt:i4>5</vt:i4>
      </vt:variant>
      <vt:variant>
        <vt:lpwstr/>
      </vt:variant>
      <vt:variant>
        <vt:lpwstr>_Toc201148272</vt:lpwstr>
      </vt:variant>
      <vt:variant>
        <vt:i4>1638453</vt:i4>
      </vt:variant>
      <vt:variant>
        <vt:i4>461</vt:i4>
      </vt:variant>
      <vt:variant>
        <vt:i4>0</vt:i4>
      </vt:variant>
      <vt:variant>
        <vt:i4>5</vt:i4>
      </vt:variant>
      <vt:variant>
        <vt:lpwstr/>
      </vt:variant>
      <vt:variant>
        <vt:lpwstr>_Toc201148271</vt:lpwstr>
      </vt:variant>
      <vt:variant>
        <vt:i4>1638453</vt:i4>
      </vt:variant>
      <vt:variant>
        <vt:i4>455</vt:i4>
      </vt:variant>
      <vt:variant>
        <vt:i4>0</vt:i4>
      </vt:variant>
      <vt:variant>
        <vt:i4>5</vt:i4>
      </vt:variant>
      <vt:variant>
        <vt:lpwstr/>
      </vt:variant>
      <vt:variant>
        <vt:lpwstr>_Toc201148270</vt:lpwstr>
      </vt:variant>
      <vt:variant>
        <vt:i4>1572917</vt:i4>
      </vt:variant>
      <vt:variant>
        <vt:i4>449</vt:i4>
      </vt:variant>
      <vt:variant>
        <vt:i4>0</vt:i4>
      </vt:variant>
      <vt:variant>
        <vt:i4>5</vt:i4>
      </vt:variant>
      <vt:variant>
        <vt:lpwstr/>
      </vt:variant>
      <vt:variant>
        <vt:lpwstr>_Toc201148269</vt:lpwstr>
      </vt:variant>
      <vt:variant>
        <vt:i4>1572917</vt:i4>
      </vt:variant>
      <vt:variant>
        <vt:i4>443</vt:i4>
      </vt:variant>
      <vt:variant>
        <vt:i4>0</vt:i4>
      </vt:variant>
      <vt:variant>
        <vt:i4>5</vt:i4>
      </vt:variant>
      <vt:variant>
        <vt:lpwstr/>
      </vt:variant>
      <vt:variant>
        <vt:lpwstr>_Toc201148268</vt:lpwstr>
      </vt:variant>
      <vt:variant>
        <vt:i4>1572917</vt:i4>
      </vt:variant>
      <vt:variant>
        <vt:i4>437</vt:i4>
      </vt:variant>
      <vt:variant>
        <vt:i4>0</vt:i4>
      </vt:variant>
      <vt:variant>
        <vt:i4>5</vt:i4>
      </vt:variant>
      <vt:variant>
        <vt:lpwstr/>
      </vt:variant>
      <vt:variant>
        <vt:lpwstr>_Toc201148267</vt:lpwstr>
      </vt:variant>
      <vt:variant>
        <vt:i4>1572917</vt:i4>
      </vt:variant>
      <vt:variant>
        <vt:i4>431</vt:i4>
      </vt:variant>
      <vt:variant>
        <vt:i4>0</vt:i4>
      </vt:variant>
      <vt:variant>
        <vt:i4>5</vt:i4>
      </vt:variant>
      <vt:variant>
        <vt:lpwstr/>
      </vt:variant>
      <vt:variant>
        <vt:lpwstr>_Toc201148266</vt:lpwstr>
      </vt:variant>
      <vt:variant>
        <vt:i4>1572917</vt:i4>
      </vt:variant>
      <vt:variant>
        <vt:i4>425</vt:i4>
      </vt:variant>
      <vt:variant>
        <vt:i4>0</vt:i4>
      </vt:variant>
      <vt:variant>
        <vt:i4>5</vt:i4>
      </vt:variant>
      <vt:variant>
        <vt:lpwstr/>
      </vt:variant>
      <vt:variant>
        <vt:lpwstr>_Toc201148265</vt:lpwstr>
      </vt:variant>
      <vt:variant>
        <vt:i4>1572917</vt:i4>
      </vt:variant>
      <vt:variant>
        <vt:i4>419</vt:i4>
      </vt:variant>
      <vt:variant>
        <vt:i4>0</vt:i4>
      </vt:variant>
      <vt:variant>
        <vt:i4>5</vt:i4>
      </vt:variant>
      <vt:variant>
        <vt:lpwstr/>
      </vt:variant>
      <vt:variant>
        <vt:lpwstr>_Toc201148264</vt:lpwstr>
      </vt:variant>
      <vt:variant>
        <vt:i4>1572917</vt:i4>
      </vt:variant>
      <vt:variant>
        <vt:i4>413</vt:i4>
      </vt:variant>
      <vt:variant>
        <vt:i4>0</vt:i4>
      </vt:variant>
      <vt:variant>
        <vt:i4>5</vt:i4>
      </vt:variant>
      <vt:variant>
        <vt:lpwstr/>
      </vt:variant>
      <vt:variant>
        <vt:lpwstr>_Toc201148263</vt:lpwstr>
      </vt:variant>
      <vt:variant>
        <vt:i4>1572917</vt:i4>
      </vt:variant>
      <vt:variant>
        <vt:i4>407</vt:i4>
      </vt:variant>
      <vt:variant>
        <vt:i4>0</vt:i4>
      </vt:variant>
      <vt:variant>
        <vt:i4>5</vt:i4>
      </vt:variant>
      <vt:variant>
        <vt:lpwstr/>
      </vt:variant>
      <vt:variant>
        <vt:lpwstr>_Toc201148262</vt:lpwstr>
      </vt:variant>
      <vt:variant>
        <vt:i4>1572917</vt:i4>
      </vt:variant>
      <vt:variant>
        <vt:i4>401</vt:i4>
      </vt:variant>
      <vt:variant>
        <vt:i4>0</vt:i4>
      </vt:variant>
      <vt:variant>
        <vt:i4>5</vt:i4>
      </vt:variant>
      <vt:variant>
        <vt:lpwstr/>
      </vt:variant>
      <vt:variant>
        <vt:lpwstr>_Toc201148261</vt:lpwstr>
      </vt:variant>
      <vt:variant>
        <vt:i4>1572917</vt:i4>
      </vt:variant>
      <vt:variant>
        <vt:i4>395</vt:i4>
      </vt:variant>
      <vt:variant>
        <vt:i4>0</vt:i4>
      </vt:variant>
      <vt:variant>
        <vt:i4>5</vt:i4>
      </vt:variant>
      <vt:variant>
        <vt:lpwstr/>
      </vt:variant>
      <vt:variant>
        <vt:lpwstr>_Toc201148260</vt:lpwstr>
      </vt:variant>
      <vt:variant>
        <vt:i4>1769525</vt:i4>
      </vt:variant>
      <vt:variant>
        <vt:i4>389</vt:i4>
      </vt:variant>
      <vt:variant>
        <vt:i4>0</vt:i4>
      </vt:variant>
      <vt:variant>
        <vt:i4>5</vt:i4>
      </vt:variant>
      <vt:variant>
        <vt:lpwstr/>
      </vt:variant>
      <vt:variant>
        <vt:lpwstr>_Toc201148259</vt:lpwstr>
      </vt:variant>
      <vt:variant>
        <vt:i4>1769525</vt:i4>
      </vt:variant>
      <vt:variant>
        <vt:i4>383</vt:i4>
      </vt:variant>
      <vt:variant>
        <vt:i4>0</vt:i4>
      </vt:variant>
      <vt:variant>
        <vt:i4>5</vt:i4>
      </vt:variant>
      <vt:variant>
        <vt:lpwstr/>
      </vt:variant>
      <vt:variant>
        <vt:lpwstr>_Toc201148258</vt:lpwstr>
      </vt:variant>
      <vt:variant>
        <vt:i4>1769525</vt:i4>
      </vt:variant>
      <vt:variant>
        <vt:i4>377</vt:i4>
      </vt:variant>
      <vt:variant>
        <vt:i4>0</vt:i4>
      </vt:variant>
      <vt:variant>
        <vt:i4>5</vt:i4>
      </vt:variant>
      <vt:variant>
        <vt:lpwstr/>
      </vt:variant>
      <vt:variant>
        <vt:lpwstr>_Toc201148257</vt:lpwstr>
      </vt:variant>
      <vt:variant>
        <vt:i4>1769525</vt:i4>
      </vt:variant>
      <vt:variant>
        <vt:i4>371</vt:i4>
      </vt:variant>
      <vt:variant>
        <vt:i4>0</vt:i4>
      </vt:variant>
      <vt:variant>
        <vt:i4>5</vt:i4>
      </vt:variant>
      <vt:variant>
        <vt:lpwstr/>
      </vt:variant>
      <vt:variant>
        <vt:lpwstr>_Toc201148256</vt:lpwstr>
      </vt:variant>
      <vt:variant>
        <vt:i4>1769525</vt:i4>
      </vt:variant>
      <vt:variant>
        <vt:i4>365</vt:i4>
      </vt:variant>
      <vt:variant>
        <vt:i4>0</vt:i4>
      </vt:variant>
      <vt:variant>
        <vt:i4>5</vt:i4>
      </vt:variant>
      <vt:variant>
        <vt:lpwstr/>
      </vt:variant>
      <vt:variant>
        <vt:lpwstr>_Toc201148255</vt:lpwstr>
      </vt:variant>
      <vt:variant>
        <vt:i4>1769525</vt:i4>
      </vt:variant>
      <vt:variant>
        <vt:i4>359</vt:i4>
      </vt:variant>
      <vt:variant>
        <vt:i4>0</vt:i4>
      </vt:variant>
      <vt:variant>
        <vt:i4>5</vt:i4>
      </vt:variant>
      <vt:variant>
        <vt:lpwstr/>
      </vt:variant>
      <vt:variant>
        <vt:lpwstr>_Toc201148254</vt:lpwstr>
      </vt:variant>
      <vt:variant>
        <vt:i4>1769525</vt:i4>
      </vt:variant>
      <vt:variant>
        <vt:i4>353</vt:i4>
      </vt:variant>
      <vt:variant>
        <vt:i4>0</vt:i4>
      </vt:variant>
      <vt:variant>
        <vt:i4>5</vt:i4>
      </vt:variant>
      <vt:variant>
        <vt:lpwstr/>
      </vt:variant>
      <vt:variant>
        <vt:lpwstr>_Toc201148253</vt:lpwstr>
      </vt:variant>
      <vt:variant>
        <vt:i4>1769525</vt:i4>
      </vt:variant>
      <vt:variant>
        <vt:i4>347</vt:i4>
      </vt:variant>
      <vt:variant>
        <vt:i4>0</vt:i4>
      </vt:variant>
      <vt:variant>
        <vt:i4>5</vt:i4>
      </vt:variant>
      <vt:variant>
        <vt:lpwstr/>
      </vt:variant>
      <vt:variant>
        <vt:lpwstr>_Toc201148252</vt:lpwstr>
      </vt:variant>
      <vt:variant>
        <vt:i4>1769525</vt:i4>
      </vt:variant>
      <vt:variant>
        <vt:i4>341</vt:i4>
      </vt:variant>
      <vt:variant>
        <vt:i4>0</vt:i4>
      </vt:variant>
      <vt:variant>
        <vt:i4>5</vt:i4>
      </vt:variant>
      <vt:variant>
        <vt:lpwstr/>
      </vt:variant>
      <vt:variant>
        <vt:lpwstr>_Toc201148251</vt:lpwstr>
      </vt:variant>
      <vt:variant>
        <vt:i4>1769525</vt:i4>
      </vt:variant>
      <vt:variant>
        <vt:i4>335</vt:i4>
      </vt:variant>
      <vt:variant>
        <vt:i4>0</vt:i4>
      </vt:variant>
      <vt:variant>
        <vt:i4>5</vt:i4>
      </vt:variant>
      <vt:variant>
        <vt:lpwstr/>
      </vt:variant>
      <vt:variant>
        <vt:lpwstr>_Toc201148250</vt:lpwstr>
      </vt:variant>
      <vt:variant>
        <vt:i4>1703989</vt:i4>
      </vt:variant>
      <vt:variant>
        <vt:i4>329</vt:i4>
      </vt:variant>
      <vt:variant>
        <vt:i4>0</vt:i4>
      </vt:variant>
      <vt:variant>
        <vt:i4>5</vt:i4>
      </vt:variant>
      <vt:variant>
        <vt:lpwstr/>
      </vt:variant>
      <vt:variant>
        <vt:lpwstr>_Toc201148249</vt:lpwstr>
      </vt:variant>
      <vt:variant>
        <vt:i4>1703989</vt:i4>
      </vt:variant>
      <vt:variant>
        <vt:i4>323</vt:i4>
      </vt:variant>
      <vt:variant>
        <vt:i4>0</vt:i4>
      </vt:variant>
      <vt:variant>
        <vt:i4>5</vt:i4>
      </vt:variant>
      <vt:variant>
        <vt:lpwstr/>
      </vt:variant>
      <vt:variant>
        <vt:lpwstr>_Toc201148248</vt:lpwstr>
      </vt:variant>
      <vt:variant>
        <vt:i4>1703989</vt:i4>
      </vt:variant>
      <vt:variant>
        <vt:i4>317</vt:i4>
      </vt:variant>
      <vt:variant>
        <vt:i4>0</vt:i4>
      </vt:variant>
      <vt:variant>
        <vt:i4>5</vt:i4>
      </vt:variant>
      <vt:variant>
        <vt:lpwstr/>
      </vt:variant>
      <vt:variant>
        <vt:lpwstr>_Toc201148247</vt:lpwstr>
      </vt:variant>
      <vt:variant>
        <vt:i4>1703989</vt:i4>
      </vt:variant>
      <vt:variant>
        <vt:i4>311</vt:i4>
      </vt:variant>
      <vt:variant>
        <vt:i4>0</vt:i4>
      </vt:variant>
      <vt:variant>
        <vt:i4>5</vt:i4>
      </vt:variant>
      <vt:variant>
        <vt:lpwstr/>
      </vt:variant>
      <vt:variant>
        <vt:lpwstr>_Toc201148246</vt:lpwstr>
      </vt:variant>
      <vt:variant>
        <vt:i4>1703989</vt:i4>
      </vt:variant>
      <vt:variant>
        <vt:i4>305</vt:i4>
      </vt:variant>
      <vt:variant>
        <vt:i4>0</vt:i4>
      </vt:variant>
      <vt:variant>
        <vt:i4>5</vt:i4>
      </vt:variant>
      <vt:variant>
        <vt:lpwstr/>
      </vt:variant>
      <vt:variant>
        <vt:lpwstr>_Toc201148245</vt:lpwstr>
      </vt:variant>
      <vt:variant>
        <vt:i4>1703989</vt:i4>
      </vt:variant>
      <vt:variant>
        <vt:i4>299</vt:i4>
      </vt:variant>
      <vt:variant>
        <vt:i4>0</vt:i4>
      </vt:variant>
      <vt:variant>
        <vt:i4>5</vt:i4>
      </vt:variant>
      <vt:variant>
        <vt:lpwstr/>
      </vt:variant>
      <vt:variant>
        <vt:lpwstr>_Toc201148244</vt:lpwstr>
      </vt:variant>
      <vt:variant>
        <vt:i4>1703989</vt:i4>
      </vt:variant>
      <vt:variant>
        <vt:i4>293</vt:i4>
      </vt:variant>
      <vt:variant>
        <vt:i4>0</vt:i4>
      </vt:variant>
      <vt:variant>
        <vt:i4>5</vt:i4>
      </vt:variant>
      <vt:variant>
        <vt:lpwstr/>
      </vt:variant>
      <vt:variant>
        <vt:lpwstr>_Toc201148243</vt:lpwstr>
      </vt:variant>
      <vt:variant>
        <vt:i4>1703989</vt:i4>
      </vt:variant>
      <vt:variant>
        <vt:i4>287</vt:i4>
      </vt:variant>
      <vt:variant>
        <vt:i4>0</vt:i4>
      </vt:variant>
      <vt:variant>
        <vt:i4>5</vt:i4>
      </vt:variant>
      <vt:variant>
        <vt:lpwstr/>
      </vt:variant>
      <vt:variant>
        <vt:lpwstr>_Toc201148242</vt:lpwstr>
      </vt:variant>
      <vt:variant>
        <vt:i4>1703989</vt:i4>
      </vt:variant>
      <vt:variant>
        <vt:i4>281</vt:i4>
      </vt:variant>
      <vt:variant>
        <vt:i4>0</vt:i4>
      </vt:variant>
      <vt:variant>
        <vt:i4>5</vt:i4>
      </vt:variant>
      <vt:variant>
        <vt:lpwstr/>
      </vt:variant>
      <vt:variant>
        <vt:lpwstr>_Toc201148241</vt:lpwstr>
      </vt:variant>
      <vt:variant>
        <vt:i4>1703989</vt:i4>
      </vt:variant>
      <vt:variant>
        <vt:i4>275</vt:i4>
      </vt:variant>
      <vt:variant>
        <vt:i4>0</vt:i4>
      </vt:variant>
      <vt:variant>
        <vt:i4>5</vt:i4>
      </vt:variant>
      <vt:variant>
        <vt:lpwstr/>
      </vt:variant>
      <vt:variant>
        <vt:lpwstr>_Toc201148240</vt:lpwstr>
      </vt:variant>
      <vt:variant>
        <vt:i4>1900597</vt:i4>
      </vt:variant>
      <vt:variant>
        <vt:i4>269</vt:i4>
      </vt:variant>
      <vt:variant>
        <vt:i4>0</vt:i4>
      </vt:variant>
      <vt:variant>
        <vt:i4>5</vt:i4>
      </vt:variant>
      <vt:variant>
        <vt:lpwstr/>
      </vt:variant>
      <vt:variant>
        <vt:lpwstr>_Toc201148239</vt:lpwstr>
      </vt:variant>
      <vt:variant>
        <vt:i4>1900597</vt:i4>
      </vt:variant>
      <vt:variant>
        <vt:i4>263</vt:i4>
      </vt:variant>
      <vt:variant>
        <vt:i4>0</vt:i4>
      </vt:variant>
      <vt:variant>
        <vt:i4>5</vt:i4>
      </vt:variant>
      <vt:variant>
        <vt:lpwstr/>
      </vt:variant>
      <vt:variant>
        <vt:lpwstr>_Toc201148238</vt:lpwstr>
      </vt:variant>
      <vt:variant>
        <vt:i4>1900597</vt:i4>
      </vt:variant>
      <vt:variant>
        <vt:i4>257</vt:i4>
      </vt:variant>
      <vt:variant>
        <vt:i4>0</vt:i4>
      </vt:variant>
      <vt:variant>
        <vt:i4>5</vt:i4>
      </vt:variant>
      <vt:variant>
        <vt:lpwstr/>
      </vt:variant>
      <vt:variant>
        <vt:lpwstr>_Toc201148237</vt:lpwstr>
      </vt:variant>
      <vt:variant>
        <vt:i4>1900597</vt:i4>
      </vt:variant>
      <vt:variant>
        <vt:i4>251</vt:i4>
      </vt:variant>
      <vt:variant>
        <vt:i4>0</vt:i4>
      </vt:variant>
      <vt:variant>
        <vt:i4>5</vt:i4>
      </vt:variant>
      <vt:variant>
        <vt:lpwstr/>
      </vt:variant>
      <vt:variant>
        <vt:lpwstr>_Toc201148236</vt:lpwstr>
      </vt:variant>
      <vt:variant>
        <vt:i4>1900597</vt:i4>
      </vt:variant>
      <vt:variant>
        <vt:i4>245</vt:i4>
      </vt:variant>
      <vt:variant>
        <vt:i4>0</vt:i4>
      </vt:variant>
      <vt:variant>
        <vt:i4>5</vt:i4>
      </vt:variant>
      <vt:variant>
        <vt:lpwstr/>
      </vt:variant>
      <vt:variant>
        <vt:lpwstr>_Toc201148235</vt:lpwstr>
      </vt:variant>
      <vt:variant>
        <vt:i4>1900597</vt:i4>
      </vt:variant>
      <vt:variant>
        <vt:i4>239</vt:i4>
      </vt:variant>
      <vt:variant>
        <vt:i4>0</vt:i4>
      </vt:variant>
      <vt:variant>
        <vt:i4>5</vt:i4>
      </vt:variant>
      <vt:variant>
        <vt:lpwstr/>
      </vt:variant>
      <vt:variant>
        <vt:lpwstr>_Toc201148234</vt:lpwstr>
      </vt:variant>
      <vt:variant>
        <vt:i4>1900597</vt:i4>
      </vt:variant>
      <vt:variant>
        <vt:i4>233</vt:i4>
      </vt:variant>
      <vt:variant>
        <vt:i4>0</vt:i4>
      </vt:variant>
      <vt:variant>
        <vt:i4>5</vt:i4>
      </vt:variant>
      <vt:variant>
        <vt:lpwstr/>
      </vt:variant>
      <vt:variant>
        <vt:lpwstr>_Toc201148233</vt:lpwstr>
      </vt:variant>
      <vt:variant>
        <vt:i4>1900597</vt:i4>
      </vt:variant>
      <vt:variant>
        <vt:i4>227</vt:i4>
      </vt:variant>
      <vt:variant>
        <vt:i4>0</vt:i4>
      </vt:variant>
      <vt:variant>
        <vt:i4>5</vt:i4>
      </vt:variant>
      <vt:variant>
        <vt:lpwstr/>
      </vt:variant>
      <vt:variant>
        <vt:lpwstr>_Toc201148232</vt:lpwstr>
      </vt:variant>
      <vt:variant>
        <vt:i4>1900597</vt:i4>
      </vt:variant>
      <vt:variant>
        <vt:i4>221</vt:i4>
      </vt:variant>
      <vt:variant>
        <vt:i4>0</vt:i4>
      </vt:variant>
      <vt:variant>
        <vt:i4>5</vt:i4>
      </vt:variant>
      <vt:variant>
        <vt:lpwstr/>
      </vt:variant>
      <vt:variant>
        <vt:lpwstr>_Toc201148231</vt:lpwstr>
      </vt:variant>
      <vt:variant>
        <vt:i4>1900597</vt:i4>
      </vt:variant>
      <vt:variant>
        <vt:i4>215</vt:i4>
      </vt:variant>
      <vt:variant>
        <vt:i4>0</vt:i4>
      </vt:variant>
      <vt:variant>
        <vt:i4>5</vt:i4>
      </vt:variant>
      <vt:variant>
        <vt:lpwstr/>
      </vt:variant>
      <vt:variant>
        <vt:lpwstr>_Toc201148230</vt:lpwstr>
      </vt:variant>
      <vt:variant>
        <vt:i4>1835061</vt:i4>
      </vt:variant>
      <vt:variant>
        <vt:i4>209</vt:i4>
      </vt:variant>
      <vt:variant>
        <vt:i4>0</vt:i4>
      </vt:variant>
      <vt:variant>
        <vt:i4>5</vt:i4>
      </vt:variant>
      <vt:variant>
        <vt:lpwstr/>
      </vt:variant>
      <vt:variant>
        <vt:lpwstr>_Toc201148229</vt:lpwstr>
      </vt:variant>
      <vt:variant>
        <vt:i4>1835061</vt:i4>
      </vt:variant>
      <vt:variant>
        <vt:i4>203</vt:i4>
      </vt:variant>
      <vt:variant>
        <vt:i4>0</vt:i4>
      </vt:variant>
      <vt:variant>
        <vt:i4>5</vt:i4>
      </vt:variant>
      <vt:variant>
        <vt:lpwstr/>
      </vt:variant>
      <vt:variant>
        <vt:lpwstr>_Toc201148228</vt:lpwstr>
      </vt:variant>
      <vt:variant>
        <vt:i4>1835061</vt:i4>
      </vt:variant>
      <vt:variant>
        <vt:i4>197</vt:i4>
      </vt:variant>
      <vt:variant>
        <vt:i4>0</vt:i4>
      </vt:variant>
      <vt:variant>
        <vt:i4>5</vt:i4>
      </vt:variant>
      <vt:variant>
        <vt:lpwstr/>
      </vt:variant>
      <vt:variant>
        <vt:lpwstr>_Toc201148227</vt:lpwstr>
      </vt:variant>
      <vt:variant>
        <vt:i4>1835061</vt:i4>
      </vt:variant>
      <vt:variant>
        <vt:i4>191</vt:i4>
      </vt:variant>
      <vt:variant>
        <vt:i4>0</vt:i4>
      </vt:variant>
      <vt:variant>
        <vt:i4>5</vt:i4>
      </vt:variant>
      <vt:variant>
        <vt:lpwstr/>
      </vt:variant>
      <vt:variant>
        <vt:lpwstr>_Toc201148226</vt:lpwstr>
      </vt:variant>
      <vt:variant>
        <vt:i4>1835061</vt:i4>
      </vt:variant>
      <vt:variant>
        <vt:i4>185</vt:i4>
      </vt:variant>
      <vt:variant>
        <vt:i4>0</vt:i4>
      </vt:variant>
      <vt:variant>
        <vt:i4>5</vt:i4>
      </vt:variant>
      <vt:variant>
        <vt:lpwstr/>
      </vt:variant>
      <vt:variant>
        <vt:lpwstr>_Toc201148225</vt:lpwstr>
      </vt:variant>
      <vt:variant>
        <vt:i4>1835061</vt:i4>
      </vt:variant>
      <vt:variant>
        <vt:i4>179</vt:i4>
      </vt:variant>
      <vt:variant>
        <vt:i4>0</vt:i4>
      </vt:variant>
      <vt:variant>
        <vt:i4>5</vt:i4>
      </vt:variant>
      <vt:variant>
        <vt:lpwstr/>
      </vt:variant>
      <vt:variant>
        <vt:lpwstr>_Toc201148224</vt:lpwstr>
      </vt:variant>
      <vt:variant>
        <vt:i4>1835061</vt:i4>
      </vt:variant>
      <vt:variant>
        <vt:i4>173</vt:i4>
      </vt:variant>
      <vt:variant>
        <vt:i4>0</vt:i4>
      </vt:variant>
      <vt:variant>
        <vt:i4>5</vt:i4>
      </vt:variant>
      <vt:variant>
        <vt:lpwstr/>
      </vt:variant>
      <vt:variant>
        <vt:lpwstr>_Toc201148223</vt:lpwstr>
      </vt:variant>
      <vt:variant>
        <vt:i4>1835061</vt:i4>
      </vt:variant>
      <vt:variant>
        <vt:i4>167</vt:i4>
      </vt:variant>
      <vt:variant>
        <vt:i4>0</vt:i4>
      </vt:variant>
      <vt:variant>
        <vt:i4>5</vt:i4>
      </vt:variant>
      <vt:variant>
        <vt:lpwstr/>
      </vt:variant>
      <vt:variant>
        <vt:lpwstr>_Toc201148222</vt:lpwstr>
      </vt:variant>
      <vt:variant>
        <vt:i4>1835061</vt:i4>
      </vt:variant>
      <vt:variant>
        <vt:i4>161</vt:i4>
      </vt:variant>
      <vt:variant>
        <vt:i4>0</vt:i4>
      </vt:variant>
      <vt:variant>
        <vt:i4>5</vt:i4>
      </vt:variant>
      <vt:variant>
        <vt:lpwstr/>
      </vt:variant>
      <vt:variant>
        <vt:lpwstr>_Toc201148221</vt:lpwstr>
      </vt:variant>
      <vt:variant>
        <vt:i4>1835061</vt:i4>
      </vt:variant>
      <vt:variant>
        <vt:i4>155</vt:i4>
      </vt:variant>
      <vt:variant>
        <vt:i4>0</vt:i4>
      </vt:variant>
      <vt:variant>
        <vt:i4>5</vt:i4>
      </vt:variant>
      <vt:variant>
        <vt:lpwstr/>
      </vt:variant>
      <vt:variant>
        <vt:lpwstr>_Toc201148220</vt:lpwstr>
      </vt:variant>
      <vt:variant>
        <vt:i4>2031669</vt:i4>
      </vt:variant>
      <vt:variant>
        <vt:i4>149</vt:i4>
      </vt:variant>
      <vt:variant>
        <vt:i4>0</vt:i4>
      </vt:variant>
      <vt:variant>
        <vt:i4>5</vt:i4>
      </vt:variant>
      <vt:variant>
        <vt:lpwstr/>
      </vt:variant>
      <vt:variant>
        <vt:lpwstr>_Toc201148219</vt:lpwstr>
      </vt:variant>
      <vt:variant>
        <vt:i4>2031669</vt:i4>
      </vt:variant>
      <vt:variant>
        <vt:i4>143</vt:i4>
      </vt:variant>
      <vt:variant>
        <vt:i4>0</vt:i4>
      </vt:variant>
      <vt:variant>
        <vt:i4>5</vt:i4>
      </vt:variant>
      <vt:variant>
        <vt:lpwstr/>
      </vt:variant>
      <vt:variant>
        <vt:lpwstr>_Toc201148218</vt:lpwstr>
      </vt:variant>
      <vt:variant>
        <vt:i4>2031669</vt:i4>
      </vt:variant>
      <vt:variant>
        <vt:i4>137</vt:i4>
      </vt:variant>
      <vt:variant>
        <vt:i4>0</vt:i4>
      </vt:variant>
      <vt:variant>
        <vt:i4>5</vt:i4>
      </vt:variant>
      <vt:variant>
        <vt:lpwstr/>
      </vt:variant>
      <vt:variant>
        <vt:lpwstr>_Toc201148217</vt:lpwstr>
      </vt:variant>
      <vt:variant>
        <vt:i4>2031669</vt:i4>
      </vt:variant>
      <vt:variant>
        <vt:i4>131</vt:i4>
      </vt:variant>
      <vt:variant>
        <vt:i4>0</vt:i4>
      </vt:variant>
      <vt:variant>
        <vt:i4>5</vt:i4>
      </vt:variant>
      <vt:variant>
        <vt:lpwstr/>
      </vt:variant>
      <vt:variant>
        <vt:lpwstr>_Toc201148216</vt:lpwstr>
      </vt:variant>
      <vt:variant>
        <vt:i4>2031669</vt:i4>
      </vt:variant>
      <vt:variant>
        <vt:i4>125</vt:i4>
      </vt:variant>
      <vt:variant>
        <vt:i4>0</vt:i4>
      </vt:variant>
      <vt:variant>
        <vt:i4>5</vt:i4>
      </vt:variant>
      <vt:variant>
        <vt:lpwstr/>
      </vt:variant>
      <vt:variant>
        <vt:lpwstr>_Toc201148215</vt:lpwstr>
      </vt:variant>
      <vt:variant>
        <vt:i4>2031669</vt:i4>
      </vt:variant>
      <vt:variant>
        <vt:i4>119</vt:i4>
      </vt:variant>
      <vt:variant>
        <vt:i4>0</vt:i4>
      </vt:variant>
      <vt:variant>
        <vt:i4>5</vt:i4>
      </vt:variant>
      <vt:variant>
        <vt:lpwstr/>
      </vt:variant>
      <vt:variant>
        <vt:lpwstr>_Toc201148214</vt:lpwstr>
      </vt:variant>
      <vt:variant>
        <vt:i4>2031669</vt:i4>
      </vt:variant>
      <vt:variant>
        <vt:i4>113</vt:i4>
      </vt:variant>
      <vt:variant>
        <vt:i4>0</vt:i4>
      </vt:variant>
      <vt:variant>
        <vt:i4>5</vt:i4>
      </vt:variant>
      <vt:variant>
        <vt:lpwstr/>
      </vt:variant>
      <vt:variant>
        <vt:lpwstr>_Toc201148213</vt:lpwstr>
      </vt:variant>
      <vt:variant>
        <vt:i4>2031669</vt:i4>
      </vt:variant>
      <vt:variant>
        <vt:i4>107</vt:i4>
      </vt:variant>
      <vt:variant>
        <vt:i4>0</vt:i4>
      </vt:variant>
      <vt:variant>
        <vt:i4>5</vt:i4>
      </vt:variant>
      <vt:variant>
        <vt:lpwstr/>
      </vt:variant>
      <vt:variant>
        <vt:lpwstr>_Toc201148212</vt:lpwstr>
      </vt:variant>
      <vt:variant>
        <vt:i4>2031669</vt:i4>
      </vt:variant>
      <vt:variant>
        <vt:i4>101</vt:i4>
      </vt:variant>
      <vt:variant>
        <vt:i4>0</vt:i4>
      </vt:variant>
      <vt:variant>
        <vt:i4>5</vt:i4>
      </vt:variant>
      <vt:variant>
        <vt:lpwstr/>
      </vt:variant>
      <vt:variant>
        <vt:lpwstr>_Toc201148211</vt:lpwstr>
      </vt:variant>
      <vt:variant>
        <vt:i4>2031669</vt:i4>
      </vt:variant>
      <vt:variant>
        <vt:i4>95</vt:i4>
      </vt:variant>
      <vt:variant>
        <vt:i4>0</vt:i4>
      </vt:variant>
      <vt:variant>
        <vt:i4>5</vt:i4>
      </vt:variant>
      <vt:variant>
        <vt:lpwstr/>
      </vt:variant>
      <vt:variant>
        <vt:lpwstr>_Toc201148210</vt:lpwstr>
      </vt:variant>
      <vt:variant>
        <vt:i4>1966133</vt:i4>
      </vt:variant>
      <vt:variant>
        <vt:i4>89</vt:i4>
      </vt:variant>
      <vt:variant>
        <vt:i4>0</vt:i4>
      </vt:variant>
      <vt:variant>
        <vt:i4>5</vt:i4>
      </vt:variant>
      <vt:variant>
        <vt:lpwstr/>
      </vt:variant>
      <vt:variant>
        <vt:lpwstr>_Toc201148209</vt:lpwstr>
      </vt:variant>
      <vt:variant>
        <vt:i4>1966133</vt:i4>
      </vt:variant>
      <vt:variant>
        <vt:i4>83</vt:i4>
      </vt:variant>
      <vt:variant>
        <vt:i4>0</vt:i4>
      </vt:variant>
      <vt:variant>
        <vt:i4>5</vt:i4>
      </vt:variant>
      <vt:variant>
        <vt:lpwstr/>
      </vt:variant>
      <vt:variant>
        <vt:lpwstr>_Toc201148208</vt:lpwstr>
      </vt:variant>
      <vt:variant>
        <vt:i4>1966133</vt:i4>
      </vt:variant>
      <vt:variant>
        <vt:i4>77</vt:i4>
      </vt:variant>
      <vt:variant>
        <vt:i4>0</vt:i4>
      </vt:variant>
      <vt:variant>
        <vt:i4>5</vt:i4>
      </vt:variant>
      <vt:variant>
        <vt:lpwstr/>
      </vt:variant>
      <vt:variant>
        <vt:lpwstr>_Toc201148207</vt:lpwstr>
      </vt:variant>
      <vt:variant>
        <vt:i4>1966133</vt:i4>
      </vt:variant>
      <vt:variant>
        <vt:i4>71</vt:i4>
      </vt:variant>
      <vt:variant>
        <vt:i4>0</vt:i4>
      </vt:variant>
      <vt:variant>
        <vt:i4>5</vt:i4>
      </vt:variant>
      <vt:variant>
        <vt:lpwstr/>
      </vt:variant>
      <vt:variant>
        <vt:lpwstr>_Toc201148206</vt:lpwstr>
      </vt:variant>
      <vt:variant>
        <vt:i4>1966133</vt:i4>
      </vt:variant>
      <vt:variant>
        <vt:i4>65</vt:i4>
      </vt:variant>
      <vt:variant>
        <vt:i4>0</vt:i4>
      </vt:variant>
      <vt:variant>
        <vt:i4>5</vt:i4>
      </vt:variant>
      <vt:variant>
        <vt:lpwstr/>
      </vt:variant>
      <vt:variant>
        <vt:lpwstr>_Toc201148205</vt:lpwstr>
      </vt:variant>
      <vt:variant>
        <vt:i4>1966133</vt:i4>
      </vt:variant>
      <vt:variant>
        <vt:i4>59</vt:i4>
      </vt:variant>
      <vt:variant>
        <vt:i4>0</vt:i4>
      </vt:variant>
      <vt:variant>
        <vt:i4>5</vt:i4>
      </vt:variant>
      <vt:variant>
        <vt:lpwstr/>
      </vt:variant>
      <vt:variant>
        <vt:lpwstr>_Toc201148204</vt:lpwstr>
      </vt:variant>
      <vt:variant>
        <vt:i4>1966133</vt:i4>
      </vt:variant>
      <vt:variant>
        <vt:i4>53</vt:i4>
      </vt:variant>
      <vt:variant>
        <vt:i4>0</vt:i4>
      </vt:variant>
      <vt:variant>
        <vt:i4>5</vt:i4>
      </vt:variant>
      <vt:variant>
        <vt:lpwstr/>
      </vt:variant>
      <vt:variant>
        <vt:lpwstr>_Toc201148203</vt:lpwstr>
      </vt:variant>
      <vt:variant>
        <vt:i4>1966133</vt:i4>
      </vt:variant>
      <vt:variant>
        <vt:i4>47</vt:i4>
      </vt:variant>
      <vt:variant>
        <vt:i4>0</vt:i4>
      </vt:variant>
      <vt:variant>
        <vt:i4>5</vt:i4>
      </vt:variant>
      <vt:variant>
        <vt:lpwstr/>
      </vt:variant>
      <vt:variant>
        <vt:lpwstr>_Toc201148202</vt:lpwstr>
      </vt:variant>
      <vt:variant>
        <vt:i4>1966133</vt:i4>
      </vt:variant>
      <vt:variant>
        <vt:i4>41</vt:i4>
      </vt:variant>
      <vt:variant>
        <vt:i4>0</vt:i4>
      </vt:variant>
      <vt:variant>
        <vt:i4>5</vt:i4>
      </vt:variant>
      <vt:variant>
        <vt:lpwstr/>
      </vt:variant>
      <vt:variant>
        <vt:lpwstr>_Toc201148201</vt:lpwstr>
      </vt:variant>
      <vt:variant>
        <vt:i4>1966133</vt:i4>
      </vt:variant>
      <vt:variant>
        <vt:i4>35</vt:i4>
      </vt:variant>
      <vt:variant>
        <vt:i4>0</vt:i4>
      </vt:variant>
      <vt:variant>
        <vt:i4>5</vt:i4>
      </vt:variant>
      <vt:variant>
        <vt:lpwstr/>
      </vt:variant>
      <vt:variant>
        <vt:lpwstr>_Toc201148200</vt:lpwstr>
      </vt:variant>
      <vt:variant>
        <vt:i4>1507382</vt:i4>
      </vt:variant>
      <vt:variant>
        <vt:i4>29</vt:i4>
      </vt:variant>
      <vt:variant>
        <vt:i4>0</vt:i4>
      </vt:variant>
      <vt:variant>
        <vt:i4>5</vt:i4>
      </vt:variant>
      <vt:variant>
        <vt:lpwstr/>
      </vt:variant>
      <vt:variant>
        <vt:lpwstr>_Toc201148199</vt:lpwstr>
      </vt:variant>
      <vt:variant>
        <vt:i4>1507382</vt:i4>
      </vt:variant>
      <vt:variant>
        <vt:i4>23</vt:i4>
      </vt:variant>
      <vt:variant>
        <vt:i4>0</vt:i4>
      </vt:variant>
      <vt:variant>
        <vt:i4>5</vt:i4>
      </vt:variant>
      <vt:variant>
        <vt:lpwstr/>
      </vt:variant>
      <vt:variant>
        <vt:lpwstr>_Toc201148198</vt:lpwstr>
      </vt:variant>
      <vt:variant>
        <vt:i4>1507382</vt:i4>
      </vt:variant>
      <vt:variant>
        <vt:i4>17</vt:i4>
      </vt:variant>
      <vt:variant>
        <vt:i4>0</vt:i4>
      </vt:variant>
      <vt:variant>
        <vt:i4>5</vt:i4>
      </vt:variant>
      <vt:variant>
        <vt:lpwstr/>
      </vt:variant>
      <vt:variant>
        <vt:lpwstr>_Toc201148197</vt:lpwstr>
      </vt:variant>
      <vt:variant>
        <vt:i4>1507382</vt:i4>
      </vt:variant>
      <vt:variant>
        <vt:i4>11</vt:i4>
      </vt:variant>
      <vt:variant>
        <vt:i4>0</vt:i4>
      </vt:variant>
      <vt:variant>
        <vt:i4>5</vt:i4>
      </vt:variant>
      <vt:variant>
        <vt:lpwstr/>
      </vt:variant>
      <vt:variant>
        <vt:lpwstr>_Toc201148196</vt:lpwstr>
      </vt:variant>
      <vt:variant>
        <vt:i4>8061047</vt:i4>
      </vt:variant>
      <vt:variant>
        <vt:i4>6</vt:i4>
      </vt:variant>
      <vt:variant>
        <vt:i4>0</vt:i4>
      </vt:variant>
      <vt:variant>
        <vt:i4>5</vt:i4>
      </vt:variant>
      <vt:variant>
        <vt:lpwstr>https://www.health.vic.gov.au/policy-and-funding-guidelines-for-health-services</vt:lpwstr>
      </vt:variant>
      <vt:variant>
        <vt:lpwstr/>
      </vt:variant>
      <vt:variant>
        <vt:i4>6226021</vt:i4>
      </vt:variant>
      <vt:variant>
        <vt:i4>3</vt:i4>
      </vt:variant>
      <vt:variant>
        <vt:i4>0</vt:i4>
      </vt:variant>
      <vt:variant>
        <vt:i4>5</vt:i4>
      </vt:variant>
      <vt:variant>
        <vt:lpwstr>mailto:accountability@health.vic.gov.au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funding guide 2024-25</dc:title>
  <dc:subject/>
  <dc:creator/>
  <cp:keywords>Funding rules, Victoria, health services</cp:keywords>
  <dc:description/>
  <cp:lastModifiedBy/>
  <cp:revision>1</cp:revision>
  <dcterms:created xsi:type="dcterms:W3CDTF">2025-07-14T03:11:00Z</dcterms:created>
  <dcterms:modified xsi:type="dcterms:W3CDTF">2025-07-14T03:12:00Z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5b60fc4a,37827781,66d23cef,1fcd9245,7a47ee25,7a687ea,2dbf200,fe564d3,612da8cb,671ebc50,21f297b0,58c36c7,4e46558,5b6ed6f3,6b0c2012,13c5ab9c,4f345f54,71bc446f,5bf7cf4b,6e194e99,6208184e,c19b6da,4356c1ae,415ddff6</vt:lpwstr>
  </property>
  <property fmtid="{D5CDD505-2E9C-101B-9397-08002B2CF9AE}" pid="3" name="ClassificationContentMarkingFooterShapeIds-1">
    <vt:lpwstr>4dd2d2b2,409a6505,38001520,21b97be4,20c20dc9,1ae43cdf,7149b89,666ed123,57115571</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2025-07-14T03:11:43Z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7f4bc684-5cfd-4be9-8d8d-5efdf0700e0d</vt:lpwstr>
  </property>
  <property fmtid="{D5CDD505-2E9C-101B-9397-08002B2CF9AE}" pid="12" name="MSIP_Label_43e64453-338c-4f93-8a4d-0039a0a41f2a_ContentBits">
    <vt:lpwstr>2</vt:lpwstr>
  </property>
  <property fmtid="{D5CDD505-2E9C-101B-9397-08002B2CF9AE}" pid="13" name="MSIP_Label_43e64453-338c-4f93-8a4d-0039a0a41f2a_Tag">
    <vt:lpwstr>10, 0, 1, 1</vt:lpwstr>
  </property>
</Properties>
</file>