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3B7F280A" w:rsidR="00AD784C" w:rsidRPr="00F33CE3" w:rsidRDefault="00762F92" w:rsidP="00CE12AF">
            <w:pPr>
              <w:pStyle w:val="Documenttitle"/>
              <w:rPr>
                <w:b w:val="0"/>
                <w:bCs/>
              </w:rPr>
            </w:pPr>
            <w:r w:rsidRPr="00F33CE3">
              <w:rPr>
                <w:b w:val="0"/>
                <w:bCs/>
              </w:rPr>
              <w:t>202</w:t>
            </w:r>
            <w:r w:rsidR="0004022F">
              <w:rPr>
                <w:b w:val="0"/>
                <w:bCs/>
              </w:rPr>
              <w:t>5</w:t>
            </w:r>
            <w:r w:rsidR="00C46F15" w:rsidRPr="00F33CE3">
              <w:rPr>
                <w:b w:val="0"/>
                <w:bCs/>
              </w:rPr>
              <w:t>-</w:t>
            </w:r>
            <w:r w:rsidRPr="00F33CE3">
              <w:rPr>
                <w:b w:val="0"/>
                <w:bCs/>
              </w:rPr>
              <w:t>202</w:t>
            </w:r>
            <w:r w:rsidR="0004022F">
              <w:rPr>
                <w:b w:val="0"/>
                <w:bCs/>
              </w:rPr>
              <w:t>6</w:t>
            </w:r>
            <w:r w:rsidRPr="00F33CE3">
              <w:rPr>
                <w:b w:val="0"/>
                <w:bCs/>
              </w:rPr>
              <w:t xml:space="preserve"> </w:t>
            </w:r>
            <w:r w:rsidR="00C46F15" w:rsidRPr="00F33CE3">
              <w:rPr>
                <w:b w:val="0"/>
                <w:bCs/>
              </w:rPr>
              <w:t xml:space="preserve">fines and penalties for </w:t>
            </w:r>
            <w:r w:rsidR="00595620" w:rsidRPr="00F33CE3">
              <w:rPr>
                <w:b w:val="0"/>
                <w:bCs/>
              </w:rPr>
              <w:t>the Health Complaints Act 2016</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37240926"/>
      <w:bookmarkStart w:id="2" w:name="_Hlk66712316"/>
    </w:p>
    <w:p w14:paraId="36C08BC9" w14:textId="3E120E8A" w:rsidR="00CA3353" w:rsidRDefault="00C46F15" w:rsidP="00CA3353">
      <w:pPr>
        <w:pStyle w:val="Body"/>
      </w:pPr>
      <w:r w:rsidRPr="00C46F15">
        <w:t xml:space="preserve">This document is an annually updated publication of the indexation of fines and </w:t>
      </w:r>
      <w:r w:rsidR="005110F4">
        <w:t>penalties</w:t>
      </w:r>
      <w:r w:rsidRPr="00C46F15">
        <w:t xml:space="preserve"> for the reference of the </w:t>
      </w:r>
      <w:proofErr w:type="gramStart"/>
      <w:r w:rsidRPr="00C46F15">
        <w:t>general public</w:t>
      </w:r>
      <w:proofErr w:type="gramEnd"/>
      <w:r w:rsidRPr="00C46F15">
        <w:t>.</w:t>
      </w:r>
    </w:p>
    <w:p w14:paraId="13BF7A56" w14:textId="2F4CBA4C" w:rsidR="00CA3353" w:rsidRPr="00B57329" w:rsidRDefault="00595620" w:rsidP="00CA3353">
      <w:pPr>
        <w:pStyle w:val="Heading1"/>
      </w:pPr>
      <w:bookmarkStart w:id="3" w:name="_Hlk63948051"/>
      <w:bookmarkEnd w:id="0"/>
      <w:r>
        <w:t>Health Complaints Act 2016</w:t>
      </w:r>
    </w:p>
    <w:tbl>
      <w:tblPr>
        <w:tblStyle w:val="TableGrid"/>
        <w:tblW w:w="5000" w:type="pct"/>
        <w:tblLook w:val="04A0" w:firstRow="1" w:lastRow="0" w:firstColumn="1" w:lastColumn="0" w:noHBand="0" w:noVBand="1"/>
      </w:tblPr>
      <w:tblGrid>
        <w:gridCol w:w="1685"/>
        <w:gridCol w:w="7524"/>
        <w:gridCol w:w="1700"/>
        <w:gridCol w:w="1419"/>
        <w:gridCol w:w="1355"/>
        <w:gridCol w:w="1443"/>
      </w:tblGrid>
      <w:tr w:rsidR="00595620" w:rsidRPr="00515E9C" w14:paraId="39EF603C" w14:textId="392E5503" w:rsidTr="008C4495">
        <w:trPr>
          <w:trHeight w:val="765"/>
          <w:tblHeader/>
        </w:trPr>
        <w:tc>
          <w:tcPr>
            <w:tcW w:w="557" w:type="pct"/>
          </w:tcPr>
          <w:bookmarkEnd w:id="3"/>
          <w:p w14:paraId="1D898E7D" w14:textId="179EE214" w:rsidR="00595620" w:rsidRPr="003624DC" w:rsidRDefault="00595620" w:rsidP="00595620">
            <w:pPr>
              <w:pStyle w:val="DHHStablecolhead"/>
              <w:rPr>
                <w:lang w:eastAsia="en-AU"/>
              </w:rPr>
            </w:pPr>
            <w:r>
              <w:t>Health Complaints Act 2016</w:t>
            </w:r>
            <w:r>
              <w:rPr>
                <w:lang w:eastAsia="en-AU"/>
              </w:rPr>
              <w:t xml:space="preserve">, Section </w:t>
            </w:r>
          </w:p>
        </w:tc>
        <w:tc>
          <w:tcPr>
            <w:tcW w:w="2487" w:type="pct"/>
            <w:hideMark/>
          </w:tcPr>
          <w:p w14:paraId="334CF618" w14:textId="3BE5FE5F" w:rsidR="00595620" w:rsidRPr="00515E9C" w:rsidRDefault="00595620" w:rsidP="00595620">
            <w:pPr>
              <w:pStyle w:val="DHHStablecolhead"/>
              <w:rPr>
                <w:lang w:eastAsia="en-AU"/>
              </w:rPr>
            </w:pPr>
            <w:r>
              <w:rPr>
                <w:lang w:eastAsia="en-AU"/>
              </w:rPr>
              <w:t>Description</w:t>
            </w:r>
          </w:p>
        </w:tc>
        <w:tc>
          <w:tcPr>
            <w:tcW w:w="562" w:type="pct"/>
          </w:tcPr>
          <w:p w14:paraId="3E4591DF" w14:textId="07C6312F" w:rsidR="005110F4" w:rsidRDefault="0004022F" w:rsidP="00595620">
            <w:pPr>
              <w:pStyle w:val="DHHStablecolhead"/>
              <w:rPr>
                <w:lang w:eastAsia="en-AU"/>
              </w:rPr>
            </w:pPr>
            <w:r w:rsidRPr="00515E9C">
              <w:rPr>
                <w:lang w:eastAsia="en-AU"/>
              </w:rPr>
              <w:t>20</w:t>
            </w:r>
            <w:r>
              <w:rPr>
                <w:lang w:eastAsia="en-AU"/>
              </w:rPr>
              <w:t xml:space="preserve">24-2025 </w:t>
            </w:r>
            <w:r w:rsidR="005110F4">
              <w:rPr>
                <w:lang w:eastAsia="en-AU"/>
              </w:rPr>
              <w:t>Penalty amount</w:t>
            </w:r>
            <w:r w:rsidR="00595620">
              <w:rPr>
                <w:lang w:eastAsia="en-AU"/>
              </w:rPr>
              <w:t xml:space="preserve"> </w:t>
            </w:r>
          </w:p>
          <w:p w14:paraId="02AA7BB6" w14:textId="235CE839" w:rsidR="00595620" w:rsidRPr="00515E9C" w:rsidRDefault="00595620" w:rsidP="00595620">
            <w:pPr>
              <w:pStyle w:val="DHHStablecolhead"/>
              <w:rPr>
                <w:lang w:eastAsia="en-AU"/>
              </w:rPr>
            </w:pPr>
            <w:r>
              <w:rPr>
                <w:lang w:eastAsia="en-AU"/>
              </w:rPr>
              <w:t>(Natural person)</w:t>
            </w:r>
          </w:p>
        </w:tc>
        <w:tc>
          <w:tcPr>
            <w:tcW w:w="469" w:type="pct"/>
          </w:tcPr>
          <w:p w14:paraId="0CB1F435" w14:textId="5A377E4F" w:rsidR="005110F4" w:rsidRDefault="00595620" w:rsidP="00595620">
            <w:pPr>
              <w:pStyle w:val="DHHStablecolhead"/>
              <w:rPr>
                <w:lang w:eastAsia="en-AU"/>
              </w:rPr>
            </w:pPr>
            <w:r w:rsidRPr="00515E9C">
              <w:rPr>
                <w:lang w:eastAsia="en-AU"/>
              </w:rPr>
              <w:t>20</w:t>
            </w:r>
            <w:r>
              <w:rPr>
                <w:lang w:eastAsia="en-AU"/>
              </w:rPr>
              <w:t>2</w:t>
            </w:r>
            <w:r w:rsidR="0004022F">
              <w:rPr>
                <w:lang w:eastAsia="en-AU"/>
              </w:rPr>
              <w:t>5</w:t>
            </w:r>
            <w:r>
              <w:rPr>
                <w:lang w:eastAsia="en-AU"/>
              </w:rPr>
              <w:t>-202</w:t>
            </w:r>
            <w:r w:rsidR="0004022F">
              <w:rPr>
                <w:lang w:eastAsia="en-AU"/>
              </w:rPr>
              <w:t>6</w:t>
            </w:r>
            <w:r w:rsidR="005110F4">
              <w:rPr>
                <w:lang w:eastAsia="en-AU"/>
              </w:rPr>
              <w:t xml:space="preserve"> Penalty amount</w:t>
            </w:r>
          </w:p>
          <w:p w14:paraId="52207E8C" w14:textId="21F256B5" w:rsidR="00595620" w:rsidRDefault="00595620" w:rsidP="00595620">
            <w:pPr>
              <w:pStyle w:val="DHHStablecolhead"/>
              <w:rPr>
                <w:lang w:eastAsia="en-AU"/>
              </w:rPr>
            </w:pPr>
            <w:r>
              <w:rPr>
                <w:lang w:eastAsia="en-AU"/>
              </w:rPr>
              <w:t>(Natural person)</w:t>
            </w:r>
          </w:p>
          <w:p w14:paraId="61589629" w14:textId="298AEFDB" w:rsidR="00595620" w:rsidRPr="00515E9C" w:rsidRDefault="00595620" w:rsidP="00595620">
            <w:pPr>
              <w:pStyle w:val="DHHStablecolhead"/>
              <w:rPr>
                <w:lang w:eastAsia="en-AU"/>
              </w:rPr>
            </w:pPr>
          </w:p>
        </w:tc>
        <w:tc>
          <w:tcPr>
            <w:tcW w:w="448" w:type="pct"/>
          </w:tcPr>
          <w:p w14:paraId="68B36AEE" w14:textId="5B700A0E" w:rsidR="005110F4" w:rsidRDefault="0004022F" w:rsidP="00595620">
            <w:pPr>
              <w:pStyle w:val="DHHStablecolhead"/>
              <w:rPr>
                <w:lang w:eastAsia="en-AU"/>
              </w:rPr>
            </w:pPr>
            <w:r w:rsidRPr="00515E9C">
              <w:rPr>
                <w:lang w:eastAsia="en-AU"/>
              </w:rPr>
              <w:t>20</w:t>
            </w:r>
            <w:r>
              <w:rPr>
                <w:lang w:eastAsia="en-AU"/>
              </w:rPr>
              <w:t xml:space="preserve">24-2025 </w:t>
            </w:r>
            <w:r w:rsidR="005110F4">
              <w:rPr>
                <w:lang w:eastAsia="en-AU"/>
              </w:rPr>
              <w:t xml:space="preserve">Penalty amount </w:t>
            </w:r>
          </w:p>
          <w:p w14:paraId="418036FF" w14:textId="538677EC" w:rsidR="00595620" w:rsidRPr="00515E9C" w:rsidRDefault="00595620" w:rsidP="00595620">
            <w:pPr>
              <w:pStyle w:val="DHHStablecolhead"/>
              <w:rPr>
                <w:lang w:eastAsia="en-AU"/>
              </w:rPr>
            </w:pPr>
            <w:r>
              <w:rPr>
                <w:lang w:eastAsia="en-AU"/>
              </w:rPr>
              <w:t>(Body corporate)</w:t>
            </w:r>
          </w:p>
        </w:tc>
        <w:tc>
          <w:tcPr>
            <w:tcW w:w="477" w:type="pct"/>
          </w:tcPr>
          <w:p w14:paraId="6DD21260" w14:textId="2495A3B7" w:rsidR="005110F4" w:rsidRDefault="00595620" w:rsidP="00595620">
            <w:pPr>
              <w:pStyle w:val="DHHStablecolhead"/>
              <w:rPr>
                <w:lang w:eastAsia="en-AU"/>
              </w:rPr>
            </w:pPr>
            <w:r w:rsidRPr="00515E9C">
              <w:rPr>
                <w:lang w:eastAsia="en-AU"/>
              </w:rPr>
              <w:t>20</w:t>
            </w:r>
            <w:r>
              <w:rPr>
                <w:lang w:eastAsia="en-AU"/>
              </w:rPr>
              <w:t>2</w:t>
            </w:r>
            <w:r w:rsidR="0004022F">
              <w:rPr>
                <w:lang w:eastAsia="en-AU"/>
              </w:rPr>
              <w:t>5</w:t>
            </w:r>
            <w:r>
              <w:rPr>
                <w:lang w:eastAsia="en-AU"/>
              </w:rPr>
              <w:t>-202</w:t>
            </w:r>
            <w:r w:rsidR="0004022F">
              <w:rPr>
                <w:lang w:eastAsia="en-AU"/>
              </w:rPr>
              <w:t>6</w:t>
            </w:r>
            <w:r>
              <w:rPr>
                <w:lang w:eastAsia="en-AU"/>
              </w:rPr>
              <w:t xml:space="preserve"> </w:t>
            </w:r>
            <w:r w:rsidR="005110F4">
              <w:rPr>
                <w:lang w:eastAsia="en-AU"/>
              </w:rPr>
              <w:t xml:space="preserve">Penalty amount </w:t>
            </w:r>
          </w:p>
          <w:p w14:paraId="6ECAA57B" w14:textId="0DB82E3A" w:rsidR="00595620" w:rsidRPr="00515E9C" w:rsidRDefault="00595620" w:rsidP="00595620">
            <w:pPr>
              <w:pStyle w:val="DHHStablecolhead"/>
              <w:rPr>
                <w:lang w:eastAsia="en-AU"/>
              </w:rPr>
            </w:pPr>
            <w:r>
              <w:rPr>
                <w:lang w:eastAsia="en-AU"/>
              </w:rPr>
              <w:t>(Body corporate)</w:t>
            </w:r>
          </w:p>
        </w:tc>
      </w:tr>
      <w:tr w:rsidR="0004022F" w:rsidRPr="00515E9C" w14:paraId="6E4917A9" w14:textId="6F3B5F82" w:rsidTr="008C4495">
        <w:trPr>
          <w:trHeight w:val="765"/>
        </w:trPr>
        <w:tc>
          <w:tcPr>
            <w:tcW w:w="557" w:type="pct"/>
          </w:tcPr>
          <w:p w14:paraId="506E0E04" w14:textId="40199F08" w:rsidR="0004022F" w:rsidRDefault="0004022F" w:rsidP="0004022F">
            <w:pPr>
              <w:pStyle w:val="DHHStabletext"/>
            </w:pPr>
            <w:r>
              <w:t>35(3) Health service provider may be required to respond</w:t>
            </w:r>
          </w:p>
        </w:tc>
        <w:tc>
          <w:tcPr>
            <w:tcW w:w="2487" w:type="pct"/>
          </w:tcPr>
          <w:p w14:paraId="40C999B2" w14:textId="2D5F1AA1" w:rsidR="0004022F" w:rsidRDefault="0004022F" w:rsidP="0004022F">
            <w:pPr>
              <w:pStyle w:val="DHHStabletext"/>
            </w:pPr>
            <w:r>
              <w:t>A health service provider to whom a notice is given under this section must comply with the requirements of the notice.</w:t>
            </w:r>
          </w:p>
        </w:tc>
        <w:tc>
          <w:tcPr>
            <w:tcW w:w="562" w:type="pct"/>
          </w:tcPr>
          <w:p w14:paraId="02A77A1F" w14:textId="1BB65A41" w:rsidR="0004022F" w:rsidRDefault="0004022F" w:rsidP="0004022F">
            <w:pPr>
              <w:pStyle w:val="DHHStabletext"/>
              <w:rPr>
                <w:lang w:eastAsia="en-AU"/>
              </w:rPr>
            </w:pPr>
            <w:r>
              <w:rPr>
                <w:lang w:eastAsia="en-AU"/>
              </w:rPr>
              <w:t>$3,952</w:t>
            </w:r>
          </w:p>
        </w:tc>
        <w:tc>
          <w:tcPr>
            <w:tcW w:w="469" w:type="pct"/>
          </w:tcPr>
          <w:p w14:paraId="6E04ACFC" w14:textId="3DB140FC" w:rsidR="0004022F" w:rsidRDefault="0004022F" w:rsidP="0004022F">
            <w:pPr>
              <w:pStyle w:val="DHHStabletext"/>
              <w:rPr>
                <w:lang w:eastAsia="en-AU"/>
              </w:rPr>
            </w:pPr>
            <w:r>
              <w:rPr>
                <w:lang w:eastAsia="en-AU"/>
              </w:rPr>
              <w:t>$4,070</w:t>
            </w:r>
          </w:p>
        </w:tc>
        <w:tc>
          <w:tcPr>
            <w:tcW w:w="448" w:type="pct"/>
          </w:tcPr>
          <w:p w14:paraId="53CBF9EF" w14:textId="5416E76D" w:rsidR="0004022F" w:rsidRPr="00343342" w:rsidRDefault="0004022F" w:rsidP="0004022F">
            <w:pPr>
              <w:pStyle w:val="DHHStabletext"/>
            </w:pPr>
            <w:r>
              <w:t>$19,759</w:t>
            </w:r>
          </w:p>
        </w:tc>
        <w:tc>
          <w:tcPr>
            <w:tcW w:w="477" w:type="pct"/>
          </w:tcPr>
          <w:p w14:paraId="53401B77" w14:textId="0DB91F4F" w:rsidR="0004022F" w:rsidRPr="00343342" w:rsidRDefault="0004022F" w:rsidP="0004022F">
            <w:pPr>
              <w:pStyle w:val="DHHStabletext"/>
            </w:pPr>
            <w:r>
              <w:t>$20,351</w:t>
            </w:r>
          </w:p>
        </w:tc>
      </w:tr>
      <w:tr w:rsidR="0004022F" w:rsidRPr="00515E9C" w14:paraId="6436F2E1" w14:textId="5D6A95AC" w:rsidTr="008C4495">
        <w:trPr>
          <w:trHeight w:val="765"/>
        </w:trPr>
        <w:tc>
          <w:tcPr>
            <w:tcW w:w="557" w:type="pct"/>
          </w:tcPr>
          <w:p w14:paraId="7815B9C4" w14:textId="67F5C374" w:rsidR="0004022F" w:rsidRDefault="0004022F" w:rsidP="0004022F">
            <w:pPr>
              <w:pStyle w:val="DHHStabletext"/>
            </w:pPr>
            <w:r>
              <w:t>39(3) Reporting on undertakings to Commissioner</w:t>
            </w:r>
          </w:p>
        </w:tc>
        <w:tc>
          <w:tcPr>
            <w:tcW w:w="2487" w:type="pct"/>
          </w:tcPr>
          <w:p w14:paraId="7484845E" w14:textId="35030CB6" w:rsidR="0004022F" w:rsidRDefault="0004022F" w:rsidP="0004022F">
            <w:pPr>
              <w:pStyle w:val="DHHStabletext"/>
            </w:pPr>
            <w:r>
              <w:t>The health service provider to whom a requirement under subsection (1) has been given must not, without reasonable excuse, contravene the requirement.</w:t>
            </w:r>
          </w:p>
        </w:tc>
        <w:tc>
          <w:tcPr>
            <w:tcW w:w="562" w:type="pct"/>
          </w:tcPr>
          <w:p w14:paraId="1AD70735" w14:textId="11F2E3F5" w:rsidR="0004022F" w:rsidRDefault="0004022F" w:rsidP="0004022F">
            <w:pPr>
              <w:pStyle w:val="DHHStabletext"/>
            </w:pPr>
            <w:r>
              <w:t>$11,855</w:t>
            </w:r>
          </w:p>
        </w:tc>
        <w:tc>
          <w:tcPr>
            <w:tcW w:w="469" w:type="pct"/>
          </w:tcPr>
          <w:p w14:paraId="463C35E0" w14:textId="2E1FE1B5" w:rsidR="0004022F" w:rsidRPr="00343342" w:rsidRDefault="0004022F" w:rsidP="0004022F">
            <w:pPr>
              <w:pStyle w:val="DHHStabletext"/>
            </w:pPr>
            <w:r>
              <w:t>$12,210</w:t>
            </w:r>
          </w:p>
        </w:tc>
        <w:tc>
          <w:tcPr>
            <w:tcW w:w="448" w:type="pct"/>
          </w:tcPr>
          <w:p w14:paraId="5CFCC179" w14:textId="18229CF8" w:rsidR="0004022F" w:rsidRPr="00343342" w:rsidRDefault="0004022F" w:rsidP="0004022F">
            <w:pPr>
              <w:pStyle w:val="DHHStabletext"/>
            </w:pPr>
            <w:r>
              <w:t>$59,277</w:t>
            </w:r>
          </w:p>
        </w:tc>
        <w:tc>
          <w:tcPr>
            <w:tcW w:w="477" w:type="pct"/>
          </w:tcPr>
          <w:p w14:paraId="67971E90" w14:textId="02ECA320" w:rsidR="0004022F" w:rsidRPr="00343342" w:rsidRDefault="0004022F" w:rsidP="0004022F">
            <w:pPr>
              <w:pStyle w:val="DHHStabletext"/>
            </w:pPr>
            <w:r>
              <w:t>$61,053</w:t>
            </w:r>
          </w:p>
        </w:tc>
      </w:tr>
      <w:tr w:rsidR="0004022F" w:rsidRPr="00515E9C" w14:paraId="17D04B07" w14:textId="2B7C71D3" w:rsidTr="008C4495">
        <w:trPr>
          <w:trHeight w:val="765"/>
        </w:trPr>
        <w:tc>
          <w:tcPr>
            <w:tcW w:w="557" w:type="pct"/>
          </w:tcPr>
          <w:p w14:paraId="003FD1A5" w14:textId="4813BCB6" w:rsidR="0004022F" w:rsidRDefault="0004022F" w:rsidP="0004022F">
            <w:pPr>
              <w:pStyle w:val="DHHStabletext"/>
            </w:pPr>
            <w:r>
              <w:t>41(3) Health service provider may be required to produce documents in conciliation</w:t>
            </w:r>
          </w:p>
        </w:tc>
        <w:tc>
          <w:tcPr>
            <w:tcW w:w="2487" w:type="pct"/>
          </w:tcPr>
          <w:p w14:paraId="2B5A5EEA" w14:textId="6F9FED64" w:rsidR="0004022F" w:rsidRDefault="0004022F" w:rsidP="0004022F">
            <w:pPr>
              <w:pStyle w:val="DHHStabletext"/>
            </w:pPr>
            <w:r>
              <w:t>A health service provider to whom a notice is given under this section must comply with the requirements of the notice.</w:t>
            </w:r>
          </w:p>
        </w:tc>
        <w:tc>
          <w:tcPr>
            <w:tcW w:w="562" w:type="pct"/>
          </w:tcPr>
          <w:p w14:paraId="44F804C9" w14:textId="4B3AAB9C" w:rsidR="0004022F" w:rsidRDefault="0004022F" w:rsidP="0004022F">
            <w:pPr>
              <w:pStyle w:val="DHHStabletext"/>
            </w:pPr>
            <w:r>
              <w:rPr>
                <w:lang w:eastAsia="en-AU"/>
              </w:rPr>
              <w:t>$3,952</w:t>
            </w:r>
          </w:p>
        </w:tc>
        <w:tc>
          <w:tcPr>
            <w:tcW w:w="469" w:type="pct"/>
          </w:tcPr>
          <w:p w14:paraId="79DC69B5" w14:textId="24D6673A" w:rsidR="0004022F" w:rsidRPr="00343342" w:rsidRDefault="0004022F" w:rsidP="0004022F">
            <w:pPr>
              <w:pStyle w:val="DHHStabletext"/>
            </w:pPr>
            <w:r>
              <w:rPr>
                <w:lang w:eastAsia="en-AU"/>
              </w:rPr>
              <w:t>$4,070</w:t>
            </w:r>
          </w:p>
        </w:tc>
        <w:tc>
          <w:tcPr>
            <w:tcW w:w="448" w:type="pct"/>
          </w:tcPr>
          <w:p w14:paraId="60277AA0" w14:textId="5042E799" w:rsidR="0004022F" w:rsidRPr="00343342" w:rsidRDefault="0004022F" w:rsidP="0004022F">
            <w:pPr>
              <w:pStyle w:val="DHHStabletext"/>
            </w:pPr>
            <w:r>
              <w:t>$19,759</w:t>
            </w:r>
          </w:p>
        </w:tc>
        <w:tc>
          <w:tcPr>
            <w:tcW w:w="477" w:type="pct"/>
          </w:tcPr>
          <w:p w14:paraId="65983732" w14:textId="31BBB605" w:rsidR="0004022F" w:rsidRPr="00343342" w:rsidRDefault="0004022F" w:rsidP="0004022F">
            <w:pPr>
              <w:pStyle w:val="DHHStabletext"/>
            </w:pPr>
            <w:r>
              <w:t>$20,351</w:t>
            </w:r>
          </w:p>
        </w:tc>
      </w:tr>
      <w:tr w:rsidR="0004022F" w:rsidRPr="00515E9C" w14:paraId="53FA6DB8" w14:textId="1B8A68A9" w:rsidTr="008C4495">
        <w:trPr>
          <w:trHeight w:val="765"/>
        </w:trPr>
        <w:tc>
          <w:tcPr>
            <w:tcW w:w="557" w:type="pct"/>
          </w:tcPr>
          <w:p w14:paraId="57B3C31D" w14:textId="019FF7F0" w:rsidR="0004022F" w:rsidRDefault="0004022F" w:rsidP="0004022F">
            <w:pPr>
              <w:pStyle w:val="DHHStabletext"/>
            </w:pPr>
            <w:r>
              <w:lastRenderedPageBreak/>
              <w:t>43(1) Confidentiality of information given or agreement reached in conciliation process</w:t>
            </w:r>
          </w:p>
        </w:tc>
        <w:tc>
          <w:tcPr>
            <w:tcW w:w="2487" w:type="pct"/>
          </w:tcPr>
          <w:p w14:paraId="26510A93" w14:textId="2FC6C2AF" w:rsidR="0004022F" w:rsidRDefault="0004022F" w:rsidP="0004022F">
            <w:pPr>
              <w:pStyle w:val="DHHStabletext"/>
            </w:pPr>
            <w:r>
              <w:t>Subject to subsection (2), a party must not disclose anything said or done in a conciliation or any agreement reached in a conciliation outside the process.</w:t>
            </w:r>
          </w:p>
        </w:tc>
        <w:tc>
          <w:tcPr>
            <w:tcW w:w="562" w:type="pct"/>
          </w:tcPr>
          <w:p w14:paraId="0E0F777B" w14:textId="0942A4B4" w:rsidR="0004022F" w:rsidRDefault="0004022F" w:rsidP="0004022F">
            <w:pPr>
              <w:pStyle w:val="DHHStabletext"/>
            </w:pPr>
            <w:r>
              <w:rPr>
                <w:lang w:eastAsia="en-AU"/>
              </w:rPr>
              <w:t>$3,952</w:t>
            </w:r>
          </w:p>
        </w:tc>
        <w:tc>
          <w:tcPr>
            <w:tcW w:w="469" w:type="pct"/>
          </w:tcPr>
          <w:p w14:paraId="02676781" w14:textId="5CB53A6C" w:rsidR="0004022F" w:rsidRPr="00343342" w:rsidRDefault="0004022F" w:rsidP="0004022F">
            <w:pPr>
              <w:pStyle w:val="DHHStabletext"/>
            </w:pPr>
            <w:r>
              <w:rPr>
                <w:lang w:eastAsia="en-AU"/>
              </w:rPr>
              <w:t>$4,070</w:t>
            </w:r>
          </w:p>
        </w:tc>
        <w:tc>
          <w:tcPr>
            <w:tcW w:w="448" w:type="pct"/>
          </w:tcPr>
          <w:p w14:paraId="27DDD9A9" w14:textId="2F8F2172" w:rsidR="0004022F" w:rsidRPr="00343342" w:rsidRDefault="0004022F" w:rsidP="0004022F">
            <w:pPr>
              <w:pStyle w:val="DHHStabletext"/>
            </w:pPr>
            <w:r>
              <w:t>$19,759</w:t>
            </w:r>
          </w:p>
        </w:tc>
        <w:tc>
          <w:tcPr>
            <w:tcW w:w="477" w:type="pct"/>
          </w:tcPr>
          <w:p w14:paraId="04F40011" w14:textId="2102CE95" w:rsidR="0004022F" w:rsidRPr="00343342" w:rsidRDefault="0004022F" w:rsidP="0004022F">
            <w:pPr>
              <w:pStyle w:val="DHHStabletext"/>
            </w:pPr>
            <w:r>
              <w:t>$20,351</w:t>
            </w:r>
          </w:p>
        </w:tc>
      </w:tr>
      <w:tr w:rsidR="0004022F" w:rsidRPr="00515E9C" w14:paraId="41E171EA" w14:textId="1FB32D39" w:rsidTr="008C4495">
        <w:trPr>
          <w:trHeight w:val="765"/>
        </w:trPr>
        <w:tc>
          <w:tcPr>
            <w:tcW w:w="557" w:type="pct"/>
          </w:tcPr>
          <w:p w14:paraId="439D34D0" w14:textId="0EDEFF7B" w:rsidR="0004022F" w:rsidRDefault="0004022F" w:rsidP="0004022F">
            <w:pPr>
              <w:pStyle w:val="DHHStabletext"/>
            </w:pPr>
            <w:r>
              <w:t>52 Response by health service provider</w:t>
            </w:r>
          </w:p>
        </w:tc>
        <w:tc>
          <w:tcPr>
            <w:tcW w:w="2487" w:type="pct"/>
          </w:tcPr>
          <w:p w14:paraId="00FFF698" w14:textId="736F9042" w:rsidR="0004022F" w:rsidRDefault="0004022F" w:rsidP="0004022F">
            <w:pPr>
              <w:pStyle w:val="DHHStabletext"/>
            </w:pPr>
            <w:r>
              <w:t>A health service provider who received an investigation report under section 51 setting out recommendations that apply to the health service provider must not, without reasonable excuse, fail to give a written response to that investigation report to the Commissioner, within the time set out in the investigation report by the Commissioner, which— (a) states the action that has been taken to implement the recommendations; and (b) if a recommendation has not been implemented, gives a reason why the recommendation has not been implemented and sets out a plan— (</w:t>
            </w:r>
            <w:proofErr w:type="spellStart"/>
            <w:r>
              <w:t>i</w:t>
            </w:r>
            <w:proofErr w:type="spellEnd"/>
            <w:r>
              <w:t>) to implement the recommendation; or (ii) to address the issue dealt with in the recommendation</w:t>
            </w:r>
          </w:p>
        </w:tc>
        <w:tc>
          <w:tcPr>
            <w:tcW w:w="562" w:type="pct"/>
          </w:tcPr>
          <w:p w14:paraId="76A3CF53" w14:textId="03BBFE81" w:rsidR="0004022F" w:rsidRDefault="0004022F" w:rsidP="0004022F">
            <w:pPr>
              <w:pStyle w:val="DHHStabletext"/>
            </w:pPr>
            <w:r>
              <w:t>$11,855</w:t>
            </w:r>
          </w:p>
        </w:tc>
        <w:tc>
          <w:tcPr>
            <w:tcW w:w="469" w:type="pct"/>
          </w:tcPr>
          <w:p w14:paraId="0555A682" w14:textId="5E1F3C34" w:rsidR="0004022F" w:rsidRPr="00343342" w:rsidRDefault="0004022F" w:rsidP="0004022F">
            <w:pPr>
              <w:pStyle w:val="DHHStabletext"/>
            </w:pPr>
            <w:r>
              <w:t>$12,210</w:t>
            </w:r>
          </w:p>
        </w:tc>
        <w:tc>
          <w:tcPr>
            <w:tcW w:w="448" w:type="pct"/>
          </w:tcPr>
          <w:p w14:paraId="37DA9B28" w14:textId="6F559092" w:rsidR="0004022F" w:rsidRPr="00343342" w:rsidRDefault="0004022F" w:rsidP="0004022F">
            <w:pPr>
              <w:pStyle w:val="DHHStabletext"/>
            </w:pPr>
            <w:r>
              <w:t>$59,277</w:t>
            </w:r>
          </w:p>
        </w:tc>
        <w:tc>
          <w:tcPr>
            <w:tcW w:w="477" w:type="pct"/>
          </w:tcPr>
          <w:p w14:paraId="587F10E4" w14:textId="409830A4" w:rsidR="0004022F" w:rsidRPr="00343342" w:rsidRDefault="0004022F" w:rsidP="0004022F">
            <w:pPr>
              <w:pStyle w:val="DHHStabletext"/>
            </w:pPr>
            <w:r>
              <w:t>$61,053</w:t>
            </w:r>
          </w:p>
        </w:tc>
      </w:tr>
      <w:tr w:rsidR="0004022F" w:rsidRPr="00515E9C" w14:paraId="1492C399" w14:textId="1DB7DFFC" w:rsidTr="008C4495">
        <w:trPr>
          <w:trHeight w:val="765"/>
        </w:trPr>
        <w:tc>
          <w:tcPr>
            <w:tcW w:w="557" w:type="pct"/>
          </w:tcPr>
          <w:p w14:paraId="32041D3B" w14:textId="6DCF7CDB" w:rsidR="0004022F" w:rsidRDefault="0004022F" w:rsidP="0004022F">
            <w:pPr>
              <w:pStyle w:val="DHHStabletext"/>
            </w:pPr>
            <w:r>
              <w:t>58 Response by health service provider</w:t>
            </w:r>
          </w:p>
        </w:tc>
        <w:tc>
          <w:tcPr>
            <w:tcW w:w="2487" w:type="pct"/>
          </w:tcPr>
          <w:p w14:paraId="62E23028" w14:textId="4656B5A1" w:rsidR="0004022F" w:rsidRDefault="0004022F" w:rsidP="0004022F">
            <w:pPr>
              <w:pStyle w:val="DHHStabletext"/>
            </w:pPr>
            <w:r>
              <w:t>A health service provider who has received a follow up report under section 57 setting out recommendations that apply to the health service provider must not, without reasonable excuse, fail to give a written response to that report to the Commissioner, within the time set out in the follow up report by the Commissioner, which— (a) states the action that has been taken to implement the recommendations; and (b) if a recommendation has not been implemented, gives a reason why the recommendation has not been implemented and sets out a plan— (</w:t>
            </w:r>
            <w:proofErr w:type="spellStart"/>
            <w:r>
              <w:t>i</w:t>
            </w:r>
            <w:proofErr w:type="spellEnd"/>
            <w:r>
              <w:t>) to implement the recommendation; or (ii) to address the issue dealt with in the recommendation.</w:t>
            </w:r>
          </w:p>
        </w:tc>
        <w:tc>
          <w:tcPr>
            <w:tcW w:w="562" w:type="pct"/>
          </w:tcPr>
          <w:p w14:paraId="1A5E5290" w14:textId="298EEA4E" w:rsidR="0004022F" w:rsidRDefault="0004022F" w:rsidP="0004022F">
            <w:pPr>
              <w:pStyle w:val="DHHStabletext"/>
            </w:pPr>
            <w:r>
              <w:t>$11,855</w:t>
            </w:r>
          </w:p>
        </w:tc>
        <w:tc>
          <w:tcPr>
            <w:tcW w:w="469" w:type="pct"/>
          </w:tcPr>
          <w:p w14:paraId="2F922499" w14:textId="6ABF8D4C" w:rsidR="0004022F" w:rsidRPr="00343342" w:rsidRDefault="0004022F" w:rsidP="0004022F">
            <w:pPr>
              <w:pStyle w:val="DHHStabletext"/>
            </w:pPr>
            <w:r>
              <w:t>$12,210</w:t>
            </w:r>
          </w:p>
        </w:tc>
        <w:tc>
          <w:tcPr>
            <w:tcW w:w="448" w:type="pct"/>
          </w:tcPr>
          <w:p w14:paraId="32188244" w14:textId="519C8A14" w:rsidR="0004022F" w:rsidRPr="00343342" w:rsidRDefault="0004022F" w:rsidP="0004022F">
            <w:pPr>
              <w:pStyle w:val="DHHStabletext"/>
            </w:pPr>
            <w:r>
              <w:t>$59,277</w:t>
            </w:r>
          </w:p>
        </w:tc>
        <w:tc>
          <w:tcPr>
            <w:tcW w:w="477" w:type="pct"/>
          </w:tcPr>
          <w:p w14:paraId="714A3B9F" w14:textId="7D6A0990" w:rsidR="0004022F" w:rsidRPr="00343342" w:rsidRDefault="0004022F" w:rsidP="0004022F">
            <w:pPr>
              <w:pStyle w:val="DHHStabletext"/>
            </w:pPr>
            <w:r>
              <w:t>$61,053</w:t>
            </w:r>
          </w:p>
        </w:tc>
      </w:tr>
      <w:tr w:rsidR="0004022F" w:rsidRPr="00515E9C" w14:paraId="6BB7993A" w14:textId="47DE498F" w:rsidTr="008C4495">
        <w:trPr>
          <w:trHeight w:val="765"/>
        </w:trPr>
        <w:tc>
          <w:tcPr>
            <w:tcW w:w="557" w:type="pct"/>
          </w:tcPr>
          <w:p w14:paraId="62D54BBD" w14:textId="3F9310B1" w:rsidR="0004022F" w:rsidRDefault="0004022F" w:rsidP="0004022F">
            <w:pPr>
              <w:pStyle w:val="DHHStabletext"/>
            </w:pPr>
            <w:r>
              <w:t xml:space="preserve">68 Offence to hinder or obstruct person </w:t>
            </w:r>
            <w:r>
              <w:lastRenderedPageBreak/>
              <w:t>executing warrant</w:t>
            </w:r>
          </w:p>
        </w:tc>
        <w:tc>
          <w:tcPr>
            <w:tcW w:w="2487" w:type="pct"/>
          </w:tcPr>
          <w:p w14:paraId="2BC784AD" w14:textId="3661161D" w:rsidR="0004022F" w:rsidRDefault="0004022F" w:rsidP="0004022F">
            <w:pPr>
              <w:pStyle w:val="DHHStabletext"/>
            </w:pPr>
            <w:r>
              <w:lastRenderedPageBreak/>
              <w:t>A person must not, without reasonable excuse, hinder or obstruct a person who is executing a warrant issued under section 65.</w:t>
            </w:r>
          </w:p>
        </w:tc>
        <w:tc>
          <w:tcPr>
            <w:tcW w:w="562" w:type="pct"/>
          </w:tcPr>
          <w:p w14:paraId="2039B3B8" w14:textId="67FDD385" w:rsidR="0004022F" w:rsidRDefault="0004022F" w:rsidP="0004022F">
            <w:pPr>
              <w:pStyle w:val="DHHStabletext"/>
            </w:pPr>
            <w:r>
              <w:t>$11,855</w:t>
            </w:r>
          </w:p>
        </w:tc>
        <w:tc>
          <w:tcPr>
            <w:tcW w:w="469" w:type="pct"/>
          </w:tcPr>
          <w:p w14:paraId="60B06FA3" w14:textId="0FA8790D" w:rsidR="0004022F" w:rsidRPr="00343342" w:rsidRDefault="0004022F" w:rsidP="0004022F">
            <w:pPr>
              <w:pStyle w:val="DHHStabletext"/>
            </w:pPr>
            <w:r>
              <w:t>$12,210</w:t>
            </w:r>
          </w:p>
        </w:tc>
        <w:tc>
          <w:tcPr>
            <w:tcW w:w="448" w:type="pct"/>
          </w:tcPr>
          <w:p w14:paraId="35B8C419" w14:textId="4D389222" w:rsidR="0004022F" w:rsidRPr="00343342" w:rsidRDefault="0004022F" w:rsidP="0004022F">
            <w:pPr>
              <w:pStyle w:val="DHHStabletext"/>
            </w:pPr>
            <w:r>
              <w:t>$59,277</w:t>
            </w:r>
          </w:p>
        </w:tc>
        <w:tc>
          <w:tcPr>
            <w:tcW w:w="477" w:type="pct"/>
          </w:tcPr>
          <w:p w14:paraId="0C47C20F" w14:textId="0E4AF4DA" w:rsidR="0004022F" w:rsidRPr="00343342" w:rsidRDefault="0004022F" w:rsidP="0004022F">
            <w:pPr>
              <w:pStyle w:val="DHHStabletext"/>
            </w:pPr>
            <w:r>
              <w:t>$61,053</w:t>
            </w:r>
          </w:p>
        </w:tc>
      </w:tr>
      <w:tr w:rsidR="0004022F" w:rsidRPr="00515E9C" w14:paraId="293DB33D" w14:textId="37EC7E29" w:rsidTr="008C4495">
        <w:trPr>
          <w:trHeight w:val="765"/>
        </w:trPr>
        <w:tc>
          <w:tcPr>
            <w:tcW w:w="557" w:type="pct"/>
          </w:tcPr>
          <w:p w14:paraId="464313D3" w14:textId="02BFAD11" w:rsidR="0004022F" w:rsidRDefault="0004022F" w:rsidP="0004022F">
            <w:pPr>
              <w:pStyle w:val="DHHStabletext"/>
            </w:pPr>
            <w:r>
              <w:t>70 Offence to fail to comply with investigation hearing notice</w:t>
            </w:r>
          </w:p>
        </w:tc>
        <w:tc>
          <w:tcPr>
            <w:tcW w:w="2487" w:type="pct"/>
          </w:tcPr>
          <w:p w14:paraId="165C5767" w14:textId="2206F6BE" w:rsidR="0004022F" w:rsidRDefault="0004022F" w:rsidP="0004022F">
            <w:pPr>
              <w:pStyle w:val="DHHStabletext"/>
            </w:pPr>
            <w:r>
              <w:t>A person who is served with an investigation hearing notice must not, without reasonable excuse, refuse or fail to comply with the notice</w:t>
            </w:r>
          </w:p>
        </w:tc>
        <w:tc>
          <w:tcPr>
            <w:tcW w:w="562" w:type="pct"/>
          </w:tcPr>
          <w:p w14:paraId="6F91C469" w14:textId="6CA00225" w:rsidR="0004022F" w:rsidRDefault="0004022F" w:rsidP="0004022F">
            <w:pPr>
              <w:pStyle w:val="DHHStabletext"/>
            </w:pPr>
            <w:r>
              <w:t>$23,711</w:t>
            </w:r>
          </w:p>
        </w:tc>
        <w:tc>
          <w:tcPr>
            <w:tcW w:w="469" w:type="pct"/>
          </w:tcPr>
          <w:p w14:paraId="4628E09D" w14:textId="517F3310" w:rsidR="0004022F" w:rsidRDefault="0004022F" w:rsidP="0004022F">
            <w:pPr>
              <w:pStyle w:val="DHHStabletext"/>
            </w:pPr>
            <w:r>
              <w:t>$24,421</w:t>
            </w:r>
          </w:p>
        </w:tc>
        <w:tc>
          <w:tcPr>
            <w:tcW w:w="448" w:type="pct"/>
          </w:tcPr>
          <w:p w14:paraId="06B0B407" w14:textId="17D6BCC4" w:rsidR="0004022F" w:rsidRDefault="0004022F" w:rsidP="0004022F">
            <w:pPr>
              <w:pStyle w:val="DHHStabletext"/>
            </w:pPr>
            <w:r>
              <w:t>$118,554</w:t>
            </w:r>
          </w:p>
        </w:tc>
        <w:tc>
          <w:tcPr>
            <w:tcW w:w="477" w:type="pct"/>
          </w:tcPr>
          <w:p w14:paraId="43F72ECF" w14:textId="2414576A" w:rsidR="0004022F" w:rsidRDefault="0004022F" w:rsidP="0004022F">
            <w:pPr>
              <w:pStyle w:val="DHHStabletext"/>
            </w:pPr>
            <w:r>
              <w:t>$122,106</w:t>
            </w:r>
          </w:p>
        </w:tc>
      </w:tr>
      <w:tr w:rsidR="0004022F" w:rsidRPr="00515E9C" w14:paraId="487F358B" w14:textId="7CCB92DD" w:rsidTr="008C4495">
        <w:trPr>
          <w:trHeight w:val="765"/>
        </w:trPr>
        <w:tc>
          <w:tcPr>
            <w:tcW w:w="557" w:type="pct"/>
          </w:tcPr>
          <w:p w14:paraId="41A4572A" w14:textId="1225AF29" w:rsidR="0004022F" w:rsidRDefault="0004022F" w:rsidP="0004022F">
            <w:pPr>
              <w:pStyle w:val="DHHStabletext"/>
            </w:pPr>
            <w:r>
              <w:t>80(1) Offence to threaten etc. complainant</w:t>
            </w:r>
          </w:p>
        </w:tc>
        <w:tc>
          <w:tcPr>
            <w:tcW w:w="2487" w:type="pct"/>
          </w:tcPr>
          <w:p w14:paraId="58B0CC75" w14:textId="1FF88AD3" w:rsidR="0004022F" w:rsidRDefault="0004022F" w:rsidP="0004022F">
            <w:pPr>
              <w:pStyle w:val="DHHStabletext"/>
            </w:pPr>
            <w:r>
              <w:t>A person must not, by threat or intimidation, persuade or attempt to persuade another person not to make a complaint under this Act or not to continue with any process under this Act</w:t>
            </w:r>
          </w:p>
        </w:tc>
        <w:tc>
          <w:tcPr>
            <w:tcW w:w="562" w:type="pct"/>
          </w:tcPr>
          <w:p w14:paraId="11A09B6B" w14:textId="3B6A376E" w:rsidR="0004022F" w:rsidRDefault="0004022F" w:rsidP="0004022F">
            <w:pPr>
              <w:pStyle w:val="DHHStabletext"/>
            </w:pPr>
            <w:r>
              <w:t>$11,855</w:t>
            </w:r>
          </w:p>
        </w:tc>
        <w:tc>
          <w:tcPr>
            <w:tcW w:w="469" w:type="pct"/>
          </w:tcPr>
          <w:p w14:paraId="59771576" w14:textId="74DD3A18" w:rsidR="0004022F" w:rsidRDefault="0004022F" w:rsidP="0004022F">
            <w:pPr>
              <w:pStyle w:val="DHHStabletext"/>
            </w:pPr>
            <w:r>
              <w:t>$12,210</w:t>
            </w:r>
          </w:p>
        </w:tc>
        <w:tc>
          <w:tcPr>
            <w:tcW w:w="448" w:type="pct"/>
          </w:tcPr>
          <w:p w14:paraId="28CE160F" w14:textId="660AA154" w:rsidR="0004022F" w:rsidRDefault="0004022F" w:rsidP="0004022F">
            <w:pPr>
              <w:pStyle w:val="DHHStabletext"/>
            </w:pPr>
            <w:r>
              <w:t>$59,277</w:t>
            </w:r>
          </w:p>
        </w:tc>
        <w:tc>
          <w:tcPr>
            <w:tcW w:w="477" w:type="pct"/>
          </w:tcPr>
          <w:p w14:paraId="0530F4FA" w14:textId="40DC0209" w:rsidR="0004022F" w:rsidRDefault="0004022F" w:rsidP="0004022F">
            <w:pPr>
              <w:pStyle w:val="DHHStabletext"/>
            </w:pPr>
            <w:r>
              <w:t>$61,053</w:t>
            </w:r>
          </w:p>
        </w:tc>
      </w:tr>
      <w:tr w:rsidR="0004022F" w:rsidRPr="00515E9C" w14:paraId="1CCC1469" w14:textId="4232BEC9" w:rsidTr="008C4495">
        <w:trPr>
          <w:trHeight w:val="765"/>
        </w:trPr>
        <w:tc>
          <w:tcPr>
            <w:tcW w:w="557" w:type="pct"/>
          </w:tcPr>
          <w:p w14:paraId="5AD9C8DD" w14:textId="3D0C396B" w:rsidR="0004022F" w:rsidRDefault="0004022F" w:rsidP="0004022F">
            <w:pPr>
              <w:pStyle w:val="DHHStabletext"/>
            </w:pPr>
            <w:r>
              <w:t>80(2) Offence to threaten etc. complainant</w:t>
            </w:r>
          </w:p>
        </w:tc>
        <w:tc>
          <w:tcPr>
            <w:tcW w:w="2487" w:type="pct"/>
          </w:tcPr>
          <w:p w14:paraId="6FFBA332" w14:textId="348C01F1" w:rsidR="0004022F" w:rsidRDefault="0004022F" w:rsidP="0004022F">
            <w:pPr>
              <w:pStyle w:val="DHHStabletext"/>
            </w:pPr>
            <w:r>
              <w:t>A person must not refuse to employ, or dismiss another person, or subject another person to any detriment because the other person— (a) intends to make, makes or has made a complaint under this Act; or (b) intends to take part in, or takes part in, or has taken part in any process under this Act</w:t>
            </w:r>
          </w:p>
        </w:tc>
        <w:tc>
          <w:tcPr>
            <w:tcW w:w="562" w:type="pct"/>
          </w:tcPr>
          <w:p w14:paraId="23B097FF" w14:textId="5346EA09" w:rsidR="0004022F" w:rsidRDefault="0004022F" w:rsidP="0004022F">
            <w:pPr>
              <w:pStyle w:val="DHHStabletext"/>
            </w:pPr>
            <w:r>
              <w:t>$11,855</w:t>
            </w:r>
          </w:p>
        </w:tc>
        <w:tc>
          <w:tcPr>
            <w:tcW w:w="469" w:type="pct"/>
          </w:tcPr>
          <w:p w14:paraId="48C3DB97" w14:textId="628D4225" w:rsidR="0004022F" w:rsidRDefault="0004022F" w:rsidP="0004022F">
            <w:pPr>
              <w:pStyle w:val="DHHStabletext"/>
            </w:pPr>
            <w:r>
              <w:t>$12,210</w:t>
            </w:r>
          </w:p>
        </w:tc>
        <w:tc>
          <w:tcPr>
            <w:tcW w:w="448" w:type="pct"/>
          </w:tcPr>
          <w:p w14:paraId="2FCE060E" w14:textId="602F6E57" w:rsidR="0004022F" w:rsidRDefault="0004022F" w:rsidP="0004022F">
            <w:pPr>
              <w:pStyle w:val="DHHStabletext"/>
            </w:pPr>
            <w:r>
              <w:t>$59,277</w:t>
            </w:r>
          </w:p>
        </w:tc>
        <w:tc>
          <w:tcPr>
            <w:tcW w:w="477" w:type="pct"/>
          </w:tcPr>
          <w:p w14:paraId="0DCB032F" w14:textId="16A8E4D6" w:rsidR="0004022F" w:rsidRDefault="0004022F" w:rsidP="0004022F">
            <w:pPr>
              <w:pStyle w:val="DHHStabletext"/>
            </w:pPr>
            <w:r>
              <w:t>$61,053</w:t>
            </w:r>
          </w:p>
        </w:tc>
      </w:tr>
      <w:tr w:rsidR="0004022F" w:rsidRPr="00515E9C" w14:paraId="77F30A41" w14:textId="77777777" w:rsidTr="008C4495">
        <w:trPr>
          <w:trHeight w:val="765"/>
        </w:trPr>
        <w:tc>
          <w:tcPr>
            <w:tcW w:w="557" w:type="pct"/>
          </w:tcPr>
          <w:p w14:paraId="300ABA9C" w14:textId="67DD8FA6" w:rsidR="0004022F" w:rsidRDefault="0004022F" w:rsidP="0004022F">
            <w:pPr>
              <w:pStyle w:val="DHHStabletext"/>
            </w:pPr>
            <w:r>
              <w:t>81 Offence to make false statements</w:t>
            </w:r>
          </w:p>
        </w:tc>
        <w:tc>
          <w:tcPr>
            <w:tcW w:w="2487" w:type="pct"/>
          </w:tcPr>
          <w:p w14:paraId="26A5C2EC" w14:textId="6BFAFE95" w:rsidR="0004022F" w:rsidRDefault="0004022F" w:rsidP="0004022F">
            <w:pPr>
              <w:pStyle w:val="DHHStabletext"/>
            </w:pPr>
            <w:r>
              <w:t xml:space="preserve">A person must not for the purpose of taking part in any process under this Act or while taking part in any process under this Act make a statement that is false or misleading in any </w:t>
            </w:r>
            <w:proofErr w:type="gramStart"/>
            <w:r>
              <w:t>material particular</w:t>
            </w:r>
            <w:proofErr w:type="gramEnd"/>
            <w:r>
              <w:t>.</w:t>
            </w:r>
          </w:p>
        </w:tc>
        <w:tc>
          <w:tcPr>
            <w:tcW w:w="562" w:type="pct"/>
          </w:tcPr>
          <w:p w14:paraId="40339FD1" w14:textId="685FA86D" w:rsidR="0004022F" w:rsidRDefault="0004022F" w:rsidP="0004022F">
            <w:pPr>
              <w:pStyle w:val="DHHStabletext"/>
            </w:pPr>
            <w:r>
              <w:t>$11,855</w:t>
            </w:r>
          </w:p>
        </w:tc>
        <w:tc>
          <w:tcPr>
            <w:tcW w:w="469" w:type="pct"/>
          </w:tcPr>
          <w:p w14:paraId="1786E4BA" w14:textId="38CD50C3" w:rsidR="0004022F" w:rsidRDefault="0004022F" w:rsidP="0004022F">
            <w:pPr>
              <w:pStyle w:val="DHHStabletext"/>
            </w:pPr>
            <w:r>
              <w:t>$12,210</w:t>
            </w:r>
          </w:p>
        </w:tc>
        <w:tc>
          <w:tcPr>
            <w:tcW w:w="448" w:type="pct"/>
          </w:tcPr>
          <w:p w14:paraId="2D017835" w14:textId="37A029A6" w:rsidR="0004022F" w:rsidRDefault="0004022F" w:rsidP="0004022F">
            <w:pPr>
              <w:pStyle w:val="DHHStabletext"/>
            </w:pPr>
            <w:r>
              <w:t>$59,277</w:t>
            </w:r>
          </w:p>
        </w:tc>
        <w:tc>
          <w:tcPr>
            <w:tcW w:w="477" w:type="pct"/>
          </w:tcPr>
          <w:p w14:paraId="2C6D4B6B" w14:textId="166A92DC" w:rsidR="0004022F" w:rsidRDefault="0004022F" w:rsidP="0004022F">
            <w:pPr>
              <w:pStyle w:val="DHHStabletext"/>
            </w:pPr>
            <w:r>
              <w:t>$61,053</w:t>
            </w:r>
          </w:p>
        </w:tc>
      </w:tr>
      <w:tr w:rsidR="0004022F" w:rsidRPr="00515E9C" w14:paraId="5581E578" w14:textId="77777777" w:rsidTr="008C4495">
        <w:trPr>
          <w:trHeight w:val="765"/>
        </w:trPr>
        <w:tc>
          <w:tcPr>
            <w:tcW w:w="557" w:type="pct"/>
          </w:tcPr>
          <w:p w14:paraId="3B84F150" w14:textId="357A9EC4" w:rsidR="0004022F" w:rsidRDefault="0004022F" w:rsidP="0004022F">
            <w:pPr>
              <w:pStyle w:val="DHHStabletext"/>
            </w:pPr>
            <w:r>
              <w:t>93 Offence for contravention of interim prohibition order</w:t>
            </w:r>
          </w:p>
        </w:tc>
        <w:tc>
          <w:tcPr>
            <w:tcW w:w="2487" w:type="pct"/>
          </w:tcPr>
          <w:p w14:paraId="762A5151" w14:textId="4E3DEDB1" w:rsidR="0004022F" w:rsidRDefault="0004022F" w:rsidP="0004022F">
            <w:pPr>
              <w:pStyle w:val="DHHStabletext"/>
            </w:pPr>
            <w:r>
              <w:t>A person who has been served with an interim prohibition order must comply with the order.</w:t>
            </w:r>
          </w:p>
        </w:tc>
        <w:tc>
          <w:tcPr>
            <w:tcW w:w="562" w:type="pct"/>
          </w:tcPr>
          <w:p w14:paraId="507E86A9" w14:textId="1190B553" w:rsidR="0004022F" w:rsidRDefault="0004022F" w:rsidP="0004022F">
            <w:pPr>
              <w:pStyle w:val="DHHStabletext"/>
            </w:pPr>
            <w:r>
              <w:t>$47,422</w:t>
            </w:r>
          </w:p>
        </w:tc>
        <w:tc>
          <w:tcPr>
            <w:tcW w:w="469" w:type="pct"/>
          </w:tcPr>
          <w:p w14:paraId="2100F383" w14:textId="7788FBDA" w:rsidR="0004022F" w:rsidRDefault="0004022F" w:rsidP="0004022F">
            <w:pPr>
              <w:pStyle w:val="DHHStabletext"/>
            </w:pPr>
            <w:r>
              <w:t>$48,843</w:t>
            </w:r>
          </w:p>
        </w:tc>
        <w:tc>
          <w:tcPr>
            <w:tcW w:w="448" w:type="pct"/>
          </w:tcPr>
          <w:p w14:paraId="3C8AB491" w14:textId="5D32DE11" w:rsidR="0004022F" w:rsidRDefault="0004022F" w:rsidP="0004022F">
            <w:pPr>
              <w:pStyle w:val="DHHStabletext"/>
            </w:pPr>
            <w:r>
              <w:t>$237,108</w:t>
            </w:r>
          </w:p>
        </w:tc>
        <w:tc>
          <w:tcPr>
            <w:tcW w:w="477" w:type="pct"/>
          </w:tcPr>
          <w:p w14:paraId="303DFF8F" w14:textId="037E2665" w:rsidR="0004022F" w:rsidRDefault="0004022F" w:rsidP="0004022F">
            <w:pPr>
              <w:pStyle w:val="DHHStabletext"/>
            </w:pPr>
            <w:r>
              <w:t>$244,212</w:t>
            </w:r>
          </w:p>
        </w:tc>
      </w:tr>
      <w:tr w:rsidR="0004022F" w:rsidRPr="00515E9C" w14:paraId="2E46EDB5" w14:textId="77777777" w:rsidTr="008C4495">
        <w:trPr>
          <w:trHeight w:val="765"/>
        </w:trPr>
        <w:tc>
          <w:tcPr>
            <w:tcW w:w="557" w:type="pct"/>
          </w:tcPr>
          <w:p w14:paraId="7341CF60" w14:textId="5C266AB0" w:rsidR="0004022F" w:rsidRDefault="0004022F" w:rsidP="0004022F">
            <w:pPr>
              <w:pStyle w:val="DHHStabletext"/>
            </w:pPr>
            <w:r>
              <w:t>98 Offence for contravention of prohibition order</w:t>
            </w:r>
          </w:p>
        </w:tc>
        <w:tc>
          <w:tcPr>
            <w:tcW w:w="2487" w:type="pct"/>
          </w:tcPr>
          <w:p w14:paraId="3EBD7F00" w14:textId="136C8008" w:rsidR="0004022F" w:rsidRDefault="0004022F" w:rsidP="0004022F">
            <w:pPr>
              <w:pStyle w:val="DHHStabletext"/>
            </w:pPr>
            <w:r>
              <w:t>A person who has been served with a prohibition order must comply with the order.</w:t>
            </w:r>
          </w:p>
        </w:tc>
        <w:tc>
          <w:tcPr>
            <w:tcW w:w="562" w:type="pct"/>
          </w:tcPr>
          <w:p w14:paraId="06BDF6D9" w14:textId="1993999B" w:rsidR="0004022F" w:rsidRDefault="0004022F" w:rsidP="0004022F">
            <w:pPr>
              <w:pStyle w:val="DHHStabletext"/>
            </w:pPr>
            <w:r>
              <w:t>$47,422</w:t>
            </w:r>
          </w:p>
        </w:tc>
        <w:tc>
          <w:tcPr>
            <w:tcW w:w="469" w:type="pct"/>
          </w:tcPr>
          <w:p w14:paraId="40B3A020" w14:textId="4E788987" w:rsidR="0004022F" w:rsidRDefault="0004022F" w:rsidP="0004022F">
            <w:pPr>
              <w:pStyle w:val="DHHStabletext"/>
            </w:pPr>
            <w:r>
              <w:t>$48,843</w:t>
            </w:r>
          </w:p>
        </w:tc>
        <w:tc>
          <w:tcPr>
            <w:tcW w:w="448" w:type="pct"/>
          </w:tcPr>
          <w:p w14:paraId="4612B56E" w14:textId="0140DF0E" w:rsidR="0004022F" w:rsidRDefault="0004022F" w:rsidP="0004022F">
            <w:pPr>
              <w:pStyle w:val="DHHStabletext"/>
            </w:pPr>
            <w:r>
              <w:t>$237,108</w:t>
            </w:r>
          </w:p>
        </w:tc>
        <w:tc>
          <w:tcPr>
            <w:tcW w:w="477" w:type="pct"/>
          </w:tcPr>
          <w:p w14:paraId="56C71394" w14:textId="30B9DBDA" w:rsidR="0004022F" w:rsidRDefault="0004022F" w:rsidP="0004022F">
            <w:pPr>
              <w:pStyle w:val="DHHStabletext"/>
            </w:pPr>
            <w:r>
              <w:t>$244,212</w:t>
            </w:r>
          </w:p>
        </w:tc>
      </w:tr>
      <w:tr w:rsidR="0004022F" w:rsidRPr="00515E9C" w14:paraId="02E25CB3" w14:textId="77777777" w:rsidTr="008C4495">
        <w:trPr>
          <w:trHeight w:val="765"/>
        </w:trPr>
        <w:tc>
          <w:tcPr>
            <w:tcW w:w="557" w:type="pct"/>
          </w:tcPr>
          <w:p w14:paraId="1D5B0B82" w14:textId="0C57C452" w:rsidR="0004022F" w:rsidRDefault="0004022F" w:rsidP="0004022F">
            <w:pPr>
              <w:pStyle w:val="DHHStabletext"/>
            </w:pPr>
            <w:r>
              <w:lastRenderedPageBreak/>
              <w:t>102 Offence to provide certain services if prohibited from doing so in another State or Territory</w:t>
            </w:r>
          </w:p>
        </w:tc>
        <w:tc>
          <w:tcPr>
            <w:tcW w:w="2487" w:type="pct"/>
          </w:tcPr>
          <w:p w14:paraId="48D540E2" w14:textId="1FB219C9" w:rsidR="0004022F" w:rsidRDefault="0004022F" w:rsidP="0004022F">
            <w:pPr>
              <w:pStyle w:val="DHHStabletext"/>
            </w:pPr>
            <w:r>
              <w:t xml:space="preserve">A person must not provide a general health service in Victoria if, in another State or a Territory of the Commonwealth, the person is prohibited from providing a service </w:t>
            </w:r>
            <w:proofErr w:type="gramStart"/>
            <w:r>
              <w:t>in the nature of that</w:t>
            </w:r>
            <w:proofErr w:type="gramEnd"/>
            <w:r>
              <w:t xml:space="preserve"> general health service.</w:t>
            </w:r>
          </w:p>
        </w:tc>
        <w:tc>
          <w:tcPr>
            <w:tcW w:w="562" w:type="pct"/>
          </w:tcPr>
          <w:p w14:paraId="382702F5" w14:textId="653403C6" w:rsidR="0004022F" w:rsidRDefault="0004022F" w:rsidP="0004022F">
            <w:pPr>
              <w:pStyle w:val="DHHStabletext"/>
            </w:pPr>
            <w:r>
              <w:t>$47,422</w:t>
            </w:r>
          </w:p>
        </w:tc>
        <w:tc>
          <w:tcPr>
            <w:tcW w:w="469" w:type="pct"/>
          </w:tcPr>
          <w:p w14:paraId="4BA93736" w14:textId="1781B682" w:rsidR="0004022F" w:rsidRDefault="0004022F" w:rsidP="0004022F">
            <w:pPr>
              <w:pStyle w:val="DHHStabletext"/>
            </w:pPr>
            <w:r>
              <w:t>$48,843</w:t>
            </w:r>
          </w:p>
        </w:tc>
        <w:tc>
          <w:tcPr>
            <w:tcW w:w="448" w:type="pct"/>
          </w:tcPr>
          <w:p w14:paraId="35B7F406" w14:textId="664366DA" w:rsidR="0004022F" w:rsidRDefault="0004022F" w:rsidP="0004022F">
            <w:pPr>
              <w:pStyle w:val="DHHStabletext"/>
            </w:pPr>
            <w:r>
              <w:t>$237,108</w:t>
            </w:r>
          </w:p>
        </w:tc>
        <w:tc>
          <w:tcPr>
            <w:tcW w:w="477" w:type="pct"/>
          </w:tcPr>
          <w:p w14:paraId="6D19691D" w14:textId="42CD99EE" w:rsidR="0004022F" w:rsidRDefault="0004022F" w:rsidP="0004022F">
            <w:pPr>
              <w:pStyle w:val="DHHStabletext"/>
            </w:pPr>
            <w:r>
              <w:t>$244,212</w:t>
            </w:r>
          </w:p>
        </w:tc>
      </w:tr>
      <w:tr w:rsidR="0004022F" w:rsidRPr="00515E9C" w14:paraId="675C95C1" w14:textId="4045C91D" w:rsidTr="008C4495">
        <w:trPr>
          <w:trHeight w:val="765"/>
        </w:trPr>
        <w:tc>
          <w:tcPr>
            <w:tcW w:w="557" w:type="pct"/>
          </w:tcPr>
          <w:p w14:paraId="53EB6C7C" w14:textId="5200AEF7" w:rsidR="0004022F" w:rsidRDefault="0004022F" w:rsidP="0004022F">
            <w:pPr>
              <w:pStyle w:val="DHHStabletext"/>
            </w:pPr>
            <w:r>
              <w:t>129(4) Power to require information to be given</w:t>
            </w:r>
          </w:p>
        </w:tc>
        <w:tc>
          <w:tcPr>
            <w:tcW w:w="2487" w:type="pct"/>
          </w:tcPr>
          <w:p w14:paraId="09ADA366" w14:textId="3307822F" w:rsidR="0004022F" w:rsidRDefault="0004022F" w:rsidP="0004022F">
            <w:pPr>
              <w:pStyle w:val="DHHStabletext"/>
            </w:pPr>
            <w:r>
              <w:t>A health service provider must comply with a requirement under this section within the time specified by the Commissioner, unless the health service provider has a reasonable excuse not to do so.</w:t>
            </w:r>
          </w:p>
        </w:tc>
        <w:tc>
          <w:tcPr>
            <w:tcW w:w="562" w:type="pct"/>
          </w:tcPr>
          <w:p w14:paraId="65622511" w14:textId="6497060B" w:rsidR="0004022F" w:rsidRDefault="0004022F" w:rsidP="0004022F">
            <w:pPr>
              <w:pStyle w:val="DHHStabletext"/>
            </w:pPr>
            <w:r>
              <w:t>$1,975</w:t>
            </w:r>
          </w:p>
        </w:tc>
        <w:tc>
          <w:tcPr>
            <w:tcW w:w="469" w:type="pct"/>
          </w:tcPr>
          <w:p w14:paraId="0134F30B" w14:textId="10CFB1E2" w:rsidR="0004022F" w:rsidRDefault="0004022F" w:rsidP="0004022F">
            <w:pPr>
              <w:pStyle w:val="DHHStabletext"/>
            </w:pPr>
            <w:r>
              <w:t>$2,035</w:t>
            </w:r>
          </w:p>
        </w:tc>
        <w:tc>
          <w:tcPr>
            <w:tcW w:w="448" w:type="pct"/>
          </w:tcPr>
          <w:p w14:paraId="5041295D" w14:textId="0AE7F56F" w:rsidR="0004022F" w:rsidRDefault="0004022F" w:rsidP="0004022F">
            <w:pPr>
              <w:pStyle w:val="DHHStabletext"/>
            </w:pPr>
            <w:r>
              <w:t>$9,880</w:t>
            </w:r>
          </w:p>
        </w:tc>
        <w:tc>
          <w:tcPr>
            <w:tcW w:w="477" w:type="pct"/>
          </w:tcPr>
          <w:p w14:paraId="6EDCA7BA" w14:textId="7FBF5DFD" w:rsidR="0004022F" w:rsidRDefault="0004022F" w:rsidP="0004022F">
            <w:pPr>
              <w:pStyle w:val="DHHStabletext"/>
            </w:pPr>
            <w:r>
              <w:t>$10,176</w:t>
            </w:r>
          </w:p>
        </w:tc>
      </w:tr>
      <w:tr w:rsidR="0004022F" w:rsidRPr="00515E9C" w14:paraId="7B00763A" w14:textId="77777777" w:rsidTr="008C4495">
        <w:trPr>
          <w:trHeight w:val="765"/>
        </w:trPr>
        <w:tc>
          <w:tcPr>
            <w:tcW w:w="557" w:type="pct"/>
          </w:tcPr>
          <w:p w14:paraId="6B9EBAFD" w14:textId="5EDA9009" w:rsidR="0004022F" w:rsidRDefault="0004022F" w:rsidP="0004022F">
            <w:pPr>
              <w:pStyle w:val="DHHStabletext"/>
            </w:pPr>
            <w:r>
              <w:t xml:space="preserve">150(1) </w:t>
            </w:r>
            <w:proofErr w:type="gramStart"/>
            <w:r>
              <w:t>Non-disclosure</w:t>
            </w:r>
            <w:proofErr w:type="gramEnd"/>
            <w:r>
              <w:t xml:space="preserve"> of information—investigations, complaint data reviews</w:t>
            </w:r>
          </w:p>
        </w:tc>
        <w:tc>
          <w:tcPr>
            <w:tcW w:w="2487" w:type="pct"/>
          </w:tcPr>
          <w:p w14:paraId="4378731F" w14:textId="2196E489" w:rsidR="0004022F" w:rsidRDefault="0004022F" w:rsidP="0004022F">
            <w:pPr>
              <w:pStyle w:val="DHHStabletext"/>
            </w:pPr>
            <w:r>
              <w:t xml:space="preserve">A person must not disclose any information gained by that person </w:t>
            </w:r>
            <w:proofErr w:type="gramStart"/>
            <w:r>
              <w:t>in the course of</w:t>
            </w:r>
            <w:proofErr w:type="gramEnd"/>
            <w:r>
              <w:t xml:space="preserve"> an investigation or a complaint data review, except as authorised under this section.</w:t>
            </w:r>
          </w:p>
        </w:tc>
        <w:tc>
          <w:tcPr>
            <w:tcW w:w="562" w:type="pct"/>
          </w:tcPr>
          <w:p w14:paraId="7EE545CC" w14:textId="6B85BBBA" w:rsidR="0004022F" w:rsidRDefault="0004022F" w:rsidP="0004022F">
            <w:pPr>
              <w:pStyle w:val="DHHStabletext"/>
            </w:pPr>
            <w:r>
              <w:t>$11,855</w:t>
            </w:r>
          </w:p>
        </w:tc>
        <w:tc>
          <w:tcPr>
            <w:tcW w:w="469" w:type="pct"/>
          </w:tcPr>
          <w:p w14:paraId="3CB3A5A3" w14:textId="047FC27D" w:rsidR="0004022F" w:rsidRDefault="0004022F" w:rsidP="0004022F">
            <w:pPr>
              <w:pStyle w:val="DHHStabletext"/>
            </w:pPr>
            <w:r>
              <w:t>$12,210</w:t>
            </w:r>
          </w:p>
        </w:tc>
        <w:tc>
          <w:tcPr>
            <w:tcW w:w="448" w:type="pct"/>
          </w:tcPr>
          <w:p w14:paraId="52E621E0" w14:textId="3454E8E3" w:rsidR="0004022F" w:rsidRDefault="0004022F" w:rsidP="0004022F">
            <w:pPr>
              <w:pStyle w:val="DHHStabletext"/>
            </w:pPr>
            <w:r>
              <w:t>$59,277</w:t>
            </w:r>
          </w:p>
        </w:tc>
        <w:tc>
          <w:tcPr>
            <w:tcW w:w="477" w:type="pct"/>
          </w:tcPr>
          <w:p w14:paraId="61AE6909" w14:textId="38771E23" w:rsidR="0004022F" w:rsidRDefault="0004022F" w:rsidP="0004022F">
            <w:pPr>
              <w:pStyle w:val="DHHStabletext"/>
            </w:pPr>
            <w:r>
              <w:t>$61,053</w:t>
            </w:r>
          </w:p>
        </w:tc>
      </w:tr>
      <w:tr w:rsidR="0004022F" w:rsidRPr="00515E9C" w14:paraId="544475E2" w14:textId="77777777" w:rsidTr="008C4495">
        <w:trPr>
          <w:trHeight w:val="765"/>
        </w:trPr>
        <w:tc>
          <w:tcPr>
            <w:tcW w:w="557" w:type="pct"/>
          </w:tcPr>
          <w:p w14:paraId="74C596CA" w14:textId="472AF7EB" w:rsidR="0004022F" w:rsidRDefault="0004022F" w:rsidP="0004022F">
            <w:pPr>
              <w:pStyle w:val="DHHStabletext"/>
            </w:pPr>
            <w:r>
              <w:t xml:space="preserve">151(1) </w:t>
            </w:r>
            <w:proofErr w:type="gramStart"/>
            <w:r>
              <w:t>Non-disclosure</w:t>
            </w:r>
            <w:proofErr w:type="gramEnd"/>
            <w:r>
              <w:t xml:space="preserve"> of information—complaint resolution processes</w:t>
            </w:r>
          </w:p>
        </w:tc>
        <w:tc>
          <w:tcPr>
            <w:tcW w:w="2487" w:type="pct"/>
          </w:tcPr>
          <w:p w14:paraId="5B36A8C2" w14:textId="5FE1D90B" w:rsidR="0004022F" w:rsidRDefault="0004022F" w:rsidP="0004022F">
            <w:pPr>
              <w:pStyle w:val="DHHStabletext"/>
            </w:pPr>
            <w:r>
              <w:t xml:space="preserve">The Commissioner or a member of the staff of the Commissioner must not disclose any information gained by that person </w:t>
            </w:r>
            <w:proofErr w:type="gramStart"/>
            <w:r>
              <w:t>in the course of</w:t>
            </w:r>
            <w:proofErr w:type="gramEnd"/>
            <w:r>
              <w:t xml:space="preserve"> a complaint resolution process, except as authorised under this section.</w:t>
            </w:r>
          </w:p>
        </w:tc>
        <w:tc>
          <w:tcPr>
            <w:tcW w:w="562" w:type="pct"/>
          </w:tcPr>
          <w:p w14:paraId="5AF51189" w14:textId="4CCBFE1B" w:rsidR="0004022F" w:rsidRDefault="0004022F" w:rsidP="0004022F">
            <w:pPr>
              <w:pStyle w:val="DHHStabletext"/>
            </w:pPr>
            <w:r>
              <w:t>$11,855</w:t>
            </w:r>
          </w:p>
        </w:tc>
        <w:tc>
          <w:tcPr>
            <w:tcW w:w="469" w:type="pct"/>
          </w:tcPr>
          <w:p w14:paraId="06AEA6AA" w14:textId="48E02009" w:rsidR="0004022F" w:rsidRDefault="0004022F" w:rsidP="0004022F">
            <w:pPr>
              <w:pStyle w:val="DHHStabletext"/>
            </w:pPr>
            <w:r>
              <w:t>$12,210</w:t>
            </w:r>
          </w:p>
        </w:tc>
        <w:tc>
          <w:tcPr>
            <w:tcW w:w="448" w:type="pct"/>
          </w:tcPr>
          <w:p w14:paraId="753C7ED4" w14:textId="7D3DC55D" w:rsidR="0004022F" w:rsidRDefault="0004022F" w:rsidP="0004022F">
            <w:pPr>
              <w:pStyle w:val="DHHStabletext"/>
            </w:pPr>
            <w:r>
              <w:t>x</w:t>
            </w:r>
          </w:p>
        </w:tc>
        <w:tc>
          <w:tcPr>
            <w:tcW w:w="477" w:type="pct"/>
          </w:tcPr>
          <w:p w14:paraId="2CDA7843" w14:textId="45C97141" w:rsidR="0004022F" w:rsidRDefault="0004022F" w:rsidP="0004022F">
            <w:pPr>
              <w:pStyle w:val="DHHStabletext"/>
            </w:pPr>
            <w:r>
              <w:t>x</w:t>
            </w:r>
          </w:p>
        </w:tc>
      </w:tr>
      <w:tr w:rsidR="0004022F" w:rsidRPr="00515E9C" w14:paraId="58F02E65" w14:textId="77777777" w:rsidTr="008C4495">
        <w:trPr>
          <w:trHeight w:val="765"/>
        </w:trPr>
        <w:tc>
          <w:tcPr>
            <w:tcW w:w="557" w:type="pct"/>
          </w:tcPr>
          <w:p w14:paraId="590872ED" w14:textId="1F01EBFB" w:rsidR="0004022F" w:rsidRDefault="0004022F" w:rsidP="0004022F">
            <w:pPr>
              <w:pStyle w:val="DHHStabletext"/>
            </w:pPr>
            <w:r>
              <w:t xml:space="preserve">152(1) </w:t>
            </w:r>
            <w:proofErr w:type="gramStart"/>
            <w:r>
              <w:t>Non-disclosure</w:t>
            </w:r>
            <w:proofErr w:type="gramEnd"/>
            <w:r>
              <w:t xml:space="preserve"> of information given in conciliation</w:t>
            </w:r>
          </w:p>
        </w:tc>
        <w:tc>
          <w:tcPr>
            <w:tcW w:w="2487" w:type="pct"/>
          </w:tcPr>
          <w:p w14:paraId="342DC22B" w14:textId="3EF6C68A" w:rsidR="0004022F" w:rsidRDefault="0004022F" w:rsidP="0004022F">
            <w:pPr>
              <w:pStyle w:val="DHHStabletext"/>
            </w:pPr>
            <w:r>
              <w:t>Each of the following persons must not disclose outside a conciliation any information gained by the person in the conciliation, other than information as to the terms of or about an undertaking given in the conciliation— (a) the Commissioner; (b) any member of the staff of the Commissioner</w:t>
            </w:r>
          </w:p>
        </w:tc>
        <w:tc>
          <w:tcPr>
            <w:tcW w:w="562" w:type="pct"/>
          </w:tcPr>
          <w:p w14:paraId="5A7EBDD1" w14:textId="5939C505" w:rsidR="0004022F" w:rsidRDefault="0004022F" w:rsidP="0004022F">
            <w:pPr>
              <w:pStyle w:val="DHHStabletext"/>
            </w:pPr>
            <w:r>
              <w:t>$11,855</w:t>
            </w:r>
          </w:p>
        </w:tc>
        <w:tc>
          <w:tcPr>
            <w:tcW w:w="469" w:type="pct"/>
          </w:tcPr>
          <w:p w14:paraId="4B44DEBB" w14:textId="18484329" w:rsidR="0004022F" w:rsidRDefault="0004022F" w:rsidP="0004022F">
            <w:pPr>
              <w:pStyle w:val="DHHStabletext"/>
            </w:pPr>
            <w:r>
              <w:t>$12,210</w:t>
            </w:r>
          </w:p>
        </w:tc>
        <w:tc>
          <w:tcPr>
            <w:tcW w:w="448" w:type="pct"/>
          </w:tcPr>
          <w:p w14:paraId="2C2183AD" w14:textId="5C0A96D0" w:rsidR="0004022F" w:rsidRDefault="0004022F" w:rsidP="0004022F">
            <w:pPr>
              <w:pStyle w:val="DHHStabletext"/>
            </w:pPr>
            <w:r>
              <w:t>x</w:t>
            </w:r>
          </w:p>
        </w:tc>
        <w:tc>
          <w:tcPr>
            <w:tcW w:w="477" w:type="pct"/>
          </w:tcPr>
          <w:p w14:paraId="1CC5523A" w14:textId="1D489F5A" w:rsidR="0004022F" w:rsidRDefault="0004022F" w:rsidP="0004022F">
            <w:pPr>
              <w:pStyle w:val="DHHStabletext"/>
            </w:pPr>
            <w:r>
              <w:t>x</w:t>
            </w:r>
          </w:p>
        </w:tc>
      </w:tr>
      <w:bookmarkEnd w:id="1"/>
      <w:bookmarkEnd w:id="2"/>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0A3D7CAD" w14:textId="77777777" w:rsidR="00F33CE3" w:rsidRPr="0055119B" w:rsidRDefault="00F33CE3" w:rsidP="00F33CE3">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73E4B563" w14:textId="77777777" w:rsidR="00F33CE3" w:rsidRDefault="00F33CE3" w:rsidP="00F33CE3">
            <w:pPr>
              <w:pStyle w:val="Imprint"/>
            </w:pPr>
            <w:r w:rsidRPr="0055119B">
              <w:t>Authorised and published by the Victorian Government, 1 Treasury Place, Melbourne.</w:t>
            </w:r>
          </w:p>
          <w:p w14:paraId="280F8E2D" w14:textId="77777777" w:rsidR="00F33CE3" w:rsidRDefault="00F33CE3" w:rsidP="00F33CE3">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77CE2DE2" w14:textId="77777777" w:rsidR="00F33CE3" w:rsidRPr="00797D57" w:rsidRDefault="00F33CE3" w:rsidP="00F33CE3">
            <w:pPr>
              <w:pStyle w:val="Imprint"/>
              <w:rPr>
                <w:highlight w:val="yellow"/>
              </w:rPr>
            </w:pPr>
          </w:p>
          <w:p w14:paraId="358D5E04" w14:textId="3BC339A1" w:rsidR="00C46F15" w:rsidRDefault="00F33CE3" w:rsidP="00F33CE3">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A741CD" w:rsidRDefault="00A741CD">
      <w:r>
        <w:separator/>
      </w:r>
    </w:p>
    <w:p w14:paraId="63BAE221" w14:textId="77777777" w:rsidR="00A741CD" w:rsidRDefault="00A741CD"/>
  </w:endnote>
  <w:endnote w:type="continuationSeparator" w:id="0">
    <w:p w14:paraId="7D48DA6C" w14:textId="77777777" w:rsidR="00A741CD" w:rsidRDefault="00A741CD">
      <w:r>
        <w:continuationSeparator/>
      </w:r>
    </w:p>
    <w:p w14:paraId="6EF04A0E" w14:textId="77777777" w:rsidR="00A741CD" w:rsidRDefault="00A7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364CE" w14:textId="77777777" w:rsidR="00C04840" w:rsidRDefault="00C04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A741CD" w:rsidRDefault="00A741CD" w:rsidP="00207717">
      <w:pPr>
        <w:spacing w:before="120"/>
      </w:pPr>
      <w:r>
        <w:separator/>
      </w:r>
    </w:p>
  </w:footnote>
  <w:footnote w:type="continuationSeparator" w:id="0">
    <w:p w14:paraId="59B25AD9" w14:textId="77777777" w:rsidR="00A741CD" w:rsidRDefault="00A741CD">
      <w:r>
        <w:continuationSeparator/>
      </w:r>
    </w:p>
    <w:p w14:paraId="2A54238E" w14:textId="77777777" w:rsidR="00A741CD" w:rsidRDefault="00A7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42FF" w14:textId="77777777" w:rsidR="00C04840" w:rsidRDefault="00C04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3DB3" w14:textId="77777777" w:rsidR="00C04840" w:rsidRDefault="00C04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1DB1"/>
    <w:multiLevelType w:val="multilevel"/>
    <w:tmpl w:val="9C306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C4C7FAE"/>
    <w:multiLevelType w:val="hybridMultilevel"/>
    <w:tmpl w:val="E4CE5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DF126A"/>
    <w:multiLevelType w:val="hybridMultilevel"/>
    <w:tmpl w:val="62BC3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05329171">
    <w:abstractNumId w:val="4"/>
  </w:num>
  <w:num w:numId="2" w16cid:durableId="2072920240">
    <w:abstractNumId w:val="7"/>
  </w:num>
  <w:num w:numId="3" w16cid:durableId="1882785560">
    <w:abstractNumId w:val="6"/>
  </w:num>
  <w:num w:numId="4" w16cid:durableId="164323021">
    <w:abstractNumId w:val="8"/>
  </w:num>
  <w:num w:numId="5" w16cid:durableId="153842390">
    <w:abstractNumId w:val="5"/>
  </w:num>
  <w:num w:numId="6" w16cid:durableId="1725056911">
    <w:abstractNumId w:val="1"/>
  </w:num>
  <w:num w:numId="7" w16cid:durableId="1599367009">
    <w:abstractNumId w:val="2"/>
  </w:num>
  <w:num w:numId="8" w16cid:durableId="1962418743">
    <w:abstractNumId w:val="9"/>
  </w:num>
  <w:num w:numId="9" w16cid:durableId="576404896">
    <w:abstractNumId w:val="0"/>
  </w:num>
  <w:num w:numId="10" w16cid:durableId="146318606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022F"/>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12F"/>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5B93"/>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5DD8"/>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3F2F"/>
    <w:rsid w:val="004E4649"/>
    <w:rsid w:val="004E5C2B"/>
    <w:rsid w:val="004F00DD"/>
    <w:rsid w:val="004F2133"/>
    <w:rsid w:val="004F5398"/>
    <w:rsid w:val="004F55F1"/>
    <w:rsid w:val="004F6936"/>
    <w:rsid w:val="004F7B35"/>
    <w:rsid w:val="00502603"/>
    <w:rsid w:val="00503DC6"/>
    <w:rsid w:val="00506F5D"/>
    <w:rsid w:val="00510C37"/>
    <w:rsid w:val="005110F4"/>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5620"/>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4607"/>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2F92"/>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97C5A"/>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B71A0"/>
    <w:rsid w:val="008C2F92"/>
    <w:rsid w:val="008C4495"/>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69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06CB"/>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89A"/>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5AE7"/>
    <w:rsid w:val="00BF7F58"/>
    <w:rsid w:val="00C01381"/>
    <w:rsid w:val="00C01AB1"/>
    <w:rsid w:val="00C026A0"/>
    <w:rsid w:val="00C03EA4"/>
    <w:rsid w:val="00C04840"/>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2CBF"/>
    <w:rsid w:val="00C93C3E"/>
    <w:rsid w:val="00C975CA"/>
    <w:rsid w:val="00CA12E3"/>
    <w:rsid w:val="00CA1476"/>
    <w:rsid w:val="00CA3353"/>
    <w:rsid w:val="00CA6611"/>
    <w:rsid w:val="00CA6AE6"/>
    <w:rsid w:val="00CA782F"/>
    <w:rsid w:val="00CB187B"/>
    <w:rsid w:val="00CB2835"/>
    <w:rsid w:val="00CB3285"/>
    <w:rsid w:val="00CB3A52"/>
    <w:rsid w:val="00CB4500"/>
    <w:rsid w:val="00CC0C72"/>
    <w:rsid w:val="00CC2BFD"/>
    <w:rsid w:val="00CC4D9A"/>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51AA"/>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2088"/>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37D5"/>
    <w:rsid w:val="00F250A9"/>
    <w:rsid w:val="00F267AF"/>
    <w:rsid w:val="00F30FF4"/>
    <w:rsid w:val="00F3122E"/>
    <w:rsid w:val="00F32368"/>
    <w:rsid w:val="00F331AD"/>
    <w:rsid w:val="00F33CE3"/>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183490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733410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edc24be7-85b6-48b8-bec8-bca4fac6ccab"/>
    <ds:schemaRef ds:uri="http://schemas.microsoft.com/office/2006/documentManagement/types"/>
    <ds:schemaRef ds:uri="48a3a529-1f19-4207-8ed6-979d0ffc11ef"/>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1021</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2022-2023 fines and penalties for the Health Complaints Act 2016</vt:lpstr>
    </vt:vector>
  </TitlesOfParts>
  <Manager/>
  <Company>Victoria State Government, Department of Health</Company>
  <LinksUpToDate>false</LinksUpToDate>
  <CharactersWithSpaces>6850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the Health Complaints Act 2016</dc:title>
  <dc:subject/>
  <dc:creator>Fees and penalties</dc:creator>
  <cp:keywords/>
  <dc:description/>
  <cp:lastModifiedBy>Andrew Yip (Health)</cp:lastModifiedBy>
  <cp:revision>8</cp:revision>
  <cp:lastPrinted>2021-01-29T05:27:00Z</cp:lastPrinted>
  <dcterms:created xsi:type="dcterms:W3CDTF">2022-10-07T02:48:00Z</dcterms:created>
  <dcterms:modified xsi:type="dcterms:W3CDTF">2025-06-24T23:54:00Z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2025-02-11T02:38:55Z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b76fdfa8-e5d8-47de-a742-b64767a2cfdb</vt:lpwstr>
  </property>
  <property fmtid="{D5CDD505-2E9C-101B-9397-08002B2CF9AE}" pid="24" name="MSIP_Label_43e64453-338c-4f93-8a4d-0039a0a41f2a_ContentBits">
    <vt:lpwstr>2</vt:lpwstr>
  </property>
</Properties>
</file>