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91BF"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401C4704" wp14:editId="17DD35AE">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300C4D" w14:textId="77777777" w:rsidR="00A62D44" w:rsidRPr="004C6EEE" w:rsidRDefault="00A62D44" w:rsidP="00EC40D5">
      <w:pPr>
        <w:pStyle w:val="Sectionbreakfirstpage"/>
        <w:sectPr w:rsidR="00A62D44" w:rsidRPr="004C6EEE" w:rsidSect="00242F1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8F6443E" w14:textId="77777777" w:rsidTr="00B07FF7">
        <w:trPr>
          <w:trHeight w:val="622"/>
        </w:trPr>
        <w:tc>
          <w:tcPr>
            <w:tcW w:w="10348" w:type="dxa"/>
            <w:tcMar>
              <w:top w:w="1531" w:type="dxa"/>
              <w:left w:w="0" w:type="dxa"/>
              <w:right w:w="0" w:type="dxa"/>
            </w:tcMar>
          </w:tcPr>
          <w:p w14:paraId="2754BD7E" w14:textId="1117654B" w:rsidR="003B5733" w:rsidRPr="003B5733" w:rsidRDefault="00242F12" w:rsidP="003B5733">
            <w:pPr>
              <w:pStyle w:val="Documenttitle"/>
            </w:pPr>
            <w:r>
              <w:t>Intravenous immunoglobulin (IVIg) reactions</w:t>
            </w:r>
          </w:p>
        </w:tc>
      </w:tr>
      <w:tr w:rsidR="003B5733" w14:paraId="42E1C487" w14:textId="77777777" w:rsidTr="00B07FF7">
        <w:tc>
          <w:tcPr>
            <w:tcW w:w="10348" w:type="dxa"/>
          </w:tcPr>
          <w:p w14:paraId="1AA4E494" w14:textId="7F827EB1" w:rsidR="003B5733" w:rsidRPr="00A1389F" w:rsidRDefault="00242F12" w:rsidP="005F44C0">
            <w:pPr>
              <w:pStyle w:val="Documentsubtitle"/>
            </w:pPr>
            <w:r>
              <w:t xml:space="preserve">Serious Transfusion Incident Report (STIR): Bulletin </w:t>
            </w:r>
            <w:r w:rsidRPr="002D1F6B">
              <w:t>no.</w:t>
            </w:r>
            <w:r>
              <w:t xml:space="preserve"> </w:t>
            </w:r>
            <w:r w:rsidR="00712286">
              <w:t>12</w:t>
            </w:r>
          </w:p>
        </w:tc>
      </w:tr>
      <w:tr w:rsidR="003B5733" w14:paraId="4B390240" w14:textId="77777777" w:rsidTr="00B07FF7">
        <w:tc>
          <w:tcPr>
            <w:tcW w:w="10348" w:type="dxa"/>
          </w:tcPr>
          <w:p w14:paraId="5BDACB18" w14:textId="77777777" w:rsidR="003B5733" w:rsidRDefault="00242F12" w:rsidP="001E5058">
            <w:pPr>
              <w:pStyle w:val="Bannermarking"/>
            </w:pPr>
            <w:r>
              <w:fldChar w:fldCharType="begin"/>
            </w:r>
            <w:r>
              <w:instrText xml:space="preserve"> FILLIN  "Type the protective marking" \d OFFICIAL \o  \* MERGEFORMAT </w:instrText>
            </w:r>
            <w:r>
              <w:fldChar w:fldCharType="separate"/>
            </w:r>
            <w:r>
              <w:t>OFFICIAL</w:t>
            </w:r>
            <w:r>
              <w:fldChar w:fldCharType="end"/>
            </w:r>
          </w:p>
          <w:p w14:paraId="1CE8E63C" w14:textId="77777777" w:rsidR="00B95CB3" w:rsidRDefault="00B95CB3" w:rsidP="001E5058">
            <w:pPr>
              <w:pStyle w:val="Bannermarking"/>
            </w:pPr>
          </w:p>
          <w:p w14:paraId="6A3D42D0" w14:textId="0BC823AC" w:rsidR="00B95CB3" w:rsidRPr="001E5058" w:rsidRDefault="00B95CB3" w:rsidP="007B1CC0">
            <w:pPr>
              <w:pStyle w:val="Body"/>
            </w:pPr>
            <w:r>
              <w:t>While STIR does not accept reports of IVIg reactions, recent changes to immunoglobulin products highlight the importance o</w:t>
            </w:r>
            <w:r w:rsidR="00A0745F">
              <w:t>f</w:t>
            </w:r>
            <w:r>
              <w:t xml:space="preserve"> </w:t>
            </w:r>
            <w:r w:rsidR="002A17DA">
              <w:t>recognising</w:t>
            </w:r>
            <w:r>
              <w:t xml:space="preserve"> and reporting IVIg reactions. </w:t>
            </w:r>
          </w:p>
        </w:tc>
      </w:tr>
    </w:tbl>
    <w:p w14:paraId="6809DB1E" w14:textId="0CB70CA2" w:rsidR="00233173" w:rsidRDefault="00233173" w:rsidP="00233173">
      <w:pPr>
        <w:pStyle w:val="Heading2"/>
      </w:pPr>
      <w:r>
        <w:t>Reactions to IVIg</w:t>
      </w:r>
    </w:p>
    <w:p w14:paraId="4FDEE1E1" w14:textId="511C3808" w:rsidR="002A17DA" w:rsidRDefault="00233173" w:rsidP="00233173">
      <w:pPr>
        <w:pStyle w:val="Body"/>
      </w:pPr>
      <w:r w:rsidRPr="00233173">
        <w:t xml:space="preserve">Adverse reactions </w:t>
      </w:r>
      <w:r w:rsidR="008D4C8F">
        <w:t>associated with immunoglobulin administration are generally</w:t>
      </w:r>
      <w:r w:rsidR="003F401A">
        <w:t xml:space="preserve"> mild to moderate in nature</w:t>
      </w:r>
      <w:r w:rsidR="002A17DA">
        <w:t xml:space="preserve"> and can include:</w:t>
      </w:r>
    </w:p>
    <w:p w14:paraId="4935783E" w14:textId="429E754E" w:rsidR="00233173" w:rsidRPr="00233173" w:rsidRDefault="002A17DA" w:rsidP="007B1CC0">
      <w:pPr>
        <w:pStyle w:val="Body"/>
        <w:numPr>
          <w:ilvl w:val="0"/>
          <w:numId w:val="18"/>
        </w:numPr>
      </w:pPr>
      <w:r>
        <w:t>chills, headache, dizziness, fever, vomiting, nausea, allergic reactions, arthralgia, low blood pressure, moderate back pain and localised infusion site reactions.</w:t>
      </w:r>
    </w:p>
    <w:p w14:paraId="1E11881F" w14:textId="2E94DFE4" w:rsidR="001F53EB" w:rsidRPr="00233173" w:rsidRDefault="00233173" w:rsidP="00043C60">
      <w:pPr>
        <w:pStyle w:val="Body"/>
        <w:spacing w:before="120"/>
      </w:pPr>
      <w:r w:rsidRPr="00233173">
        <w:t xml:space="preserve">More serious reactions to IVIg </w:t>
      </w:r>
      <w:r w:rsidR="003645D1">
        <w:t>are</w:t>
      </w:r>
      <w:r w:rsidR="003F401A">
        <w:t xml:space="preserve"> uncommon.</w:t>
      </w:r>
      <w:r w:rsidR="007270F4">
        <w:t xml:space="preserve"> Aside from anaphylaxis</w:t>
      </w:r>
      <w:r w:rsidR="003F401A">
        <w:t>, which can occur even if a patient has not shown hypersensitivity to previous administration,</w:t>
      </w:r>
      <w:r w:rsidR="007270F4">
        <w:t xml:space="preserve"> these reactions may be delayed in onset with signs and symptoms appearing in the days or weeks after discharge</w:t>
      </w:r>
      <w:r w:rsidR="001F53EB">
        <w:t xml:space="preserve"> and can include</w:t>
      </w:r>
      <w:r w:rsidR="001A6D47">
        <w:t>:</w:t>
      </w:r>
      <w:r w:rsidR="001F53EB">
        <w:t xml:space="preserve"> </w:t>
      </w:r>
    </w:p>
    <w:p w14:paraId="59397D1D" w14:textId="7068EDB7" w:rsidR="002A17DA" w:rsidRPr="00233173" w:rsidRDefault="00763B2C" w:rsidP="007B1CC0">
      <w:pPr>
        <w:pStyle w:val="Body"/>
        <w:numPr>
          <w:ilvl w:val="0"/>
          <w:numId w:val="18"/>
        </w:numPr>
        <w:spacing w:before="120"/>
      </w:pPr>
      <w:r>
        <w:t>a</w:t>
      </w:r>
      <w:r w:rsidR="00233173" w:rsidRPr="00233173">
        <w:t>septic meningitis</w:t>
      </w:r>
      <w:r w:rsidR="001F53EB">
        <w:t xml:space="preserve">, </w:t>
      </w:r>
      <w:r w:rsidR="00233173" w:rsidRPr="00233173">
        <w:t>haemolytic reactions</w:t>
      </w:r>
      <w:r w:rsidR="001F53EB">
        <w:t xml:space="preserve"> (</w:t>
      </w:r>
      <w:r w:rsidR="00233173" w:rsidRPr="00233173">
        <w:t>especially in those receiving doses for immunomodulatory indications</w:t>
      </w:r>
      <w:r w:rsidR="001F53EB">
        <w:t xml:space="preserve">), </w:t>
      </w:r>
      <w:r w:rsidR="00233173" w:rsidRPr="00233173">
        <w:t>acute renal failure</w:t>
      </w:r>
      <w:r w:rsidR="001F53EB">
        <w:t xml:space="preserve"> and </w:t>
      </w:r>
      <w:r w:rsidR="00233173" w:rsidRPr="00233173">
        <w:t>thromboembolic events</w:t>
      </w:r>
      <w:r w:rsidR="002A17DA">
        <w:t>.</w:t>
      </w:r>
    </w:p>
    <w:p w14:paraId="3F463E38" w14:textId="4BBEA296" w:rsidR="00233173" w:rsidRPr="00233173" w:rsidRDefault="00233173" w:rsidP="00233173">
      <w:pPr>
        <w:pStyle w:val="Body"/>
      </w:pPr>
      <w:r w:rsidRPr="00233173">
        <w:t>The risk of a patient reaction is increased when:</w:t>
      </w:r>
    </w:p>
    <w:p w14:paraId="04CDB1C1" w14:textId="21F45844" w:rsidR="00233173" w:rsidRPr="00233173" w:rsidRDefault="00233173" w:rsidP="007B1CC0">
      <w:pPr>
        <w:pStyle w:val="Body"/>
        <w:numPr>
          <w:ilvl w:val="0"/>
          <w:numId w:val="9"/>
        </w:numPr>
        <w:spacing w:after="40"/>
        <w:ind w:left="714" w:hanging="357"/>
      </w:pPr>
      <w:r w:rsidRPr="00233173">
        <w:t xml:space="preserve">it is the patients’ first dose or there is an increased </w:t>
      </w:r>
      <w:r w:rsidR="00763B2C" w:rsidRPr="00233173">
        <w:t>period</w:t>
      </w:r>
      <w:r w:rsidRPr="00233173">
        <w:t xml:space="preserve"> between doses, usually &gt; 6-8 weeks</w:t>
      </w:r>
    </w:p>
    <w:p w14:paraId="6228F08F" w14:textId="3CFB8A27" w:rsidR="00233173" w:rsidRPr="00233173" w:rsidRDefault="00233173" w:rsidP="007B1CC0">
      <w:pPr>
        <w:pStyle w:val="Body"/>
        <w:numPr>
          <w:ilvl w:val="0"/>
          <w:numId w:val="9"/>
        </w:numPr>
        <w:spacing w:after="40"/>
        <w:ind w:left="714" w:hanging="357"/>
      </w:pPr>
      <w:r w:rsidRPr="00233173">
        <w:t>there is a change in IVIg product</w:t>
      </w:r>
    </w:p>
    <w:p w14:paraId="57A187AC" w14:textId="77777777" w:rsidR="00233173" w:rsidRPr="00233173" w:rsidRDefault="00233173" w:rsidP="007B1CC0">
      <w:pPr>
        <w:pStyle w:val="Body"/>
        <w:numPr>
          <w:ilvl w:val="0"/>
          <w:numId w:val="9"/>
        </w:numPr>
        <w:spacing w:after="40"/>
        <w:ind w:left="714" w:hanging="357"/>
      </w:pPr>
      <w:r w:rsidRPr="00233173">
        <w:t>there is an increased rate of infusion (rate related reactions)</w:t>
      </w:r>
    </w:p>
    <w:p w14:paraId="19418CA4" w14:textId="5DD457FD" w:rsidR="007B1CC0" w:rsidRPr="00233173" w:rsidRDefault="00233173" w:rsidP="007B1CC0">
      <w:pPr>
        <w:pStyle w:val="Body"/>
        <w:numPr>
          <w:ilvl w:val="0"/>
          <w:numId w:val="9"/>
        </w:numPr>
        <w:ind w:left="714" w:hanging="357"/>
      </w:pPr>
      <w:r w:rsidRPr="00233173">
        <w:t xml:space="preserve">the patient has hypogammaglobulinaemia or agammaglobulinaemia, with or without IgA </w:t>
      </w:r>
      <w:r w:rsidR="00651A98" w:rsidRPr="00233173">
        <w:t>deficiency.</w:t>
      </w:r>
      <w:r w:rsidR="000A7103" w:rsidRPr="000A7103">
        <w:rPr>
          <w:sz w:val="20"/>
          <w:szCs w:val="18"/>
          <w:vertAlign w:val="superscript"/>
        </w:rPr>
        <w:t>1</w:t>
      </w:r>
    </w:p>
    <w:p w14:paraId="7D116D4B" w14:textId="6B7029D5" w:rsidR="00233173" w:rsidRPr="00233173" w:rsidRDefault="00233173" w:rsidP="007B1CC0">
      <w:pPr>
        <w:pStyle w:val="Body"/>
      </w:pPr>
      <w:r w:rsidRPr="00233173">
        <w:t xml:space="preserve">Potential complications can often be avoided by ensuring patients: </w:t>
      </w:r>
    </w:p>
    <w:p w14:paraId="209ACD9C" w14:textId="37CE574F" w:rsidR="00233173" w:rsidRPr="00233173" w:rsidRDefault="00233173" w:rsidP="007B1CC0">
      <w:pPr>
        <w:pStyle w:val="Body"/>
        <w:numPr>
          <w:ilvl w:val="0"/>
          <w:numId w:val="10"/>
        </w:numPr>
        <w:spacing w:after="40"/>
        <w:ind w:left="714" w:hanging="357"/>
      </w:pPr>
      <w:r w:rsidRPr="00233173">
        <w:t xml:space="preserve">are not sensitive to human immunoglobulin by initially infusing the product slowly (as per the product information provided by the manufacturer) </w:t>
      </w:r>
    </w:p>
    <w:p w14:paraId="6DCE9AC8" w14:textId="77777777" w:rsidR="00233173" w:rsidRPr="00233173" w:rsidRDefault="00233173" w:rsidP="007B1CC0">
      <w:pPr>
        <w:pStyle w:val="Body"/>
        <w:numPr>
          <w:ilvl w:val="0"/>
          <w:numId w:val="10"/>
        </w:numPr>
        <w:spacing w:after="40"/>
        <w:ind w:left="714" w:hanging="357"/>
      </w:pPr>
      <w:r w:rsidRPr="00233173">
        <w:t>are well hydrated prior to administration</w:t>
      </w:r>
    </w:p>
    <w:p w14:paraId="2A14E4F1" w14:textId="77777777" w:rsidR="00233173" w:rsidRDefault="00233173" w:rsidP="007B1CC0">
      <w:pPr>
        <w:pStyle w:val="Body"/>
        <w:numPr>
          <w:ilvl w:val="0"/>
          <w:numId w:val="10"/>
        </w:numPr>
        <w:spacing w:after="40"/>
        <w:ind w:left="714" w:hanging="357"/>
      </w:pPr>
      <w:r w:rsidRPr="00233173">
        <w:t>avoid concomitant use of loop diuretics</w:t>
      </w:r>
    </w:p>
    <w:p w14:paraId="68E9692D" w14:textId="5CE53495" w:rsidR="007270F4" w:rsidRPr="00233173" w:rsidRDefault="007270F4" w:rsidP="007B1CC0">
      <w:pPr>
        <w:pStyle w:val="Body"/>
        <w:numPr>
          <w:ilvl w:val="0"/>
          <w:numId w:val="10"/>
        </w:numPr>
        <w:spacing w:after="40"/>
        <w:ind w:left="714" w:hanging="357"/>
      </w:pPr>
      <w:r>
        <w:t xml:space="preserve">are educated about signs and symptoms to look for and how to report these, </w:t>
      </w:r>
      <w:r w:rsidR="00822D38">
        <w:t>and</w:t>
      </w:r>
      <w:r>
        <w:t xml:space="preserve"> </w:t>
      </w:r>
      <w:r w:rsidR="00A62395">
        <w:t xml:space="preserve">where and how to </w:t>
      </w:r>
      <w:r>
        <w:t>get medical attention</w:t>
      </w:r>
    </w:p>
    <w:p w14:paraId="2C284EEA" w14:textId="6B7010B6" w:rsidR="004A3F0D" w:rsidRDefault="00233173" w:rsidP="007B1CC0">
      <w:pPr>
        <w:pStyle w:val="Body"/>
        <w:numPr>
          <w:ilvl w:val="0"/>
          <w:numId w:val="10"/>
        </w:numPr>
        <w:spacing w:after="40"/>
        <w:ind w:left="714" w:hanging="357"/>
      </w:pPr>
      <w:r w:rsidRPr="00233173">
        <w:t>are carefully monitored for any symptoms throughout the infusion period. In particular, patients naive to human immunoglobulin, patients switched from an alternative IVIg product or when there has been a long interval since the previous infusion</w:t>
      </w:r>
      <w:r w:rsidR="00A62395">
        <w:t xml:space="preserve">. These patients </w:t>
      </w:r>
      <w:r w:rsidRPr="00233173">
        <w:t xml:space="preserve">should be monitored for the first hour after the first infusion, </w:t>
      </w:r>
      <w:r w:rsidR="00C74D81" w:rsidRPr="00233173">
        <w:t>to</w:t>
      </w:r>
      <w:r w:rsidRPr="00233173">
        <w:t xml:space="preserve"> detect potential adverse signs</w:t>
      </w:r>
      <w:r w:rsidR="00A62395">
        <w:t xml:space="preserve"> and symp</w:t>
      </w:r>
      <w:r w:rsidR="00C74D81">
        <w:t>t</w:t>
      </w:r>
      <w:r w:rsidR="00A62395">
        <w:t>oms</w:t>
      </w:r>
      <w:r w:rsidRPr="00233173">
        <w:t xml:space="preserve">. </w:t>
      </w:r>
      <w:r w:rsidR="00822D38" w:rsidRPr="00822D38">
        <w:t xml:space="preserve">All other patients should be monitored for </w:t>
      </w:r>
      <w:r w:rsidR="00831C53">
        <w:t xml:space="preserve">at least </w:t>
      </w:r>
      <w:r w:rsidR="007B1CC0">
        <w:t xml:space="preserve">20 </w:t>
      </w:r>
      <w:r w:rsidR="00822D38" w:rsidRPr="00822D38">
        <w:t xml:space="preserve">minutes </w:t>
      </w:r>
      <w:r w:rsidR="009D4946">
        <w:t>after</w:t>
      </w:r>
      <w:r w:rsidR="00822D38" w:rsidRPr="00822D38">
        <w:t xml:space="preserve"> the infusion.</w:t>
      </w:r>
    </w:p>
    <w:p w14:paraId="4645D039" w14:textId="6AA79401" w:rsidR="007270F4" w:rsidRDefault="00A62395" w:rsidP="001F53EB">
      <w:pPr>
        <w:pStyle w:val="Body"/>
        <w:numPr>
          <w:ilvl w:val="0"/>
          <w:numId w:val="10"/>
        </w:numPr>
        <w:spacing w:after="40"/>
        <w:ind w:left="714" w:hanging="357"/>
      </w:pPr>
      <w:r>
        <w:t xml:space="preserve">are considered for </w:t>
      </w:r>
      <w:r w:rsidR="007270F4">
        <w:t>the use of subcutaneous immunoglobulin</w:t>
      </w:r>
      <w:r>
        <w:t xml:space="preserve"> </w:t>
      </w:r>
      <w:r w:rsidR="00822D38">
        <w:t xml:space="preserve">if they meet the criteria and </w:t>
      </w:r>
      <w:r w:rsidR="00651A98">
        <w:t>are suitable</w:t>
      </w:r>
      <w:r>
        <w:t xml:space="preserve"> for self-administration of Ig.</w:t>
      </w:r>
      <w:r w:rsidR="000A7103" w:rsidRPr="000A7103">
        <w:rPr>
          <w:vertAlign w:val="superscript"/>
        </w:rPr>
        <w:t>1</w:t>
      </w:r>
    </w:p>
    <w:p w14:paraId="2D89C8C2" w14:textId="77777777" w:rsidR="001F53EB" w:rsidRDefault="001F53EB" w:rsidP="001F53EB">
      <w:pPr>
        <w:pStyle w:val="Body"/>
        <w:spacing w:after="40"/>
        <w:ind w:left="714"/>
      </w:pPr>
    </w:p>
    <w:p w14:paraId="00878C43" w14:textId="77777777" w:rsidR="001F53EB" w:rsidRDefault="001F53EB" w:rsidP="007B1CC0">
      <w:pPr>
        <w:pStyle w:val="Body"/>
        <w:spacing w:after="40"/>
        <w:ind w:left="714"/>
      </w:pPr>
    </w:p>
    <w:p w14:paraId="17EB2471" w14:textId="77777777" w:rsidR="007B1CC0" w:rsidRPr="00233173" w:rsidRDefault="007B1CC0" w:rsidP="007B1CC0">
      <w:pPr>
        <w:pStyle w:val="Body"/>
        <w:spacing w:after="40"/>
        <w:ind w:left="714"/>
      </w:pPr>
    </w:p>
    <w:p w14:paraId="5CCEDF5B" w14:textId="08CB14CC" w:rsidR="006E53B4" w:rsidRDefault="006E53B4" w:rsidP="007173CA">
      <w:pPr>
        <w:pStyle w:val="Body"/>
      </w:pPr>
      <w:r>
        <w:lastRenderedPageBreak/>
        <w:t>If a reaction occurs it is important that staff can:</w:t>
      </w:r>
    </w:p>
    <w:p w14:paraId="6EEEF58D" w14:textId="6967B2E1" w:rsidR="006E53B4" w:rsidRDefault="006E53B4" w:rsidP="007B1CC0">
      <w:pPr>
        <w:pStyle w:val="Body"/>
        <w:numPr>
          <w:ilvl w:val="0"/>
          <w:numId w:val="13"/>
        </w:numPr>
        <w:spacing w:after="40"/>
        <w:ind w:left="714" w:hanging="357"/>
      </w:pPr>
      <w:r>
        <w:t xml:space="preserve">recognise signs and symptoms that may indicate a reaction </w:t>
      </w:r>
    </w:p>
    <w:p w14:paraId="06C8CC4D" w14:textId="77777777" w:rsidR="006E53B4" w:rsidRDefault="006E53B4" w:rsidP="007B1CC0">
      <w:pPr>
        <w:pStyle w:val="Body"/>
        <w:numPr>
          <w:ilvl w:val="0"/>
          <w:numId w:val="13"/>
        </w:numPr>
        <w:spacing w:after="40"/>
        <w:ind w:left="714" w:hanging="357"/>
      </w:pPr>
      <w:r>
        <w:t>respond appropriately</w:t>
      </w:r>
    </w:p>
    <w:p w14:paraId="734194EE" w14:textId="46A36613" w:rsidR="006E53B4" w:rsidRPr="00B519CD" w:rsidRDefault="006E53B4" w:rsidP="007B1CC0">
      <w:pPr>
        <w:pStyle w:val="Body"/>
        <w:numPr>
          <w:ilvl w:val="0"/>
          <w:numId w:val="13"/>
        </w:numPr>
        <w:spacing w:after="40"/>
        <w:ind w:left="714" w:hanging="357"/>
        <w:sectPr w:rsidR="006E53B4" w:rsidRPr="00B519CD" w:rsidSect="00712286">
          <w:headerReference w:type="default" r:id="rId15"/>
          <w:type w:val="continuous"/>
          <w:pgSz w:w="11906" w:h="16838" w:code="9"/>
          <w:pgMar w:top="1418" w:right="851" w:bottom="1702" w:left="851" w:header="851" w:footer="851" w:gutter="0"/>
          <w:cols w:space="340"/>
          <w:titlePg/>
          <w:docGrid w:linePitch="360"/>
        </w:sectPr>
      </w:pPr>
      <w:r>
        <w:t>report the reaction both locally and to appropriate haemovigilence systems</w:t>
      </w:r>
      <w:r w:rsidR="003B61FA">
        <w:t>.</w:t>
      </w:r>
    </w:p>
    <w:p w14:paraId="413F06CC" w14:textId="5E5464BE" w:rsidR="00B76AD1" w:rsidRDefault="00AD70C2" w:rsidP="00AD70C2">
      <w:pPr>
        <w:pStyle w:val="Body"/>
      </w:pPr>
      <w:r w:rsidRPr="00AD70C2">
        <w:t>Signs and symptoms of adverse events may present differently in paediatric patients. Signs may include irritability, agitation or an inability to be consoled by their parent or carer. These signs may be present in the absence of, or prior to, any changes in vital signs.</w:t>
      </w:r>
      <w:r w:rsidR="00651A98">
        <w:rPr>
          <w:vertAlign w:val="superscript"/>
        </w:rPr>
        <w:t>2</w:t>
      </w:r>
    </w:p>
    <w:p w14:paraId="5220C3DE" w14:textId="257CE7EF" w:rsidR="00B76AD1" w:rsidRPr="00B76AD1" w:rsidRDefault="00B76AD1" w:rsidP="00AD70C2">
      <w:pPr>
        <w:pStyle w:val="Body"/>
      </w:pPr>
      <w:r>
        <w:t>In patients who experience severe and/or repeated reactions, consider a change to subcutaneous immunoglobulin, if they meet criteria.</w:t>
      </w:r>
    </w:p>
    <w:p w14:paraId="51C50DAE" w14:textId="47B8D9E9" w:rsidR="00E261B3" w:rsidRDefault="00233173" w:rsidP="00233173">
      <w:pPr>
        <w:pStyle w:val="Heading2"/>
      </w:pPr>
      <w:r>
        <w:t>Reporting of reactions</w:t>
      </w:r>
    </w:p>
    <w:p w14:paraId="18D589F4" w14:textId="74EFC862" w:rsidR="00A77CE5" w:rsidRDefault="007A39AA" w:rsidP="00233173">
      <w:pPr>
        <w:pStyle w:val="Body"/>
      </w:pPr>
      <w:r>
        <w:t>Adverse events should be investigated and reported</w:t>
      </w:r>
      <w:r w:rsidR="002A17DA">
        <w:t xml:space="preserve"> to</w:t>
      </w:r>
      <w:r w:rsidR="004B2EF1">
        <w:t>:</w:t>
      </w:r>
    </w:p>
    <w:p w14:paraId="6429B7B3" w14:textId="43AA39B3" w:rsidR="00A77CE5" w:rsidRDefault="00A77CE5" w:rsidP="007B1CC0">
      <w:pPr>
        <w:pStyle w:val="Body"/>
        <w:numPr>
          <w:ilvl w:val="0"/>
          <w:numId w:val="16"/>
        </w:numPr>
        <w:spacing w:after="40"/>
        <w:ind w:left="714" w:hanging="357"/>
      </w:pPr>
      <w:r w:rsidRPr="00A77CE5">
        <w:t>the medical officer to ensure appropriate and timely clinical care is provided to the patient</w:t>
      </w:r>
    </w:p>
    <w:p w14:paraId="4BD33486" w14:textId="74746E27" w:rsidR="00A77CE5" w:rsidRPr="00A77CE5" w:rsidRDefault="00A77CE5" w:rsidP="007B1CC0">
      <w:pPr>
        <w:pStyle w:val="Body"/>
        <w:numPr>
          <w:ilvl w:val="0"/>
          <w:numId w:val="16"/>
        </w:numPr>
        <w:spacing w:after="40"/>
        <w:ind w:left="714" w:hanging="357"/>
      </w:pPr>
      <w:r w:rsidRPr="00A77CE5">
        <w:t>the transfusion service or pharmacy that dispensed the immunoglobulin</w:t>
      </w:r>
    </w:p>
    <w:p w14:paraId="0092E688" w14:textId="31B2BE1D" w:rsidR="00A77CE5" w:rsidRPr="00A77CE5" w:rsidRDefault="00A77CE5" w:rsidP="007B1CC0">
      <w:pPr>
        <w:pStyle w:val="Body"/>
        <w:numPr>
          <w:ilvl w:val="0"/>
          <w:numId w:val="16"/>
        </w:numPr>
        <w:spacing w:after="40"/>
        <w:ind w:left="714" w:hanging="357"/>
      </w:pPr>
      <w:r w:rsidRPr="00A77CE5">
        <w:t>the incident management system in your health service to allow for appropriate investigation and tracking of trends</w:t>
      </w:r>
    </w:p>
    <w:p w14:paraId="34FD2C19" w14:textId="325297D8" w:rsidR="00827740" w:rsidRPr="00A77CE5" w:rsidRDefault="00827740" w:rsidP="007B1CC0">
      <w:pPr>
        <w:pStyle w:val="Body"/>
        <w:numPr>
          <w:ilvl w:val="0"/>
          <w:numId w:val="16"/>
        </w:numPr>
        <w:spacing w:after="40"/>
        <w:ind w:left="714" w:hanging="357"/>
      </w:pPr>
      <w:r w:rsidRPr="00A77CE5">
        <w:t>the patient or their carer and involve them in developing a management plan</w:t>
      </w:r>
    </w:p>
    <w:p w14:paraId="59870693" w14:textId="70EB6866" w:rsidR="007A39AA" w:rsidRPr="00A77CE5" w:rsidRDefault="00827740" w:rsidP="007B1CC0">
      <w:pPr>
        <w:pStyle w:val="Body"/>
        <w:numPr>
          <w:ilvl w:val="0"/>
          <w:numId w:val="16"/>
        </w:numPr>
        <w:spacing w:after="40"/>
        <w:ind w:left="714" w:hanging="357"/>
      </w:pPr>
      <w:r w:rsidRPr="00A77CE5">
        <w:t>the manufacturer o</w:t>
      </w:r>
      <w:r w:rsidR="00DF7BFF">
        <w:t>f the product</w:t>
      </w:r>
      <w:r w:rsidR="00F237A2">
        <w:t xml:space="preserve"> and/or the TGA</w:t>
      </w:r>
    </w:p>
    <w:p w14:paraId="0C8A4E87" w14:textId="3DA136B4" w:rsidR="00A77CE5" w:rsidRPr="007A39AA" w:rsidRDefault="00A77CE5" w:rsidP="007B1CC0">
      <w:pPr>
        <w:pStyle w:val="Body"/>
        <w:numPr>
          <w:ilvl w:val="0"/>
          <w:numId w:val="16"/>
        </w:numPr>
        <w:spacing w:after="40"/>
        <w:ind w:left="714" w:hanging="357"/>
      </w:pPr>
      <w:r w:rsidRPr="00A77CE5">
        <w:t>Lifeblood,</w:t>
      </w:r>
      <w:r>
        <w:t xml:space="preserve"> where there is</w:t>
      </w:r>
      <w:r w:rsidR="00967DE1">
        <w:t xml:space="preserve"> a</w:t>
      </w:r>
      <w:r>
        <w:t xml:space="preserve"> </w:t>
      </w:r>
      <w:r w:rsidR="00A62395">
        <w:t xml:space="preserve">planned </w:t>
      </w:r>
      <w:r>
        <w:t xml:space="preserve">change in product </w:t>
      </w:r>
      <w:r w:rsidR="00A62395">
        <w:t xml:space="preserve">a note needs to be added to </w:t>
      </w:r>
      <w:r w:rsidR="001A6D47">
        <w:t xml:space="preserve">BloodSTAR </w:t>
      </w:r>
      <w:r w:rsidR="00A62395">
        <w:t>of unsuitability of implicated product</w:t>
      </w:r>
      <w:r w:rsidR="00967DE1">
        <w:t>.</w:t>
      </w:r>
      <w:r w:rsidR="00967DE1" w:rsidRPr="00967DE1">
        <w:t xml:space="preserve"> </w:t>
      </w:r>
      <w:r w:rsidR="00967DE1" w:rsidRPr="007A39AA">
        <w:t>Notification to Lifeblood should include the signs and symptoms of the reaction.</w:t>
      </w:r>
    </w:p>
    <w:p w14:paraId="4A4D5AD8" w14:textId="7B07936A" w:rsidR="00233173" w:rsidRDefault="001A6D47" w:rsidP="00043C60">
      <w:pPr>
        <w:pStyle w:val="Body"/>
        <w:tabs>
          <w:tab w:val="left" w:pos="2184"/>
        </w:tabs>
      </w:pPr>
      <w:r>
        <w:t xml:space="preserve">Suspected reactions </w:t>
      </w:r>
      <w:r w:rsidR="00F237A2">
        <w:t>can be</w:t>
      </w:r>
      <w:r>
        <w:t xml:space="preserve"> r</w:t>
      </w:r>
      <w:r w:rsidR="00233173" w:rsidRPr="00233173">
        <w:t>eport</w:t>
      </w:r>
      <w:r>
        <w:t>ed</w:t>
      </w:r>
      <w:r w:rsidR="00233173" w:rsidRPr="00233173">
        <w:t xml:space="preserve"> </w:t>
      </w:r>
      <w:r>
        <w:t>by</w:t>
      </w:r>
      <w:r w:rsidR="00233173" w:rsidRPr="00233173">
        <w:t xml:space="preserve"> using </w:t>
      </w:r>
      <w:r>
        <w:t xml:space="preserve">the manufacturer’s </w:t>
      </w:r>
      <w:r w:rsidR="00233173" w:rsidRPr="00233173">
        <w:t>forms, who are obligated to report reactions to the T</w:t>
      </w:r>
      <w:r w:rsidR="00C74D81">
        <w:t xml:space="preserve">herapeutic </w:t>
      </w:r>
      <w:r w:rsidR="00233173" w:rsidRPr="00233173">
        <w:t>G</w:t>
      </w:r>
      <w:r w:rsidR="00C74D81">
        <w:t xml:space="preserve">oods </w:t>
      </w:r>
      <w:r w:rsidR="00233173" w:rsidRPr="00233173">
        <w:t>A</w:t>
      </w:r>
      <w:r w:rsidR="00C74D81">
        <w:t>dministration</w:t>
      </w:r>
      <w:r w:rsidR="00DF7BFF">
        <w:t>. Contact the manufacturer directly to obtain their specific reporting form.</w:t>
      </w:r>
    </w:p>
    <w:p w14:paraId="4A12A509" w14:textId="72FCAFDC" w:rsidR="00F237A2" w:rsidRPr="00233173" w:rsidRDefault="00F237A2" w:rsidP="00043C60">
      <w:pPr>
        <w:pStyle w:val="Body"/>
        <w:tabs>
          <w:tab w:val="left" w:pos="2184"/>
        </w:tabs>
      </w:pPr>
      <w:r>
        <w:t xml:space="preserve">Reports can also be made directly to the TGA via their </w:t>
      </w:r>
      <w:hyperlink r:id="rId16" w:history="1">
        <w:r w:rsidRPr="00F237A2">
          <w:rPr>
            <w:rStyle w:val="Hyperlink"/>
          </w:rPr>
          <w:t>online form</w:t>
        </w:r>
      </w:hyperlink>
      <w:r>
        <w:t xml:space="preserve"> &lt;</w:t>
      </w:r>
      <w:r w:rsidRPr="00F237A2">
        <w:t>https://www.tga.gov.au/safety/reporting-problems/report-adverse-event-or-problem-health-professionals</w:t>
      </w:r>
      <w:r w:rsidR="00A47B53">
        <w:t>&gt;</w:t>
      </w:r>
      <w:r>
        <w:t xml:space="preserve"> or via email </w:t>
      </w:r>
      <w:r w:rsidRPr="00F237A2">
        <w:t>ADRreports@health.gov.au</w:t>
      </w:r>
      <w:r w:rsidR="004A4962">
        <w:t>.</w:t>
      </w:r>
    </w:p>
    <w:p w14:paraId="6B9153AC" w14:textId="77777777" w:rsidR="007B1CC0" w:rsidRDefault="007B1CC0" w:rsidP="00F8175F">
      <w:pPr>
        <w:pStyle w:val="Body"/>
        <w:tabs>
          <w:tab w:val="left" w:pos="2184"/>
        </w:tabs>
      </w:pPr>
      <w:r w:rsidRPr="007B1CC0">
        <w:t>Reporters are encourage</w:t>
      </w:r>
      <w:r>
        <w:t>d</w:t>
      </w:r>
      <w:r w:rsidRPr="007B1CC0">
        <w:t xml:space="preserve"> to provide as much detail as possible. A</w:t>
      </w:r>
      <w:r>
        <w:t>ny</w:t>
      </w:r>
      <w:r w:rsidRPr="007B1CC0">
        <w:t xml:space="preserve"> information that may identify the patient or reporter is kept confidential.</w:t>
      </w:r>
      <w:r>
        <w:t xml:space="preserve"> </w:t>
      </w:r>
    </w:p>
    <w:p w14:paraId="74DB3FD2" w14:textId="26D8F08F" w:rsidR="00233173" w:rsidRDefault="00233173" w:rsidP="00233173">
      <w:pPr>
        <w:pStyle w:val="Body"/>
      </w:pPr>
      <w:r w:rsidRPr="00233173">
        <w:t xml:space="preserve">Lifeblood do not require direct reporting of reactions to IVIg, except in the instance where the decision is made to change the product administered. </w:t>
      </w:r>
    </w:p>
    <w:p w14:paraId="57AD3810" w14:textId="6507DD52" w:rsidR="007F3184" w:rsidRPr="00233173" w:rsidRDefault="007F3184" w:rsidP="00233173">
      <w:pPr>
        <w:pStyle w:val="Body"/>
      </w:pPr>
      <w:r w:rsidRPr="007F3184">
        <w:rPr>
          <w:b/>
          <w:bCs/>
        </w:rPr>
        <w:t>Note:</w:t>
      </w:r>
      <w:r>
        <w:t xml:space="preserve"> </w:t>
      </w:r>
      <w:r w:rsidRPr="007F3184">
        <w:t>For patients that have an adverse reaction resulting in a product change, a 'Do Not Prescribe' alert should be added to the patient’s record in BloodSTAR by the treating clinical team</w:t>
      </w:r>
      <w:r w:rsidR="000A7103">
        <w:t>.</w:t>
      </w:r>
      <w:r w:rsidR="00651A98">
        <w:rPr>
          <w:vertAlign w:val="superscript"/>
        </w:rPr>
        <w:t>3</w:t>
      </w:r>
      <w:r w:rsidRPr="007F3184">
        <w:t xml:space="preserve"> This </w:t>
      </w:r>
      <w:r w:rsidR="001F53EB">
        <w:t xml:space="preserve">helps </w:t>
      </w:r>
      <w:r w:rsidRPr="007F3184">
        <w:t xml:space="preserve">prevent future adverse reactions and </w:t>
      </w:r>
      <w:r w:rsidR="001F53EB">
        <w:t>raises</w:t>
      </w:r>
      <w:r w:rsidRPr="007F3184">
        <w:t xml:space="preserve"> an alert if the same product is requested in the future. For assistance with this, contact support at the National Blood Authority on 1300 BLOOD</w:t>
      </w:r>
      <w:r w:rsidR="006915C3">
        <w:t>, or go to</w:t>
      </w:r>
      <w:r w:rsidR="006915C3" w:rsidRPr="006915C3">
        <w:rPr>
          <w:rFonts w:eastAsia="Times New Roman"/>
        </w:rPr>
        <w:t xml:space="preserve"> </w:t>
      </w:r>
      <w:hyperlink r:id="rId17" w:history="1">
        <w:r w:rsidR="006915C3" w:rsidRPr="006915C3">
          <w:rPr>
            <w:rStyle w:val="Hyperlink"/>
          </w:rPr>
          <w:t>BloodSTAR user tips and support materials | National Blood Authority</w:t>
        </w:r>
      </w:hyperlink>
      <w:r w:rsidR="000A467E">
        <w:t xml:space="preserve"> &lt;</w:t>
      </w:r>
      <w:r w:rsidR="000A467E" w:rsidRPr="000A467E">
        <w:t>https://www.blood.gov.au/bloodstar-user-tips-and-support-materials</w:t>
      </w:r>
      <w:r w:rsidR="000A467E">
        <w:t>&gt;</w:t>
      </w:r>
      <w:r w:rsidR="006915C3">
        <w:t>.</w:t>
      </w:r>
    </w:p>
    <w:p w14:paraId="04D99602" w14:textId="1E75C263" w:rsidR="00233173" w:rsidRDefault="00B95CB3" w:rsidP="00233173">
      <w:pPr>
        <w:pStyle w:val="Body"/>
      </w:pPr>
      <w:r>
        <w:t>For more information</w:t>
      </w:r>
      <w:r w:rsidR="000A467E" w:rsidRPr="00043C60">
        <w:t xml:space="preserve">, </w:t>
      </w:r>
      <w:hyperlink r:id="rId18" w:history="1">
        <w:r w:rsidR="000A467E" w:rsidRPr="000A467E">
          <w:rPr>
            <w:rStyle w:val="Hyperlink"/>
          </w:rPr>
          <w:t>BloodSafe eLearning</w:t>
        </w:r>
        <w:r w:rsidR="00130440" w:rsidRPr="000A467E">
          <w:rPr>
            <w:rStyle w:val="Hyperlink"/>
          </w:rPr>
          <w:t xml:space="preserve"> Australia</w:t>
        </w:r>
      </w:hyperlink>
      <w:r w:rsidR="00130440">
        <w:t xml:space="preserve"> </w:t>
      </w:r>
      <w:r w:rsidR="000A467E">
        <w:t>&lt;</w:t>
      </w:r>
      <w:r w:rsidR="000A467E" w:rsidRPr="000A467E">
        <w:t>https://bloodsafelearning.org.au/</w:t>
      </w:r>
      <w:r w:rsidR="000A467E">
        <w:t xml:space="preserve">&gt; </w:t>
      </w:r>
      <w:r w:rsidR="002A17DA">
        <w:t>offers 5 courses focused on immunoglobulins</w:t>
      </w:r>
      <w:r w:rsidR="007B1CC0">
        <w:t>.</w:t>
      </w:r>
      <w:r w:rsidR="000A7103" w:rsidRPr="00A47B53">
        <w:rPr>
          <w:vertAlign w:val="superscript"/>
        </w:rPr>
        <w:t>2</w:t>
      </w:r>
    </w:p>
    <w:p w14:paraId="663C518D" w14:textId="77777777" w:rsidR="00EB05EC" w:rsidRDefault="00EB05EC" w:rsidP="00233173">
      <w:pPr>
        <w:pStyle w:val="Body"/>
      </w:pPr>
    </w:p>
    <w:p w14:paraId="36A08922" w14:textId="77777777" w:rsidR="00EB05EC" w:rsidRDefault="00EB05EC" w:rsidP="00233173">
      <w:pPr>
        <w:pStyle w:val="Body"/>
      </w:pPr>
    </w:p>
    <w:p w14:paraId="233E50F6" w14:textId="77777777" w:rsidR="00EB05EC" w:rsidRDefault="00EB05EC" w:rsidP="00233173">
      <w:pPr>
        <w:pStyle w:val="Body"/>
      </w:pPr>
    </w:p>
    <w:p w14:paraId="05CA0258" w14:textId="53E78F6A" w:rsidR="00233173" w:rsidRDefault="00130440" w:rsidP="00130440">
      <w:pPr>
        <w:pStyle w:val="Heading2"/>
      </w:pPr>
      <w:r>
        <w:lastRenderedPageBreak/>
        <w:t>References</w:t>
      </w:r>
    </w:p>
    <w:p w14:paraId="50F8EBDC" w14:textId="77777777" w:rsidR="00D37387" w:rsidRDefault="00D37387" w:rsidP="00D37387">
      <w:pPr>
        <w:pStyle w:val="Body"/>
        <w:numPr>
          <w:ilvl w:val="0"/>
          <w:numId w:val="17"/>
        </w:numPr>
      </w:pPr>
      <w:r w:rsidRPr="00A77CE5">
        <w:t>CSL Behring. Australian Product Information Privigen</w:t>
      </w:r>
      <w:r w:rsidRPr="00A77CE5">
        <w:rPr>
          <w:vertAlign w:val="superscript"/>
        </w:rPr>
        <w:t>®</w:t>
      </w:r>
      <w:r w:rsidRPr="00A77CE5">
        <w:t xml:space="preserve"> (Human normal immunoglobulin). </w:t>
      </w:r>
      <w:r>
        <w:t xml:space="preserve">Revised </w:t>
      </w:r>
      <w:r w:rsidRPr="00A77CE5">
        <w:t>20</w:t>
      </w:r>
      <w:r>
        <w:t>24</w:t>
      </w:r>
      <w:r w:rsidRPr="00A77CE5">
        <w:t>.</w:t>
      </w:r>
    </w:p>
    <w:p w14:paraId="06B5C257" w14:textId="2D46E45C" w:rsidR="00651A98" w:rsidRPr="00A77CE5" w:rsidRDefault="00651A98" w:rsidP="00D37387">
      <w:pPr>
        <w:pStyle w:val="Body"/>
        <w:numPr>
          <w:ilvl w:val="0"/>
          <w:numId w:val="17"/>
        </w:numPr>
      </w:pPr>
      <w:r w:rsidRPr="00651A98">
        <w:t>Immunoglobulin: Adverse Events - BloodSafe eLearning Australia (bloodsafelearning.org.au) &lt;https://learn.bloodsafelearning.org.au/course/about/immunoglobulin-adverse-events&gt; viewed 11 June 2024.</w:t>
      </w:r>
    </w:p>
    <w:p w14:paraId="3FDD2F1B" w14:textId="45DDB502" w:rsidR="00130440" w:rsidRDefault="00130440" w:rsidP="00BC3443">
      <w:pPr>
        <w:pStyle w:val="Body"/>
        <w:numPr>
          <w:ilvl w:val="0"/>
          <w:numId w:val="17"/>
        </w:numPr>
      </w:pPr>
      <w:r>
        <w:t xml:space="preserve">National Blood Authority </w:t>
      </w:r>
      <w:hyperlink r:id="rId19" w:history="1">
        <w:r w:rsidR="000A467E" w:rsidRPr="000A467E">
          <w:rPr>
            <w:rStyle w:val="Hyperlink"/>
          </w:rPr>
          <w:t>Criteria for immunoglobulin products | National Blood Authority</w:t>
        </w:r>
      </w:hyperlink>
      <w:r w:rsidR="000A467E">
        <w:t xml:space="preserve"> &lt;</w:t>
      </w:r>
      <w:r w:rsidR="000A467E" w:rsidRPr="000A467E">
        <w:t>https://www.blood.gov.au/supply-system/governance-immunoglobulin-products/criteria-immunoglobulin-products</w:t>
      </w:r>
      <w:r w:rsidR="000A467E">
        <w:t>&gt;</w:t>
      </w:r>
    </w:p>
    <w:p w14:paraId="7C11F305" w14:textId="579DF51B" w:rsidR="00C74D81" w:rsidRDefault="00C74D81" w:rsidP="00651A98">
      <w:pPr>
        <w:pStyle w:val="Body"/>
        <w:ind w:left="720"/>
      </w:pPr>
    </w:p>
    <w:tbl>
      <w:tblPr>
        <w:tblStyle w:val="TableGrid"/>
        <w:tblW w:w="0" w:type="auto"/>
        <w:tblCellMar>
          <w:bottom w:w="108" w:type="dxa"/>
        </w:tblCellMar>
        <w:tblLook w:val="0600" w:firstRow="0" w:lastRow="0" w:firstColumn="0" w:lastColumn="0" w:noHBand="1" w:noVBand="1"/>
      </w:tblPr>
      <w:tblGrid>
        <w:gridCol w:w="10194"/>
      </w:tblGrid>
      <w:tr w:rsidR="0055119B" w14:paraId="6B8C548E" w14:textId="77777777" w:rsidTr="00EC40D5">
        <w:tc>
          <w:tcPr>
            <w:tcW w:w="10194" w:type="dxa"/>
          </w:tcPr>
          <w:p w14:paraId="1F07A589" w14:textId="44CB0B82" w:rsidR="0055119B" w:rsidRPr="00FB1B79" w:rsidRDefault="0055119B" w:rsidP="00043C60">
            <w:pPr>
              <w:pStyle w:val="Body"/>
            </w:pPr>
            <w:bookmarkStart w:id="0" w:name="_Hlk37240926"/>
            <w:r w:rsidRPr="0055119B">
              <w:t>To receive this document in another format</w:t>
            </w:r>
            <w:r>
              <w:t>,</w:t>
            </w:r>
            <w:r w:rsidRPr="0055119B">
              <w:t xml:space="preserve"> phone </w:t>
            </w:r>
            <w:r w:rsidR="00CF3871">
              <w:t>03 9694 0102</w:t>
            </w:r>
            <w:r w:rsidRPr="0055119B">
              <w:t xml:space="preserve">, using the National Relay Service 13 36 </w:t>
            </w:r>
            <w:r w:rsidRPr="00FB1B79">
              <w:t xml:space="preserve">77 if required, or email </w:t>
            </w:r>
            <w:r w:rsidR="00CF3871" w:rsidRPr="00FB1B79">
              <w:t>Blood Matters &lt;bloodmatters@redcrossblood.org.au&gt;</w:t>
            </w:r>
            <w:r w:rsidRPr="00FB1B79">
              <w:t>.</w:t>
            </w:r>
          </w:p>
          <w:p w14:paraId="03664E44" w14:textId="77777777" w:rsidR="0055119B" w:rsidRPr="00FB1B79" w:rsidRDefault="0055119B" w:rsidP="00E33237">
            <w:pPr>
              <w:pStyle w:val="Imprint"/>
            </w:pPr>
            <w:r w:rsidRPr="00FB1B79">
              <w:t>Authorised and published by the Victorian Government, 1 Treasury Place, Melbourne.</w:t>
            </w:r>
          </w:p>
          <w:p w14:paraId="06D543D9" w14:textId="4D4A1CF8" w:rsidR="0055119B" w:rsidRPr="00FB1B79" w:rsidRDefault="0055119B" w:rsidP="00E33237">
            <w:pPr>
              <w:pStyle w:val="Imprint"/>
            </w:pPr>
            <w:r w:rsidRPr="00FB1B79">
              <w:t xml:space="preserve">© State of Victoria, Australia, </w:t>
            </w:r>
            <w:r w:rsidR="001E2A36" w:rsidRPr="00FB1B79">
              <w:t>Department of Health</w:t>
            </w:r>
            <w:r w:rsidRPr="00FB1B79">
              <w:t xml:space="preserve">, </w:t>
            </w:r>
            <w:r w:rsidR="00A0745F">
              <w:rPr>
                <w:color w:val="004C97"/>
              </w:rPr>
              <w:t>June</w:t>
            </w:r>
            <w:r w:rsidR="00FB1B79" w:rsidRPr="00FB1B79">
              <w:rPr>
                <w:color w:val="004C97"/>
              </w:rPr>
              <w:t xml:space="preserve"> 2025</w:t>
            </w:r>
            <w:r w:rsidRPr="00FB1B79">
              <w:t>.</w:t>
            </w:r>
          </w:p>
          <w:p w14:paraId="5329B8A8" w14:textId="7DE5203D" w:rsidR="0055119B" w:rsidRPr="00FB1B79" w:rsidRDefault="0055119B" w:rsidP="00E33237">
            <w:pPr>
              <w:pStyle w:val="Imprint"/>
            </w:pPr>
            <w:r w:rsidRPr="00FB1B79">
              <w:t>ISSN</w:t>
            </w:r>
            <w:r w:rsidR="00CF3871" w:rsidRPr="00FB1B79">
              <w:t xml:space="preserve"> 2652-6212 </w:t>
            </w:r>
            <w:r w:rsidRPr="00FB1B79">
              <w:t>(online/PDF/Word) or (print)</w:t>
            </w:r>
          </w:p>
          <w:p w14:paraId="7C4B3064" w14:textId="45666CBD" w:rsidR="0055119B" w:rsidRDefault="0055119B" w:rsidP="00E33237">
            <w:pPr>
              <w:pStyle w:val="Imprint"/>
            </w:pPr>
            <w:r w:rsidRPr="00FB1B79">
              <w:t xml:space="preserve">Available at </w:t>
            </w:r>
            <w:hyperlink r:id="rId20" w:history="1">
              <w:r w:rsidR="00CF3871" w:rsidRPr="008B64E5">
                <w:rPr>
                  <w:rStyle w:val="Hyperlink"/>
                </w:rPr>
                <w:t>Blood Matters</w:t>
              </w:r>
            </w:hyperlink>
            <w:r w:rsidR="00CF3871" w:rsidRPr="00FB1B79">
              <w:t xml:space="preserve"> &lt;https://www.health.vic.gov.au/patient-care/blood-matters-program&gt;</w:t>
            </w:r>
          </w:p>
        </w:tc>
      </w:tr>
      <w:bookmarkEnd w:id="0"/>
    </w:tbl>
    <w:p w14:paraId="0194AF78" w14:textId="7FA08D60" w:rsidR="00162CA9" w:rsidRDefault="00162CA9" w:rsidP="000A467E">
      <w:pPr>
        <w:pStyle w:val="Body"/>
      </w:pPr>
    </w:p>
    <w:sectPr w:rsidR="00162CA9" w:rsidSect="00242F1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9B10" w14:textId="77777777" w:rsidR="00242F12" w:rsidRDefault="00242F12">
      <w:r>
        <w:separator/>
      </w:r>
    </w:p>
  </w:endnote>
  <w:endnote w:type="continuationSeparator" w:id="0">
    <w:p w14:paraId="6D925FCC" w14:textId="77777777" w:rsidR="00242F12" w:rsidRDefault="0024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3505"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2E829186" wp14:editId="62158BC8">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FA06A25" wp14:editId="7814FC4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683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A06A2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FA683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2C82B"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581E62B1" wp14:editId="20BCFDBD">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23A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E62B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923A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AA87"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D5F028C" wp14:editId="10F161E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C2F1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5F028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6AC2F1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85DBB" w14:textId="77777777" w:rsidR="00242F12" w:rsidRDefault="00242F12" w:rsidP="002862F1">
      <w:pPr>
        <w:spacing w:before="120"/>
      </w:pPr>
      <w:r>
        <w:separator/>
      </w:r>
    </w:p>
  </w:footnote>
  <w:footnote w:type="continuationSeparator" w:id="0">
    <w:p w14:paraId="037201EE" w14:textId="77777777" w:rsidR="00242F12" w:rsidRDefault="0024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31A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8A71" w14:textId="3F22CC14" w:rsidR="00E261B3" w:rsidRPr="0051568D" w:rsidRDefault="000F62BF" w:rsidP="0011701A">
    <w:pPr>
      <w:pStyle w:val="Header"/>
    </w:pPr>
    <w:r>
      <w:t>Intravenous immunoglobulin</w:t>
    </w:r>
    <w:r w:rsidR="001A6D47">
      <w:t xml:space="preserve"> (IVIg)</w:t>
    </w:r>
    <w:r>
      <w:t xml:space="preserve"> reactions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6FD"/>
    <w:multiLevelType w:val="hybridMultilevel"/>
    <w:tmpl w:val="888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27F43"/>
    <w:multiLevelType w:val="hybridMultilevel"/>
    <w:tmpl w:val="C7F461CC"/>
    <w:lvl w:ilvl="0" w:tplc="3FAE52B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F901D4F"/>
    <w:multiLevelType w:val="hybridMultilevel"/>
    <w:tmpl w:val="130AA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860DC6"/>
    <w:multiLevelType w:val="multilevel"/>
    <w:tmpl w:val="298E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76938"/>
    <w:multiLevelType w:val="multilevel"/>
    <w:tmpl w:val="9B82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19A681F"/>
    <w:multiLevelType w:val="hybridMultilevel"/>
    <w:tmpl w:val="4EAED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DE206E"/>
    <w:multiLevelType w:val="hybridMultilevel"/>
    <w:tmpl w:val="981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5322C03"/>
    <w:multiLevelType w:val="multilevel"/>
    <w:tmpl w:val="3E7C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BC2FAC"/>
    <w:multiLevelType w:val="hybridMultilevel"/>
    <w:tmpl w:val="275C5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AB2955"/>
    <w:multiLevelType w:val="hybridMultilevel"/>
    <w:tmpl w:val="C5167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DE54574"/>
    <w:multiLevelType w:val="hybridMultilevel"/>
    <w:tmpl w:val="F92A8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5C7981"/>
    <w:multiLevelType w:val="multilevel"/>
    <w:tmpl w:val="3D2C1C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897762">
    <w:abstractNumId w:val="6"/>
  </w:num>
  <w:num w:numId="2" w16cid:durableId="910892525">
    <w:abstractNumId w:val="11"/>
  </w:num>
  <w:num w:numId="3" w16cid:durableId="349533892">
    <w:abstractNumId w:val="10"/>
  </w:num>
  <w:num w:numId="4" w16cid:durableId="1608855225">
    <w:abstractNumId w:val="15"/>
  </w:num>
  <w:num w:numId="5" w16cid:durableId="1986931481">
    <w:abstractNumId w:val="7"/>
  </w:num>
  <w:num w:numId="6" w16cid:durableId="142695961">
    <w:abstractNumId w:val="2"/>
  </w:num>
  <w:num w:numId="7" w16cid:durableId="293799771">
    <w:abstractNumId w:val="13"/>
  </w:num>
  <w:num w:numId="8" w16cid:durableId="1972976626">
    <w:abstractNumId w:val="14"/>
  </w:num>
  <w:num w:numId="9" w16cid:durableId="1008948024">
    <w:abstractNumId w:val="9"/>
  </w:num>
  <w:num w:numId="10" w16cid:durableId="2048866223">
    <w:abstractNumId w:val="0"/>
  </w:num>
  <w:num w:numId="11" w16cid:durableId="1969822225">
    <w:abstractNumId w:val="4"/>
  </w:num>
  <w:num w:numId="12" w16cid:durableId="1678382755">
    <w:abstractNumId w:val="3"/>
  </w:num>
  <w:num w:numId="13" w16cid:durableId="1211068572">
    <w:abstractNumId w:val="16"/>
  </w:num>
  <w:num w:numId="14" w16cid:durableId="1636524066">
    <w:abstractNumId w:val="12"/>
  </w:num>
  <w:num w:numId="15" w16cid:durableId="505755006">
    <w:abstractNumId w:val="5"/>
  </w:num>
  <w:num w:numId="16" w16cid:durableId="770248154">
    <w:abstractNumId w:val="17"/>
  </w:num>
  <w:num w:numId="17" w16cid:durableId="1064530325">
    <w:abstractNumId w:val="8"/>
  </w:num>
  <w:num w:numId="18" w16cid:durableId="189458348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12"/>
    <w:rsid w:val="00000719"/>
    <w:rsid w:val="00003403"/>
    <w:rsid w:val="00005347"/>
    <w:rsid w:val="000064EF"/>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3C60"/>
    <w:rsid w:val="0004536B"/>
    <w:rsid w:val="00046B68"/>
    <w:rsid w:val="000527DD"/>
    <w:rsid w:val="000578B2"/>
    <w:rsid w:val="00060959"/>
    <w:rsid w:val="00060C8F"/>
    <w:rsid w:val="000611E7"/>
    <w:rsid w:val="000616D8"/>
    <w:rsid w:val="0006298A"/>
    <w:rsid w:val="000663CD"/>
    <w:rsid w:val="000733FE"/>
    <w:rsid w:val="00074219"/>
    <w:rsid w:val="00074ED5"/>
    <w:rsid w:val="000835C6"/>
    <w:rsid w:val="0008508E"/>
    <w:rsid w:val="00087951"/>
    <w:rsid w:val="0009113B"/>
    <w:rsid w:val="00093402"/>
    <w:rsid w:val="00094015"/>
    <w:rsid w:val="00094DA3"/>
    <w:rsid w:val="00096CD1"/>
    <w:rsid w:val="000A012C"/>
    <w:rsid w:val="000A0EB9"/>
    <w:rsid w:val="000A186C"/>
    <w:rsid w:val="000A1EA4"/>
    <w:rsid w:val="000A2476"/>
    <w:rsid w:val="000A467E"/>
    <w:rsid w:val="000A641A"/>
    <w:rsid w:val="000A7103"/>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0B7C"/>
    <w:rsid w:val="000F1F1E"/>
    <w:rsid w:val="000F2259"/>
    <w:rsid w:val="000F2DDA"/>
    <w:rsid w:val="000F3343"/>
    <w:rsid w:val="000F5213"/>
    <w:rsid w:val="000F62BF"/>
    <w:rsid w:val="00101001"/>
    <w:rsid w:val="00103276"/>
    <w:rsid w:val="0010392D"/>
    <w:rsid w:val="0010447F"/>
    <w:rsid w:val="00104FE3"/>
    <w:rsid w:val="0010714F"/>
    <w:rsid w:val="001113BC"/>
    <w:rsid w:val="001120C5"/>
    <w:rsid w:val="0011701A"/>
    <w:rsid w:val="00120BD3"/>
    <w:rsid w:val="00122FEA"/>
    <w:rsid w:val="001232BD"/>
    <w:rsid w:val="00124ED5"/>
    <w:rsid w:val="001276FA"/>
    <w:rsid w:val="00130440"/>
    <w:rsid w:val="0014255B"/>
    <w:rsid w:val="001447B3"/>
    <w:rsid w:val="00152073"/>
    <w:rsid w:val="00154E2D"/>
    <w:rsid w:val="00156598"/>
    <w:rsid w:val="00161939"/>
    <w:rsid w:val="00161AA0"/>
    <w:rsid w:val="00161D2E"/>
    <w:rsid w:val="00161F3E"/>
    <w:rsid w:val="00162093"/>
    <w:rsid w:val="00162CA9"/>
    <w:rsid w:val="001632C7"/>
    <w:rsid w:val="001633F4"/>
    <w:rsid w:val="00165459"/>
    <w:rsid w:val="00165A57"/>
    <w:rsid w:val="001712C2"/>
    <w:rsid w:val="001712EF"/>
    <w:rsid w:val="00172BAF"/>
    <w:rsid w:val="001771DD"/>
    <w:rsid w:val="00177995"/>
    <w:rsid w:val="00177A8C"/>
    <w:rsid w:val="00182F77"/>
    <w:rsid w:val="00186B33"/>
    <w:rsid w:val="00192F9D"/>
    <w:rsid w:val="0019433A"/>
    <w:rsid w:val="00196EB8"/>
    <w:rsid w:val="00196EFB"/>
    <w:rsid w:val="001979FF"/>
    <w:rsid w:val="00197B17"/>
    <w:rsid w:val="001A1950"/>
    <w:rsid w:val="001A1C54"/>
    <w:rsid w:val="001A3ACE"/>
    <w:rsid w:val="001A6D47"/>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8D9"/>
    <w:rsid w:val="001E68A5"/>
    <w:rsid w:val="001E6BB0"/>
    <w:rsid w:val="001E7282"/>
    <w:rsid w:val="001F3826"/>
    <w:rsid w:val="001F53EB"/>
    <w:rsid w:val="001F6E46"/>
    <w:rsid w:val="001F7186"/>
    <w:rsid w:val="001F7C91"/>
    <w:rsid w:val="00200176"/>
    <w:rsid w:val="002033B7"/>
    <w:rsid w:val="00206463"/>
    <w:rsid w:val="00206F2F"/>
    <w:rsid w:val="0021053D"/>
    <w:rsid w:val="00210A92"/>
    <w:rsid w:val="0021667C"/>
    <w:rsid w:val="00216C03"/>
    <w:rsid w:val="00216F79"/>
    <w:rsid w:val="00220C04"/>
    <w:rsid w:val="0022278D"/>
    <w:rsid w:val="0022701F"/>
    <w:rsid w:val="00227C68"/>
    <w:rsid w:val="00233173"/>
    <w:rsid w:val="002333F5"/>
    <w:rsid w:val="00233724"/>
    <w:rsid w:val="002365B4"/>
    <w:rsid w:val="0024172D"/>
    <w:rsid w:val="00242F12"/>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6CE"/>
    <w:rsid w:val="00273BAC"/>
    <w:rsid w:val="00274B5C"/>
    <w:rsid w:val="002763B3"/>
    <w:rsid w:val="002802E3"/>
    <w:rsid w:val="0028213D"/>
    <w:rsid w:val="002862F1"/>
    <w:rsid w:val="00291373"/>
    <w:rsid w:val="0029597D"/>
    <w:rsid w:val="002962C3"/>
    <w:rsid w:val="0029752B"/>
    <w:rsid w:val="002A0A9C"/>
    <w:rsid w:val="002A17DA"/>
    <w:rsid w:val="002A483C"/>
    <w:rsid w:val="002B0C7C"/>
    <w:rsid w:val="002B1729"/>
    <w:rsid w:val="002B36C7"/>
    <w:rsid w:val="002B4DD4"/>
    <w:rsid w:val="002B5277"/>
    <w:rsid w:val="002B5375"/>
    <w:rsid w:val="002B77C1"/>
    <w:rsid w:val="002C0ED7"/>
    <w:rsid w:val="002C2728"/>
    <w:rsid w:val="002D1E0D"/>
    <w:rsid w:val="002D1F6B"/>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EF7"/>
    <w:rsid w:val="00316F27"/>
    <w:rsid w:val="003214F1"/>
    <w:rsid w:val="00322E4B"/>
    <w:rsid w:val="00327870"/>
    <w:rsid w:val="0033259D"/>
    <w:rsid w:val="003333D2"/>
    <w:rsid w:val="003406C6"/>
    <w:rsid w:val="003418CC"/>
    <w:rsid w:val="003459BD"/>
    <w:rsid w:val="00350D38"/>
    <w:rsid w:val="00351B36"/>
    <w:rsid w:val="00357B4E"/>
    <w:rsid w:val="00361E1E"/>
    <w:rsid w:val="003645D1"/>
    <w:rsid w:val="00365CEA"/>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6E8"/>
    <w:rsid w:val="003A6B67"/>
    <w:rsid w:val="003B13B6"/>
    <w:rsid w:val="003B15E6"/>
    <w:rsid w:val="003B408A"/>
    <w:rsid w:val="003B5733"/>
    <w:rsid w:val="003B61FA"/>
    <w:rsid w:val="003C08A2"/>
    <w:rsid w:val="003C2045"/>
    <w:rsid w:val="003C43A1"/>
    <w:rsid w:val="003C4FC0"/>
    <w:rsid w:val="003C55F4"/>
    <w:rsid w:val="003C5D88"/>
    <w:rsid w:val="003C7897"/>
    <w:rsid w:val="003C7A3F"/>
    <w:rsid w:val="003D2766"/>
    <w:rsid w:val="003D2A74"/>
    <w:rsid w:val="003D3E8F"/>
    <w:rsid w:val="003D6475"/>
    <w:rsid w:val="003E375C"/>
    <w:rsid w:val="003E4086"/>
    <w:rsid w:val="003E639E"/>
    <w:rsid w:val="003E71E5"/>
    <w:rsid w:val="003F0445"/>
    <w:rsid w:val="003F0CF0"/>
    <w:rsid w:val="003F14B1"/>
    <w:rsid w:val="003F2A06"/>
    <w:rsid w:val="003F2B20"/>
    <w:rsid w:val="003F3289"/>
    <w:rsid w:val="003F401A"/>
    <w:rsid w:val="003F55AC"/>
    <w:rsid w:val="003F5CB9"/>
    <w:rsid w:val="004013C7"/>
    <w:rsid w:val="00401FCF"/>
    <w:rsid w:val="0040248F"/>
    <w:rsid w:val="00406285"/>
    <w:rsid w:val="004112C6"/>
    <w:rsid w:val="004148F9"/>
    <w:rsid w:val="00414D4A"/>
    <w:rsid w:val="0042084E"/>
    <w:rsid w:val="00421EEF"/>
    <w:rsid w:val="00424D65"/>
    <w:rsid w:val="0044095C"/>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BDE"/>
    <w:rsid w:val="004A3E81"/>
    <w:rsid w:val="004A3F0D"/>
    <w:rsid w:val="004A4195"/>
    <w:rsid w:val="004A4962"/>
    <w:rsid w:val="004A5C62"/>
    <w:rsid w:val="004A5CE5"/>
    <w:rsid w:val="004A707D"/>
    <w:rsid w:val="004B2EF1"/>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194"/>
    <w:rsid w:val="00503DC6"/>
    <w:rsid w:val="00506F5D"/>
    <w:rsid w:val="00510C37"/>
    <w:rsid w:val="005126D0"/>
    <w:rsid w:val="0051568D"/>
    <w:rsid w:val="005224C5"/>
    <w:rsid w:val="00526AC7"/>
    <w:rsid w:val="00526C15"/>
    <w:rsid w:val="00526CBA"/>
    <w:rsid w:val="00536395"/>
    <w:rsid w:val="00536499"/>
    <w:rsid w:val="00543903"/>
    <w:rsid w:val="00543F11"/>
    <w:rsid w:val="00546305"/>
    <w:rsid w:val="00547A95"/>
    <w:rsid w:val="0055119B"/>
    <w:rsid w:val="005515E3"/>
    <w:rsid w:val="005548B5"/>
    <w:rsid w:val="005706D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A98"/>
    <w:rsid w:val="006557A7"/>
    <w:rsid w:val="00656290"/>
    <w:rsid w:val="006608D8"/>
    <w:rsid w:val="006621D7"/>
    <w:rsid w:val="0066302A"/>
    <w:rsid w:val="00667770"/>
    <w:rsid w:val="00670597"/>
    <w:rsid w:val="00670644"/>
    <w:rsid w:val="006706D0"/>
    <w:rsid w:val="00677574"/>
    <w:rsid w:val="00681AFB"/>
    <w:rsid w:val="0068454C"/>
    <w:rsid w:val="00690D85"/>
    <w:rsid w:val="006915C3"/>
    <w:rsid w:val="00691B62"/>
    <w:rsid w:val="006933B5"/>
    <w:rsid w:val="00693D14"/>
    <w:rsid w:val="00696F27"/>
    <w:rsid w:val="006A18C2"/>
    <w:rsid w:val="006A3383"/>
    <w:rsid w:val="006B077C"/>
    <w:rsid w:val="006B6803"/>
    <w:rsid w:val="006D0F16"/>
    <w:rsid w:val="006D2A3F"/>
    <w:rsid w:val="006D2FBC"/>
    <w:rsid w:val="006E0541"/>
    <w:rsid w:val="006E138B"/>
    <w:rsid w:val="006E53B4"/>
    <w:rsid w:val="006F0330"/>
    <w:rsid w:val="006F1FDC"/>
    <w:rsid w:val="006F6B8C"/>
    <w:rsid w:val="007013EF"/>
    <w:rsid w:val="007055BD"/>
    <w:rsid w:val="00710B82"/>
    <w:rsid w:val="00712286"/>
    <w:rsid w:val="007173CA"/>
    <w:rsid w:val="007216AA"/>
    <w:rsid w:val="00721AB5"/>
    <w:rsid w:val="00721CFB"/>
    <w:rsid w:val="00721DEF"/>
    <w:rsid w:val="0072251A"/>
    <w:rsid w:val="00724A43"/>
    <w:rsid w:val="007270F4"/>
    <w:rsid w:val="007273AC"/>
    <w:rsid w:val="00731AD4"/>
    <w:rsid w:val="007346E4"/>
    <w:rsid w:val="00734FCA"/>
    <w:rsid w:val="0073582E"/>
    <w:rsid w:val="007370D9"/>
    <w:rsid w:val="00740F22"/>
    <w:rsid w:val="00741CF0"/>
    <w:rsid w:val="00741F1A"/>
    <w:rsid w:val="007422DA"/>
    <w:rsid w:val="007447DA"/>
    <w:rsid w:val="007450F8"/>
    <w:rsid w:val="0074696E"/>
    <w:rsid w:val="00750135"/>
    <w:rsid w:val="00750EC2"/>
    <w:rsid w:val="0075236A"/>
    <w:rsid w:val="00752B28"/>
    <w:rsid w:val="007541A9"/>
    <w:rsid w:val="00754E36"/>
    <w:rsid w:val="00756D68"/>
    <w:rsid w:val="00763139"/>
    <w:rsid w:val="00763B2C"/>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A39AA"/>
    <w:rsid w:val="007B0914"/>
    <w:rsid w:val="007B1374"/>
    <w:rsid w:val="007B1CC0"/>
    <w:rsid w:val="007B32E5"/>
    <w:rsid w:val="007B3DB9"/>
    <w:rsid w:val="007B589F"/>
    <w:rsid w:val="007B6186"/>
    <w:rsid w:val="007B73BC"/>
    <w:rsid w:val="007C1838"/>
    <w:rsid w:val="007C20B9"/>
    <w:rsid w:val="007C6A04"/>
    <w:rsid w:val="007C7301"/>
    <w:rsid w:val="007C7859"/>
    <w:rsid w:val="007C7F28"/>
    <w:rsid w:val="007D02CD"/>
    <w:rsid w:val="007D1466"/>
    <w:rsid w:val="007D2BDE"/>
    <w:rsid w:val="007D2FB6"/>
    <w:rsid w:val="007D49EB"/>
    <w:rsid w:val="007D5C42"/>
    <w:rsid w:val="007D5E1C"/>
    <w:rsid w:val="007E0DE2"/>
    <w:rsid w:val="007E1227"/>
    <w:rsid w:val="007E3B98"/>
    <w:rsid w:val="007E417A"/>
    <w:rsid w:val="007F3184"/>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2D38"/>
    <w:rsid w:val="00823275"/>
    <w:rsid w:val="0082366F"/>
    <w:rsid w:val="00827740"/>
    <w:rsid w:val="00831C53"/>
    <w:rsid w:val="008338A2"/>
    <w:rsid w:val="00835FAF"/>
    <w:rsid w:val="00841AA9"/>
    <w:rsid w:val="008474FE"/>
    <w:rsid w:val="00853EE4"/>
    <w:rsid w:val="00855535"/>
    <w:rsid w:val="00855920"/>
    <w:rsid w:val="00857C5A"/>
    <w:rsid w:val="0086255E"/>
    <w:rsid w:val="008628D3"/>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B64E5"/>
    <w:rsid w:val="008C2F92"/>
    <w:rsid w:val="008C3697"/>
    <w:rsid w:val="008C5557"/>
    <w:rsid w:val="008C589D"/>
    <w:rsid w:val="008C6D51"/>
    <w:rsid w:val="008C6FFB"/>
    <w:rsid w:val="008C7CB1"/>
    <w:rsid w:val="008D2846"/>
    <w:rsid w:val="008D4236"/>
    <w:rsid w:val="008D462F"/>
    <w:rsid w:val="008D4C8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22B3"/>
    <w:rsid w:val="0093338F"/>
    <w:rsid w:val="00937BD9"/>
    <w:rsid w:val="00945909"/>
    <w:rsid w:val="00950E2C"/>
    <w:rsid w:val="00951D50"/>
    <w:rsid w:val="009525EB"/>
    <w:rsid w:val="0095470B"/>
    <w:rsid w:val="00954874"/>
    <w:rsid w:val="0095615A"/>
    <w:rsid w:val="00961400"/>
    <w:rsid w:val="00963646"/>
    <w:rsid w:val="0096632D"/>
    <w:rsid w:val="00967DE1"/>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263"/>
    <w:rsid w:val="009B2AE8"/>
    <w:rsid w:val="009B59E9"/>
    <w:rsid w:val="009B70AA"/>
    <w:rsid w:val="009C5E77"/>
    <w:rsid w:val="009C7A7E"/>
    <w:rsid w:val="009D02E8"/>
    <w:rsid w:val="009D4946"/>
    <w:rsid w:val="009D51D0"/>
    <w:rsid w:val="009D70A4"/>
    <w:rsid w:val="009D7B14"/>
    <w:rsid w:val="009E08D1"/>
    <w:rsid w:val="009E13A6"/>
    <w:rsid w:val="009E1B95"/>
    <w:rsid w:val="009E496F"/>
    <w:rsid w:val="009E4B0D"/>
    <w:rsid w:val="009E5250"/>
    <w:rsid w:val="009E7F92"/>
    <w:rsid w:val="009F02A3"/>
    <w:rsid w:val="009F2F27"/>
    <w:rsid w:val="009F34AA"/>
    <w:rsid w:val="009F6BCB"/>
    <w:rsid w:val="009F7B78"/>
    <w:rsid w:val="00A0057A"/>
    <w:rsid w:val="00A02FA1"/>
    <w:rsid w:val="00A04CCE"/>
    <w:rsid w:val="00A06CF8"/>
    <w:rsid w:val="00A07421"/>
    <w:rsid w:val="00A0745F"/>
    <w:rsid w:val="00A0776B"/>
    <w:rsid w:val="00A10FB9"/>
    <w:rsid w:val="00A11421"/>
    <w:rsid w:val="00A1389F"/>
    <w:rsid w:val="00A157B1"/>
    <w:rsid w:val="00A22229"/>
    <w:rsid w:val="00A226F5"/>
    <w:rsid w:val="00A24442"/>
    <w:rsid w:val="00A330BB"/>
    <w:rsid w:val="00A44882"/>
    <w:rsid w:val="00A45125"/>
    <w:rsid w:val="00A47B53"/>
    <w:rsid w:val="00A54715"/>
    <w:rsid w:val="00A5740F"/>
    <w:rsid w:val="00A6061C"/>
    <w:rsid w:val="00A62395"/>
    <w:rsid w:val="00A62D44"/>
    <w:rsid w:val="00A67263"/>
    <w:rsid w:val="00A7161C"/>
    <w:rsid w:val="00A77AA3"/>
    <w:rsid w:val="00A77CE5"/>
    <w:rsid w:val="00A80421"/>
    <w:rsid w:val="00A8236D"/>
    <w:rsid w:val="00A854EB"/>
    <w:rsid w:val="00A872E5"/>
    <w:rsid w:val="00A91406"/>
    <w:rsid w:val="00A96E65"/>
    <w:rsid w:val="00A97C72"/>
    <w:rsid w:val="00AA268E"/>
    <w:rsid w:val="00AA310B"/>
    <w:rsid w:val="00AA63D4"/>
    <w:rsid w:val="00AB06E8"/>
    <w:rsid w:val="00AB1CD3"/>
    <w:rsid w:val="00AB352F"/>
    <w:rsid w:val="00AB3C13"/>
    <w:rsid w:val="00AC274B"/>
    <w:rsid w:val="00AC4764"/>
    <w:rsid w:val="00AC6D36"/>
    <w:rsid w:val="00AD0CBA"/>
    <w:rsid w:val="00AD177A"/>
    <w:rsid w:val="00AD26E2"/>
    <w:rsid w:val="00AD70C2"/>
    <w:rsid w:val="00AD784C"/>
    <w:rsid w:val="00AE126A"/>
    <w:rsid w:val="00AE1BAE"/>
    <w:rsid w:val="00AE3005"/>
    <w:rsid w:val="00AE3BD5"/>
    <w:rsid w:val="00AE59A0"/>
    <w:rsid w:val="00AE67F7"/>
    <w:rsid w:val="00AF0C57"/>
    <w:rsid w:val="00AF26F3"/>
    <w:rsid w:val="00AF5F04"/>
    <w:rsid w:val="00B00672"/>
    <w:rsid w:val="00B01B4D"/>
    <w:rsid w:val="00B025C2"/>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7CDF"/>
    <w:rsid w:val="00B519CD"/>
    <w:rsid w:val="00B5273A"/>
    <w:rsid w:val="00B57329"/>
    <w:rsid w:val="00B60E61"/>
    <w:rsid w:val="00B62B50"/>
    <w:rsid w:val="00B635B7"/>
    <w:rsid w:val="00B63AE8"/>
    <w:rsid w:val="00B65950"/>
    <w:rsid w:val="00B6641D"/>
    <w:rsid w:val="00B66D83"/>
    <w:rsid w:val="00B672C0"/>
    <w:rsid w:val="00B676FD"/>
    <w:rsid w:val="00B75646"/>
    <w:rsid w:val="00B76AD1"/>
    <w:rsid w:val="00B82BEA"/>
    <w:rsid w:val="00B84E69"/>
    <w:rsid w:val="00B8728A"/>
    <w:rsid w:val="00B90729"/>
    <w:rsid w:val="00B907DA"/>
    <w:rsid w:val="00B94CD5"/>
    <w:rsid w:val="00B950BC"/>
    <w:rsid w:val="00B95CB3"/>
    <w:rsid w:val="00B9714C"/>
    <w:rsid w:val="00BA29AD"/>
    <w:rsid w:val="00BA33CF"/>
    <w:rsid w:val="00BA3F8D"/>
    <w:rsid w:val="00BB7A10"/>
    <w:rsid w:val="00BC3443"/>
    <w:rsid w:val="00BC3E8F"/>
    <w:rsid w:val="00BC60BE"/>
    <w:rsid w:val="00BC7468"/>
    <w:rsid w:val="00BC7D4F"/>
    <w:rsid w:val="00BC7ED7"/>
    <w:rsid w:val="00BD03F9"/>
    <w:rsid w:val="00BD1A87"/>
    <w:rsid w:val="00BD2850"/>
    <w:rsid w:val="00BE28D2"/>
    <w:rsid w:val="00BE4A64"/>
    <w:rsid w:val="00BE5E43"/>
    <w:rsid w:val="00BF30B2"/>
    <w:rsid w:val="00BF347D"/>
    <w:rsid w:val="00BF557D"/>
    <w:rsid w:val="00BF7F58"/>
    <w:rsid w:val="00C01381"/>
    <w:rsid w:val="00C01AB1"/>
    <w:rsid w:val="00C026A0"/>
    <w:rsid w:val="00C06137"/>
    <w:rsid w:val="00C079B8"/>
    <w:rsid w:val="00C10037"/>
    <w:rsid w:val="00C123EA"/>
    <w:rsid w:val="00C12A49"/>
    <w:rsid w:val="00C133EE"/>
    <w:rsid w:val="00C1372E"/>
    <w:rsid w:val="00C149D0"/>
    <w:rsid w:val="00C23C1F"/>
    <w:rsid w:val="00C26588"/>
    <w:rsid w:val="00C27DE9"/>
    <w:rsid w:val="00C32989"/>
    <w:rsid w:val="00C33388"/>
    <w:rsid w:val="00C35484"/>
    <w:rsid w:val="00C4173A"/>
    <w:rsid w:val="00C50DED"/>
    <w:rsid w:val="00C521DE"/>
    <w:rsid w:val="00C602FF"/>
    <w:rsid w:val="00C61174"/>
    <w:rsid w:val="00C6148F"/>
    <w:rsid w:val="00C621B1"/>
    <w:rsid w:val="00C62F7A"/>
    <w:rsid w:val="00C63B9C"/>
    <w:rsid w:val="00C6682F"/>
    <w:rsid w:val="00C67BF4"/>
    <w:rsid w:val="00C70A2E"/>
    <w:rsid w:val="00C7275E"/>
    <w:rsid w:val="00C74C5D"/>
    <w:rsid w:val="00C74D81"/>
    <w:rsid w:val="00C863C4"/>
    <w:rsid w:val="00C8746D"/>
    <w:rsid w:val="00C920EA"/>
    <w:rsid w:val="00C93C3E"/>
    <w:rsid w:val="00CA12E3"/>
    <w:rsid w:val="00CA1476"/>
    <w:rsid w:val="00CA6611"/>
    <w:rsid w:val="00CA6AE6"/>
    <w:rsid w:val="00CA782F"/>
    <w:rsid w:val="00CB187B"/>
    <w:rsid w:val="00CB2835"/>
    <w:rsid w:val="00CB3285"/>
    <w:rsid w:val="00CB429C"/>
    <w:rsid w:val="00CB4500"/>
    <w:rsid w:val="00CB7800"/>
    <w:rsid w:val="00CC0C72"/>
    <w:rsid w:val="00CC2BFD"/>
    <w:rsid w:val="00CD3476"/>
    <w:rsid w:val="00CD64DF"/>
    <w:rsid w:val="00CE225F"/>
    <w:rsid w:val="00CF04F0"/>
    <w:rsid w:val="00CF2F50"/>
    <w:rsid w:val="00CF3871"/>
    <w:rsid w:val="00CF6198"/>
    <w:rsid w:val="00D02919"/>
    <w:rsid w:val="00D04C61"/>
    <w:rsid w:val="00D05B8D"/>
    <w:rsid w:val="00D065A2"/>
    <w:rsid w:val="00D079AA"/>
    <w:rsid w:val="00D07F00"/>
    <w:rsid w:val="00D1130F"/>
    <w:rsid w:val="00D17B72"/>
    <w:rsid w:val="00D20014"/>
    <w:rsid w:val="00D22D56"/>
    <w:rsid w:val="00D30931"/>
    <w:rsid w:val="00D3185C"/>
    <w:rsid w:val="00D3205F"/>
    <w:rsid w:val="00D3318E"/>
    <w:rsid w:val="00D33E72"/>
    <w:rsid w:val="00D35BD6"/>
    <w:rsid w:val="00D361B5"/>
    <w:rsid w:val="00D36542"/>
    <w:rsid w:val="00D37387"/>
    <w:rsid w:val="00D405AC"/>
    <w:rsid w:val="00D411A2"/>
    <w:rsid w:val="00D4606D"/>
    <w:rsid w:val="00D46C92"/>
    <w:rsid w:val="00D477BF"/>
    <w:rsid w:val="00D50B9C"/>
    <w:rsid w:val="00D52D73"/>
    <w:rsid w:val="00D52E58"/>
    <w:rsid w:val="00D5409D"/>
    <w:rsid w:val="00D56B20"/>
    <w:rsid w:val="00D578B3"/>
    <w:rsid w:val="00D618F4"/>
    <w:rsid w:val="00D6261F"/>
    <w:rsid w:val="00D714CC"/>
    <w:rsid w:val="00D75EA7"/>
    <w:rsid w:val="00D81ADF"/>
    <w:rsid w:val="00D81F21"/>
    <w:rsid w:val="00D84675"/>
    <w:rsid w:val="00D864F2"/>
    <w:rsid w:val="00D92F95"/>
    <w:rsid w:val="00D943F8"/>
    <w:rsid w:val="00D95470"/>
    <w:rsid w:val="00D96B55"/>
    <w:rsid w:val="00DA2619"/>
    <w:rsid w:val="00DA4239"/>
    <w:rsid w:val="00DA65DE"/>
    <w:rsid w:val="00DB0B61"/>
    <w:rsid w:val="00DB1474"/>
    <w:rsid w:val="00DB2962"/>
    <w:rsid w:val="00DB52FB"/>
    <w:rsid w:val="00DC013B"/>
    <w:rsid w:val="00DC0738"/>
    <w:rsid w:val="00DC090B"/>
    <w:rsid w:val="00DC1679"/>
    <w:rsid w:val="00DC219B"/>
    <w:rsid w:val="00DC2CF1"/>
    <w:rsid w:val="00DC4FCF"/>
    <w:rsid w:val="00DC50E0"/>
    <w:rsid w:val="00DC6386"/>
    <w:rsid w:val="00DD1130"/>
    <w:rsid w:val="00DD1951"/>
    <w:rsid w:val="00DD487D"/>
    <w:rsid w:val="00DD4E83"/>
    <w:rsid w:val="00DD5235"/>
    <w:rsid w:val="00DD6434"/>
    <w:rsid w:val="00DD6628"/>
    <w:rsid w:val="00DD6945"/>
    <w:rsid w:val="00DE2D04"/>
    <w:rsid w:val="00DE3250"/>
    <w:rsid w:val="00DE451A"/>
    <w:rsid w:val="00DE5FC2"/>
    <w:rsid w:val="00DE6028"/>
    <w:rsid w:val="00DE78A3"/>
    <w:rsid w:val="00DE7958"/>
    <w:rsid w:val="00DF1A71"/>
    <w:rsid w:val="00DF50FC"/>
    <w:rsid w:val="00DF68C7"/>
    <w:rsid w:val="00DF731A"/>
    <w:rsid w:val="00DF7BFF"/>
    <w:rsid w:val="00E01FF1"/>
    <w:rsid w:val="00E06B75"/>
    <w:rsid w:val="00E11332"/>
    <w:rsid w:val="00E11352"/>
    <w:rsid w:val="00E170DC"/>
    <w:rsid w:val="00E17546"/>
    <w:rsid w:val="00E210B5"/>
    <w:rsid w:val="00E261B3"/>
    <w:rsid w:val="00E26818"/>
    <w:rsid w:val="00E27FFC"/>
    <w:rsid w:val="00E30B15"/>
    <w:rsid w:val="00E33237"/>
    <w:rsid w:val="00E37FB2"/>
    <w:rsid w:val="00E40181"/>
    <w:rsid w:val="00E40E04"/>
    <w:rsid w:val="00E54950"/>
    <w:rsid w:val="00E56A01"/>
    <w:rsid w:val="00E62622"/>
    <w:rsid w:val="00E629A1"/>
    <w:rsid w:val="00E6794C"/>
    <w:rsid w:val="00E71591"/>
    <w:rsid w:val="00E71CEB"/>
    <w:rsid w:val="00E7474F"/>
    <w:rsid w:val="00E75DC5"/>
    <w:rsid w:val="00E80DE3"/>
    <w:rsid w:val="00E82C55"/>
    <w:rsid w:val="00E8787E"/>
    <w:rsid w:val="00E92AC3"/>
    <w:rsid w:val="00EA1360"/>
    <w:rsid w:val="00EA2F6A"/>
    <w:rsid w:val="00EB00E0"/>
    <w:rsid w:val="00EB05EC"/>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3E5C"/>
    <w:rsid w:val="00F16F1B"/>
    <w:rsid w:val="00F211F7"/>
    <w:rsid w:val="00F237A2"/>
    <w:rsid w:val="00F250A9"/>
    <w:rsid w:val="00F267AF"/>
    <w:rsid w:val="00F27998"/>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0604"/>
    <w:rsid w:val="00F61A9F"/>
    <w:rsid w:val="00F61B5F"/>
    <w:rsid w:val="00F62248"/>
    <w:rsid w:val="00F64696"/>
    <w:rsid w:val="00F65AA9"/>
    <w:rsid w:val="00F6768F"/>
    <w:rsid w:val="00F72C2C"/>
    <w:rsid w:val="00F76CAB"/>
    <w:rsid w:val="00F772C6"/>
    <w:rsid w:val="00F7766B"/>
    <w:rsid w:val="00F815B5"/>
    <w:rsid w:val="00F8175F"/>
    <w:rsid w:val="00F84FA0"/>
    <w:rsid w:val="00F85195"/>
    <w:rsid w:val="00F868E3"/>
    <w:rsid w:val="00F938BA"/>
    <w:rsid w:val="00F97919"/>
    <w:rsid w:val="00FA2C46"/>
    <w:rsid w:val="00FA2EC8"/>
    <w:rsid w:val="00FA3525"/>
    <w:rsid w:val="00FA5A53"/>
    <w:rsid w:val="00FB1B79"/>
    <w:rsid w:val="00FB2551"/>
    <w:rsid w:val="00FB3094"/>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5E23C"/>
  <w15:docId w15:val="{3046B797-A97D-43B2-BBA4-7A2A0C64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table" w:styleId="ListTable2">
    <w:name w:val="List Table 2"/>
    <w:basedOn w:val="TableNormal"/>
    <w:uiPriority w:val="47"/>
    <w:rsid w:val="006915C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72"/>
    <w:semiHidden/>
    <w:qFormat/>
    <w:rsid w:val="00831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9480979">
      <w:bodyDiv w:val="1"/>
      <w:marLeft w:val="0"/>
      <w:marRight w:val="0"/>
      <w:marTop w:val="0"/>
      <w:marBottom w:val="0"/>
      <w:divBdr>
        <w:top w:val="none" w:sz="0" w:space="0" w:color="auto"/>
        <w:left w:val="none" w:sz="0" w:space="0" w:color="auto"/>
        <w:bottom w:val="none" w:sz="0" w:space="0" w:color="auto"/>
        <w:right w:val="none" w:sz="0" w:space="0" w:color="auto"/>
      </w:divBdr>
    </w:div>
    <w:div w:id="13737266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216803">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loodsafelearning.org.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lood.gov.au/bloodstar-user-tips-and-support-materials" TargetMode="External"/><Relationship Id="rId2" Type="http://schemas.openxmlformats.org/officeDocument/2006/relationships/customXml" Target="../customXml/item2.xml"/><Relationship Id="rId16" Type="http://schemas.openxmlformats.org/officeDocument/2006/relationships/hyperlink" Target="https://www.tga.gov.au/safety/reporting-problems/report-adverse-event-or-problem-health-professionals" TargetMode="External"/><Relationship Id="rId20" Type="http://schemas.openxmlformats.org/officeDocument/2006/relationships/hyperlink" Target="https://www.health.vic.gov.au/patient-care/blood-matter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lood.gov.au/supply-system/governance-immunoglobulin-products/criteria-immunoglobulin-produ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4" ma:contentTypeDescription="" ma:contentTypeScope="" ma:versionID="cadda8d4c0a20e3b3784820bb5953b1b">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5aa35808c8cb41159bdf47f68761f28f"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dexed="true" ma:internalName="CBSDueBy">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Attachment 1 - STIR Intravenous immunoglobulin reactions bulletin</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https://dhhsvicgovau.sharepoint.com/sites/ourbriefings/_layouts/15/wrkstat.aspx?List=f564a0ab-7d10-463c-8b8b-579d03fbf2e1&amp;WorkflowInstanceName=073bdc5f-acfb-4234-82c2-4a66c8b8ca34</Url>
      <Description>ok</Description>
    </Validate_x0020_File_x0020_Name_x0020_Memoranda>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3359357-7519-4B3E-B4A5-634500510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f564a0ab-7d10-463c-8b8b-579d03fbf2e1"/>
    <ds:schemaRef ds:uri="4e6cfa50-9814-4036-b2f8-54bb7ef1e7f8"/>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131e7afd-8cb4-4255-a884-cbcde2747e4c"/>
    <ds:schemaRef ds:uri="http://www.w3.org/XML/1998/namespace"/>
    <ds:schemaRef ds:uri="http://purl.org/dc/dcmitype/"/>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835</Words>
  <Characters>5770</Characters>
  <Application>Microsoft Office Word</Application>
  <DocSecurity>0</DocSecurity>
  <Lines>128</Lines>
  <Paragraphs>80</Paragraphs>
  <ScaleCrop>false</ScaleCrop>
  <HeadingPairs>
    <vt:vector size="2" baseType="variant">
      <vt:variant>
        <vt:lpstr>Title</vt:lpstr>
      </vt:variant>
      <vt:variant>
        <vt:i4>1</vt:i4>
      </vt:variant>
    </vt:vector>
  </HeadingPairs>
  <TitlesOfParts>
    <vt:vector size="1" baseType="lpstr">
      <vt:lpstr>Blood Matters DH red factsheet_front page logos only</vt:lpstr>
    </vt:vector>
  </TitlesOfParts>
  <Manager/>
  <Company>Victoria State Government, Department of Health, Blood Matters</Company>
  <LinksUpToDate>false</LinksUpToDate>
  <CharactersWithSpaces>6525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 bulletin 12 Intravenous immunoglobulin reactions</dc:title>
  <dc:subject/>
  <dc:creator>bloodmatters@dhhs.vic.gov.au</dc:creator>
  <cp:keywords/>
  <dc:description/>
  <cp:lastModifiedBy>Emily Hirst (Health)</cp:lastModifiedBy>
  <cp:revision>6</cp:revision>
  <cp:lastPrinted>2020-03-30T03:28:00Z</cp:lastPrinted>
  <dcterms:created xsi:type="dcterms:W3CDTF">2025-06-17T05:14:00Z</dcterms:created>
  <dcterms:modified xsi:type="dcterms:W3CDTF">2025-06-27T00:52:00Z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