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342"/>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13A53" w14:paraId="27BE5018" w14:textId="77777777" w:rsidTr="006C72DC">
        <w:trPr>
          <w:cantSplit/>
        </w:trPr>
        <w:tc>
          <w:tcPr>
            <w:tcW w:w="0" w:type="auto"/>
            <w:tcMar>
              <w:top w:w="0" w:type="dxa"/>
              <w:left w:w="0" w:type="dxa"/>
              <w:right w:w="0" w:type="dxa"/>
            </w:tcMar>
          </w:tcPr>
          <w:p w14:paraId="42613F18" w14:textId="167CD209" w:rsidR="00A13A53" w:rsidRPr="00431F42" w:rsidRDefault="00A13A53" w:rsidP="006C72DC">
            <w:pPr>
              <w:pStyle w:val="Documenttitle"/>
            </w:pPr>
            <w:r>
              <w:t xml:space="preserve">Guide to implementation of </w:t>
            </w:r>
            <w:r w:rsidR="00C924A4">
              <w:t xml:space="preserve">the </w:t>
            </w:r>
            <w:r w:rsidR="00953904" w:rsidRPr="002A2E24">
              <w:rPr>
                <w:i/>
                <w:iCs/>
              </w:rPr>
              <w:t xml:space="preserve">Safe Patient Care (Nurse to Patient and Midwife to Patient Ratios) Amendment </w:t>
            </w:r>
            <w:r w:rsidR="00FC0688">
              <w:rPr>
                <w:i/>
                <w:iCs/>
              </w:rPr>
              <w:t>Bill</w:t>
            </w:r>
            <w:r w:rsidR="00FC0688" w:rsidRPr="002A2E24">
              <w:rPr>
                <w:i/>
                <w:iCs/>
              </w:rPr>
              <w:t xml:space="preserve"> </w:t>
            </w:r>
            <w:r w:rsidR="00953904" w:rsidRPr="002A2E24">
              <w:rPr>
                <w:i/>
                <w:iCs/>
              </w:rPr>
              <w:t>2025</w:t>
            </w:r>
          </w:p>
        </w:tc>
      </w:tr>
      <w:tr w:rsidR="00A13A53" w14:paraId="53F00436" w14:textId="77777777" w:rsidTr="006C72DC">
        <w:trPr>
          <w:cantSplit/>
        </w:trPr>
        <w:tc>
          <w:tcPr>
            <w:tcW w:w="0" w:type="auto"/>
          </w:tcPr>
          <w:p w14:paraId="33516081" w14:textId="34F5E15D" w:rsidR="00A13A53" w:rsidRPr="00A1389F" w:rsidRDefault="00A13A53" w:rsidP="002F5E07">
            <w:pPr>
              <w:pStyle w:val="Documentsubtitle"/>
            </w:pPr>
          </w:p>
        </w:tc>
      </w:tr>
      <w:tr w:rsidR="00A13A53" w14:paraId="25F51383" w14:textId="77777777" w:rsidTr="006C72DC">
        <w:trPr>
          <w:cantSplit/>
        </w:trPr>
        <w:tc>
          <w:tcPr>
            <w:tcW w:w="0" w:type="auto"/>
          </w:tcPr>
          <w:p w14:paraId="39DE732B" w14:textId="77777777" w:rsidR="00A13A53" w:rsidRDefault="00A13A53" w:rsidP="006C72DC">
            <w:pPr>
              <w:pStyle w:val="Bannermarking"/>
            </w:pPr>
            <w:fldSimple w:instr="FILLIN  &quot;Type the protective marking&quot; \d OFFICIAL \o  \* MERGEFORMAT">
              <w:r>
                <w:t>OFFICIAL</w:t>
              </w:r>
            </w:fldSimple>
          </w:p>
        </w:tc>
      </w:tr>
    </w:tbl>
    <w:p w14:paraId="667C61F2" w14:textId="77777777" w:rsidR="00056EC4" w:rsidRDefault="00E9042A" w:rsidP="00056EC4">
      <w:pPr>
        <w:pStyle w:val="Body"/>
      </w:pPr>
      <w:r>
        <w:rPr>
          <w:noProof/>
        </w:rPr>
        <w:drawing>
          <wp:anchor distT="0" distB="0" distL="114300" distR="114300" simplePos="0" relativeHeight="251658240" behindDoc="1" locked="1" layoutInCell="1" allowOverlap="0" wp14:anchorId="37DAC5F4" wp14:editId="5EE904D8">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p w14:paraId="76E6FEDD"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1525BA6A" w14:textId="39653091" w:rsidR="000D2ABA" w:rsidRDefault="000D2ABA" w:rsidP="00431F42">
      <w:pPr>
        <w:pStyle w:val="Body"/>
      </w:pPr>
    </w:p>
    <w:p w14:paraId="636D28E1"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461B075" w14:textId="77777777" w:rsidTr="00562507">
        <w:trPr>
          <w:cantSplit/>
          <w:trHeight w:val="7088"/>
        </w:trPr>
        <w:tc>
          <w:tcPr>
            <w:tcW w:w="9288" w:type="dxa"/>
          </w:tcPr>
          <w:p w14:paraId="66CA9276" w14:textId="39BD9CE0" w:rsidR="009F2182" w:rsidRPr="00BA26F6" w:rsidRDefault="009F2182" w:rsidP="00BA26F6">
            <w:pPr>
              <w:pStyle w:val="Body"/>
              <w:rPr>
                <w:rFonts w:eastAsia="Times New Roman"/>
                <w:color w:val="87189D"/>
                <w:sz w:val="24"/>
                <w:szCs w:val="24"/>
              </w:rPr>
            </w:pPr>
          </w:p>
        </w:tc>
      </w:tr>
      <w:tr w:rsidR="009F2182" w14:paraId="7F4187CA" w14:textId="77777777" w:rsidTr="00562507">
        <w:trPr>
          <w:cantSplit/>
          <w:trHeight w:val="5103"/>
        </w:trPr>
        <w:tc>
          <w:tcPr>
            <w:tcW w:w="9288" w:type="dxa"/>
            <w:vAlign w:val="bottom"/>
          </w:tcPr>
          <w:p w14:paraId="32BB2816" w14:textId="0A5D046B" w:rsidR="009F2182" w:rsidRPr="0055119B" w:rsidRDefault="009F2182" w:rsidP="009F2182">
            <w:pPr>
              <w:pStyle w:val="Accessibilitypara"/>
            </w:pPr>
            <w:r w:rsidRPr="0055119B">
              <w:t>To receive this document in another format</w:t>
            </w:r>
            <w:r>
              <w:t>,</w:t>
            </w:r>
            <w:r w:rsidRPr="0055119B">
              <w:t xml:space="preserve"> </w:t>
            </w:r>
            <w:r w:rsidR="00661B4D">
              <w:t xml:space="preserve">email </w:t>
            </w:r>
            <w:r w:rsidR="00C9305F">
              <w:t>the Nursing and Midwifery Workforce team &lt;ratios@health.vic.gov.au&gt;</w:t>
            </w:r>
            <w:r w:rsidRPr="0055119B">
              <w:t>.</w:t>
            </w:r>
          </w:p>
          <w:p w14:paraId="50FD9494" w14:textId="77777777" w:rsidR="009F2182" w:rsidRPr="0055119B" w:rsidRDefault="009F2182" w:rsidP="009F2182">
            <w:pPr>
              <w:pStyle w:val="Imprint"/>
            </w:pPr>
            <w:r w:rsidRPr="0055119B">
              <w:t>Authorised and published by the Victorian Government, 1 Treasury Place, Melbourne.</w:t>
            </w:r>
          </w:p>
          <w:p w14:paraId="2B39E1A3" w14:textId="2DFB7317" w:rsidR="009F2182" w:rsidRPr="0055119B" w:rsidRDefault="009F2182" w:rsidP="009F2182">
            <w:pPr>
              <w:pStyle w:val="Imprint"/>
            </w:pPr>
            <w:r w:rsidRPr="0055119B">
              <w:t xml:space="preserve">© State of Victoria, Australia, Department </w:t>
            </w:r>
            <w:r w:rsidRPr="001B058F">
              <w:t xml:space="preserve">of </w:t>
            </w:r>
            <w:r w:rsidR="00D76ECC">
              <w:t>Health</w:t>
            </w:r>
            <w:r w:rsidRPr="0055119B">
              <w:t xml:space="preserve">, </w:t>
            </w:r>
            <w:r w:rsidR="00D32EFC" w:rsidRPr="008F01F0">
              <w:t>April</w:t>
            </w:r>
            <w:r w:rsidRPr="008F01F0">
              <w:t xml:space="preserve"> </w:t>
            </w:r>
            <w:r w:rsidR="00981F3E" w:rsidRPr="008F01F0">
              <w:t>2025</w:t>
            </w:r>
            <w:r w:rsidRPr="0055119B">
              <w:t>.</w:t>
            </w:r>
          </w:p>
          <w:p w14:paraId="33C4693E" w14:textId="3D46779E" w:rsidR="009F2182" w:rsidRPr="0055119B" w:rsidRDefault="00C1793F" w:rsidP="009F2182">
            <w:pPr>
              <w:pStyle w:val="Imprint"/>
            </w:pPr>
            <w:bookmarkStart w:id="0" w:name="_Hlk62746129"/>
            <w:r w:rsidRPr="00C1793F">
              <w:rPr>
                <w:b/>
                <w:bCs/>
              </w:rPr>
              <w:t>ISBN</w:t>
            </w:r>
            <w:r w:rsidRPr="00C1793F">
              <w:t xml:space="preserve"> 978-1-76131-752-1 </w:t>
            </w:r>
            <w:r w:rsidRPr="00C1793F">
              <w:rPr>
                <w:b/>
                <w:bCs/>
              </w:rPr>
              <w:t>(pdf/online/MS word)</w:t>
            </w:r>
          </w:p>
          <w:p w14:paraId="372E1DFF" w14:textId="3D5DBF9B" w:rsidR="009F2182" w:rsidRDefault="009F2182" w:rsidP="00F100DA">
            <w:pPr>
              <w:pStyle w:val="Imprint"/>
            </w:pPr>
            <w:r w:rsidRPr="0055119B">
              <w:t xml:space="preserve">Available at </w:t>
            </w:r>
            <w:hyperlink r:id="rId18" w:history="1">
              <w:r w:rsidR="008F01F0" w:rsidRPr="008F01F0">
                <w:rPr>
                  <w:rStyle w:val="Hyperlink"/>
                </w:rPr>
                <w:t>Nursing and midwifery - legislation and regulation</w:t>
              </w:r>
            </w:hyperlink>
            <w:r w:rsidR="008F01F0">
              <w:t xml:space="preserve"> </w:t>
            </w:r>
            <w:r w:rsidRPr="0055119B">
              <w:t>&lt;</w:t>
            </w:r>
            <w:r w:rsidR="00E20CDF" w:rsidRPr="00E20CDF">
              <w:t>https://www.health.vic.gov.au/nursing-and-midwifery/nursing-and-midwifery-legislation-and-regulation</w:t>
            </w:r>
            <w:r w:rsidRPr="0055119B">
              <w:t>&gt;</w:t>
            </w:r>
            <w:bookmarkEnd w:id="0"/>
          </w:p>
        </w:tc>
      </w:tr>
      <w:tr w:rsidR="0008204A" w14:paraId="69C1819D" w14:textId="77777777" w:rsidTr="0008204A">
        <w:trPr>
          <w:cantSplit/>
        </w:trPr>
        <w:tc>
          <w:tcPr>
            <w:tcW w:w="9288" w:type="dxa"/>
          </w:tcPr>
          <w:p w14:paraId="10034D84" w14:textId="77777777" w:rsidR="0008204A" w:rsidRPr="0055119B" w:rsidRDefault="0008204A" w:rsidP="0008204A">
            <w:pPr>
              <w:pStyle w:val="Body"/>
            </w:pPr>
          </w:p>
        </w:tc>
      </w:tr>
    </w:tbl>
    <w:p w14:paraId="3F965ADF" w14:textId="77777777" w:rsidR="0008204A" w:rsidRPr="0008204A" w:rsidRDefault="0008204A" w:rsidP="0008204A">
      <w:pPr>
        <w:pStyle w:val="Body"/>
      </w:pPr>
      <w:r w:rsidRPr="0008204A">
        <w:br w:type="page"/>
      </w:r>
    </w:p>
    <w:p w14:paraId="0628FA00" w14:textId="77777777" w:rsidR="00AD784C" w:rsidRPr="00B57329" w:rsidRDefault="00AD784C" w:rsidP="002365B4">
      <w:pPr>
        <w:pStyle w:val="TOCheadingreport"/>
      </w:pPr>
      <w:r w:rsidRPr="00B57329">
        <w:lastRenderedPageBreak/>
        <w:t>Contents</w:t>
      </w:r>
    </w:p>
    <w:p w14:paraId="664F1535" w14:textId="7B5252E3" w:rsidR="00975BAC"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94310935" w:history="1">
        <w:r w:rsidR="00975BAC" w:rsidRPr="00122430">
          <w:rPr>
            <w:rStyle w:val="Hyperlink"/>
          </w:rPr>
          <w:t>Definitions</w:t>
        </w:r>
        <w:r w:rsidR="00975BAC">
          <w:rPr>
            <w:webHidden/>
          </w:rPr>
          <w:tab/>
        </w:r>
        <w:r w:rsidR="00975BAC">
          <w:rPr>
            <w:webHidden/>
          </w:rPr>
          <w:fldChar w:fldCharType="begin"/>
        </w:r>
        <w:r w:rsidR="00975BAC">
          <w:rPr>
            <w:webHidden/>
          </w:rPr>
          <w:instrText xml:space="preserve"> PAGEREF _Toc194310935 \h </w:instrText>
        </w:r>
        <w:r w:rsidR="00975BAC">
          <w:rPr>
            <w:webHidden/>
          </w:rPr>
        </w:r>
        <w:r w:rsidR="00975BAC">
          <w:rPr>
            <w:webHidden/>
          </w:rPr>
          <w:fldChar w:fldCharType="separate"/>
        </w:r>
        <w:r w:rsidR="001447F0">
          <w:rPr>
            <w:webHidden/>
          </w:rPr>
          <w:t>4</w:t>
        </w:r>
        <w:r w:rsidR="00975BAC">
          <w:rPr>
            <w:webHidden/>
          </w:rPr>
          <w:fldChar w:fldCharType="end"/>
        </w:r>
      </w:hyperlink>
    </w:p>
    <w:p w14:paraId="02ED76A9" w14:textId="064CCB0A" w:rsidR="00975BAC" w:rsidRDefault="00975BAC">
      <w:pPr>
        <w:pStyle w:val="TOC1"/>
        <w:rPr>
          <w:rFonts w:asciiTheme="minorHAnsi" w:eastAsiaTheme="minorEastAsia" w:hAnsiTheme="minorHAnsi" w:cstheme="minorBidi"/>
          <w:b w:val="0"/>
          <w:kern w:val="2"/>
          <w:sz w:val="24"/>
          <w:szCs w:val="24"/>
          <w:lang w:eastAsia="en-AU"/>
          <w14:ligatures w14:val="standardContextual"/>
        </w:rPr>
      </w:pPr>
      <w:hyperlink w:anchor="_Toc194310936" w:history="1">
        <w:r w:rsidRPr="00122430">
          <w:rPr>
            <w:rStyle w:val="Hyperlink"/>
          </w:rPr>
          <w:t>Purpose</w:t>
        </w:r>
        <w:r>
          <w:rPr>
            <w:webHidden/>
          </w:rPr>
          <w:tab/>
        </w:r>
        <w:r>
          <w:rPr>
            <w:webHidden/>
          </w:rPr>
          <w:fldChar w:fldCharType="begin"/>
        </w:r>
        <w:r>
          <w:rPr>
            <w:webHidden/>
          </w:rPr>
          <w:instrText xml:space="preserve"> PAGEREF _Toc194310936 \h </w:instrText>
        </w:r>
        <w:r>
          <w:rPr>
            <w:webHidden/>
          </w:rPr>
        </w:r>
        <w:r>
          <w:rPr>
            <w:webHidden/>
          </w:rPr>
          <w:fldChar w:fldCharType="separate"/>
        </w:r>
        <w:r w:rsidR="001447F0">
          <w:rPr>
            <w:webHidden/>
          </w:rPr>
          <w:t>4</w:t>
        </w:r>
        <w:r>
          <w:rPr>
            <w:webHidden/>
          </w:rPr>
          <w:fldChar w:fldCharType="end"/>
        </w:r>
      </w:hyperlink>
    </w:p>
    <w:p w14:paraId="6AEDF427" w14:textId="237A5368" w:rsidR="00975BAC" w:rsidRDefault="00975BAC">
      <w:pPr>
        <w:pStyle w:val="TOC1"/>
        <w:rPr>
          <w:rFonts w:asciiTheme="minorHAnsi" w:eastAsiaTheme="minorEastAsia" w:hAnsiTheme="minorHAnsi" w:cstheme="minorBidi"/>
          <w:b w:val="0"/>
          <w:kern w:val="2"/>
          <w:sz w:val="24"/>
          <w:szCs w:val="24"/>
          <w:lang w:eastAsia="en-AU"/>
          <w14:ligatures w14:val="standardContextual"/>
        </w:rPr>
      </w:pPr>
      <w:hyperlink w:anchor="_Toc194310937" w:history="1">
        <w:r w:rsidRPr="00122430">
          <w:rPr>
            <w:rStyle w:val="Hyperlink"/>
          </w:rPr>
          <w:t>Background</w:t>
        </w:r>
        <w:r>
          <w:rPr>
            <w:webHidden/>
          </w:rPr>
          <w:tab/>
        </w:r>
        <w:r>
          <w:rPr>
            <w:webHidden/>
          </w:rPr>
          <w:fldChar w:fldCharType="begin"/>
        </w:r>
        <w:r>
          <w:rPr>
            <w:webHidden/>
          </w:rPr>
          <w:instrText xml:space="preserve"> PAGEREF _Toc194310937 \h </w:instrText>
        </w:r>
        <w:r>
          <w:rPr>
            <w:webHidden/>
          </w:rPr>
        </w:r>
        <w:r>
          <w:rPr>
            <w:webHidden/>
          </w:rPr>
          <w:fldChar w:fldCharType="separate"/>
        </w:r>
        <w:r w:rsidR="001447F0">
          <w:rPr>
            <w:webHidden/>
          </w:rPr>
          <w:t>6</w:t>
        </w:r>
        <w:r>
          <w:rPr>
            <w:webHidden/>
          </w:rPr>
          <w:fldChar w:fldCharType="end"/>
        </w:r>
      </w:hyperlink>
    </w:p>
    <w:p w14:paraId="45BC764E" w14:textId="42035D6E" w:rsidR="00975BAC" w:rsidRDefault="00975BAC">
      <w:pPr>
        <w:pStyle w:val="TOC1"/>
        <w:rPr>
          <w:rFonts w:asciiTheme="minorHAnsi" w:eastAsiaTheme="minorEastAsia" w:hAnsiTheme="minorHAnsi" w:cstheme="minorBidi"/>
          <w:b w:val="0"/>
          <w:kern w:val="2"/>
          <w:sz w:val="24"/>
          <w:szCs w:val="24"/>
          <w:lang w:eastAsia="en-AU"/>
          <w14:ligatures w14:val="standardContextual"/>
        </w:rPr>
      </w:pPr>
      <w:hyperlink w:anchor="_Toc194310938" w:history="1">
        <w:r w:rsidRPr="00122430">
          <w:rPr>
            <w:rStyle w:val="Hyperlink"/>
          </w:rPr>
          <w:t>Scope of the Amendment Bill 2025</w:t>
        </w:r>
        <w:r>
          <w:rPr>
            <w:webHidden/>
          </w:rPr>
          <w:tab/>
        </w:r>
        <w:r>
          <w:rPr>
            <w:webHidden/>
          </w:rPr>
          <w:fldChar w:fldCharType="begin"/>
        </w:r>
        <w:r>
          <w:rPr>
            <w:webHidden/>
          </w:rPr>
          <w:instrText xml:space="preserve"> PAGEREF _Toc194310938 \h </w:instrText>
        </w:r>
        <w:r>
          <w:rPr>
            <w:webHidden/>
          </w:rPr>
        </w:r>
        <w:r>
          <w:rPr>
            <w:webHidden/>
          </w:rPr>
          <w:fldChar w:fldCharType="separate"/>
        </w:r>
        <w:r w:rsidR="001447F0">
          <w:rPr>
            <w:webHidden/>
          </w:rPr>
          <w:t>7</w:t>
        </w:r>
        <w:r>
          <w:rPr>
            <w:webHidden/>
          </w:rPr>
          <w:fldChar w:fldCharType="end"/>
        </w:r>
      </w:hyperlink>
    </w:p>
    <w:p w14:paraId="6A135BBC" w14:textId="00546BF4" w:rsidR="00975BAC" w:rsidRDefault="00975BAC">
      <w:pPr>
        <w:pStyle w:val="TOC2"/>
        <w:rPr>
          <w:rFonts w:asciiTheme="minorHAnsi" w:eastAsiaTheme="minorEastAsia" w:hAnsiTheme="minorHAnsi" w:cstheme="minorBidi"/>
          <w:kern w:val="2"/>
          <w:sz w:val="24"/>
          <w:szCs w:val="24"/>
          <w:lang w:eastAsia="en-AU"/>
          <w14:ligatures w14:val="standardContextual"/>
        </w:rPr>
      </w:pPr>
      <w:hyperlink w:anchor="_Toc194310939" w:history="1">
        <w:r w:rsidRPr="00122430">
          <w:rPr>
            <w:rStyle w:val="Hyperlink"/>
          </w:rPr>
          <w:t>Timing</w:t>
        </w:r>
        <w:r>
          <w:rPr>
            <w:webHidden/>
          </w:rPr>
          <w:tab/>
        </w:r>
        <w:r>
          <w:rPr>
            <w:webHidden/>
          </w:rPr>
          <w:fldChar w:fldCharType="begin"/>
        </w:r>
        <w:r>
          <w:rPr>
            <w:webHidden/>
          </w:rPr>
          <w:instrText xml:space="preserve"> PAGEREF _Toc194310939 \h </w:instrText>
        </w:r>
        <w:r>
          <w:rPr>
            <w:webHidden/>
          </w:rPr>
        </w:r>
        <w:r>
          <w:rPr>
            <w:webHidden/>
          </w:rPr>
          <w:fldChar w:fldCharType="separate"/>
        </w:r>
        <w:r w:rsidR="001447F0">
          <w:rPr>
            <w:webHidden/>
          </w:rPr>
          <w:t>7</w:t>
        </w:r>
        <w:r>
          <w:rPr>
            <w:webHidden/>
          </w:rPr>
          <w:fldChar w:fldCharType="end"/>
        </w:r>
      </w:hyperlink>
    </w:p>
    <w:p w14:paraId="03B32D7E" w14:textId="36D1A203" w:rsidR="00975BAC" w:rsidRDefault="00975BAC">
      <w:pPr>
        <w:pStyle w:val="TOC2"/>
        <w:rPr>
          <w:rFonts w:asciiTheme="minorHAnsi" w:eastAsiaTheme="minorEastAsia" w:hAnsiTheme="minorHAnsi" w:cstheme="minorBidi"/>
          <w:kern w:val="2"/>
          <w:sz w:val="24"/>
          <w:szCs w:val="24"/>
          <w:lang w:eastAsia="en-AU"/>
          <w14:ligatures w14:val="standardContextual"/>
        </w:rPr>
      </w:pPr>
      <w:hyperlink w:anchor="_Toc194310940" w:history="1">
        <w:r w:rsidRPr="00122430">
          <w:rPr>
            <w:rStyle w:val="Hyperlink"/>
          </w:rPr>
          <w:t>Applying the ratios</w:t>
        </w:r>
        <w:r>
          <w:rPr>
            <w:webHidden/>
          </w:rPr>
          <w:tab/>
        </w:r>
        <w:r>
          <w:rPr>
            <w:webHidden/>
          </w:rPr>
          <w:fldChar w:fldCharType="begin"/>
        </w:r>
        <w:r>
          <w:rPr>
            <w:webHidden/>
          </w:rPr>
          <w:instrText xml:space="preserve"> PAGEREF _Toc194310940 \h </w:instrText>
        </w:r>
        <w:r>
          <w:rPr>
            <w:webHidden/>
          </w:rPr>
        </w:r>
        <w:r>
          <w:rPr>
            <w:webHidden/>
          </w:rPr>
          <w:fldChar w:fldCharType="separate"/>
        </w:r>
        <w:r w:rsidR="001447F0">
          <w:rPr>
            <w:webHidden/>
          </w:rPr>
          <w:t>8</w:t>
        </w:r>
        <w:r>
          <w:rPr>
            <w:webHidden/>
          </w:rPr>
          <w:fldChar w:fldCharType="end"/>
        </w:r>
      </w:hyperlink>
    </w:p>
    <w:p w14:paraId="0BE4E75C" w14:textId="1406BB14" w:rsidR="00975BAC" w:rsidRDefault="00975BAC">
      <w:pPr>
        <w:pStyle w:val="TOC2"/>
        <w:rPr>
          <w:rFonts w:asciiTheme="minorHAnsi" w:eastAsiaTheme="minorEastAsia" w:hAnsiTheme="minorHAnsi" w:cstheme="minorBidi"/>
          <w:kern w:val="2"/>
          <w:sz w:val="24"/>
          <w:szCs w:val="24"/>
          <w:lang w:eastAsia="en-AU"/>
          <w14:ligatures w14:val="standardContextual"/>
        </w:rPr>
      </w:pPr>
      <w:hyperlink w:anchor="_Toc194310941" w:history="1">
        <w:r w:rsidRPr="00122430">
          <w:rPr>
            <w:rStyle w:val="Hyperlink"/>
          </w:rPr>
          <w:t>Compliance with ratios</w:t>
        </w:r>
        <w:r>
          <w:rPr>
            <w:webHidden/>
          </w:rPr>
          <w:tab/>
        </w:r>
        <w:r>
          <w:rPr>
            <w:webHidden/>
          </w:rPr>
          <w:fldChar w:fldCharType="begin"/>
        </w:r>
        <w:r>
          <w:rPr>
            <w:webHidden/>
          </w:rPr>
          <w:instrText xml:space="preserve"> PAGEREF _Toc194310941 \h </w:instrText>
        </w:r>
        <w:r>
          <w:rPr>
            <w:webHidden/>
          </w:rPr>
        </w:r>
        <w:r>
          <w:rPr>
            <w:webHidden/>
          </w:rPr>
          <w:fldChar w:fldCharType="separate"/>
        </w:r>
        <w:r w:rsidR="001447F0">
          <w:rPr>
            <w:webHidden/>
          </w:rPr>
          <w:t>10</w:t>
        </w:r>
        <w:r>
          <w:rPr>
            <w:webHidden/>
          </w:rPr>
          <w:fldChar w:fldCharType="end"/>
        </w:r>
      </w:hyperlink>
    </w:p>
    <w:p w14:paraId="678C6AD1" w14:textId="7AF9E3AF" w:rsidR="00975BAC" w:rsidRDefault="00975BAC">
      <w:pPr>
        <w:pStyle w:val="TOC1"/>
        <w:rPr>
          <w:rFonts w:asciiTheme="minorHAnsi" w:eastAsiaTheme="minorEastAsia" w:hAnsiTheme="minorHAnsi" w:cstheme="minorBidi"/>
          <w:b w:val="0"/>
          <w:kern w:val="2"/>
          <w:sz w:val="24"/>
          <w:szCs w:val="24"/>
          <w:lang w:eastAsia="en-AU"/>
          <w14:ligatures w14:val="standardContextual"/>
        </w:rPr>
      </w:pPr>
      <w:hyperlink w:anchor="_Toc194310942" w:history="1">
        <w:r w:rsidRPr="00122430">
          <w:rPr>
            <w:rStyle w:val="Hyperlink"/>
          </w:rPr>
          <w:t>Funding</w:t>
        </w:r>
        <w:r>
          <w:rPr>
            <w:webHidden/>
          </w:rPr>
          <w:tab/>
        </w:r>
        <w:r>
          <w:rPr>
            <w:webHidden/>
          </w:rPr>
          <w:fldChar w:fldCharType="begin"/>
        </w:r>
        <w:r>
          <w:rPr>
            <w:webHidden/>
          </w:rPr>
          <w:instrText xml:space="preserve"> PAGEREF _Toc194310942 \h </w:instrText>
        </w:r>
        <w:r>
          <w:rPr>
            <w:webHidden/>
          </w:rPr>
        </w:r>
        <w:r>
          <w:rPr>
            <w:webHidden/>
          </w:rPr>
          <w:fldChar w:fldCharType="separate"/>
        </w:r>
        <w:r w:rsidR="001447F0">
          <w:rPr>
            <w:webHidden/>
          </w:rPr>
          <w:t>13</w:t>
        </w:r>
        <w:r>
          <w:rPr>
            <w:webHidden/>
          </w:rPr>
          <w:fldChar w:fldCharType="end"/>
        </w:r>
      </w:hyperlink>
    </w:p>
    <w:p w14:paraId="10EACF30" w14:textId="30B38A99" w:rsidR="00975BAC" w:rsidRDefault="00975BAC">
      <w:pPr>
        <w:pStyle w:val="TOC1"/>
        <w:rPr>
          <w:rFonts w:asciiTheme="minorHAnsi" w:eastAsiaTheme="minorEastAsia" w:hAnsiTheme="minorHAnsi" w:cstheme="minorBidi"/>
          <w:b w:val="0"/>
          <w:kern w:val="2"/>
          <w:sz w:val="24"/>
          <w:szCs w:val="24"/>
          <w:lang w:eastAsia="en-AU"/>
          <w14:ligatures w14:val="standardContextual"/>
        </w:rPr>
      </w:pPr>
      <w:hyperlink w:anchor="_Toc194310943" w:history="1">
        <w:r w:rsidRPr="00122430">
          <w:rPr>
            <w:rStyle w:val="Hyperlink"/>
          </w:rPr>
          <w:t>Reporting requirements</w:t>
        </w:r>
        <w:r>
          <w:rPr>
            <w:webHidden/>
          </w:rPr>
          <w:tab/>
        </w:r>
        <w:r>
          <w:rPr>
            <w:webHidden/>
          </w:rPr>
          <w:fldChar w:fldCharType="begin"/>
        </w:r>
        <w:r>
          <w:rPr>
            <w:webHidden/>
          </w:rPr>
          <w:instrText xml:space="preserve"> PAGEREF _Toc194310943 \h </w:instrText>
        </w:r>
        <w:r>
          <w:rPr>
            <w:webHidden/>
          </w:rPr>
        </w:r>
        <w:r>
          <w:rPr>
            <w:webHidden/>
          </w:rPr>
          <w:fldChar w:fldCharType="separate"/>
        </w:r>
        <w:r w:rsidR="001447F0">
          <w:rPr>
            <w:webHidden/>
          </w:rPr>
          <w:t>13</w:t>
        </w:r>
        <w:r>
          <w:rPr>
            <w:webHidden/>
          </w:rPr>
          <w:fldChar w:fldCharType="end"/>
        </w:r>
      </w:hyperlink>
    </w:p>
    <w:p w14:paraId="1B1B1033" w14:textId="05465402" w:rsidR="00975BAC" w:rsidRDefault="00975BAC">
      <w:pPr>
        <w:pStyle w:val="TOC2"/>
        <w:rPr>
          <w:rFonts w:asciiTheme="minorHAnsi" w:eastAsiaTheme="minorEastAsia" w:hAnsiTheme="minorHAnsi" w:cstheme="minorBidi"/>
          <w:kern w:val="2"/>
          <w:sz w:val="24"/>
          <w:szCs w:val="24"/>
          <w:lang w:eastAsia="en-AU"/>
          <w14:ligatures w14:val="standardContextual"/>
        </w:rPr>
      </w:pPr>
      <w:hyperlink w:anchor="_Toc194310944" w:history="1">
        <w:r w:rsidRPr="00122430">
          <w:rPr>
            <w:rStyle w:val="Hyperlink"/>
          </w:rPr>
          <w:t>Nominate and publish details of mixed wards</w:t>
        </w:r>
        <w:r>
          <w:rPr>
            <w:webHidden/>
          </w:rPr>
          <w:tab/>
        </w:r>
        <w:r>
          <w:rPr>
            <w:webHidden/>
          </w:rPr>
          <w:fldChar w:fldCharType="begin"/>
        </w:r>
        <w:r>
          <w:rPr>
            <w:webHidden/>
          </w:rPr>
          <w:instrText xml:space="preserve"> PAGEREF _Toc194310944 \h </w:instrText>
        </w:r>
        <w:r>
          <w:rPr>
            <w:webHidden/>
          </w:rPr>
        </w:r>
        <w:r>
          <w:rPr>
            <w:webHidden/>
          </w:rPr>
          <w:fldChar w:fldCharType="separate"/>
        </w:r>
        <w:r w:rsidR="001447F0">
          <w:rPr>
            <w:webHidden/>
          </w:rPr>
          <w:t>13</w:t>
        </w:r>
        <w:r>
          <w:rPr>
            <w:webHidden/>
          </w:rPr>
          <w:fldChar w:fldCharType="end"/>
        </w:r>
      </w:hyperlink>
    </w:p>
    <w:p w14:paraId="78492AFF" w14:textId="174EE47B" w:rsidR="00975BAC" w:rsidRDefault="00975BAC">
      <w:pPr>
        <w:pStyle w:val="TOC2"/>
        <w:rPr>
          <w:rFonts w:asciiTheme="minorHAnsi" w:eastAsiaTheme="minorEastAsia" w:hAnsiTheme="minorHAnsi" w:cstheme="minorBidi"/>
          <w:kern w:val="2"/>
          <w:sz w:val="24"/>
          <w:szCs w:val="24"/>
          <w:lang w:eastAsia="en-AU"/>
          <w14:ligatures w14:val="standardContextual"/>
        </w:rPr>
      </w:pPr>
      <w:hyperlink w:anchor="_Toc194310945" w:history="1">
        <w:r w:rsidRPr="00122430">
          <w:rPr>
            <w:rStyle w:val="Hyperlink"/>
          </w:rPr>
          <w:t>Compliance reporting</w:t>
        </w:r>
        <w:r>
          <w:rPr>
            <w:webHidden/>
          </w:rPr>
          <w:tab/>
        </w:r>
        <w:r>
          <w:rPr>
            <w:webHidden/>
          </w:rPr>
          <w:fldChar w:fldCharType="begin"/>
        </w:r>
        <w:r>
          <w:rPr>
            <w:webHidden/>
          </w:rPr>
          <w:instrText xml:space="preserve"> PAGEREF _Toc194310945 \h </w:instrText>
        </w:r>
        <w:r>
          <w:rPr>
            <w:webHidden/>
          </w:rPr>
        </w:r>
        <w:r>
          <w:rPr>
            <w:webHidden/>
          </w:rPr>
          <w:fldChar w:fldCharType="separate"/>
        </w:r>
        <w:r w:rsidR="001447F0">
          <w:rPr>
            <w:webHidden/>
          </w:rPr>
          <w:t>13</w:t>
        </w:r>
        <w:r>
          <w:rPr>
            <w:webHidden/>
          </w:rPr>
          <w:fldChar w:fldCharType="end"/>
        </w:r>
      </w:hyperlink>
    </w:p>
    <w:p w14:paraId="2A037ADD" w14:textId="3EC13164" w:rsidR="00975BAC" w:rsidRDefault="00975BAC">
      <w:pPr>
        <w:pStyle w:val="TOC1"/>
        <w:rPr>
          <w:rFonts w:asciiTheme="minorHAnsi" w:eastAsiaTheme="minorEastAsia" w:hAnsiTheme="minorHAnsi" w:cstheme="minorBidi"/>
          <w:b w:val="0"/>
          <w:kern w:val="2"/>
          <w:sz w:val="24"/>
          <w:szCs w:val="24"/>
          <w:lang w:eastAsia="en-AU"/>
          <w14:ligatures w14:val="standardContextual"/>
        </w:rPr>
      </w:pPr>
      <w:hyperlink w:anchor="_Toc194310946" w:history="1">
        <w:r w:rsidRPr="00122430">
          <w:rPr>
            <w:rStyle w:val="Hyperlink"/>
          </w:rPr>
          <w:t>Safe Patient Care (Nurse to Patient and Midwife to Patient Ratios) Regulations 2015</w:t>
        </w:r>
        <w:r>
          <w:rPr>
            <w:webHidden/>
          </w:rPr>
          <w:tab/>
        </w:r>
        <w:r>
          <w:rPr>
            <w:webHidden/>
          </w:rPr>
          <w:fldChar w:fldCharType="begin"/>
        </w:r>
        <w:r>
          <w:rPr>
            <w:webHidden/>
          </w:rPr>
          <w:instrText xml:space="preserve"> PAGEREF _Toc194310946 \h </w:instrText>
        </w:r>
        <w:r>
          <w:rPr>
            <w:webHidden/>
          </w:rPr>
        </w:r>
        <w:r>
          <w:rPr>
            <w:webHidden/>
          </w:rPr>
          <w:fldChar w:fldCharType="separate"/>
        </w:r>
        <w:r w:rsidR="001447F0">
          <w:rPr>
            <w:webHidden/>
          </w:rPr>
          <w:t>14</w:t>
        </w:r>
        <w:r>
          <w:rPr>
            <w:webHidden/>
          </w:rPr>
          <w:fldChar w:fldCharType="end"/>
        </w:r>
      </w:hyperlink>
    </w:p>
    <w:p w14:paraId="628D3E6F" w14:textId="0A7D498F" w:rsidR="00975BAC" w:rsidRDefault="00975BAC">
      <w:pPr>
        <w:pStyle w:val="TOC1"/>
        <w:rPr>
          <w:rFonts w:asciiTheme="minorHAnsi" w:eastAsiaTheme="minorEastAsia" w:hAnsiTheme="minorHAnsi" w:cstheme="minorBidi"/>
          <w:b w:val="0"/>
          <w:kern w:val="2"/>
          <w:sz w:val="24"/>
          <w:szCs w:val="24"/>
          <w:lang w:eastAsia="en-AU"/>
          <w14:ligatures w14:val="standardContextual"/>
        </w:rPr>
      </w:pPr>
      <w:hyperlink w:anchor="_Toc194310947" w:history="1">
        <w:r w:rsidRPr="00122430">
          <w:rPr>
            <w:rStyle w:val="Hyperlink"/>
          </w:rPr>
          <w:t>Further information</w:t>
        </w:r>
        <w:r>
          <w:rPr>
            <w:webHidden/>
          </w:rPr>
          <w:tab/>
        </w:r>
        <w:r>
          <w:rPr>
            <w:webHidden/>
          </w:rPr>
          <w:fldChar w:fldCharType="begin"/>
        </w:r>
        <w:r>
          <w:rPr>
            <w:webHidden/>
          </w:rPr>
          <w:instrText xml:space="preserve"> PAGEREF _Toc194310947 \h </w:instrText>
        </w:r>
        <w:r>
          <w:rPr>
            <w:webHidden/>
          </w:rPr>
        </w:r>
        <w:r>
          <w:rPr>
            <w:webHidden/>
          </w:rPr>
          <w:fldChar w:fldCharType="separate"/>
        </w:r>
        <w:r w:rsidR="001447F0">
          <w:rPr>
            <w:webHidden/>
          </w:rPr>
          <w:t>14</w:t>
        </w:r>
        <w:r>
          <w:rPr>
            <w:webHidden/>
          </w:rPr>
          <w:fldChar w:fldCharType="end"/>
        </w:r>
      </w:hyperlink>
    </w:p>
    <w:p w14:paraId="5FA11378" w14:textId="37BE0B84" w:rsidR="00975BAC" w:rsidRDefault="00975BAC">
      <w:pPr>
        <w:pStyle w:val="TOC1"/>
        <w:rPr>
          <w:rFonts w:asciiTheme="minorHAnsi" w:eastAsiaTheme="minorEastAsia" w:hAnsiTheme="minorHAnsi" w:cstheme="minorBidi"/>
          <w:b w:val="0"/>
          <w:kern w:val="2"/>
          <w:sz w:val="24"/>
          <w:szCs w:val="24"/>
          <w:lang w:eastAsia="en-AU"/>
          <w14:ligatures w14:val="standardContextual"/>
        </w:rPr>
      </w:pPr>
      <w:hyperlink w:anchor="_Toc194310948" w:history="1">
        <w:r w:rsidRPr="00122430">
          <w:rPr>
            <w:rStyle w:val="Hyperlink"/>
          </w:rPr>
          <w:t>Appendix A – Applicable health services</w:t>
        </w:r>
        <w:r>
          <w:rPr>
            <w:webHidden/>
          </w:rPr>
          <w:tab/>
        </w:r>
        <w:r>
          <w:rPr>
            <w:webHidden/>
          </w:rPr>
          <w:fldChar w:fldCharType="begin"/>
        </w:r>
        <w:r>
          <w:rPr>
            <w:webHidden/>
          </w:rPr>
          <w:instrText xml:space="preserve"> PAGEREF _Toc194310948 \h </w:instrText>
        </w:r>
        <w:r>
          <w:rPr>
            <w:webHidden/>
          </w:rPr>
        </w:r>
        <w:r>
          <w:rPr>
            <w:webHidden/>
          </w:rPr>
          <w:fldChar w:fldCharType="separate"/>
        </w:r>
        <w:r w:rsidR="001447F0">
          <w:rPr>
            <w:webHidden/>
          </w:rPr>
          <w:t>15</w:t>
        </w:r>
        <w:r>
          <w:rPr>
            <w:webHidden/>
          </w:rPr>
          <w:fldChar w:fldCharType="end"/>
        </w:r>
      </w:hyperlink>
    </w:p>
    <w:p w14:paraId="4174D90E" w14:textId="122DC0DB" w:rsidR="00975BAC" w:rsidRDefault="00975BAC">
      <w:pPr>
        <w:pStyle w:val="TOC2"/>
        <w:rPr>
          <w:rFonts w:asciiTheme="minorHAnsi" w:eastAsiaTheme="minorEastAsia" w:hAnsiTheme="minorHAnsi" w:cstheme="minorBidi"/>
          <w:kern w:val="2"/>
          <w:sz w:val="24"/>
          <w:szCs w:val="24"/>
          <w:lang w:eastAsia="en-AU"/>
          <w14:ligatures w14:val="standardContextual"/>
        </w:rPr>
      </w:pPr>
      <w:hyperlink w:anchor="_Toc194310949" w:history="1">
        <w:r w:rsidRPr="00122430">
          <w:rPr>
            <w:rStyle w:val="Hyperlink"/>
          </w:rPr>
          <w:t>Intensive care unit ratios</w:t>
        </w:r>
        <w:r>
          <w:rPr>
            <w:webHidden/>
          </w:rPr>
          <w:tab/>
        </w:r>
        <w:r>
          <w:rPr>
            <w:webHidden/>
          </w:rPr>
          <w:fldChar w:fldCharType="begin"/>
        </w:r>
        <w:r>
          <w:rPr>
            <w:webHidden/>
          </w:rPr>
          <w:instrText xml:space="preserve"> PAGEREF _Toc194310949 \h </w:instrText>
        </w:r>
        <w:r>
          <w:rPr>
            <w:webHidden/>
          </w:rPr>
        </w:r>
        <w:r>
          <w:rPr>
            <w:webHidden/>
          </w:rPr>
          <w:fldChar w:fldCharType="separate"/>
        </w:r>
        <w:r w:rsidR="001447F0">
          <w:rPr>
            <w:webHidden/>
          </w:rPr>
          <w:t>15</w:t>
        </w:r>
        <w:r>
          <w:rPr>
            <w:webHidden/>
          </w:rPr>
          <w:fldChar w:fldCharType="end"/>
        </w:r>
      </w:hyperlink>
    </w:p>
    <w:p w14:paraId="3AB7CE98" w14:textId="0B6E2003" w:rsidR="00975BAC" w:rsidRDefault="00975BAC">
      <w:pPr>
        <w:pStyle w:val="TOC2"/>
        <w:rPr>
          <w:rFonts w:asciiTheme="minorHAnsi" w:eastAsiaTheme="minorEastAsia" w:hAnsiTheme="minorHAnsi" w:cstheme="minorBidi"/>
          <w:kern w:val="2"/>
          <w:sz w:val="24"/>
          <w:szCs w:val="24"/>
          <w:lang w:eastAsia="en-AU"/>
          <w14:ligatures w14:val="standardContextual"/>
        </w:rPr>
      </w:pPr>
      <w:hyperlink w:anchor="_Toc194310950" w:history="1">
        <w:r w:rsidRPr="00122430">
          <w:rPr>
            <w:rStyle w:val="Hyperlink"/>
          </w:rPr>
          <w:t>Emergency department ratios</w:t>
        </w:r>
        <w:r>
          <w:rPr>
            <w:webHidden/>
          </w:rPr>
          <w:tab/>
        </w:r>
        <w:r>
          <w:rPr>
            <w:webHidden/>
          </w:rPr>
          <w:fldChar w:fldCharType="begin"/>
        </w:r>
        <w:r>
          <w:rPr>
            <w:webHidden/>
          </w:rPr>
          <w:instrText xml:space="preserve"> PAGEREF _Toc194310950 \h </w:instrText>
        </w:r>
        <w:r>
          <w:rPr>
            <w:webHidden/>
          </w:rPr>
        </w:r>
        <w:r>
          <w:rPr>
            <w:webHidden/>
          </w:rPr>
          <w:fldChar w:fldCharType="separate"/>
        </w:r>
        <w:r w:rsidR="001447F0">
          <w:rPr>
            <w:webHidden/>
          </w:rPr>
          <w:t>16</w:t>
        </w:r>
        <w:r>
          <w:rPr>
            <w:webHidden/>
          </w:rPr>
          <w:fldChar w:fldCharType="end"/>
        </w:r>
      </w:hyperlink>
    </w:p>
    <w:p w14:paraId="387D7543" w14:textId="086856F4" w:rsidR="00975BAC" w:rsidRDefault="00975BAC">
      <w:pPr>
        <w:pStyle w:val="TOC2"/>
        <w:rPr>
          <w:rFonts w:asciiTheme="minorHAnsi" w:eastAsiaTheme="minorEastAsia" w:hAnsiTheme="minorHAnsi" w:cstheme="minorBidi"/>
          <w:kern w:val="2"/>
          <w:sz w:val="24"/>
          <w:szCs w:val="24"/>
          <w:lang w:eastAsia="en-AU"/>
          <w14:ligatures w14:val="standardContextual"/>
        </w:rPr>
      </w:pPr>
      <w:hyperlink w:anchor="_Toc194310951" w:history="1">
        <w:r w:rsidRPr="00122430">
          <w:rPr>
            <w:rStyle w:val="Hyperlink"/>
          </w:rPr>
          <w:t>Midwifery ratios</w:t>
        </w:r>
        <w:r>
          <w:rPr>
            <w:webHidden/>
          </w:rPr>
          <w:tab/>
        </w:r>
        <w:r>
          <w:rPr>
            <w:webHidden/>
          </w:rPr>
          <w:fldChar w:fldCharType="begin"/>
        </w:r>
        <w:r>
          <w:rPr>
            <w:webHidden/>
          </w:rPr>
          <w:instrText xml:space="preserve"> PAGEREF _Toc194310951 \h </w:instrText>
        </w:r>
        <w:r>
          <w:rPr>
            <w:webHidden/>
          </w:rPr>
        </w:r>
        <w:r>
          <w:rPr>
            <w:webHidden/>
          </w:rPr>
          <w:fldChar w:fldCharType="separate"/>
        </w:r>
        <w:r w:rsidR="001447F0">
          <w:rPr>
            <w:webHidden/>
          </w:rPr>
          <w:t>16</w:t>
        </w:r>
        <w:r>
          <w:rPr>
            <w:webHidden/>
          </w:rPr>
          <w:fldChar w:fldCharType="end"/>
        </w:r>
      </w:hyperlink>
    </w:p>
    <w:p w14:paraId="40084F3A" w14:textId="1917E7E3" w:rsidR="00975BAC" w:rsidRDefault="00975BAC">
      <w:pPr>
        <w:pStyle w:val="TOC2"/>
        <w:rPr>
          <w:rFonts w:asciiTheme="minorHAnsi" w:eastAsiaTheme="minorEastAsia" w:hAnsiTheme="minorHAnsi" w:cstheme="minorBidi"/>
          <w:kern w:val="2"/>
          <w:sz w:val="24"/>
          <w:szCs w:val="24"/>
          <w:lang w:eastAsia="en-AU"/>
          <w14:ligatures w14:val="standardContextual"/>
        </w:rPr>
      </w:pPr>
      <w:hyperlink w:anchor="_Toc194310952" w:history="1">
        <w:r w:rsidRPr="00122430">
          <w:rPr>
            <w:rStyle w:val="Hyperlink"/>
          </w:rPr>
          <w:t>Standalone High Dependency Units and Coronary Care Unit ratios</w:t>
        </w:r>
        <w:r>
          <w:rPr>
            <w:webHidden/>
          </w:rPr>
          <w:tab/>
        </w:r>
        <w:r>
          <w:rPr>
            <w:webHidden/>
          </w:rPr>
          <w:fldChar w:fldCharType="begin"/>
        </w:r>
        <w:r>
          <w:rPr>
            <w:webHidden/>
          </w:rPr>
          <w:instrText xml:space="preserve"> PAGEREF _Toc194310952 \h </w:instrText>
        </w:r>
        <w:r>
          <w:rPr>
            <w:webHidden/>
          </w:rPr>
        </w:r>
        <w:r>
          <w:rPr>
            <w:webHidden/>
          </w:rPr>
          <w:fldChar w:fldCharType="separate"/>
        </w:r>
        <w:r w:rsidR="001447F0">
          <w:rPr>
            <w:webHidden/>
          </w:rPr>
          <w:t>18</w:t>
        </w:r>
        <w:r>
          <w:rPr>
            <w:webHidden/>
          </w:rPr>
          <w:fldChar w:fldCharType="end"/>
        </w:r>
      </w:hyperlink>
    </w:p>
    <w:p w14:paraId="19D42D47" w14:textId="1C707B7D" w:rsidR="00975BAC" w:rsidRDefault="00975BAC">
      <w:pPr>
        <w:pStyle w:val="TOC1"/>
        <w:rPr>
          <w:rFonts w:asciiTheme="minorHAnsi" w:eastAsiaTheme="minorEastAsia" w:hAnsiTheme="minorHAnsi" w:cstheme="minorBidi"/>
          <w:b w:val="0"/>
          <w:kern w:val="2"/>
          <w:sz w:val="24"/>
          <w:szCs w:val="24"/>
          <w:lang w:eastAsia="en-AU"/>
          <w14:ligatures w14:val="standardContextual"/>
        </w:rPr>
      </w:pPr>
      <w:hyperlink w:anchor="_Toc194310953" w:history="1">
        <w:r w:rsidRPr="00122430">
          <w:rPr>
            <w:rStyle w:val="Hyperlink"/>
          </w:rPr>
          <w:t>Appendix B - Hospital names updated in the Principal Act</w:t>
        </w:r>
        <w:r>
          <w:rPr>
            <w:webHidden/>
          </w:rPr>
          <w:tab/>
        </w:r>
        <w:r>
          <w:rPr>
            <w:webHidden/>
          </w:rPr>
          <w:fldChar w:fldCharType="begin"/>
        </w:r>
        <w:r>
          <w:rPr>
            <w:webHidden/>
          </w:rPr>
          <w:instrText xml:space="preserve"> PAGEREF _Toc194310953 \h </w:instrText>
        </w:r>
        <w:r>
          <w:rPr>
            <w:webHidden/>
          </w:rPr>
        </w:r>
        <w:r>
          <w:rPr>
            <w:webHidden/>
          </w:rPr>
          <w:fldChar w:fldCharType="separate"/>
        </w:r>
        <w:r w:rsidR="001447F0">
          <w:rPr>
            <w:webHidden/>
          </w:rPr>
          <w:t>19</w:t>
        </w:r>
        <w:r>
          <w:rPr>
            <w:webHidden/>
          </w:rPr>
          <w:fldChar w:fldCharType="end"/>
        </w:r>
      </w:hyperlink>
    </w:p>
    <w:p w14:paraId="7BD9C206" w14:textId="462CA6B2" w:rsidR="00975BAC" w:rsidRDefault="00975BAC">
      <w:pPr>
        <w:pStyle w:val="TOC2"/>
        <w:rPr>
          <w:rFonts w:asciiTheme="minorHAnsi" w:eastAsiaTheme="minorEastAsia" w:hAnsiTheme="minorHAnsi" w:cstheme="minorBidi"/>
          <w:kern w:val="2"/>
          <w:sz w:val="24"/>
          <w:szCs w:val="24"/>
          <w:lang w:eastAsia="en-AU"/>
          <w14:ligatures w14:val="standardContextual"/>
        </w:rPr>
      </w:pPr>
      <w:hyperlink w:anchor="_Toc194310954" w:history="1">
        <w:r w:rsidRPr="00122430">
          <w:rPr>
            <w:rStyle w:val="Hyperlink"/>
          </w:rPr>
          <w:t>High dependency units</w:t>
        </w:r>
        <w:r>
          <w:rPr>
            <w:webHidden/>
          </w:rPr>
          <w:tab/>
        </w:r>
        <w:r>
          <w:rPr>
            <w:webHidden/>
          </w:rPr>
          <w:fldChar w:fldCharType="begin"/>
        </w:r>
        <w:r>
          <w:rPr>
            <w:webHidden/>
          </w:rPr>
          <w:instrText xml:space="preserve"> PAGEREF _Toc194310954 \h </w:instrText>
        </w:r>
        <w:r>
          <w:rPr>
            <w:webHidden/>
          </w:rPr>
        </w:r>
        <w:r>
          <w:rPr>
            <w:webHidden/>
          </w:rPr>
          <w:fldChar w:fldCharType="separate"/>
        </w:r>
        <w:r w:rsidR="001447F0">
          <w:rPr>
            <w:webHidden/>
          </w:rPr>
          <w:t>19</w:t>
        </w:r>
        <w:r>
          <w:rPr>
            <w:webHidden/>
          </w:rPr>
          <w:fldChar w:fldCharType="end"/>
        </w:r>
      </w:hyperlink>
    </w:p>
    <w:p w14:paraId="6BF55A16" w14:textId="3E2D5F5B" w:rsidR="00975BAC" w:rsidRDefault="00975BAC">
      <w:pPr>
        <w:pStyle w:val="TOC2"/>
        <w:rPr>
          <w:rFonts w:asciiTheme="minorHAnsi" w:eastAsiaTheme="minorEastAsia" w:hAnsiTheme="minorHAnsi" w:cstheme="minorBidi"/>
          <w:kern w:val="2"/>
          <w:sz w:val="24"/>
          <w:szCs w:val="24"/>
          <w:lang w:eastAsia="en-AU"/>
          <w14:ligatures w14:val="standardContextual"/>
        </w:rPr>
      </w:pPr>
      <w:hyperlink w:anchor="_Toc194310955" w:history="1">
        <w:r w:rsidRPr="00122430">
          <w:rPr>
            <w:rStyle w:val="Hyperlink"/>
          </w:rPr>
          <w:t>Schedule 1—Level 1, 2 and 3 hospitals</w:t>
        </w:r>
        <w:r>
          <w:rPr>
            <w:webHidden/>
          </w:rPr>
          <w:tab/>
        </w:r>
        <w:r>
          <w:rPr>
            <w:webHidden/>
          </w:rPr>
          <w:fldChar w:fldCharType="begin"/>
        </w:r>
        <w:r>
          <w:rPr>
            <w:webHidden/>
          </w:rPr>
          <w:instrText xml:space="preserve"> PAGEREF _Toc194310955 \h </w:instrText>
        </w:r>
        <w:r>
          <w:rPr>
            <w:webHidden/>
          </w:rPr>
        </w:r>
        <w:r>
          <w:rPr>
            <w:webHidden/>
          </w:rPr>
          <w:fldChar w:fldCharType="separate"/>
        </w:r>
        <w:r w:rsidR="001447F0">
          <w:rPr>
            <w:webHidden/>
          </w:rPr>
          <w:t>19</w:t>
        </w:r>
        <w:r>
          <w:rPr>
            <w:webHidden/>
          </w:rPr>
          <w:fldChar w:fldCharType="end"/>
        </w:r>
      </w:hyperlink>
    </w:p>
    <w:p w14:paraId="3E8DEC36" w14:textId="1599B97A" w:rsidR="00975BAC" w:rsidRDefault="00975BAC">
      <w:pPr>
        <w:pStyle w:val="TOC2"/>
        <w:rPr>
          <w:rFonts w:asciiTheme="minorHAnsi" w:eastAsiaTheme="minorEastAsia" w:hAnsiTheme="minorHAnsi" w:cstheme="minorBidi"/>
          <w:kern w:val="2"/>
          <w:sz w:val="24"/>
          <w:szCs w:val="24"/>
          <w:lang w:eastAsia="en-AU"/>
          <w14:ligatures w14:val="standardContextual"/>
        </w:rPr>
      </w:pPr>
      <w:hyperlink w:anchor="_Toc194310956" w:history="1">
        <w:r w:rsidRPr="00122430">
          <w:rPr>
            <w:rStyle w:val="Hyperlink"/>
          </w:rPr>
          <w:t>Schedule 2—Hospitals not restricted in use of enrolled nurses</w:t>
        </w:r>
        <w:r>
          <w:rPr>
            <w:webHidden/>
          </w:rPr>
          <w:tab/>
        </w:r>
        <w:r>
          <w:rPr>
            <w:webHidden/>
          </w:rPr>
          <w:fldChar w:fldCharType="begin"/>
        </w:r>
        <w:r>
          <w:rPr>
            <w:webHidden/>
          </w:rPr>
          <w:instrText xml:space="preserve"> PAGEREF _Toc194310956 \h </w:instrText>
        </w:r>
        <w:r>
          <w:rPr>
            <w:webHidden/>
          </w:rPr>
        </w:r>
        <w:r>
          <w:rPr>
            <w:webHidden/>
          </w:rPr>
          <w:fldChar w:fldCharType="separate"/>
        </w:r>
        <w:r w:rsidR="001447F0">
          <w:rPr>
            <w:webHidden/>
          </w:rPr>
          <w:t>19</w:t>
        </w:r>
        <w:r>
          <w:rPr>
            <w:webHidden/>
          </w:rPr>
          <w:fldChar w:fldCharType="end"/>
        </w:r>
      </w:hyperlink>
    </w:p>
    <w:p w14:paraId="65ABB4F2" w14:textId="0B57385E" w:rsidR="00975BAC" w:rsidRDefault="00975BAC">
      <w:pPr>
        <w:pStyle w:val="TOC2"/>
        <w:rPr>
          <w:rFonts w:asciiTheme="minorHAnsi" w:eastAsiaTheme="minorEastAsia" w:hAnsiTheme="minorHAnsi" w:cstheme="minorBidi"/>
          <w:kern w:val="2"/>
          <w:sz w:val="24"/>
          <w:szCs w:val="24"/>
          <w:lang w:eastAsia="en-AU"/>
          <w14:ligatures w14:val="standardContextual"/>
        </w:rPr>
      </w:pPr>
      <w:hyperlink w:anchor="_Toc194310957" w:history="1">
        <w:r w:rsidRPr="00122430">
          <w:rPr>
            <w:rStyle w:val="Hyperlink"/>
            <w:bCs/>
          </w:rPr>
          <w:t>Schedule 3—Categories of hospitals for emergency department ratios</w:t>
        </w:r>
        <w:r>
          <w:rPr>
            <w:webHidden/>
          </w:rPr>
          <w:tab/>
        </w:r>
        <w:r>
          <w:rPr>
            <w:webHidden/>
          </w:rPr>
          <w:fldChar w:fldCharType="begin"/>
        </w:r>
        <w:r>
          <w:rPr>
            <w:webHidden/>
          </w:rPr>
          <w:instrText xml:space="preserve"> PAGEREF _Toc194310957 \h </w:instrText>
        </w:r>
        <w:r>
          <w:rPr>
            <w:webHidden/>
          </w:rPr>
        </w:r>
        <w:r>
          <w:rPr>
            <w:webHidden/>
          </w:rPr>
          <w:fldChar w:fldCharType="separate"/>
        </w:r>
        <w:r w:rsidR="001447F0">
          <w:rPr>
            <w:webHidden/>
          </w:rPr>
          <w:t>20</w:t>
        </w:r>
        <w:r>
          <w:rPr>
            <w:webHidden/>
          </w:rPr>
          <w:fldChar w:fldCharType="end"/>
        </w:r>
      </w:hyperlink>
    </w:p>
    <w:p w14:paraId="0749A63F" w14:textId="02C4FA93" w:rsidR="00975BAC" w:rsidRDefault="00975BAC">
      <w:pPr>
        <w:pStyle w:val="TOC1"/>
        <w:rPr>
          <w:rFonts w:asciiTheme="minorHAnsi" w:eastAsiaTheme="minorEastAsia" w:hAnsiTheme="minorHAnsi" w:cstheme="minorBidi"/>
          <w:b w:val="0"/>
          <w:kern w:val="2"/>
          <w:sz w:val="24"/>
          <w:szCs w:val="24"/>
          <w:lang w:eastAsia="en-AU"/>
          <w14:ligatures w14:val="standardContextual"/>
        </w:rPr>
      </w:pPr>
      <w:hyperlink w:anchor="_Toc194310958" w:history="1">
        <w:r w:rsidRPr="00122430">
          <w:rPr>
            <w:rStyle w:val="Hyperlink"/>
          </w:rPr>
          <w:t>Appendix C – Rostering e</w:t>
        </w:r>
        <w:r w:rsidRPr="00122430">
          <w:rPr>
            <w:rStyle w:val="Hyperlink"/>
            <w:lang w:eastAsia="en-AU"/>
          </w:rPr>
          <w:t>xample application of new nursing and midwifery ratio</w:t>
        </w:r>
        <w:r>
          <w:rPr>
            <w:webHidden/>
          </w:rPr>
          <w:tab/>
        </w:r>
        <w:r>
          <w:rPr>
            <w:webHidden/>
          </w:rPr>
          <w:fldChar w:fldCharType="begin"/>
        </w:r>
        <w:r>
          <w:rPr>
            <w:webHidden/>
          </w:rPr>
          <w:instrText xml:space="preserve"> PAGEREF _Toc194310958 \h </w:instrText>
        </w:r>
        <w:r>
          <w:rPr>
            <w:webHidden/>
          </w:rPr>
        </w:r>
        <w:r>
          <w:rPr>
            <w:webHidden/>
          </w:rPr>
          <w:fldChar w:fldCharType="separate"/>
        </w:r>
        <w:r w:rsidR="001447F0">
          <w:rPr>
            <w:webHidden/>
          </w:rPr>
          <w:t>21</w:t>
        </w:r>
        <w:r>
          <w:rPr>
            <w:webHidden/>
          </w:rPr>
          <w:fldChar w:fldCharType="end"/>
        </w:r>
      </w:hyperlink>
    </w:p>
    <w:p w14:paraId="2F7B7BCE" w14:textId="3E9F5A08" w:rsidR="00975BAC" w:rsidRDefault="00975BAC">
      <w:pPr>
        <w:pStyle w:val="TOC2"/>
        <w:rPr>
          <w:rFonts w:asciiTheme="minorHAnsi" w:eastAsiaTheme="minorEastAsia" w:hAnsiTheme="minorHAnsi" w:cstheme="minorBidi"/>
          <w:kern w:val="2"/>
          <w:sz w:val="24"/>
          <w:szCs w:val="24"/>
          <w:lang w:eastAsia="en-AU"/>
          <w14:ligatures w14:val="standardContextual"/>
        </w:rPr>
      </w:pPr>
      <w:hyperlink w:anchor="_Toc194310959" w:history="1">
        <w:r w:rsidRPr="00122430">
          <w:rPr>
            <w:rStyle w:val="Hyperlink"/>
          </w:rPr>
          <w:t>1:1 staffing in Emergency Department (ED) resuscitation bays in Level 1 hospitals on morning shift (25% implementation)</w:t>
        </w:r>
        <w:r>
          <w:rPr>
            <w:webHidden/>
          </w:rPr>
          <w:tab/>
        </w:r>
        <w:r>
          <w:rPr>
            <w:webHidden/>
          </w:rPr>
          <w:fldChar w:fldCharType="begin"/>
        </w:r>
        <w:r>
          <w:rPr>
            <w:webHidden/>
          </w:rPr>
          <w:instrText xml:space="preserve"> PAGEREF _Toc194310959 \h </w:instrText>
        </w:r>
        <w:r>
          <w:rPr>
            <w:webHidden/>
          </w:rPr>
        </w:r>
        <w:r>
          <w:rPr>
            <w:webHidden/>
          </w:rPr>
          <w:fldChar w:fldCharType="separate"/>
        </w:r>
        <w:r w:rsidR="001447F0">
          <w:rPr>
            <w:webHidden/>
          </w:rPr>
          <w:t>21</w:t>
        </w:r>
        <w:r>
          <w:rPr>
            <w:webHidden/>
          </w:rPr>
          <w:fldChar w:fldCharType="end"/>
        </w:r>
      </w:hyperlink>
    </w:p>
    <w:p w14:paraId="2F495B2A" w14:textId="7C61CE22" w:rsidR="00975BAC" w:rsidRDefault="00975BAC">
      <w:pPr>
        <w:pStyle w:val="TOC1"/>
        <w:rPr>
          <w:rFonts w:asciiTheme="minorHAnsi" w:eastAsiaTheme="minorEastAsia" w:hAnsiTheme="minorHAnsi" w:cstheme="minorBidi"/>
          <w:b w:val="0"/>
          <w:kern w:val="2"/>
          <w:sz w:val="24"/>
          <w:szCs w:val="24"/>
          <w:lang w:eastAsia="en-AU"/>
          <w14:ligatures w14:val="standardContextual"/>
        </w:rPr>
      </w:pPr>
      <w:hyperlink w:anchor="_Toc194310960" w:history="1">
        <w:r w:rsidRPr="00122430">
          <w:rPr>
            <w:rStyle w:val="Hyperlink"/>
          </w:rPr>
          <w:t>Appendix D –Overview of clauses in the Amendment Bill 2025</w:t>
        </w:r>
        <w:r>
          <w:rPr>
            <w:webHidden/>
          </w:rPr>
          <w:tab/>
        </w:r>
        <w:r>
          <w:rPr>
            <w:webHidden/>
          </w:rPr>
          <w:fldChar w:fldCharType="begin"/>
        </w:r>
        <w:r>
          <w:rPr>
            <w:webHidden/>
          </w:rPr>
          <w:instrText xml:space="preserve"> PAGEREF _Toc194310960 \h </w:instrText>
        </w:r>
        <w:r>
          <w:rPr>
            <w:webHidden/>
          </w:rPr>
        </w:r>
        <w:r>
          <w:rPr>
            <w:webHidden/>
          </w:rPr>
          <w:fldChar w:fldCharType="separate"/>
        </w:r>
        <w:r w:rsidR="001447F0">
          <w:rPr>
            <w:webHidden/>
          </w:rPr>
          <w:t>22</w:t>
        </w:r>
        <w:r>
          <w:rPr>
            <w:webHidden/>
          </w:rPr>
          <w:fldChar w:fldCharType="end"/>
        </w:r>
      </w:hyperlink>
    </w:p>
    <w:p w14:paraId="2C3B1F1E" w14:textId="2DB5E267" w:rsidR="00975BAC" w:rsidRDefault="00975BAC">
      <w:pPr>
        <w:pStyle w:val="TOC1"/>
        <w:rPr>
          <w:rFonts w:asciiTheme="minorHAnsi" w:eastAsiaTheme="minorEastAsia" w:hAnsiTheme="minorHAnsi" w:cstheme="minorBidi"/>
          <w:b w:val="0"/>
          <w:kern w:val="2"/>
          <w:sz w:val="24"/>
          <w:szCs w:val="24"/>
          <w:lang w:eastAsia="en-AU"/>
          <w14:ligatures w14:val="standardContextual"/>
        </w:rPr>
      </w:pPr>
      <w:hyperlink w:anchor="_Toc194310961" w:history="1">
        <w:r w:rsidRPr="00122430">
          <w:rPr>
            <w:rStyle w:val="Hyperlink"/>
          </w:rPr>
          <w:t>Appendix D – Previous version of the ‘</w:t>
        </w:r>
        <w:r w:rsidRPr="00122430">
          <w:rPr>
            <w:rStyle w:val="Hyperlink"/>
            <w:i/>
            <w:iCs/>
          </w:rPr>
          <w:t>Guide to implementation of amendments to the Safe Patient Care (Nurse to Patient Ratios) Act 2015</w:t>
        </w:r>
        <w:r w:rsidRPr="00122430">
          <w:rPr>
            <w:rStyle w:val="Hyperlink"/>
          </w:rPr>
          <w:t>’</w:t>
        </w:r>
        <w:r>
          <w:rPr>
            <w:webHidden/>
          </w:rPr>
          <w:tab/>
        </w:r>
        <w:r>
          <w:rPr>
            <w:webHidden/>
          </w:rPr>
          <w:fldChar w:fldCharType="begin"/>
        </w:r>
        <w:r>
          <w:rPr>
            <w:webHidden/>
          </w:rPr>
          <w:instrText xml:space="preserve"> PAGEREF _Toc194310961 \h </w:instrText>
        </w:r>
        <w:r>
          <w:rPr>
            <w:webHidden/>
          </w:rPr>
        </w:r>
        <w:r>
          <w:rPr>
            <w:webHidden/>
          </w:rPr>
          <w:fldChar w:fldCharType="separate"/>
        </w:r>
        <w:r w:rsidR="001447F0">
          <w:rPr>
            <w:webHidden/>
          </w:rPr>
          <w:t>26</w:t>
        </w:r>
        <w:r>
          <w:rPr>
            <w:webHidden/>
          </w:rPr>
          <w:fldChar w:fldCharType="end"/>
        </w:r>
      </w:hyperlink>
    </w:p>
    <w:p w14:paraId="28A08444" w14:textId="732598F6" w:rsidR="00FB1F6E" w:rsidRDefault="00AD784C" w:rsidP="00D079AA">
      <w:pPr>
        <w:pStyle w:val="Body"/>
      </w:pPr>
      <w:r>
        <w:fldChar w:fldCharType="end"/>
      </w:r>
    </w:p>
    <w:p w14:paraId="40B19517" w14:textId="70EED8E6" w:rsidR="00454A7D" w:rsidRPr="002F5E07" w:rsidRDefault="00454A7D">
      <w:pPr>
        <w:spacing w:after="0" w:line="240" w:lineRule="auto"/>
        <w:rPr>
          <w:rFonts w:eastAsia="Times"/>
        </w:rPr>
      </w:pPr>
      <w:r>
        <w:br w:type="page"/>
      </w:r>
    </w:p>
    <w:p w14:paraId="163C0837" w14:textId="77777777" w:rsidR="00131D1B" w:rsidRDefault="00131D1B" w:rsidP="00131D1B">
      <w:pPr>
        <w:pStyle w:val="Heading1"/>
        <w:spacing w:before="0"/>
      </w:pPr>
      <w:bookmarkStart w:id="1" w:name="_Toc194310935"/>
      <w:bookmarkStart w:id="2" w:name="_Hlk66712316"/>
      <w:r>
        <w:lastRenderedPageBreak/>
        <w:t>Definitions</w:t>
      </w:r>
      <w:bookmarkEnd w:id="1"/>
    </w:p>
    <w:tbl>
      <w:tblPr>
        <w:tblW w:w="9606" w:type="dxa"/>
        <w:tblInd w:w="-168" w:type="dxa"/>
        <w:tblBorders>
          <w:bottom w:val="single" w:sz="4" w:space="0" w:color="auto"/>
          <w:insideH w:val="single" w:sz="4" w:space="0" w:color="auto"/>
        </w:tblBorders>
        <w:tblLayout w:type="fixed"/>
        <w:tblLook w:val="0000" w:firstRow="0" w:lastRow="0" w:firstColumn="0" w:lastColumn="0" w:noHBand="0" w:noVBand="0"/>
      </w:tblPr>
      <w:tblGrid>
        <w:gridCol w:w="4319"/>
        <w:gridCol w:w="5287"/>
      </w:tblGrid>
      <w:tr w:rsidR="00F156B6" w14:paraId="09B0351D" w14:textId="77777777" w:rsidTr="0076395C">
        <w:trPr>
          <w:trHeight w:val="229"/>
        </w:trPr>
        <w:tc>
          <w:tcPr>
            <w:tcW w:w="4319" w:type="dxa"/>
          </w:tcPr>
          <w:p w14:paraId="2CAB642C" w14:textId="028203F5" w:rsidR="00F156B6" w:rsidRPr="00AA6DA6" w:rsidRDefault="00F156B6">
            <w:pPr>
              <w:pStyle w:val="Default"/>
              <w:rPr>
                <w:b/>
                <w:bCs/>
                <w:color w:val="000000" w:themeColor="text1"/>
                <w:sz w:val="22"/>
                <w:szCs w:val="22"/>
              </w:rPr>
            </w:pPr>
            <w:r>
              <w:rPr>
                <w:b/>
                <w:bCs/>
                <w:color w:val="000000" w:themeColor="text1"/>
                <w:sz w:val="22"/>
                <w:szCs w:val="22"/>
              </w:rPr>
              <w:t>Afternoon shift</w:t>
            </w:r>
          </w:p>
        </w:tc>
        <w:tc>
          <w:tcPr>
            <w:tcW w:w="5287" w:type="dxa"/>
          </w:tcPr>
          <w:p w14:paraId="462EBA5C" w14:textId="4A14A498" w:rsidR="00F156B6" w:rsidRPr="00836A48" w:rsidRDefault="00836A48">
            <w:pPr>
              <w:pStyle w:val="Default"/>
              <w:rPr>
                <w:color w:val="000000" w:themeColor="text1"/>
                <w:sz w:val="22"/>
                <w:szCs w:val="22"/>
              </w:rPr>
            </w:pPr>
            <w:r w:rsidRPr="00836A48">
              <w:rPr>
                <w:color w:val="000000" w:themeColor="text1"/>
                <w:sz w:val="22"/>
                <w:szCs w:val="22"/>
              </w:rPr>
              <w:t xml:space="preserve">Reference to afternoon shift </w:t>
            </w:r>
            <w:r w:rsidR="00FC229F">
              <w:rPr>
                <w:color w:val="000000" w:themeColor="text1"/>
                <w:sz w:val="22"/>
                <w:szCs w:val="22"/>
              </w:rPr>
              <w:t>in the Principal Ac</w:t>
            </w:r>
            <w:r w:rsidR="00A8058E">
              <w:rPr>
                <w:color w:val="000000" w:themeColor="text1"/>
                <w:sz w:val="22"/>
                <w:szCs w:val="22"/>
              </w:rPr>
              <w:t xml:space="preserve">t </w:t>
            </w:r>
            <w:r w:rsidR="00B61C34">
              <w:rPr>
                <w:color w:val="000000" w:themeColor="text1"/>
                <w:sz w:val="22"/>
                <w:szCs w:val="22"/>
              </w:rPr>
              <w:t xml:space="preserve">means the same as </w:t>
            </w:r>
            <w:r w:rsidR="006729C2">
              <w:rPr>
                <w:color w:val="000000" w:themeColor="text1"/>
                <w:sz w:val="22"/>
                <w:szCs w:val="22"/>
              </w:rPr>
              <w:t xml:space="preserve">outlined in the </w:t>
            </w:r>
            <w:r w:rsidR="006729C2" w:rsidRPr="006729C2">
              <w:rPr>
                <w:color w:val="000000" w:themeColor="text1"/>
                <w:sz w:val="22"/>
                <w:szCs w:val="22"/>
              </w:rPr>
              <w:t>Enterprise Agreement</w:t>
            </w:r>
          </w:p>
        </w:tc>
      </w:tr>
      <w:tr w:rsidR="003D103F" w14:paraId="3713E869" w14:textId="77777777" w:rsidTr="0076395C">
        <w:trPr>
          <w:trHeight w:val="229"/>
        </w:trPr>
        <w:tc>
          <w:tcPr>
            <w:tcW w:w="4319" w:type="dxa"/>
          </w:tcPr>
          <w:p w14:paraId="1813D9AF" w14:textId="0B1B2883" w:rsidR="00131D1B" w:rsidRPr="00D42371" w:rsidRDefault="00131D1B">
            <w:pPr>
              <w:pStyle w:val="Default"/>
              <w:rPr>
                <w:b/>
                <w:color w:val="000000" w:themeColor="text1"/>
                <w:sz w:val="22"/>
                <w:szCs w:val="22"/>
              </w:rPr>
            </w:pPr>
            <w:r w:rsidRPr="00AA6DA6">
              <w:rPr>
                <w:b/>
                <w:bCs/>
                <w:color w:val="000000" w:themeColor="text1"/>
                <w:sz w:val="22"/>
                <w:szCs w:val="22"/>
              </w:rPr>
              <w:t xml:space="preserve">Amendment Act 2019 </w:t>
            </w:r>
          </w:p>
        </w:tc>
        <w:tc>
          <w:tcPr>
            <w:tcW w:w="5287" w:type="dxa"/>
          </w:tcPr>
          <w:p w14:paraId="4C92CECA" w14:textId="77777777" w:rsidR="00131D1B" w:rsidRPr="00AA6DA6" w:rsidRDefault="00131D1B">
            <w:pPr>
              <w:pStyle w:val="Default"/>
              <w:rPr>
                <w:color w:val="000000" w:themeColor="text1"/>
                <w:sz w:val="22"/>
                <w:szCs w:val="22"/>
              </w:rPr>
            </w:pPr>
            <w:r w:rsidRPr="00AA6DA6">
              <w:rPr>
                <w:i/>
                <w:iCs/>
                <w:color w:val="000000" w:themeColor="text1"/>
                <w:sz w:val="22"/>
                <w:szCs w:val="22"/>
              </w:rPr>
              <w:t xml:space="preserve">Safe Patient Care (Nurse to Patient and Midwife to Patient Ratios) Amendment Act 2019 </w:t>
            </w:r>
          </w:p>
        </w:tc>
      </w:tr>
      <w:tr w:rsidR="003D103F" w14:paraId="1726FB0B" w14:textId="77777777" w:rsidTr="0076395C">
        <w:trPr>
          <w:trHeight w:val="229"/>
        </w:trPr>
        <w:tc>
          <w:tcPr>
            <w:tcW w:w="4319" w:type="dxa"/>
          </w:tcPr>
          <w:p w14:paraId="11C7D37F" w14:textId="77777777" w:rsidR="00131D1B" w:rsidRPr="00AA6DA6" w:rsidRDefault="00131D1B">
            <w:pPr>
              <w:pStyle w:val="Default"/>
              <w:rPr>
                <w:color w:val="000000" w:themeColor="text1"/>
                <w:sz w:val="22"/>
                <w:szCs w:val="22"/>
              </w:rPr>
            </w:pPr>
            <w:r w:rsidRPr="00AA6DA6">
              <w:rPr>
                <w:b/>
                <w:bCs/>
                <w:color w:val="000000" w:themeColor="text1"/>
                <w:sz w:val="22"/>
                <w:szCs w:val="22"/>
              </w:rPr>
              <w:t xml:space="preserve">Amendment Act 2020 </w:t>
            </w:r>
          </w:p>
        </w:tc>
        <w:tc>
          <w:tcPr>
            <w:tcW w:w="5287" w:type="dxa"/>
          </w:tcPr>
          <w:p w14:paraId="3A097053" w14:textId="77777777" w:rsidR="00131D1B" w:rsidRPr="00AA6DA6" w:rsidRDefault="00131D1B">
            <w:pPr>
              <w:pStyle w:val="Default"/>
              <w:rPr>
                <w:color w:val="000000" w:themeColor="text1"/>
                <w:sz w:val="22"/>
                <w:szCs w:val="22"/>
              </w:rPr>
            </w:pPr>
            <w:r w:rsidRPr="00AA6DA6">
              <w:rPr>
                <w:i/>
                <w:iCs/>
                <w:color w:val="000000" w:themeColor="text1"/>
                <w:sz w:val="22"/>
                <w:szCs w:val="22"/>
              </w:rPr>
              <w:t xml:space="preserve">Safe Patient Care (Nurse to Patient and Midwife to Patient Ratios) Amendment Act 2020 </w:t>
            </w:r>
          </w:p>
        </w:tc>
      </w:tr>
      <w:tr w:rsidR="003D103F" w14:paraId="5FC4F066" w14:textId="77777777" w:rsidTr="0076395C">
        <w:trPr>
          <w:trHeight w:val="229"/>
        </w:trPr>
        <w:tc>
          <w:tcPr>
            <w:tcW w:w="4319" w:type="dxa"/>
          </w:tcPr>
          <w:p w14:paraId="4D799522" w14:textId="150C2AD9" w:rsidR="00131D1B" w:rsidRPr="00AA6DA6" w:rsidRDefault="00131D1B">
            <w:pPr>
              <w:pStyle w:val="Default"/>
              <w:rPr>
                <w:b/>
                <w:bCs/>
                <w:color w:val="000000" w:themeColor="text1"/>
                <w:sz w:val="22"/>
                <w:szCs w:val="22"/>
              </w:rPr>
            </w:pPr>
            <w:r w:rsidRPr="00AA6DA6">
              <w:rPr>
                <w:b/>
                <w:bCs/>
                <w:color w:val="000000" w:themeColor="text1"/>
                <w:sz w:val="22"/>
                <w:szCs w:val="22"/>
              </w:rPr>
              <w:t xml:space="preserve">Amendment </w:t>
            </w:r>
            <w:r w:rsidR="00542970">
              <w:rPr>
                <w:b/>
                <w:bCs/>
                <w:color w:val="000000" w:themeColor="text1"/>
                <w:sz w:val="22"/>
                <w:szCs w:val="22"/>
              </w:rPr>
              <w:t>Bill</w:t>
            </w:r>
            <w:r w:rsidR="00542970" w:rsidRPr="00AA6DA6">
              <w:rPr>
                <w:b/>
                <w:bCs/>
                <w:color w:val="000000" w:themeColor="text1"/>
                <w:sz w:val="22"/>
                <w:szCs w:val="22"/>
              </w:rPr>
              <w:t xml:space="preserve"> </w:t>
            </w:r>
            <w:r w:rsidRPr="00AA6DA6">
              <w:rPr>
                <w:b/>
                <w:bCs/>
                <w:color w:val="000000" w:themeColor="text1"/>
                <w:sz w:val="22"/>
                <w:szCs w:val="22"/>
              </w:rPr>
              <w:t>202</w:t>
            </w:r>
            <w:r w:rsidR="00987FF5" w:rsidRPr="00AA6DA6">
              <w:rPr>
                <w:b/>
                <w:bCs/>
                <w:color w:val="000000" w:themeColor="text1"/>
                <w:sz w:val="22"/>
                <w:szCs w:val="22"/>
              </w:rPr>
              <w:t>5</w:t>
            </w:r>
            <w:r w:rsidRPr="00AA6DA6">
              <w:rPr>
                <w:b/>
                <w:bCs/>
                <w:color w:val="000000" w:themeColor="text1"/>
                <w:sz w:val="22"/>
                <w:szCs w:val="22"/>
              </w:rPr>
              <w:t xml:space="preserve"> </w:t>
            </w:r>
          </w:p>
        </w:tc>
        <w:tc>
          <w:tcPr>
            <w:tcW w:w="5287" w:type="dxa"/>
          </w:tcPr>
          <w:p w14:paraId="4C5B25C6" w14:textId="0EC5B786" w:rsidR="00131D1B" w:rsidRPr="00AA6DA6" w:rsidRDefault="00131D1B">
            <w:pPr>
              <w:pStyle w:val="Default"/>
              <w:rPr>
                <w:i/>
                <w:iCs/>
                <w:color w:val="000000" w:themeColor="text1"/>
                <w:sz w:val="22"/>
                <w:szCs w:val="22"/>
              </w:rPr>
            </w:pPr>
            <w:r w:rsidRPr="00AA6DA6">
              <w:rPr>
                <w:i/>
                <w:iCs/>
                <w:color w:val="000000" w:themeColor="text1"/>
                <w:sz w:val="22"/>
                <w:szCs w:val="22"/>
              </w:rPr>
              <w:t xml:space="preserve">Safe Patient Care (Nurse to Patient and Midwife to Patient Ratios) Amendment </w:t>
            </w:r>
            <w:r w:rsidR="00542970">
              <w:rPr>
                <w:i/>
                <w:iCs/>
                <w:color w:val="000000" w:themeColor="text1"/>
                <w:sz w:val="22"/>
                <w:szCs w:val="22"/>
              </w:rPr>
              <w:t>Bill</w:t>
            </w:r>
            <w:r w:rsidR="00542970" w:rsidRPr="00AA6DA6">
              <w:rPr>
                <w:i/>
                <w:iCs/>
                <w:color w:val="000000" w:themeColor="text1"/>
                <w:sz w:val="22"/>
                <w:szCs w:val="22"/>
              </w:rPr>
              <w:t xml:space="preserve"> </w:t>
            </w:r>
            <w:r w:rsidRPr="00AA6DA6">
              <w:rPr>
                <w:i/>
                <w:iCs/>
                <w:color w:val="000000" w:themeColor="text1"/>
                <w:sz w:val="22"/>
                <w:szCs w:val="22"/>
              </w:rPr>
              <w:t>202</w:t>
            </w:r>
            <w:r w:rsidR="00987FF5" w:rsidRPr="00AA6DA6">
              <w:rPr>
                <w:i/>
                <w:iCs/>
                <w:color w:val="000000" w:themeColor="text1"/>
                <w:sz w:val="22"/>
                <w:szCs w:val="22"/>
              </w:rPr>
              <w:t>5</w:t>
            </w:r>
            <w:r w:rsidRPr="00AA6DA6">
              <w:rPr>
                <w:i/>
                <w:iCs/>
                <w:color w:val="000000" w:themeColor="text1"/>
                <w:sz w:val="22"/>
                <w:szCs w:val="22"/>
              </w:rPr>
              <w:t xml:space="preserve"> </w:t>
            </w:r>
          </w:p>
        </w:tc>
      </w:tr>
      <w:tr w:rsidR="003D103F" w14:paraId="008ACC1B" w14:textId="77777777" w:rsidTr="0076395C">
        <w:trPr>
          <w:trHeight w:val="229"/>
        </w:trPr>
        <w:tc>
          <w:tcPr>
            <w:tcW w:w="4319" w:type="dxa"/>
          </w:tcPr>
          <w:p w14:paraId="60DEDE56" w14:textId="77777777" w:rsidR="00131D1B" w:rsidRPr="00AA6DA6" w:rsidRDefault="00131D1B">
            <w:pPr>
              <w:pStyle w:val="Default"/>
              <w:rPr>
                <w:color w:val="000000" w:themeColor="text1"/>
                <w:sz w:val="22"/>
                <w:szCs w:val="22"/>
              </w:rPr>
            </w:pPr>
            <w:r w:rsidRPr="00AA6DA6">
              <w:rPr>
                <w:b/>
                <w:bCs/>
                <w:color w:val="000000" w:themeColor="text1"/>
                <w:sz w:val="22"/>
                <w:szCs w:val="22"/>
              </w:rPr>
              <w:t xml:space="preserve">Enterprise Agreement </w:t>
            </w:r>
          </w:p>
        </w:tc>
        <w:tc>
          <w:tcPr>
            <w:tcW w:w="5287" w:type="dxa"/>
          </w:tcPr>
          <w:p w14:paraId="6104645A" w14:textId="77777777" w:rsidR="00131D1B" w:rsidRPr="00AA6DA6" w:rsidRDefault="00131D1B">
            <w:pPr>
              <w:pStyle w:val="Default"/>
              <w:rPr>
                <w:color w:val="000000" w:themeColor="text1"/>
                <w:sz w:val="22"/>
                <w:szCs w:val="22"/>
              </w:rPr>
            </w:pPr>
            <w:r w:rsidRPr="00AA6DA6">
              <w:rPr>
                <w:i/>
                <w:iCs/>
                <w:color w:val="000000" w:themeColor="text1"/>
                <w:sz w:val="22"/>
                <w:szCs w:val="22"/>
              </w:rPr>
              <w:t xml:space="preserve">Nurses and Midwives (Victorian Public Sector) (Single Interest Employers) Enterprise Agreement 2024–2028 </w:t>
            </w:r>
          </w:p>
        </w:tc>
      </w:tr>
      <w:tr w:rsidR="00836A48" w14:paraId="4B28E160" w14:textId="77777777" w:rsidTr="0076395C">
        <w:trPr>
          <w:trHeight w:val="229"/>
        </w:trPr>
        <w:tc>
          <w:tcPr>
            <w:tcW w:w="4319" w:type="dxa"/>
          </w:tcPr>
          <w:p w14:paraId="325D439F" w14:textId="5DA46271" w:rsidR="00836A48" w:rsidRPr="00AA6DA6" w:rsidRDefault="00022693">
            <w:pPr>
              <w:pStyle w:val="Default"/>
              <w:rPr>
                <w:b/>
                <w:bCs/>
                <w:color w:val="000000" w:themeColor="text1"/>
                <w:sz w:val="22"/>
                <w:szCs w:val="22"/>
              </w:rPr>
            </w:pPr>
            <w:r>
              <w:rPr>
                <w:b/>
                <w:bCs/>
                <w:color w:val="000000" w:themeColor="text1"/>
                <w:sz w:val="22"/>
                <w:szCs w:val="22"/>
              </w:rPr>
              <w:t>Morning shift</w:t>
            </w:r>
          </w:p>
        </w:tc>
        <w:tc>
          <w:tcPr>
            <w:tcW w:w="5287" w:type="dxa"/>
          </w:tcPr>
          <w:p w14:paraId="3EF8001B" w14:textId="67429D93" w:rsidR="00836A48" w:rsidRPr="00022693" w:rsidRDefault="006729C2">
            <w:pPr>
              <w:pStyle w:val="Default"/>
              <w:rPr>
                <w:color w:val="000000" w:themeColor="text1"/>
                <w:sz w:val="22"/>
                <w:szCs w:val="22"/>
              </w:rPr>
            </w:pPr>
            <w:r w:rsidRPr="00836A48">
              <w:rPr>
                <w:color w:val="000000" w:themeColor="text1"/>
                <w:sz w:val="22"/>
                <w:szCs w:val="22"/>
              </w:rPr>
              <w:t xml:space="preserve">Reference to </w:t>
            </w:r>
            <w:r>
              <w:rPr>
                <w:color w:val="000000" w:themeColor="text1"/>
                <w:sz w:val="22"/>
                <w:szCs w:val="22"/>
              </w:rPr>
              <w:t>morning</w:t>
            </w:r>
            <w:r w:rsidRPr="00836A48">
              <w:rPr>
                <w:color w:val="000000" w:themeColor="text1"/>
                <w:sz w:val="22"/>
                <w:szCs w:val="22"/>
              </w:rPr>
              <w:t xml:space="preserve"> shift </w:t>
            </w:r>
            <w:r>
              <w:rPr>
                <w:color w:val="000000" w:themeColor="text1"/>
                <w:sz w:val="22"/>
                <w:szCs w:val="22"/>
              </w:rPr>
              <w:t xml:space="preserve">in the Principal Act means the same as outlined in the </w:t>
            </w:r>
            <w:r w:rsidRPr="006729C2">
              <w:rPr>
                <w:color w:val="000000" w:themeColor="text1"/>
                <w:sz w:val="22"/>
                <w:szCs w:val="22"/>
              </w:rPr>
              <w:t>Enterprise Agreement</w:t>
            </w:r>
          </w:p>
        </w:tc>
      </w:tr>
      <w:tr w:rsidR="00022693" w14:paraId="4142F1CA" w14:textId="77777777" w:rsidTr="0076395C">
        <w:trPr>
          <w:trHeight w:val="229"/>
        </w:trPr>
        <w:tc>
          <w:tcPr>
            <w:tcW w:w="4319" w:type="dxa"/>
          </w:tcPr>
          <w:p w14:paraId="3907477D" w14:textId="7E3C50B1" w:rsidR="00022693" w:rsidRDefault="00CA472B">
            <w:pPr>
              <w:pStyle w:val="Default"/>
              <w:rPr>
                <w:b/>
                <w:bCs/>
                <w:color w:val="000000" w:themeColor="text1"/>
                <w:sz w:val="22"/>
                <w:szCs w:val="22"/>
              </w:rPr>
            </w:pPr>
            <w:r>
              <w:rPr>
                <w:b/>
                <w:bCs/>
                <w:color w:val="000000" w:themeColor="text1"/>
                <w:sz w:val="22"/>
                <w:szCs w:val="22"/>
              </w:rPr>
              <w:t>Night shift</w:t>
            </w:r>
          </w:p>
        </w:tc>
        <w:tc>
          <w:tcPr>
            <w:tcW w:w="5287" w:type="dxa"/>
          </w:tcPr>
          <w:p w14:paraId="674E4892" w14:textId="1D3CC921" w:rsidR="00022693" w:rsidRPr="00022693" w:rsidRDefault="000A3E11">
            <w:pPr>
              <w:pStyle w:val="Default"/>
              <w:rPr>
                <w:color w:val="000000" w:themeColor="text1"/>
                <w:sz w:val="22"/>
                <w:szCs w:val="22"/>
              </w:rPr>
            </w:pPr>
            <w:r w:rsidRPr="00836A48">
              <w:rPr>
                <w:color w:val="000000" w:themeColor="text1"/>
                <w:sz w:val="22"/>
                <w:szCs w:val="22"/>
              </w:rPr>
              <w:t xml:space="preserve">Reference to </w:t>
            </w:r>
            <w:r>
              <w:rPr>
                <w:color w:val="000000" w:themeColor="text1"/>
                <w:sz w:val="22"/>
                <w:szCs w:val="22"/>
              </w:rPr>
              <w:t>night</w:t>
            </w:r>
            <w:r w:rsidRPr="00836A48">
              <w:rPr>
                <w:color w:val="000000" w:themeColor="text1"/>
                <w:sz w:val="22"/>
                <w:szCs w:val="22"/>
              </w:rPr>
              <w:t xml:space="preserve"> shift </w:t>
            </w:r>
            <w:r>
              <w:rPr>
                <w:color w:val="000000" w:themeColor="text1"/>
                <w:sz w:val="22"/>
                <w:szCs w:val="22"/>
              </w:rPr>
              <w:t xml:space="preserve">in the Principal Act means the same as outlined in the </w:t>
            </w:r>
            <w:r w:rsidRPr="006729C2">
              <w:rPr>
                <w:color w:val="000000" w:themeColor="text1"/>
                <w:sz w:val="22"/>
                <w:szCs w:val="22"/>
              </w:rPr>
              <w:t>Enterprise Agreement</w:t>
            </w:r>
          </w:p>
        </w:tc>
      </w:tr>
      <w:tr w:rsidR="002C1E54" w14:paraId="1DC6481C" w14:textId="77777777" w:rsidTr="0076395C">
        <w:trPr>
          <w:trHeight w:val="229"/>
        </w:trPr>
        <w:tc>
          <w:tcPr>
            <w:tcW w:w="4319" w:type="dxa"/>
          </w:tcPr>
          <w:p w14:paraId="5DF4989C" w14:textId="59B9B2DB" w:rsidR="002C1E54" w:rsidRDefault="00FF000D">
            <w:pPr>
              <w:pStyle w:val="Default"/>
              <w:rPr>
                <w:b/>
                <w:bCs/>
                <w:color w:val="000000" w:themeColor="text1"/>
                <w:sz w:val="22"/>
                <w:szCs w:val="22"/>
              </w:rPr>
            </w:pPr>
            <w:r>
              <w:rPr>
                <w:b/>
                <w:bCs/>
                <w:color w:val="000000" w:themeColor="text1"/>
                <w:sz w:val="22"/>
                <w:szCs w:val="22"/>
              </w:rPr>
              <w:t xml:space="preserve">Nurse </w:t>
            </w:r>
            <w:r w:rsidR="004F28D7">
              <w:rPr>
                <w:b/>
                <w:bCs/>
                <w:color w:val="000000" w:themeColor="text1"/>
                <w:sz w:val="22"/>
                <w:szCs w:val="22"/>
              </w:rPr>
              <w:t>in charge</w:t>
            </w:r>
          </w:p>
        </w:tc>
        <w:tc>
          <w:tcPr>
            <w:tcW w:w="5287" w:type="dxa"/>
          </w:tcPr>
          <w:p w14:paraId="6EE92A40" w14:textId="4A74F8DD" w:rsidR="004F28D7" w:rsidRPr="004F28D7" w:rsidRDefault="005F439B" w:rsidP="004F28D7">
            <w:pPr>
              <w:pStyle w:val="Default"/>
              <w:rPr>
                <w:color w:val="000000" w:themeColor="text1"/>
                <w:sz w:val="22"/>
                <w:szCs w:val="22"/>
              </w:rPr>
            </w:pPr>
            <w:r>
              <w:rPr>
                <w:color w:val="000000" w:themeColor="text1"/>
                <w:sz w:val="22"/>
                <w:szCs w:val="22"/>
              </w:rPr>
              <w:t>N</w:t>
            </w:r>
            <w:r w:rsidR="004F28D7" w:rsidRPr="004F28D7">
              <w:rPr>
                <w:color w:val="000000" w:themeColor="text1"/>
                <w:sz w:val="22"/>
                <w:szCs w:val="22"/>
              </w:rPr>
              <w:t>urse in charge means a registered nurse who is</w:t>
            </w:r>
          </w:p>
          <w:p w14:paraId="0206D6CB" w14:textId="247E0494" w:rsidR="004F28D7" w:rsidRPr="004F28D7" w:rsidRDefault="004F28D7" w:rsidP="004F28D7">
            <w:pPr>
              <w:pStyle w:val="Default"/>
              <w:rPr>
                <w:color w:val="000000" w:themeColor="text1"/>
                <w:sz w:val="22"/>
                <w:szCs w:val="22"/>
              </w:rPr>
            </w:pPr>
            <w:r w:rsidRPr="004F28D7">
              <w:rPr>
                <w:color w:val="000000" w:themeColor="text1"/>
                <w:sz w:val="22"/>
                <w:szCs w:val="22"/>
              </w:rPr>
              <w:t>undertaking, whether temporarily or</w:t>
            </w:r>
          </w:p>
          <w:p w14:paraId="5B6AE683" w14:textId="51EA27BA" w:rsidR="004F28D7" w:rsidRPr="004F28D7" w:rsidRDefault="004F28D7" w:rsidP="004F28D7">
            <w:pPr>
              <w:pStyle w:val="Default"/>
              <w:rPr>
                <w:color w:val="000000" w:themeColor="text1"/>
                <w:sz w:val="22"/>
                <w:szCs w:val="22"/>
              </w:rPr>
            </w:pPr>
            <w:r w:rsidRPr="004F28D7">
              <w:rPr>
                <w:color w:val="000000" w:themeColor="text1"/>
                <w:sz w:val="22"/>
                <w:szCs w:val="22"/>
              </w:rPr>
              <w:t>permanently, the role of—</w:t>
            </w:r>
          </w:p>
          <w:p w14:paraId="2F1A1559" w14:textId="4DE75778" w:rsidR="004F28D7" w:rsidRPr="004F28D7" w:rsidRDefault="004F28D7" w:rsidP="004F28D7">
            <w:pPr>
              <w:pStyle w:val="Default"/>
              <w:rPr>
                <w:color w:val="000000" w:themeColor="text1"/>
                <w:sz w:val="22"/>
                <w:szCs w:val="22"/>
              </w:rPr>
            </w:pPr>
            <w:r w:rsidRPr="004F28D7">
              <w:rPr>
                <w:color w:val="000000" w:themeColor="text1"/>
                <w:sz w:val="22"/>
                <w:szCs w:val="22"/>
              </w:rPr>
              <w:t>(a) a nurse unit manager or equivalent; or</w:t>
            </w:r>
          </w:p>
          <w:p w14:paraId="16B1B513" w14:textId="6A11C9DF" w:rsidR="004F28D7" w:rsidRPr="004F28D7" w:rsidRDefault="004F28D7" w:rsidP="004F28D7">
            <w:pPr>
              <w:pStyle w:val="Default"/>
              <w:rPr>
                <w:color w:val="000000" w:themeColor="text1"/>
                <w:sz w:val="22"/>
                <w:szCs w:val="22"/>
              </w:rPr>
            </w:pPr>
            <w:r w:rsidRPr="004F28D7">
              <w:rPr>
                <w:color w:val="000000" w:themeColor="text1"/>
                <w:sz w:val="22"/>
                <w:szCs w:val="22"/>
              </w:rPr>
              <w:t>(b) an associate nurse unit manager or</w:t>
            </w:r>
          </w:p>
          <w:p w14:paraId="0B8F914F" w14:textId="477A54F1" w:rsidR="002C1E54" w:rsidRPr="00CA472B" w:rsidRDefault="004F28D7" w:rsidP="004F28D7">
            <w:pPr>
              <w:pStyle w:val="Default"/>
              <w:rPr>
                <w:color w:val="000000" w:themeColor="text1"/>
                <w:sz w:val="22"/>
                <w:szCs w:val="22"/>
              </w:rPr>
            </w:pPr>
            <w:r w:rsidRPr="004F28D7">
              <w:rPr>
                <w:color w:val="000000" w:themeColor="text1"/>
                <w:sz w:val="22"/>
                <w:szCs w:val="22"/>
              </w:rPr>
              <w:t>equivalent;</w:t>
            </w:r>
          </w:p>
        </w:tc>
      </w:tr>
      <w:tr w:rsidR="003D103F" w14:paraId="6E94FE94" w14:textId="77777777" w:rsidTr="0076395C">
        <w:trPr>
          <w:trHeight w:val="229"/>
        </w:trPr>
        <w:tc>
          <w:tcPr>
            <w:tcW w:w="4319" w:type="dxa"/>
          </w:tcPr>
          <w:p w14:paraId="67C4E180" w14:textId="77777777" w:rsidR="00131D1B" w:rsidRPr="00AA6DA6" w:rsidRDefault="00131D1B">
            <w:pPr>
              <w:pStyle w:val="Default"/>
              <w:rPr>
                <w:color w:val="000000" w:themeColor="text1"/>
                <w:sz w:val="22"/>
                <w:szCs w:val="22"/>
              </w:rPr>
            </w:pPr>
            <w:r w:rsidRPr="00AA6DA6">
              <w:rPr>
                <w:b/>
                <w:bCs/>
                <w:color w:val="000000" w:themeColor="text1"/>
                <w:sz w:val="22"/>
                <w:szCs w:val="22"/>
              </w:rPr>
              <w:t xml:space="preserve">Principal Act </w:t>
            </w:r>
          </w:p>
        </w:tc>
        <w:tc>
          <w:tcPr>
            <w:tcW w:w="5287" w:type="dxa"/>
          </w:tcPr>
          <w:p w14:paraId="070BE676" w14:textId="77777777" w:rsidR="00131D1B" w:rsidRPr="00906CAE" w:rsidRDefault="00131D1B">
            <w:pPr>
              <w:pStyle w:val="Default"/>
              <w:rPr>
                <w:color w:val="000000" w:themeColor="text1"/>
                <w:sz w:val="22"/>
                <w:szCs w:val="22"/>
              </w:rPr>
            </w:pPr>
            <w:r w:rsidRPr="00906CAE">
              <w:rPr>
                <w:i/>
                <w:iCs/>
                <w:color w:val="000000" w:themeColor="text1"/>
                <w:sz w:val="22"/>
                <w:szCs w:val="22"/>
              </w:rPr>
              <w:t xml:space="preserve">Safe Patient Care (Nurse to Patient and Midwife to Patient Ratios) Act 2015 </w:t>
            </w:r>
          </w:p>
        </w:tc>
      </w:tr>
      <w:tr w:rsidR="003D103F" w14:paraId="36FFC6A7" w14:textId="77777777" w:rsidTr="0076395C">
        <w:trPr>
          <w:trHeight w:val="103"/>
        </w:trPr>
        <w:tc>
          <w:tcPr>
            <w:tcW w:w="4319" w:type="dxa"/>
          </w:tcPr>
          <w:p w14:paraId="64F75911" w14:textId="77777777" w:rsidR="00131D1B" w:rsidRPr="00AA6DA6" w:rsidRDefault="00131D1B">
            <w:pPr>
              <w:pStyle w:val="Default"/>
              <w:rPr>
                <w:color w:val="000000" w:themeColor="text1"/>
                <w:sz w:val="22"/>
                <w:szCs w:val="22"/>
              </w:rPr>
            </w:pPr>
            <w:r w:rsidRPr="00AA6DA6">
              <w:rPr>
                <w:b/>
                <w:bCs/>
                <w:color w:val="000000" w:themeColor="text1"/>
                <w:sz w:val="22"/>
                <w:szCs w:val="22"/>
              </w:rPr>
              <w:t xml:space="preserve">Regulations </w:t>
            </w:r>
          </w:p>
        </w:tc>
        <w:tc>
          <w:tcPr>
            <w:tcW w:w="5287" w:type="dxa"/>
          </w:tcPr>
          <w:p w14:paraId="060633D9" w14:textId="1A9E10EC" w:rsidR="00131D1B" w:rsidRPr="00906CAE" w:rsidRDefault="00131D1B" w:rsidP="00976461">
            <w:pPr>
              <w:pStyle w:val="Default"/>
              <w:rPr>
                <w:color w:val="000000" w:themeColor="text1"/>
                <w:sz w:val="22"/>
                <w:szCs w:val="22"/>
              </w:rPr>
            </w:pPr>
            <w:r w:rsidRPr="00906CAE">
              <w:rPr>
                <w:color w:val="000000" w:themeColor="text1"/>
                <w:sz w:val="22"/>
                <w:szCs w:val="22"/>
              </w:rPr>
              <w:t>Safe Patient Care (Nurse to Patient and Midwife to Patient Ratios) Regulations 2015</w:t>
            </w:r>
          </w:p>
        </w:tc>
      </w:tr>
      <w:tr w:rsidR="003D103F" w14:paraId="51580BB3" w14:textId="77777777" w:rsidTr="0076395C">
        <w:trPr>
          <w:trHeight w:val="103"/>
        </w:trPr>
        <w:tc>
          <w:tcPr>
            <w:tcW w:w="4319" w:type="dxa"/>
          </w:tcPr>
          <w:p w14:paraId="70FFAB28" w14:textId="1284A9EF" w:rsidR="00DA2843" w:rsidRPr="00AA6DA6" w:rsidRDefault="00DA2843">
            <w:pPr>
              <w:pStyle w:val="Default"/>
              <w:rPr>
                <w:b/>
                <w:bCs/>
                <w:color w:val="000000" w:themeColor="text1"/>
                <w:sz w:val="22"/>
                <w:szCs w:val="22"/>
              </w:rPr>
            </w:pPr>
            <w:r>
              <w:rPr>
                <w:b/>
                <w:bCs/>
                <w:color w:val="000000" w:themeColor="text1"/>
                <w:sz w:val="22"/>
                <w:szCs w:val="22"/>
              </w:rPr>
              <w:t xml:space="preserve">Royal </w:t>
            </w:r>
            <w:r w:rsidR="00CC19DB">
              <w:rPr>
                <w:b/>
                <w:bCs/>
                <w:color w:val="000000" w:themeColor="text1"/>
                <w:sz w:val="22"/>
                <w:szCs w:val="22"/>
              </w:rPr>
              <w:t>A</w:t>
            </w:r>
            <w:r>
              <w:rPr>
                <w:b/>
                <w:bCs/>
                <w:color w:val="000000" w:themeColor="text1"/>
                <w:sz w:val="22"/>
                <w:szCs w:val="22"/>
              </w:rPr>
              <w:t>ssent</w:t>
            </w:r>
          </w:p>
        </w:tc>
        <w:tc>
          <w:tcPr>
            <w:tcW w:w="5287" w:type="dxa"/>
          </w:tcPr>
          <w:p w14:paraId="1B561B0A" w14:textId="6F07CC97" w:rsidR="00DA2843" w:rsidRPr="001D505E" w:rsidRDefault="001D505E" w:rsidP="001D505E">
            <w:pPr>
              <w:pStyle w:val="Default"/>
              <w:rPr>
                <w:color w:val="000000" w:themeColor="text1"/>
                <w:sz w:val="22"/>
                <w:szCs w:val="22"/>
              </w:rPr>
            </w:pPr>
            <w:r w:rsidRPr="001D505E">
              <w:rPr>
                <w:color w:val="000000" w:themeColor="text1"/>
                <w:sz w:val="22"/>
                <w:szCs w:val="22"/>
              </w:rPr>
              <w:t>The bill is presented to the Governor of Victoria for royal assent.</w:t>
            </w:r>
            <w:r>
              <w:rPr>
                <w:color w:val="000000" w:themeColor="text1"/>
                <w:sz w:val="22"/>
                <w:szCs w:val="22"/>
              </w:rPr>
              <w:t xml:space="preserve"> </w:t>
            </w:r>
            <w:r w:rsidRPr="001D505E">
              <w:rPr>
                <w:color w:val="000000" w:themeColor="text1"/>
                <w:sz w:val="22"/>
                <w:szCs w:val="22"/>
              </w:rPr>
              <w:t>Once royal assent is received, the bill becomes an Act of Parliament. This means it is a law of Victoria.</w:t>
            </w:r>
          </w:p>
        </w:tc>
      </w:tr>
    </w:tbl>
    <w:p w14:paraId="6007D911" w14:textId="3CA1E113" w:rsidR="002C056C" w:rsidRDefault="005632F6" w:rsidP="002C056C">
      <w:pPr>
        <w:pStyle w:val="Heading1"/>
        <w:spacing w:before="0"/>
      </w:pPr>
      <w:bookmarkStart w:id="3" w:name="_Toc194310936"/>
      <w:r>
        <w:t>Purpose</w:t>
      </w:r>
      <w:bookmarkEnd w:id="3"/>
    </w:p>
    <w:p w14:paraId="3004F304" w14:textId="77777777" w:rsidR="00970842" w:rsidRDefault="002C056C" w:rsidP="00643EB1">
      <w:pPr>
        <w:pStyle w:val="Body"/>
        <w:rPr>
          <w:bCs/>
        </w:rPr>
      </w:pPr>
      <w:r>
        <w:t>Th</w:t>
      </w:r>
      <w:r w:rsidRPr="002C056C">
        <w:t xml:space="preserve">is implementation guide is a resource to assist operators of certain publicly funded health facilities to understand and implement legislated amendments to the </w:t>
      </w:r>
      <w:r w:rsidRPr="004B5323">
        <w:rPr>
          <w:i/>
          <w:iCs/>
        </w:rPr>
        <w:t>Safe Patient Care (Nurse to Patient and Midwife to Patient Ratios) Act 2015 (</w:t>
      </w:r>
      <w:r w:rsidRPr="00972F5C">
        <w:t>the Principal Act</w:t>
      </w:r>
      <w:r w:rsidRPr="004B5323">
        <w:rPr>
          <w:i/>
          <w:iCs/>
        </w:rPr>
        <w:t>).</w:t>
      </w:r>
    </w:p>
    <w:p w14:paraId="2440C1B5" w14:textId="6D162837" w:rsidR="00BF65D0" w:rsidRDefault="00924CAC" w:rsidP="00643EB1">
      <w:pPr>
        <w:pStyle w:val="Body"/>
      </w:pPr>
      <w:r w:rsidRPr="00924CAC">
        <w:t xml:space="preserve">This guide provides direction regarding the implementation of </w:t>
      </w:r>
      <w:r>
        <w:t>the</w:t>
      </w:r>
      <w:r w:rsidRPr="00924CAC">
        <w:t xml:space="preserve"> </w:t>
      </w:r>
      <w:bookmarkStart w:id="4" w:name="_Hlk181009810"/>
      <w:r w:rsidRPr="0025577B">
        <w:t xml:space="preserve">Amendment </w:t>
      </w:r>
      <w:r w:rsidR="00542970">
        <w:t>Bill</w:t>
      </w:r>
      <w:r w:rsidR="0025577B" w:rsidRPr="0025577B">
        <w:t xml:space="preserve"> </w:t>
      </w:r>
      <w:r w:rsidRPr="0025577B">
        <w:t>202</w:t>
      </w:r>
      <w:r w:rsidR="008A430B" w:rsidRPr="0025577B">
        <w:t>5</w:t>
      </w:r>
      <w:r w:rsidR="00B512CE" w:rsidRPr="00970842">
        <w:t xml:space="preserve"> </w:t>
      </w:r>
      <w:bookmarkEnd w:id="4"/>
      <w:r w:rsidR="00B512CE" w:rsidRPr="00970842">
        <w:t>and includes</w:t>
      </w:r>
      <w:r w:rsidR="00AA71B9" w:rsidRPr="00970842">
        <w:t>, for completeness as a</w:t>
      </w:r>
      <w:r w:rsidR="00DF62DF">
        <w:t xml:space="preserve"> link in the</w:t>
      </w:r>
      <w:r w:rsidR="00AA71B9" w:rsidRPr="00970842">
        <w:t xml:space="preserve"> appendix</w:t>
      </w:r>
      <w:r w:rsidR="007651C0" w:rsidRPr="00970842">
        <w:t>,</w:t>
      </w:r>
      <w:r w:rsidR="00F11A22" w:rsidRPr="00970842">
        <w:t xml:space="preserve"> the implementation guide pertaining to the </w:t>
      </w:r>
      <w:r w:rsidR="00060A58" w:rsidRPr="001A2700">
        <w:rPr>
          <w:i/>
          <w:iCs/>
        </w:rPr>
        <w:t>Amendment Act 20</w:t>
      </w:r>
      <w:r w:rsidR="00C40FC7" w:rsidRPr="001A2700">
        <w:rPr>
          <w:i/>
          <w:iCs/>
        </w:rPr>
        <w:t xml:space="preserve">19 </w:t>
      </w:r>
      <w:r w:rsidR="00264C37" w:rsidRPr="00970842">
        <w:t xml:space="preserve">and </w:t>
      </w:r>
      <w:r w:rsidR="00013F2E" w:rsidRPr="00970842">
        <w:t xml:space="preserve">the </w:t>
      </w:r>
      <w:r w:rsidR="00013F2E" w:rsidRPr="006C43FD">
        <w:rPr>
          <w:i/>
          <w:iCs/>
        </w:rPr>
        <w:t xml:space="preserve">Amendment Act 2020 </w:t>
      </w:r>
      <w:r w:rsidR="00264C37" w:rsidRPr="00970842">
        <w:t xml:space="preserve"> </w:t>
      </w:r>
    </w:p>
    <w:p w14:paraId="2780311B" w14:textId="22DD70E5" w:rsidR="00924CAC" w:rsidRPr="00924CAC" w:rsidRDefault="00B512CE" w:rsidP="00643EB1">
      <w:pPr>
        <w:pStyle w:val="Body"/>
        <w:rPr>
          <w:bCs/>
        </w:rPr>
      </w:pPr>
      <w:r w:rsidRPr="00970842">
        <w:t xml:space="preserve">Operators of hospitals must understand their responsibilities and obligations under the Principal Act, inclusive of any amendments, and are expected to have processes and procedures in place to ensure correct compliance and application of the amendments once they come into effect. It is equally important that all nurses and midwives working in the public sector understand the legislation and have the necessary knowledge of how ratios are applied in their workplace. </w:t>
      </w:r>
    </w:p>
    <w:p w14:paraId="4EE52336" w14:textId="11CB501F" w:rsidR="007F11F5" w:rsidRPr="007F11F5" w:rsidRDefault="002C056C" w:rsidP="007F11F5">
      <w:pPr>
        <w:pStyle w:val="Body"/>
      </w:pPr>
      <w:r w:rsidRPr="002C056C">
        <w:t xml:space="preserve">This implementation guide is for information only and does not replace or intend to interpret the </w:t>
      </w:r>
      <w:r w:rsidRPr="00AD0672">
        <w:rPr>
          <w:i/>
          <w:iCs/>
        </w:rPr>
        <w:t>Safe Patient Care (Nurse to Patient and Midwife to Patient Ratios) Act 2015, Safe Patient Care (Nurse to Patient and Midwife to Patient Ratios) Amendment Act 2019, Safe Patient Care (Nurse to Patient and Midwife to Patient Ratios) Amendment Act 2020</w:t>
      </w:r>
      <w:r w:rsidR="003B6826" w:rsidRPr="00AD0672">
        <w:rPr>
          <w:i/>
          <w:iCs/>
        </w:rPr>
        <w:t xml:space="preserve">  Safe Patient Care (Nurse to Patient </w:t>
      </w:r>
      <w:r w:rsidR="003B6826" w:rsidRPr="00AD0672">
        <w:rPr>
          <w:i/>
          <w:iCs/>
        </w:rPr>
        <w:lastRenderedPageBreak/>
        <w:t xml:space="preserve">and Midwife to Patient Ratios) Amendment </w:t>
      </w:r>
      <w:r w:rsidR="00542970">
        <w:rPr>
          <w:i/>
          <w:iCs/>
        </w:rPr>
        <w:t>Bill</w:t>
      </w:r>
      <w:r w:rsidR="00542970" w:rsidRPr="00AD0672">
        <w:rPr>
          <w:i/>
          <w:iCs/>
        </w:rPr>
        <w:t xml:space="preserve"> </w:t>
      </w:r>
      <w:r w:rsidR="003B6826" w:rsidRPr="00AD0672">
        <w:rPr>
          <w:i/>
          <w:iCs/>
        </w:rPr>
        <w:t>202</w:t>
      </w:r>
      <w:r w:rsidR="00DD51E1">
        <w:rPr>
          <w:i/>
          <w:iCs/>
        </w:rPr>
        <w:t>5</w:t>
      </w:r>
      <w:r w:rsidR="003B6826">
        <w:t xml:space="preserve"> </w:t>
      </w:r>
      <w:r w:rsidR="006176A2" w:rsidRPr="006176A2">
        <w:rPr>
          <w:i/>
          <w:iCs/>
        </w:rPr>
        <w:t>(Amendment</w:t>
      </w:r>
      <w:r w:rsidR="006176A2" w:rsidRPr="006176A2" w:rsidDel="00542970">
        <w:rPr>
          <w:i/>
          <w:iCs/>
        </w:rPr>
        <w:t xml:space="preserve"> </w:t>
      </w:r>
      <w:r w:rsidR="00542970">
        <w:rPr>
          <w:i/>
          <w:iCs/>
        </w:rPr>
        <w:t>Bill</w:t>
      </w:r>
      <w:r w:rsidR="006176A2" w:rsidRPr="006176A2">
        <w:rPr>
          <w:i/>
          <w:iCs/>
        </w:rPr>
        <w:t xml:space="preserve"> 202</w:t>
      </w:r>
      <w:r w:rsidR="00DD51E1">
        <w:rPr>
          <w:i/>
          <w:iCs/>
        </w:rPr>
        <w:t>5</w:t>
      </w:r>
      <w:r w:rsidR="006176A2" w:rsidRPr="006176A2">
        <w:rPr>
          <w:i/>
          <w:iCs/>
        </w:rPr>
        <w:t>)</w:t>
      </w:r>
      <w:r w:rsidR="006176A2">
        <w:t xml:space="preserve"> </w:t>
      </w:r>
      <w:r w:rsidRPr="002C056C">
        <w:t xml:space="preserve">or the </w:t>
      </w:r>
      <w:r w:rsidRPr="00AD0672">
        <w:rPr>
          <w:i/>
          <w:iCs/>
        </w:rPr>
        <w:t xml:space="preserve">Safe Patient Care (Nurse to Patient and Midwife to Patient Ratios) </w:t>
      </w:r>
      <w:r w:rsidRPr="0086213A">
        <w:t>Regulations 2015</w:t>
      </w:r>
      <w:r w:rsidR="00BD7DD8" w:rsidRPr="0086213A">
        <w:t xml:space="preserve"> </w:t>
      </w:r>
      <w:r w:rsidR="00DC5F08" w:rsidRPr="0086213A">
        <w:t>(</w:t>
      </w:r>
      <w:r w:rsidR="00AD0672" w:rsidRPr="0086213A">
        <w:t>or as updated)</w:t>
      </w:r>
      <w:r w:rsidRPr="0086213A">
        <w:t>.</w:t>
      </w:r>
      <w:r w:rsidRPr="002C056C">
        <w:t xml:space="preserve"> It is recommended that hospital operators obtain legal advice for interpretation of specific provisions, as required.  </w:t>
      </w:r>
    </w:p>
    <w:p w14:paraId="0E49E0C2" w14:textId="5CD50E9F" w:rsidR="00FC1BBA" w:rsidRDefault="005F3F94" w:rsidP="005F3F94">
      <w:pPr>
        <w:pStyle w:val="Heading1"/>
      </w:pPr>
      <w:r>
        <w:br w:type="page"/>
      </w:r>
      <w:bookmarkStart w:id="5" w:name="_Toc194310937"/>
      <w:r w:rsidR="00A429F7">
        <w:lastRenderedPageBreak/>
        <w:t>Background</w:t>
      </w:r>
      <w:bookmarkEnd w:id="5"/>
      <w:r w:rsidR="00ED7762">
        <w:t xml:space="preserve"> </w:t>
      </w:r>
    </w:p>
    <w:p w14:paraId="28E08924" w14:textId="77777777" w:rsidR="00FC1BBA" w:rsidRDefault="00FC1BBA" w:rsidP="00970842">
      <w:pPr>
        <w:pStyle w:val="Body"/>
      </w:pPr>
      <w:r>
        <w:t xml:space="preserve">Nurse to patient and midwife to patient ratios have maintained the safety of the Victorian public since they were first introduced in 2000 under the </w:t>
      </w:r>
      <w:r w:rsidRPr="00FC1BBA">
        <w:rPr>
          <w:i/>
          <w:iCs/>
        </w:rPr>
        <w:t>Nurses (Victorian Public Health Sector) Multi-business Agreement 2000–2004.</w:t>
      </w:r>
      <w:r>
        <w:t xml:space="preserve"> </w:t>
      </w:r>
    </w:p>
    <w:p w14:paraId="67C0EC41" w14:textId="77777777" w:rsidR="00230996" w:rsidRDefault="00FC1BBA" w:rsidP="00970842">
      <w:pPr>
        <w:pStyle w:val="Body"/>
      </w:pPr>
      <w:r>
        <w:t xml:space="preserve">In 2015, the </w:t>
      </w:r>
      <w:r w:rsidRPr="00FC1BBA">
        <w:rPr>
          <w:i/>
          <w:iCs/>
        </w:rPr>
        <w:t>Safe Patient Care (Nurse to Patient and Midwife to Patient Ratios) Act 2015</w:t>
      </w:r>
      <w:r>
        <w:t xml:space="preserve"> was established to enshrine into legislation nurse to patient and midwife to patient ratios that were previously contained in the </w:t>
      </w:r>
      <w:r w:rsidRPr="00230996">
        <w:rPr>
          <w:i/>
          <w:iCs/>
        </w:rPr>
        <w:t>Nurses and Midwives (Victorian Public Sector) (Single Interest Employers) Enterprise Agreement 2012–2016</w:t>
      </w:r>
      <w:r>
        <w:t>. Through this action, Victoria became the first State or Territory in Australia to legislate minimum nurse and midwife to patient ratios in public hospitals.</w:t>
      </w:r>
    </w:p>
    <w:p w14:paraId="211EE44A" w14:textId="39606967" w:rsidR="00E847B5" w:rsidRDefault="00FC1BBA" w:rsidP="00970842">
      <w:pPr>
        <w:pStyle w:val="Body"/>
      </w:pPr>
      <w:r>
        <w:t>The purposes of the Principal Act are to provide</w:t>
      </w:r>
      <w:r w:rsidR="009278C1">
        <w:t>:</w:t>
      </w:r>
      <w:r>
        <w:t xml:space="preserve"> </w:t>
      </w:r>
    </w:p>
    <w:p w14:paraId="6B4F278B" w14:textId="2F7863E8" w:rsidR="00E847B5" w:rsidRDefault="00FC1BBA" w:rsidP="00E847B5">
      <w:pPr>
        <w:pStyle w:val="Body"/>
        <w:ind w:left="720"/>
      </w:pPr>
      <w:r>
        <w:t xml:space="preserve">(a) requirements that the operators of certain publicly funded health facilities staff certain wards </w:t>
      </w:r>
      <w:r w:rsidR="000A08BC">
        <w:t xml:space="preserve">and departments </w:t>
      </w:r>
      <w:r>
        <w:t xml:space="preserve">with a minimum number of nurses or midwives; and </w:t>
      </w:r>
    </w:p>
    <w:p w14:paraId="336DDDEF" w14:textId="4CBBCDA3" w:rsidR="00E847B5" w:rsidRDefault="00FC1BBA" w:rsidP="00E847B5">
      <w:pPr>
        <w:pStyle w:val="Body"/>
        <w:ind w:left="720"/>
      </w:pPr>
      <w:r>
        <w:t xml:space="preserve">(b) the reporting of compliance with those requirements. </w:t>
      </w:r>
    </w:p>
    <w:p w14:paraId="326675A9" w14:textId="7522C9BF" w:rsidR="00367EB5" w:rsidRPr="00367EB5" w:rsidRDefault="00367EB5" w:rsidP="00367EB5">
      <w:pPr>
        <w:pStyle w:val="Body"/>
      </w:pPr>
      <w:r w:rsidRPr="00367EB5">
        <w:t>The first phase of amendments to the Principal Act were outlined in the Amendment Act 2019. Following a five-stage implementation approach, the first of these changes came into effect on 1 March 2019 and the final stage commence</w:t>
      </w:r>
      <w:r w:rsidR="00D53B29">
        <w:t>d</w:t>
      </w:r>
      <w:r w:rsidRPr="00367EB5">
        <w:t xml:space="preserve"> from 1 March 2023. </w:t>
      </w:r>
    </w:p>
    <w:p w14:paraId="1FBCAAF0" w14:textId="3DFD70D5" w:rsidR="00367EB5" w:rsidRPr="00367EB5" w:rsidRDefault="00367EB5" w:rsidP="00367EB5">
      <w:pPr>
        <w:pStyle w:val="Body"/>
      </w:pPr>
      <w:r w:rsidRPr="00367EB5">
        <w:t xml:space="preserve">The second phase of amendments to the Principal Act are contained in the Amendment Act 2020. These changes also </w:t>
      </w:r>
      <w:r>
        <w:t>ha</w:t>
      </w:r>
      <w:r w:rsidR="5C18C099">
        <w:t>d</w:t>
      </w:r>
      <w:r w:rsidRPr="00367EB5">
        <w:t xml:space="preserve"> a staged implementation with the first of these changes coming into effect on 1 March 2021 and the final stage from 1 July 2023. </w:t>
      </w:r>
    </w:p>
    <w:p w14:paraId="02ED58D0" w14:textId="4901936F" w:rsidR="00367EB5" w:rsidRDefault="00367EB5" w:rsidP="00970842">
      <w:pPr>
        <w:pStyle w:val="Body"/>
      </w:pPr>
      <w:r w:rsidRPr="00367EB5">
        <w:t xml:space="preserve">The third phase of amendments to the Principal Act are contained in the Amendment </w:t>
      </w:r>
      <w:r w:rsidR="00542970">
        <w:t>Bill</w:t>
      </w:r>
      <w:r w:rsidR="00542970" w:rsidRPr="00367EB5">
        <w:t xml:space="preserve"> </w:t>
      </w:r>
      <w:r w:rsidRPr="00367EB5">
        <w:t>202</w:t>
      </w:r>
      <w:r w:rsidR="005B6928">
        <w:t>5</w:t>
      </w:r>
      <w:r w:rsidRPr="00367EB5">
        <w:t xml:space="preserve">. These changes have a staged implementation with the first of these changes coming into effect on </w:t>
      </w:r>
      <w:r w:rsidR="00B32381">
        <w:t xml:space="preserve">the day following </w:t>
      </w:r>
      <w:r w:rsidR="00CC19DB">
        <w:t>R</w:t>
      </w:r>
      <w:r w:rsidR="00B32381">
        <w:t xml:space="preserve">oyal </w:t>
      </w:r>
      <w:r w:rsidR="00CC19DB">
        <w:t>A</w:t>
      </w:r>
      <w:r w:rsidR="00B32381">
        <w:t xml:space="preserve">ssent </w:t>
      </w:r>
      <w:r w:rsidRPr="00367EB5">
        <w:t xml:space="preserve">and the final </w:t>
      </w:r>
      <w:r w:rsidR="00C63573">
        <w:t>phase to be implemented by</w:t>
      </w:r>
      <w:r w:rsidRPr="00367EB5">
        <w:t xml:space="preserve"> 1 July 2026.</w:t>
      </w:r>
    </w:p>
    <w:p w14:paraId="0EE2F47B" w14:textId="6E7ACA37" w:rsidR="00CD28C1" w:rsidRDefault="00FC1BBA" w:rsidP="00C36A44">
      <w:pPr>
        <w:pStyle w:val="Body"/>
      </w:pPr>
      <w:r>
        <w:t xml:space="preserve">A copy of the </w:t>
      </w:r>
      <w:r w:rsidR="003C4CD8">
        <w:t xml:space="preserve">finalised </w:t>
      </w:r>
      <w:r>
        <w:t xml:space="preserve">legislation </w:t>
      </w:r>
      <w:r w:rsidR="003C4CD8">
        <w:t>will be</w:t>
      </w:r>
      <w:r>
        <w:t xml:space="preserve"> available on the Victorian Legislation website</w:t>
      </w:r>
      <w:r w:rsidR="00C36A44">
        <w:t xml:space="preserve"> </w:t>
      </w:r>
      <w:hyperlink r:id="rId19" w:history="1">
        <w:r w:rsidR="008F01F0" w:rsidRPr="008F01F0">
          <w:rPr>
            <w:rStyle w:val="Hyperlink"/>
          </w:rPr>
          <w:t>Victorian Legislation</w:t>
        </w:r>
      </w:hyperlink>
      <w:r w:rsidR="008F01F0">
        <w:t xml:space="preserve"> &lt;</w:t>
      </w:r>
      <w:r w:rsidR="008F01F0" w:rsidRPr="008F01F0">
        <w:t>www.legislation.vic.gov.au</w:t>
      </w:r>
      <w:r w:rsidR="008F01F0">
        <w:t>&gt;</w:t>
      </w:r>
      <w:r w:rsidR="003C4CD8">
        <w:t xml:space="preserve"> once it has received royal assent.</w:t>
      </w:r>
    </w:p>
    <w:p w14:paraId="03A71DAC" w14:textId="09034F2E" w:rsidR="003C4CD8" w:rsidRDefault="003C4CD8" w:rsidP="00C36A44">
      <w:pPr>
        <w:pStyle w:val="Body"/>
      </w:pPr>
      <w:r>
        <w:t>A copy of the Bill and Explanatory Memorandum can be found</w:t>
      </w:r>
      <w:r w:rsidR="008F01F0">
        <w:t xml:space="preserve"> at</w:t>
      </w:r>
      <w:r>
        <w:t xml:space="preserve"> </w:t>
      </w:r>
      <w:hyperlink r:id="rId20" w:history="1">
        <w:r w:rsidR="008F01F0" w:rsidRPr="008F01F0">
          <w:rPr>
            <w:rStyle w:val="Hyperlink"/>
          </w:rPr>
          <w:t>Safe Patient Care (Nurse to Patient and Midwife to Patient Ratios) Amendment Bill 2025</w:t>
        </w:r>
      </w:hyperlink>
      <w:r w:rsidR="008F01F0" w:rsidRPr="008F01F0">
        <w:t xml:space="preserve"> </w:t>
      </w:r>
      <w:r w:rsidR="008F01F0">
        <w:t>&lt;h</w:t>
      </w:r>
      <w:r w:rsidR="008F01F0" w:rsidRPr="008F01F0">
        <w:t>ttps://www.legislation.vic.gov.au/bills/safe-patient-care-nurse-patient-and-midwife-patient-ratios-amendment-bill-2025</w:t>
      </w:r>
      <w:r w:rsidR="008F01F0">
        <w:t>&gt;</w:t>
      </w:r>
    </w:p>
    <w:p w14:paraId="6663A64E" w14:textId="77777777" w:rsidR="00CD28C1" w:rsidRDefault="00CD28C1">
      <w:pPr>
        <w:spacing w:after="0" w:line="240" w:lineRule="auto"/>
        <w:rPr>
          <w:rFonts w:eastAsia="Times"/>
        </w:rPr>
      </w:pPr>
      <w:r>
        <w:br w:type="page"/>
      </w:r>
    </w:p>
    <w:p w14:paraId="18D31EB5" w14:textId="44AB3E2E" w:rsidR="00CD28C1" w:rsidRDefault="00EC10DE" w:rsidP="00CD28C1">
      <w:pPr>
        <w:pStyle w:val="Heading1"/>
      </w:pPr>
      <w:bookmarkStart w:id="6" w:name="_Toc194310938"/>
      <w:r>
        <w:lastRenderedPageBreak/>
        <w:t xml:space="preserve">Scope of the </w:t>
      </w:r>
      <w:r w:rsidR="00CD28C1" w:rsidRPr="00CD28C1">
        <w:t>Amendment</w:t>
      </w:r>
      <w:r w:rsidR="00CA56B0">
        <w:t xml:space="preserve"> </w:t>
      </w:r>
      <w:r w:rsidR="00542970">
        <w:t xml:space="preserve">Bill </w:t>
      </w:r>
      <w:r w:rsidR="00CD28C1" w:rsidRPr="009564C6">
        <w:t>202</w:t>
      </w:r>
      <w:r w:rsidR="005228A3" w:rsidRPr="009564C6">
        <w:t>5</w:t>
      </w:r>
      <w:bookmarkEnd w:id="6"/>
    </w:p>
    <w:p w14:paraId="6152BF85" w14:textId="77777777" w:rsidR="0017365C" w:rsidRPr="0017365C" w:rsidRDefault="0017365C" w:rsidP="00F531CF">
      <w:pPr>
        <w:pStyle w:val="Heading4"/>
      </w:pPr>
      <w:r w:rsidRPr="0017365C">
        <w:t>Emergency Departments (ED)</w:t>
      </w:r>
    </w:p>
    <w:p w14:paraId="3E8A3319" w14:textId="6352D179" w:rsidR="0017365C" w:rsidRPr="0017365C" w:rsidRDefault="007C2B83" w:rsidP="001478CB">
      <w:pPr>
        <w:pStyle w:val="Body"/>
        <w:numPr>
          <w:ilvl w:val="0"/>
          <w:numId w:val="7"/>
        </w:numPr>
      </w:pPr>
      <w:r>
        <w:t>1</w:t>
      </w:r>
      <w:r w:rsidRPr="0017365C">
        <w:t xml:space="preserve">:1 </w:t>
      </w:r>
      <w:r>
        <w:t>nursing</w:t>
      </w:r>
      <w:r w:rsidRPr="0017365C">
        <w:t xml:space="preserve"> ratio </w:t>
      </w:r>
      <w:r w:rsidR="0017365C" w:rsidRPr="0017365C">
        <w:t xml:space="preserve">in resuscitation cubicles in Emergency Departments on morning </w:t>
      </w:r>
      <w:r w:rsidR="00FF0ACC">
        <w:t xml:space="preserve">shift </w:t>
      </w:r>
      <w:r w:rsidR="008B1295">
        <w:t xml:space="preserve">applicable </w:t>
      </w:r>
      <w:r w:rsidR="0017365C" w:rsidRPr="0017365C">
        <w:t xml:space="preserve">in hospitals specified in Schedule 3, Part 1 of the </w:t>
      </w:r>
      <w:r w:rsidR="00D95B2D">
        <w:t xml:space="preserve">Principal </w:t>
      </w:r>
      <w:r w:rsidR="0017365C" w:rsidRPr="0017365C">
        <w:t>Act</w:t>
      </w:r>
    </w:p>
    <w:p w14:paraId="56D7217E" w14:textId="52D93E84" w:rsidR="0017365C" w:rsidRPr="0017365C" w:rsidRDefault="0017365C" w:rsidP="00F531CF">
      <w:pPr>
        <w:pStyle w:val="Heading4"/>
      </w:pPr>
      <w:r w:rsidRPr="0017365C">
        <w:t>Intensive Care Units (ICU)</w:t>
      </w:r>
      <w:r w:rsidR="00FF700A">
        <w:t xml:space="preserve"> </w:t>
      </w:r>
      <w:r w:rsidR="00CB60E3">
        <w:t>–</w:t>
      </w:r>
      <w:r w:rsidR="00FF700A">
        <w:t xml:space="preserve"> Adul</w:t>
      </w:r>
      <w:r w:rsidR="00CB60E3">
        <w:t>t and paediatric</w:t>
      </w:r>
    </w:p>
    <w:p w14:paraId="162CCFB1" w14:textId="4DC52688" w:rsidR="0017365C" w:rsidRPr="0017365C" w:rsidRDefault="0017365C" w:rsidP="001478CB">
      <w:pPr>
        <w:pStyle w:val="Body"/>
        <w:numPr>
          <w:ilvl w:val="0"/>
          <w:numId w:val="7"/>
        </w:numPr>
      </w:pPr>
      <w:r w:rsidRPr="0017365C">
        <w:t xml:space="preserve">1:1 </w:t>
      </w:r>
      <w:r w:rsidR="00EA6A20">
        <w:t>nurs</w:t>
      </w:r>
      <w:r w:rsidR="00240532">
        <w:t>e</w:t>
      </w:r>
      <w:r w:rsidRPr="0017365C">
        <w:t xml:space="preserve"> </w:t>
      </w:r>
      <w:r w:rsidR="008A4FC2">
        <w:t xml:space="preserve">to occupied bed </w:t>
      </w:r>
      <w:r w:rsidRPr="0017365C">
        <w:t xml:space="preserve">ratio in ICUs on all shifts </w:t>
      </w:r>
      <w:r w:rsidR="00D45C93">
        <w:t xml:space="preserve">in </w:t>
      </w:r>
      <w:r w:rsidR="002969AC">
        <w:t xml:space="preserve">Level 1 and Level 2 hospitals </w:t>
      </w:r>
      <w:r w:rsidR="00D45C93">
        <w:t xml:space="preserve">specified </w:t>
      </w:r>
      <w:r w:rsidR="00457FF9">
        <w:t>in Schedule 1 of the</w:t>
      </w:r>
      <w:r w:rsidR="00D95B2D">
        <w:t xml:space="preserve"> Principal</w:t>
      </w:r>
      <w:r w:rsidR="00457FF9">
        <w:t xml:space="preserve"> Act</w:t>
      </w:r>
      <w:r w:rsidR="000A2A5D">
        <w:t>*</w:t>
      </w:r>
    </w:p>
    <w:p w14:paraId="502888E0" w14:textId="58B3F785" w:rsidR="0017365C" w:rsidRPr="0017365C" w:rsidRDefault="00671AE1" w:rsidP="001478CB">
      <w:pPr>
        <w:pStyle w:val="Body"/>
        <w:numPr>
          <w:ilvl w:val="0"/>
          <w:numId w:val="7"/>
        </w:numPr>
      </w:pPr>
      <w:r>
        <w:t>T</w:t>
      </w:r>
      <w:r w:rsidR="0017365C" w:rsidRPr="0017365C">
        <w:t xml:space="preserve">eam leader and liaison nurse in addition to the prescribed </w:t>
      </w:r>
      <w:r w:rsidR="008763DD">
        <w:t xml:space="preserve">1:1 </w:t>
      </w:r>
      <w:r w:rsidR="0017365C" w:rsidRPr="0017365C">
        <w:t xml:space="preserve">ratio on </w:t>
      </w:r>
      <w:r w:rsidR="003E48A9">
        <w:t xml:space="preserve">specified </w:t>
      </w:r>
      <w:r w:rsidR="0017365C" w:rsidRPr="0017365C">
        <w:t xml:space="preserve">shifts </w:t>
      </w:r>
      <w:r w:rsidR="00FF2685">
        <w:t xml:space="preserve">to support </w:t>
      </w:r>
      <w:r w:rsidR="0017365C" w:rsidRPr="0017365C">
        <w:t xml:space="preserve">ICUs in Level 1 and Level 2 hospitals </w:t>
      </w:r>
      <w:r w:rsidR="000E14B5">
        <w:t xml:space="preserve">specified in Schedule 1 of the </w:t>
      </w:r>
      <w:r w:rsidR="00D95B2D">
        <w:t xml:space="preserve">Principal </w:t>
      </w:r>
      <w:r w:rsidR="000E14B5">
        <w:t>Act</w:t>
      </w:r>
      <w:r w:rsidR="0056291C">
        <w:t xml:space="preserve">  </w:t>
      </w:r>
    </w:p>
    <w:p w14:paraId="34555892" w14:textId="76BE5455" w:rsidR="000A2A5D" w:rsidRDefault="00F2332D" w:rsidP="000A2A5D">
      <w:pPr>
        <w:pStyle w:val="Body"/>
        <w:numPr>
          <w:ilvl w:val="0"/>
          <w:numId w:val="7"/>
        </w:numPr>
      </w:pPr>
      <w:r>
        <w:t>N</w:t>
      </w:r>
      <w:r w:rsidR="0017365C" w:rsidRPr="0017365C">
        <w:t xml:space="preserve">urse </w:t>
      </w:r>
      <w:r>
        <w:t xml:space="preserve">in charge </w:t>
      </w:r>
      <w:r w:rsidR="0017365C" w:rsidRPr="0017365C">
        <w:t>in ICUs on all shifts in Level 1 and Level 2 hospitals</w:t>
      </w:r>
      <w:r w:rsidR="000E14B5">
        <w:t xml:space="preserve"> specified in Schedule 1 of the </w:t>
      </w:r>
      <w:r w:rsidR="00D95B2D">
        <w:t xml:space="preserve">Principal </w:t>
      </w:r>
      <w:r w:rsidR="000E14B5">
        <w:t>Act</w:t>
      </w:r>
    </w:p>
    <w:p w14:paraId="32756296" w14:textId="178D7965" w:rsidR="000A2A5D" w:rsidRPr="00AC0ACD" w:rsidRDefault="000A2A5D" w:rsidP="00D16E40">
      <w:pPr>
        <w:pStyle w:val="Body"/>
        <w:rPr>
          <w:i/>
          <w:iCs/>
          <w:sz w:val="16"/>
          <w:szCs w:val="16"/>
        </w:rPr>
      </w:pPr>
      <w:r w:rsidRPr="00AC0ACD">
        <w:rPr>
          <w:i/>
          <w:iCs/>
          <w:sz w:val="16"/>
          <w:szCs w:val="16"/>
        </w:rPr>
        <w:t xml:space="preserve">* 1:1 nurse to occupied bed ratio only applies where </w:t>
      </w:r>
      <w:r w:rsidR="00D16E40">
        <w:rPr>
          <w:i/>
          <w:iCs/>
          <w:sz w:val="16"/>
          <w:szCs w:val="16"/>
        </w:rPr>
        <w:t xml:space="preserve">the </w:t>
      </w:r>
      <w:r w:rsidRPr="00AC0ACD">
        <w:rPr>
          <w:i/>
          <w:iCs/>
          <w:sz w:val="16"/>
          <w:szCs w:val="16"/>
        </w:rPr>
        <w:t>patient meet</w:t>
      </w:r>
      <w:r w:rsidR="00AC0ACD">
        <w:rPr>
          <w:i/>
          <w:iCs/>
          <w:sz w:val="16"/>
          <w:szCs w:val="16"/>
        </w:rPr>
        <w:t>s</w:t>
      </w:r>
      <w:r w:rsidRPr="00AC0ACD">
        <w:rPr>
          <w:i/>
          <w:iCs/>
          <w:sz w:val="16"/>
          <w:szCs w:val="16"/>
        </w:rPr>
        <w:t xml:space="preserve"> the definition of an ICU level </w:t>
      </w:r>
      <w:r w:rsidRPr="00D922A0">
        <w:rPr>
          <w:i/>
          <w:iCs/>
          <w:sz w:val="16"/>
          <w:szCs w:val="16"/>
        </w:rPr>
        <w:t>patien</w:t>
      </w:r>
      <w:r w:rsidRPr="00D922A0">
        <w:rPr>
          <w:i/>
          <w:sz w:val="16"/>
          <w:szCs w:val="16"/>
        </w:rPr>
        <w:t>t</w:t>
      </w:r>
      <w:r w:rsidR="640EE188" w:rsidRPr="00D922A0">
        <w:rPr>
          <w:i/>
          <w:iCs/>
          <w:sz w:val="16"/>
          <w:szCs w:val="16"/>
        </w:rPr>
        <w:t xml:space="preserve"> (ICU equivalent)</w:t>
      </w:r>
      <w:r w:rsidR="640EE188" w:rsidRPr="7548A223">
        <w:rPr>
          <w:i/>
          <w:iCs/>
          <w:sz w:val="16"/>
          <w:szCs w:val="16"/>
        </w:rPr>
        <w:t xml:space="preserve"> </w:t>
      </w:r>
    </w:p>
    <w:p w14:paraId="327EFD1F" w14:textId="77777777" w:rsidR="0017365C" w:rsidRPr="0017365C" w:rsidRDefault="0017365C" w:rsidP="00F531CF">
      <w:pPr>
        <w:pStyle w:val="Heading4"/>
      </w:pPr>
      <w:r w:rsidRPr="0017365C">
        <w:t>Maternity wards</w:t>
      </w:r>
    </w:p>
    <w:p w14:paraId="4CC14F86" w14:textId="5B738140" w:rsidR="0017365C" w:rsidRPr="0017365C" w:rsidRDefault="0017365C" w:rsidP="001478CB">
      <w:pPr>
        <w:pStyle w:val="Body"/>
        <w:numPr>
          <w:ilvl w:val="0"/>
          <w:numId w:val="7"/>
        </w:numPr>
      </w:pPr>
      <w:r w:rsidRPr="0017365C">
        <w:t xml:space="preserve">1:4 midwifery ratio on night shift </w:t>
      </w:r>
      <w:r w:rsidR="002479CD">
        <w:t xml:space="preserve">in postnatal and antenatal wards </w:t>
      </w:r>
      <w:r w:rsidRPr="0017365C">
        <w:t>for prescribed health services* (*</w:t>
      </w:r>
      <w:r w:rsidR="00967F4F" w:rsidRPr="0017365C">
        <w:t xml:space="preserve">prescribed health services </w:t>
      </w:r>
      <w:r w:rsidR="00967F4F">
        <w:t xml:space="preserve">are derived from the </w:t>
      </w:r>
      <w:hyperlink r:id="rId21">
        <w:r w:rsidR="00967F4F" w:rsidRPr="15915364">
          <w:rPr>
            <w:rStyle w:val="Hyperlink"/>
          </w:rPr>
          <w:t>Materni</w:t>
        </w:r>
        <w:r w:rsidR="00967F4F" w:rsidRPr="15915364">
          <w:rPr>
            <w:rStyle w:val="Hyperlink"/>
          </w:rPr>
          <w:t>t</w:t>
        </w:r>
        <w:r w:rsidR="00967F4F" w:rsidRPr="15915364">
          <w:rPr>
            <w:rStyle w:val="Hyperlink"/>
          </w:rPr>
          <w:t>y Capability Framewor</w:t>
        </w:r>
        <w:r w:rsidR="00CE45B2" w:rsidRPr="15915364">
          <w:rPr>
            <w:rStyle w:val="Hyperlink"/>
          </w:rPr>
          <w:t>k</w:t>
        </w:r>
      </w:hyperlink>
      <w:r w:rsidR="00CE45B2">
        <w:t xml:space="preserve"> </w:t>
      </w:r>
      <w:r w:rsidR="008F01F0">
        <w:t>&lt;</w:t>
      </w:r>
      <w:r w:rsidR="008F01F0" w:rsidRPr="008F01F0">
        <w:t>https://www.health.vic.gov.au/patient-care/capability-frameworks-for-maternity-and-newborn-care-in-victoria</w:t>
      </w:r>
      <w:r w:rsidR="008F01F0">
        <w:t xml:space="preserve">&gt; </w:t>
      </w:r>
      <w:r w:rsidR="00CE45B2">
        <w:t xml:space="preserve">and </w:t>
      </w:r>
      <w:r w:rsidR="0019596A">
        <w:t xml:space="preserve">will be listed in </w:t>
      </w:r>
      <w:r w:rsidR="005E0DC1">
        <w:t xml:space="preserve">Regulations. These services </w:t>
      </w:r>
      <w:r w:rsidR="00CE45B2">
        <w:t xml:space="preserve">pertain to </w:t>
      </w:r>
      <w:r w:rsidRPr="0017365C">
        <w:t xml:space="preserve">Level 4 maternity services that are part of a larger metropolitan health </w:t>
      </w:r>
      <w:r>
        <w:t>service</w:t>
      </w:r>
      <w:r w:rsidR="002F5E07">
        <w:t>,</w:t>
      </w:r>
      <w:r w:rsidRPr="0017365C">
        <w:t xml:space="preserve"> Level 5 and Level 6 maternity services</w:t>
      </w:r>
      <w:r w:rsidR="008F3869">
        <w:t xml:space="preserve"> only</w:t>
      </w:r>
      <w:r w:rsidR="00D9500A">
        <w:t xml:space="preserve"> as listed at </w:t>
      </w:r>
      <w:hyperlink w:anchor="_Appendix_A_–" w:history="1">
        <w:r w:rsidR="00D9500A" w:rsidRPr="004C4FB8">
          <w:rPr>
            <w:rStyle w:val="Hyperlink"/>
          </w:rPr>
          <w:t>Appendix A</w:t>
        </w:r>
      </w:hyperlink>
      <w:r w:rsidRPr="0017365C">
        <w:t>)</w:t>
      </w:r>
    </w:p>
    <w:p w14:paraId="2F14A98A" w14:textId="68797E1D" w:rsidR="0017365C" w:rsidRPr="0017365C" w:rsidRDefault="00DB17CF" w:rsidP="00F531CF">
      <w:pPr>
        <w:pStyle w:val="Heading4"/>
      </w:pPr>
      <w:r w:rsidRPr="0017365C">
        <w:t>Coronary Care Unit</w:t>
      </w:r>
      <w:r w:rsidR="00AB52AC">
        <w:t>s</w:t>
      </w:r>
      <w:r w:rsidRPr="0017365C">
        <w:t xml:space="preserve"> (CCU) </w:t>
      </w:r>
      <w:r w:rsidR="00EA6CBC">
        <w:t xml:space="preserve">and </w:t>
      </w:r>
      <w:r w:rsidR="00EA6CBC" w:rsidRPr="0017365C">
        <w:t>Standalone High Dependency Unit</w:t>
      </w:r>
      <w:r w:rsidR="00EA6CBC">
        <w:t>s</w:t>
      </w:r>
      <w:r w:rsidR="00EA6CBC" w:rsidRPr="0017365C">
        <w:t xml:space="preserve"> (HDU)</w:t>
      </w:r>
    </w:p>
    <w:p w14:paraId="14262C51" w14:textId="69785DCC" w:rsidR="00475C22" w:rsidRDefault="00F2332D" w:rsidP="005F6E7B">
      <w:pPr>
        <w:pStyle w:val="Body"/>
        <w:numPr>
          <w:ilvl w:val="1"/>
          <w:numId w:val="7"/>
        </w:numPr>
      </w:pPr>
      <w:r>
        <w:t>N</w:t>
      </w:r>
      <w:r w:rsidR="0017365C" w:rsidRPr="0017365C">
        <w:t xml:space="preserve">urse </w:t>
      </w:r>
      <w:r>
        <w:t xml:space="preserve">in charge </w:t>
      </w:r>
      <w:r w:rsidR="0017365C" w:rsidRPr="0017365C">
        <w:t xml:space="preserve">on night </w:t>
      </w:r>
      <w:r w:rsidR="00004779">
        <w:t>shift</w:t>
      </w:r>
      <w:r w:rsidR="0017365C" w:rsidRPr="0017365C">
        <w:t xml:space="preserve"> in </w:t>
      </w:r>
      <w:r w:rsidR="00DB17CF" w:rsidRPr="0017365C">
        <w:t>CCU</w:t>
      </w:r>
      <w:r w:rsidR="00DB17CF">
        <w:t>s</w:t>
      </w:r>
    </w:p>
    <w:p w14:paraId="166E0ADD" w14:textId="608E3ED7" w:rsidR="00BC2062" w:rsidRDefault="00475C22" w:rsidP="005F6E7B">
      <w:pPr>
        <w:pStyle w:val="Body"/>
        <w:numPr>
          <w:ilvl w:val="1"/>
          <w:numId w:val="7"/>
        </w:numPr>
      </w:pPr>
      <w:r>
        <w:t xml:space="preserve">Nurse in charge </w:t>
      </w:r>
      <w:r w:rsidR="00816327">
        <w:t xml:space="preserve">on night shift in </w:t>
      </w:r>
      <w:r w:rsidRPr="0017365C">
        <w:t>standalone HDUs</w:t>
      </w:r>
      <w:r>
        <w:t xml:space="preserve"> in level 1 hospitals</w:t>
      </w:r>
    </w:p>
    <w:p w14:paraId="139A445D" w14:textId="77777777" w:rsidR="0017365C" w:rsidRDefault="00232447" w:rsidP="005F6E7B">
      <w:pPr>
        <w:pStyle w:val="Body"/>
      </w:pPr>
      <w:r>
        <w:t>A</w:t>
      </w:r>
      <w:r w:rsidR="007A491B">
        <w:t xml:space="preserve">s defined in the </w:t>
      </w:r>
      <w:r w:rsidR="005D3F8E">
        <w:t xml:space="preserve">Principal </w:t>
      </w:r>
      <w:r w:rsidR="007A491B">
        <w:t>Act a</w:t>
      </w:r>
      <w:r>
        <w:t xml:space="preserve"> CCU </w:t>
      </w:r>
      <w:r w:rsidR="00727C3C">
        <w:t>“</w:t>
      </w:r>
      <w:r w:rsidR="00280706" w:rsidRPr="00280706">
        <w:rPr>
          <w:i/>
          <w:iCs/>
        </w:rPr>
        <w:t>means a unit of specialised critical care beds dedicated to acute care, treatment and monitoring of patients with serious or unstable cardiac diseases</w:t>
      </w:r>
      <w:r w:rsidR="00727C3C">
        <w:t>”.</w:t>
      </w:r>
    </w:p>
    <w:p w14:paraId="3846FCED" w14:textId="15790D17" w:rsidR="00727C3C" w:rsidRPr="009C50B3" w:rsidRDefault="00727C3C" w:rsidP="005F6E7B">
      <w:pPr>
        <w:pStyle w:val="Body"/>
      </w:pPr>
      <w:r>
        <w:t xml:space="preserve">A standalone HDU is </w:t>
      </w:r>
      <w:r w:rsidR="0057404B">
        <w:t xml:space="preserve">considered </w:t>
      </w:r>
      <w:r w:rsidR="00F52E35">
        <w:t>a ward</w:t>
      </w:r>
      <w:r w:rsidR="001B5447">
        <w:t>. A</w:t>
      </w:r>
      <w:r w:rsidR="008F1545">
        <w:t xml:space="preserve">s defined </w:t>
      </w:r>
      <w:r w:rsidR="0074169B">
        <w:t>i</w:t>
      </w:r>
      <w:r w:rsidR="008F1545">
        <w:t xml:space="preserve">n the </w:t>
      </w:r>
      <w:r w:rsidR="005D3F8E">
        <w:t xml:space="preserve">Principal </w:t>
      </w:r>
      <w:r w:rsidR="008F1545">
        <w:t xml:space="preserve">Act a ward </w:t>
      </w:r>
      <w:r w:rsidR="008F1545" w:rsidRPr="008F1545">
        <w:rPr>
          <w:i/>
          <w:iCs/>
        </w:rPr>
        <w:t>“</w:t>
      </w:r>
      <w:r w:rsidR="00F52E35" w:rsidRPr="008F1545">
        <w:rPr>
          <w:i/>
          <w:iCs/>
        </w:rPr>
        <w:t>means a ward, unit, department or component of a hospital</w:t>
      </w:r>
      <w:r w:rsidR="008F1545" w:rsidRPr="008F1545">
        <w:rPr>
          <w:i/>
          <w:iCs/>
        </w:rPr>
        <w:t>..”</w:t>
      </w:r>
      <w:r w:rsidR="008939C3">
        <w:rPr>
          <w:i/>
          <w:iCs/>
        </w:rPr>
        <w:t>.</w:t>
      </w:r>
      <w:r w:rsidR="009C50B3">
        <w:rPr>
          <w:i/>
          <w:iCs/>
        </w:rPr>
        <w:t xml:space="preserve"> </w:t>
      </w:r>
      <w:r w:rsidR="009C50B3">
        <w:t xml:space="preserve">A </w:t>
      </w:r>
      <w:r w:rsidR="0001141A">
        <w:t xml:space="preserve">HDU that is part of a </w:t>
      </w:r>
      <w:r w:rsidR="009C50B3">
        <w:t>mixed ward</w:t>
      </w:r>
      <w:r w:rsidR="00E9343D">
        <w:t xml:space="preserve">, including </w:t>
      </w:r>
      <w:r w:rsidR="00816327">
        <w:t xml:space="preserve">where co-located with an </w:t>
      </w:r>
      <w:r w:rsidR="00E9343D">
        <w:t>ICU</w:t>
      </w:r>
      <w:r w:rsidR="0001141A">
        <w:t xml:space="preserve"> is not considered a standalone HDU. </w:t>
      </w:r>
    </w:p>
    <w:p w14:paraId="5876E625" w14:textId="42CF0453" w:rsidR="00BC7888" w:rsidRDefault="00BC7888" w:rsidP="00BC7888">
      <w:pPr>
        <w:pStyle w:val="Heading2"/>
      </w:pPr>
      <w:bookmarkStart w:id="7" w:name="_Toc194310939"/>
      <w:r>
        <w:t>Timing</w:t>
      </w:r>
      <w:bookmarkEnd w:id="7"/>
    </w:p>
    <w:p w14:paraId="5DEB14A8" w14:textId="29841BD0" w:rsidR="00BC7888" w:rsidRPr="00834A6F" w:rsidRDefault="00BC7888" w:rsidP="00BC7888">
      <w:pPr>
        <w:pStyle w:val="Body"/>
      </w:pPr>
      <w:r>
        <w:t xml:space="preserve">The </w:t>
      </w:r>
      <w:r w:rsidR="00056821">
        <w:t>requirements</w:t>
      </w:r>
      <w:r>
        <w:t xml:space="preserve"> outlined above will come into effect following the day after Royal Assent.</w:t>
      </w:r>
    </w:p>
    <w:p w14:paraId="1E845510" w14:textId="1C53F497" w:rsidR="00BC7888" w:rsidRPr="0017365C" w:rsidRDefault="00BC7888" w:rsidP="00BC7888">
      <w:pPr>
        <w:pStyle w:val="Body"/>
      </w:pPr>
      <w:r w:rsidRPr="00834A6F">
        <w:rPr>
          <w:color w:val="000000" w:themeColor="text1"/>
          <w:szCs w:val="21"/>
        </w:rPr>
        <w:t>Following</w:t>
      </w:r>
      <w:r>
        <w:rPr>
          <w:color w:val="000000" w:themeColor="text1"/>
          <w:szCs w:val="21"/>
        </w:rPr>
        <w:t xml:space="preserve"> the day after</w:t>
      </w:r>
      <w:r w:rsidRPr="00834A6F">
        <w:rPr>
          <w:color w:val="000000" w:themeColor="text1"/>
          <w:szCs w:val="21"/>
        </w:rPr>
        <w:t xml:space="preserve"> </w:t>
      </w:r>
      <w:r>
        <w:rPr>
          <w:color w:val="000000" w:themeColor="text1"/>
          <w:szCs w:val="21"/>
        </w:rPr>
        <w:t>R</w:t>
      </w:r>
      <w:r w:rsidRPr="00834A6F">
        <w:rPr>
          <w:color w:val="000000" w:themeColor="text1"/>
          <w:szCs w:val="21"/>
        </w:rPr>
        <w:t>oyal</w:t>
      </w:r>
      <w:r>
        <w:rPr>
          <w:color w:val="000000" w:themeColor="text1"/>
          <w:szCs w:val="21"/>
        </w:rPr>
        <w:t xml:space="preserve"> Assent</w:t>
      </w:r>
      <w:r w:rsidRPr="00834A6F">
        <w:rPr>
          <w:color w:val="000000" w:themeColor="text1"/>
          <w:szCs w:val="21"/>
        </w:rPr>
        <w:t>,</w:t>
      </w:r>
      <w:r>
        <w:rPr>
          <w:color w:val="000000" w:themeColor="text1"/>
          <w:szCs w:val="21"/>
        </w:rPr>
        <w:t xml:space="preserve"> </w:t>
      </w:r>
      <w:r w:rsidRPr="00834A6F">
        <w:rPr>
          <w:color w:val="000000" w:themeColor="text1"/>
          <w:szCs w:val="21"/>
        </w:rPr>
        <w:t xml:space="preserve">25% of each ratio </w:t>
      </w:r>
      <w:r w:rsidR="002F2C65">
        <w:rPr>
          <w:color w:val="000000" w:themeColor="text1"/>
          <w:szCs w:val="21"/>
        </w:rPr>
        <w:t>is required to</w:t>
      </w:r>
      <w:r w:rsidRPr="00834A6F">
        <w:rPr>
          <w:color w:val="000000" w:themeColor="text1"/>
          <w:szCs w:val="21"/>
        </w:rPr>
        <w:t xml:space="preserve"> be implemented, followed by 75% from 1 December 2025 with 100% of each change being implemented from 1 July 2026</w:t>
      </w:r>
      <w:r w:rsidRPr="5ACD79B8">
        <w:rPr>
          <w:color w:val="000000" w:themeColor="text1"/>
          <w:szCs w:val="21"/>
        </w:rPr>
        <w:t>.</w:t>
      </w:r>
    </w:p>
    <w:p w14:paraId="796ED9AF" w14:textId="1B7DA98A" w:rsidR="00BC7888" w:rsidRDefault="00217625" w:rsidP="00BC7888">
      <w:pPr>
        <w:pStyle w:val="Body"/>
      </w:pPr>
      <w:r>
        <w:t xml:space="preserve">To support health services in </w:t>
      </w:r>
      <w:r w:rsidR="002A31E7">
        <w:t xml:space="preserve">their </w:t>
      </w:r>
      <w:r>
        <w:t xml:space="preserve">understanding </w:t>
      </w:r>
      <w:r w:rsidR="00862D45">
        <w:t>of phased i</w:t>
      </w:r>
      <w:r>
        <w:t>mplementation, a</w:t>
      </w:r>
      <w:r w:rsidR="00365588">
        <w:t xml:space="preserve">n example </w:t>
      </w:r>
      <w:r w:rsidR="00047502">
        <w:t xml:space="preserve">of </w:t>
      </w:r>
      <w:r w:rsidR="00C116AF">
        <w:t xml:space="preserve">the 25% implementation </w:t>
      </w:r>
      <w:r w:rsidR="00365588">
        <w:t xml:space="preserve">provided in </w:t>
      </w:r>
      <w:r w:rsidR="00365588" w:rsidRPr="00C116AF">
        <w:rPr>
          <w:b/>
          <w:bCs/>
        </w:rPr>
        <w:t>Appendix C</w:t>
      </w:r>
      <w:r w:rsidR="00C116AF">
        <w:t xml:space="preserve">. </w:t>
      </w:r>
    </w:p>
    <w:p w14:paraId="5714B9C9" w14:textId="77777777" w:rsidR="00862D45" w:rsidRDefault="00862D45" w:rsidP="00BC7888">
      <w:pPr>
        <w:pStyle w:val="Body"/>
      </w:pPr>
    </w:p>
    <w:p w14:paraId="577167E5" w14:textId="77777777" w:rsidR="00862D45" w:rsidRPr="009C50B3" w:rsidRDefault="00862D45" w:rsidP="00BC7888">
      <w:pPr>
        <w:pStyle w:val="Body"/>
      </w:pPr>
    </w:p>
    <w:p w14:paraId="02DA53F8" w14:textId="77777777" w:rsidR="003642E0" w:rsidRDefault="003642E0" w:rsidP="00410A42">
      <w:pPr>
        <w:pStyle w:val="Heading2"/>
      </w:pPr>
    </w:p>
    <w:p w14:paraId="35D11B6B" w14:textId="3EC0BB32" w:rsidR="00FA3257" w:rsidRPr="00FA3257" w:rsidRDefault="001A23C7" w:rsidP="00410A42">
      <w:pPr>
        <w:pStyle w:val="Heading2"/>
      </w:pPr>
      <w:bookmarkStart w:id="8" w:name="_Toc194310940"/>
      <w:r>
        <w:t>Applying the ratios</w:t>
      </w:r>
      <w:bookmarkEnd w:id="8"/>
    </w:p>
    <w:p w14:paraId="169BF20A" w14:textId="60E93A0B" w:rsidR="00641B6C" w:rsidRPr="00641B6C" w:rsidRDefault="00641B6C" w:rsidP="00641B6C">
      <w:pPr>
        <w:pStyle w:val="Body"/>
      </w:pPr>
      <w:r>
        <w:t xml:space="preserve">The amended ratios </w:t>
      </w:r>
      <w:r w:rsidRPr="00641B6C">
        <w:t>will apply</w:t>
      </w:r>
      <w:r w:rsidR="008A5851">
        <w:t xml:space="preserve"> </w:t>
      </w:r>
      <w:r w:rsidR="007C67C5">
        <w:t xml:space="preserve">to services </w:t>
      </w:r>
      <w:r w:rsidR="008A5851" w:rsidRPr="00523D9C">
        <w:t>across metropolitan Melbourne and regional Victoria</w:t>
      </w:r>
      <w:r w:rsidRPr="00641B6C">
        <w:t>:  </w:t>
      </w:r>
    </w:p>
    <w:p w14:paraId="77A126B2" w14:textId="1CFA2266" w:rsidR="00641B6C" w:rsidRDefault="001F0EB9" w:rsidP="001478CB">
      <w:pPr>
        <w:pStyle w:val="Body"/>
        <w:numPr>
          <w:ilvl w:val="0"/>
          <w:numId w:val="9"/>
        </w:numPr>
      </w:pPr>
      <w:r>
        <w:t xml:space="preserve">24 hospitals </w:t>
      </w:r>
      <w:r w:rsidR="00641B6C" w:rsidRPr="00641B6C">
        <w:t>with intensive care units</w:t>
      </w:r>
      <w:r w:rsidR="00042D60">
        <w:t xml:space="preserve"> </w:t>
      </w:r>
      <w:r w:rsidR="00523D9C">
        <w:t xml:space="preserve">outlined </w:t>
      </w:r>
      <w:r w:rsidR="00523D9C" w:rsidRPr="00641B6C">
        <w:t xml:space="preserve">in Schedule 1 to the </w:t>
      </w:r>
      <w:r w:rsidR="5D9135D3">
        <w:t>Princip</w:t>
      </w:r>
      <w:r w:rsidR="005D3F8E">
        <w:t xml:space="preserve">al </w:t>
      </w:r>
      <w:r w:rsidR="55608129">
        <w:t>Act</w:t>
      </w:r>
      <w:r w:rsidR="00523D9C" w:rsidRPr="00641B6C">
        <w:t xml:space="preserve"> </w:t>
      </w:r>
      <w:r w:rsidR="00523D9C">
        <w:t xml:space="preserve">as </w:t>
      </w:r>
      <w:r w:rsidR="00523D9C" w:rsidRPr="00641B6C">
        <w:t xml:space="preserve">Level 1 and </w:t>
      </w:r>
      <w:r w:rsidR="00E37D0C">
        <w:t>L</w:t>
      </w:r>
      <w:r w:rsidR="00523D9C" w:rsidRPr="00641B6C">
        <w:t>evel 2 hospitals</w:t>
      </w:r>
    </w:p>
    <w:p w14:paraId="7C567C49" w14:textId="432CC3AE" w:rsidR="00641B6C" w:rsidRPr="00641B6C" w:rsidRDefault="009D345F" w:rsidP="001478CB">
      <w:pPr>
        <w:pStyle w:val="Body"/>
        <w:numPr>
          <w:ilvl w:val="0"/>
          <w:numId w:val="10"/>
        </w:numPr>
      </w:pPr>
      <w:r>
        <w:t>22 h</w:t>
      </w:r>
      <w:r w:rsidR="00641B6C" w:rsidRPr="00641B6C">
        <w:t xml:space="preserve">ospitals with emergency departments outlined in Part 1 in Schedule 3 to the </w:t>
      </w:r>
      <w:r w:rsidR="005D3F8E">
        <w:t xml:space="preserve">Principal </w:t>
      </w:r>
      <w:r w:rsidR="00641B6C" w:rsidRPr="00641B6C">
        <w:t>Act</w:t>
      </w:r>
      <w:r w:rsidR="001F0EB9">
        <w:t xml:space="preserve"> </w:t>
      </w:r>
    </w:p>
    <w:p w14:paraId="163760B5" w14:textId="744EF58D" w:rsidR="00E9343D" w:rsidRDefault="00523D9C" w:rsidP="001478CB">
      <w:pPr>
        <w:pStyle w:val="ListParagraph"/>
        <w:numPr>
          <w:ilvl w:val="0"/>
          <w:numId w:val="11"/>
        </w:numPr>
      </w:pPr>
      <w:r w:rsidRPr="770E69FA">
        <w:rPr>
          <w:rFonts w:eastAsia="Times"/>
        </w:rPr>
        <w:t>1</w:t>
      </w:r>
      <w:r w:rsidR="00B015F5">
        <w:rPr>
          <w:rFonts w:eastAsia="Times"/>
        </w:rPr>
        <w:t>8</w:t>
      </w:r>
      <w:r w:rsidRPr="00523D9C">
        <w:rPr>
          <w:rFonts w:eastAsia="Times"/>
        </w:rPr>
        <w:t xml:space="preserve"> hospitals </w:t>
      </w:r>
      <w:r w:rsidR="00FD5119">
        <w:rPr>
          <w:rFonts w:eastAsia="Times"/>
        </w:rPr>
        <w:t xml:space="preserve">with a </w:t>
      </w:r>
      <w:r w:rsidR="00641B6C" w:rsidRPr="00641B6C">
        <w:t xml:space="preserve">Maternity Capability Level </w:t>
      </w:r>
      <w:r w:rsidR="00D50A2E">
        <w:t xml:space="preserve">of </w:t>
      </w:r>
      <w:r w:rsidR="00641B6C" w:rsidRPr="00641B6C">
        <w:t>5 and 6 services</w:t>
      </w:r>
      <w:r w:rsidR="00D50A2E">
        <w:t>,</w:t>
      </w:r>
      <w:r w:rsidR="00641B6C" w:rsidRPr="00641B6C">
        <w:t xml:space="preserve"> and Level 4 </w:t>
      </w:r>
      <w:r w:rsidR="00D50A2E">
        <w:t xml:space="preserve">where that service is </w:t>
      </w:r>
      <w:r w:rsidR="00641B6C" w:rsidRPr="00641B6C">
        <w:t>part of a larger multicampus metropolitan health service</w:t>
      </w:r>
      <w:r w:rsidR="00641B6C" w:rsidRPr="00C222DA">
        <w:t xml:space="preserve"> </w:t>
      </w:r>
      <w:r w:rsidR="00585060">
        <w:t xml:space="preserve">as listed at </w:t>
      </w:r>
      <w:hyperlink w:anchor="_Appendix_A_–" w:history="1">
        <w:r w:rsidR="00585060" w:rsidRPr="007F0936">
          <w:rPr>
            <w:rStyle w:val="Hyperlink"/>
            <w:b/>
            <w:bCs/>
          </w:rPr>
          <w:t>Appendix A</w:t>
        </w:r>
      </w:hyperlink>
    </w:p>
    <w:p w14:paraId="109EB539" w14:textId="5CEE31F4" w:rsidR="00D50A2E" w:rsidRDefault="001B5BCD" w:rsidP="001478CB">
      <w:pPr>
        <w:pStyle w:val="Body"/>
        <w:numPr>
          <w:ilvl w:val="0"/>
          <w:numId w:val="11"/>
        </w:numPr>
      </w:pPr>
      <w:r>
        <w:t>E</w:t>
      </w:r>
      <w:r w:rsidR="00D50A2E">
        <w:t>xisting s</w:t>
      </w:r>
      <w:r w:rsidR="00E9343D" w:rsidRPr="00F87551">
        <w:t xml:space="preserve">tandalone High Dependency Units </w:t>
      </w:r>
      <w:r w:rsidR="00F8509D">
        <w:t xml:space="preserve">in </w:t>
      </w:r>
      <w:r w:rsidR="62F0AD1F">
        <w:t>L</w:t>
      </w:r>
      <w:r w:rsidR="00F8509D">
        <w:t xml:space="preserve">evel 1 hospitals </w:t>
      </w:r>
      <w:r w:rsidR="00E9343D" w:rsidRPr="00F87551">
        <w:t>and Coronary Care Units</w:t>
      </w:r>
      <w:r w:rsidR="00D50A2E">
        <w:t>.</w:t>
      </w:r>
    </w:p>
    <w:p w14:paraId="4138CBFD" w14:textId="0E3D41B1" w:rsidR="00654400" w:rsidRDefault="00C018F2" w:rsidP="00180F06">
      <w:pPr>
        <w:pStyle w:val="Body"/>
      </w:pPr>
      <w:r>
        <w:t xml:space="preserve">Refer to </w:t>
      </w:r>
      <w:hyperlink w:anchor="_Appendix_A_–" w:history="1">
        <w:r w:rsidRPr="006403C4">
          <w:rPr>
            <w:rStyle w:val="Hyperlink"/>
            <w:b/>
            <w:bCs/>
          </w:rPr>
          <w:t xml:space="preserve">Appendix </w:t>
        </w:r>
        <w:r w:rsidR="00B074A2" w:rsidRPr="006403C4">
          <w:rPr>
            <w:rStyle w:val="Hyperlink"/>
            <w:b/>
            <w:bCs/>
          </w:rPr>
          <w:t>A</w:t>
        </w:r>
      </w:hyperlink>
      <w:r w:rsidR="00654400">
        <w:t xml:space="preserve"> for the comprehensive list </w:t>
      </w:r>
      <w:r w:rsidR="00180F06">
        <w:t>of the hospitals</w:t>
      </w:r>
      <w:r w:rsidR="00654400">
        <w:t xml:space="preserve"> </w:t>
      </w:r>
      <w:r w:rsidR="003B0411">
        <w:t xml:space="preserve">where the </w:t>
      </w:r>
      <w:r w:rsidR="00654400">
        <w:t>amendments will apply.</w:t>
      </w:r>
    </w:p>
    <w:p w14:paraId="10D66889" w14:textId="24386810" w:rsidR="00DA3C43" w:rsidRDefault="006C730D" w:rsidP="00C43D70">
      <w:pPr>
        <w:pStyle w:val="Body"/>
      </w:pPr>
      <w:r>
        <w:t xml:space="preserve">As with previous amendments, </w:t>
      </w:r>
      <w:r w:rsidR="00DB6A00">
        <w:t>n</w:t>
      </w:r>
      <w:r w:rsidRPr="006C730D">
        <w:t>urse to patient and midwife to patient ratios must be applied to every ward in each hospital to which the Principal Act is specified to apply</w:t>
      </w:r>
      <w:r w:rsidRPr="009D6449">
        <w:rPr>
          <w:b/>
        </w:rPr>
        <w:t>. Furthermore,</w:t>
      </w:r>
      <w:r w:rsidRPr="006C730D">
        <w:t xml:space="preserve"> </w:t>
      </w:r>
      <w:r w:rsidRPr="007B3F5B">
        <w:rPr>
          <w:b/>
        </w:rPr>
        <w:t xml:space="preserve">ratios must be applied based on the actual number of patients or occupied beds </w:t>
      </w:r>
      <w:r w:rsidR="006A34EE">
        <w:rPr>
          <w:b/>
        </w:rPr>
        <w:t xml:space="preserve">(or available to be </w:t>
      </w:r>
      <w:r w:rsidR="006A34EE" w:rsidRPr="006A34EE">
        <w:rPr>
          <w:b/>
        </w:rPr>
        <w:t xml:space="preserve">occupied </w:t>
      </w:r>
      <w:r w:rsidRPr="007B3F5B">
        <w:rPr>
          <w:b/>
        </w:rPr>
        <w:t>as applicable) in each ward</w:t>
      </w:r>
      <w:r w:rsidRPr="006C730D">
        <w:t>.</w:t>
      </w:r>
      <w:r w:rsidR="00C43D70">
        <w:t xml:space="preserve"> </w:t>
      </w:r>
    </w:p>
    <w:p w14:paraId="6A987920" w14:textId="5F1C2D32" w:rsidR="003E65B7" w:rsidRDefault="003E2DC8" w:rsidP="00617CAE">
      <w:pPr>
        <w:pStyle w:val="Body"/>
      </w:pPr>
      <w:r>
        <w:t xml:space="preserve">Importantly, ratios are a minimum </w:t>
      </w:r>
      <w:r w:rsidR="00AA1E44">
        <w:t>requirement,</w:t>
      </w:r>
      <w:r>
        <w:t xml:space="preserve"> and the </w:t>
      </w:r>
      <w:r w:rsidR="00AA5ECC">
        <w:t xml:space="preserve">Principal Act </w:t>
      </w:r>
      <w:r w:rsidR="00250C46">
        <w:t xml:space="preserve">is not intended to prevent the operator of a hospital from staffing a ward with additional staff beyond the number </w:t>
      </w:r>
      <w:r w:rsidR="00285D41">
        <w:t xml:space="preserve">required by the ratio if there is a reason to do so. </w:t>
      </w:r>
    </w:p>
    <w:p w14:paraId="6CFC9E13" w14:textId="77777777" w:rsidR="005E21F8" w:rsidRDefault="005E21F8" w:rsidP="00C93881">
      <w:pPr>
        <w:pStyle w:val="Heading3"/>
      </w:pPr>
      <w:r>
        <w:t>Flexible application of ratios</w:t>
      </w:r>
    </w:p>
    <w:p w14:paraId="324938E3" w14:textId="77777777" w:rsidR="005E21F8" w:rsidRDefault="005E21F8" w:rsidP="005E21F8">
      <w:pPr>
        <w:pStyle w:val="Body"/>
      </w:pPr>
      <w:r>
        <w:t xml:space="preserve">The Principal Act contains provisions for the flexible application of ratios. </w:t>
      </w:r>
    </w:p>
    <w:p w14:paraId="3E182B37" w14:textId="77777777" w:rsidR="005E21F8" w:rsidRDefault="005E21F8" w:rsidP="005E21F8">
      <w:pPr>
        <w:pStyle w:val="Body"/>
      </w:pPr>
      <w:r>
        <w:t xml:space="preserve">A ratio may be applied in a flexible way to evenly distribute workload, having regard to the level of care required by patients in the ward. </w:t>
      </w:r>
    </w:p>
    <w:p w14:paraId="403EB326" w14:textId="661B2A61" w:rsidR="005E21F8" w:rsidRDefault="005E21F8" w:rsidP="005E21F8">
      <w:pPr>
        <w:pStyle w:val="Body"/>
      </w:pPr>
      <w:r>
        <w:t xml:space="preserve">The ratios specified in the Principal Act provide the minimum number of nurses or midwives for a ward based on the number of patients who occupy or are expected to occupy beds within that ward. The Principal Act does not require each nurse or midwife within that ward to be allocated the same number of patients. </w:t>
      </w:r>
    </w:p>
    <w:p w14:paraId="165CD0C0" w14:textId="77777777" w:rsidR="005E21F8" w:rsidRDefault="005E21F8" w:rsidP="00C93881">
      <w:pPr>
        <w:pStyle w:val="Heading3"/>
      </w:pPr>
      <w:r>
        <w:t>Rounding method</w:t>
      </w:r>
    </w:p>
    <w:p w14:paraId="01C104E2" w14:textId="75B9F504" w:rsidR="005E21F8" w:rsidRDefault="005E21F8" w:rsidP="005E21F8">
      <w:pPr>
        <w:pStyle w:val="Body"/>
      </w:pPr>
      <w:r>
        <w:rPr>
          <w:noProof/>
        </w:rPr>
        <mc:AlternateContent>
          <mc:Choice Requires="wps">
            <w:drawing>
              <wp:anchor distT="45720" distB="45720" distL="114300" distR="114300" simplePos="0" relativeHeight="251658241" behindDoc="0" locked="0" layoutInCell="1" allowOverlap="1" wp14:anchorId="64E50F3E" wp14:editId="42869FC2">
                <wp:simplePos x="0" y="0"/>
                <wp:positionH relativeFrom="margin">
                  <wp:align>right</wp:align>
                </wp:positionH>
                <wp:positionV relativeFrom="paragraph">
                  <wp:posOffset>718185</wp:posOffset>
                </wp:positionV>
                <wp:extent cx="5905500" cy="1404620"/>
                <wp:effectExtent l="0" t="0" r="19050" b="20320"/>
                <wp:wrapSquare wrapText="bothSides"/>
                <wp:docPr id="2623259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1A584234" w14:textId="77777777" w:rsidR="005E21F8" w:rsidRPr="00617035" w:rsidRDefault="005E21F8" w:rsidP="005E21F8">
                            <w:pPr>
                              <w:rPr>
                                <w:b/>
                                <w:bCs/>
                              </w:rPr>
                            </w:pPr>
                            <w:r w:rsidRPr="00617035">
                              <w:rPr>
                                <w:b/>
                                <w:bCs/>
                              </w:rPr>
                              <w:t>If the actual or expected number of patients in a ward or the number of beds of one of the following categories is not divisible into a whole number following the application of the relevant ratio, the operator of the hospital must ensure that the ward or number of beds is staffed with one additional nurse or midwife (as the case requires) in order to comply with the ratio</w:t>
                            </w:r>
                            <w:r>
                              <w:rPr>
                                <w:b/>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E50F3E" id="_x0000_t202" coordsize="21600,21600" o:spt="202" path="m,l,21600r21600,l21600,xe">
                <v:stroke joinstyle="miter"/>
                <v:path gradientshapeok="t" o:connecttype="rect"/>
              </v:shapetype>
              <v:shape id="_x0000_s1026" type="#_x0000_t202" style="position:absolute;margin-left:413.8pt;margin-top:56.55pt;width:46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">
                <v:textbox style="mso-fit-shape-to-text:t">
                  <w:txbxContent>
                    <w:p w14:paraId="1A584234" w14:textId="77777777" w:rsidR="005E21F8" w:rsidRPr="00617035" w:rsidRDefault="005E21F8" w:rsidP="005E21F8">
                      <w:pPr>
                        <w:rPr>
                          <w:b/>
                          <w:bCs/>
                        </w:rPr>
                      </w:pPr>
                      <w:r w:rsidRPr="00617035">
                        <w:rPr>
                          <w:b/>
                          <w:bCs/>
                        </w:rPr>
                        <w:t>If the actual or expected number of patients in a ward or the number of beds of one of the following categories is not divisible into a whole number following the application of the relevant ratio, the operator of the hospital must ensure that the ward or number of beds is staffed with one additional nurse or midwife (as the case requires) in order to comply with the ratio</w:t>
                      </w:r>
                      <w:r>
                        <w:rPr>
                          <w:b/>
                          <w:bCs/>
                        </w:rPr>
                        <w:t>.</w:t>
                      </w:r>
                    </w:p>
                  </w:txbxContent>
                </v:textbox>
                <w10:wrap type="square" anchorx="margin"/>
              </v:shape>
            </w:pict>
          </mc:Fallback>
        </mc:AlternateContent>
      </w:r>
      <w:r>
        <w:t>Section 12 ‘</w:t>
      </w:r>
      <w:r w:rsidRPr="00D219BC">
        <w:rPr>
          <w:i/>
          <w:iCs/>
        </w:rPr>
        <w:t>Rounding method’</w:t>
      </w:r>
      <w:r>
        <w:t xml:space="preserve"> of the Principal Act applies to all new ratios in intensive care units including the ICU team leader and liaison nurse roles, emergency departments, postnatal and antenatal units, coronary care units and high dependency units.</w:t>
      </w:r>
    </w:p>
    <w:p w14:paraId="75176970" w14:textId="77777777" w:rsidR="005E21F8" w:rsidRDefault="005E21F8" w:rsidP="005E21F8">
      <w:pPr>
        <w:pStyle w:val="Body"/>
      </w:pPr>
    </w:p>
    <w:p w14:paraId="42A1EB13" w14:textId="78B8C986" w:rsidR="002F6DA5" w:rsidRDefault="002F6DA5" w:rsidP="00C93881">
      <w:pPr>
        <w:pStyle w:val="Heading3"/>
        <w:rPr>
          <w:rStyle w:val="Heading3Char"/>
        </w:rPr>
      </w:pPr>
      <w:r>
        <w:rPr>
          <w:rStyle w:val="Heading3Char"/>
        </w:rPr>
        <w:lastRenderedPageBreak/>
        <w:t>Examples</w:t>
      </w:r>
    </w:p>
    <w:p w14:paraId="232FA560" w14:textId="4C174714" w:rsidR="006354B0" w:rsidRPr="00EC65C1" w:rsidRDefault="00AA1E44" w:rsidP="00EC65C1">
      <w:pPr>
        <w:pStyle w:val="Body"/>
        <w:rPr>
          <w:rStyle w:val="Heading3Char"/>
          <w:rFonts w:eastAsia="MS Mincho"/>
          <w:b/>
          <w:sz w:val="24"/>
          <w:szCs w:val="22"/>
        </w:rPr>
      </w:pPr>
      <w:r w:rsidRPr="00EC65C1">
        <w:rPr>
          <w:rStyle w:val="Heading3Char"/>
          <w:rFonts w:eastAsia="MS Mincho"/>
          <w:b/>
          <w:sz w:val="24"/>
          <w:szCs w:val="22"/>
        </w:rPr>
        <w:t xml:space="preserve">Example </w:t>
      </w:r>
      <w:r w:rsidR="00C6556B" w:rsidRPr="00EC65C1">
        <w:rPr>
          <w:rStyle w:val="Heading3Char"/>
          <w:rFonts w:eastAsia="MS Mincho"/>
          <w:b/>
          <w:sz w:val="24"/>
          <w:szCs w:val="22"/>
        </w:rPr>
        <w:t>1</w:t>
      </w:r>
      <w:r w:rsidRPr="00EC65C1">
        <w:rPr>
          <w:rStyle w:val="Heading3Char"/>
          <w:rFonts w:eastAsia="MS Mincho"/>
          <w:b/>
          <w:sz w:val="24"/>
          <w:szCs w:val="22"/>
        </w:rPr>
        <w:t xml:space="preserve">: </w:t>
      </w:r>
      <w:r w:rsidR="000C1214" w:rsidRPr="00EC65C1">
        <w:rPr>
          <w:rStyle w:val="Heading3Char"/>
          <w:rFonts w:eastAsia="MS Mincho"/>
          <w:b/>
          <w:sz w:val="24"/>
          <w:szCs w:val="22"/>
        </w:rPr>
        <w:t>Level 1 hospital c</w:t>
      </w:r>
      <w:r w:rsidR="676A67E0" w:rsidRPr="00EC65C1">
        <w:rPr>
          <w:rStyle w:val="Heading3Char"/>
          <w:rFonts w:eastAsia="MS Mincho"/>
          <w:b/>
          <w:sz w:val="24"/>
          <w:szCs w:val="22"/>
        </w:rPr>
        <w:t>o-located ICU</w:t>
      </w:r>
      <w:r w:rsidRPr="00EC65C1">
        <w:rPr>
          <w:rStyle w:val="Heading3Char"/>
          <w:rFonts w:eastAsia="MS Mincho"/>
          <w:b/>
          <w:sz w:val="24"/>
          <w:szCs w:val="22"/>
        </w:rPr>
        <w:t>/</w:t>
      </w:r>
      <w:r w:rsidR="676A67E0" w:rsidRPr="00EC65C1">
        <w:rPr>
          <w:rStyle w:val="Heading3Char"/>
          <w:rFonts w:eastAsia="MS Mincho"/>
          <w:b/>
          <w:sz w:val="24"/>
          <w:szCs w:val="22"/>
        </w:rPr>
        <w:t>HDU</w:t>
      </w:r>
      <w:r w:rsidRPr="00EC65C1">
        <w:rPr>
          <w:rStyle w:val="Heading3Char"/>
          <w:rFonts w:eastAsia="MS Mincho"/>
          <w:b/>
          <w:sz w:val="24"/>
          <w:szCs w:val="22"/>
        </w:rPr>
        <w:t xml:space="preserve"> </w:t>
      </w:r>
      <w:r w:rsidR="000C1214" w:rsidRPr="00EC65C1">
        <w:rPr>
          <w:rStyle w:val="Heading3Char"/>
          <w:rFonts w:eastAsia="MS Mincho"/>
          <w:b/>
          <w:sz w:val="24"/>
          <w:szCs w:val="22"/>
        </w:rPr>
        <w:t xml:space="preserve">nurse to patient </w:t>
      </w:r>
      <w:r w:rsidRPr="00EC65C1">
        <w:rPr>
          <w:rStyle w:val="Heading3Char"/>
          <w:rFonts w:eastAsia="MS Mincho"/>
          <w:b/>
          <w:sz w:val="24"/>
          <w:szCs w:val="22"/>
        </w:rPr>
        <w:t>ratio</w:t>
      </w:r>
    </w:p>
    <w:p w14:paraId="1B9C62AC" w14:textId="1455CBCD" w:rsidR="003E65B7" w:rsidRPr="007E008F" w:rsidRDefault="003E65B7" w:rsidP="003A6D12">
      <w:pPr>
        <w:pStyle w:val="Body"/>
        <w:rPr>
          <w:rStyle w:val="Heading3Char"/>
        </w:rPr>
      </w:pPr>
      <w:r w:rsidRPr="007E008F">
        <w:rPr>
          <w:rStyle w:val="Heading3Char"/>
          <w:noProof/>
        </w:rPr>
        <mc:AlternateContent>
          <mc:Choice Requires="wps">
            <w:drawing>
              <wp:inline distT="0" distB="0" distL="0" distR="0" wp14:anchorId="3A78433A" wp14:editId="32B7D40C">
                <wp:extent cx="5876925" cy="2243455"/>
                <wp:effectExtent l="0" t="0" r="28575" b="23495"/>
                <wp:docPr id="16108628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243470"/>
                        </a:xfrm>
                        <a:prstGeom prst="rect">
                          <a:avLst/>
                        </a:prstGeom>
                        <a:solidFill>
                          <a:schemeClr val="bg1">
                            <a:lumMod val="75000"/>
                          </a:schemeClr>
                        </a:solidFill>
                        <a:ln w="9525">
                          <a:solidFill>
                            <a:srgbClr val="000000"/>
                          </a:solidFill>
                          <a:miter lim="800000"/>
                          <a:headEnd/>
                          <a:tailEnd/>
                        </a:ln>
                      </wps:spPr>
                      <wps:txbx>
                        <w:txbxContent>
                          <w:p w14:paraId="12F27052" w14:textId="412BC932" w:rsidR="003E65B7" w:rsidRPr="00E85F0C" w:rsidRDefault="003E65B7" w:rsidP="003E65B7">
                            <w:pPr>
                              <w:pStyle w:val="Body"/>
                            </w:pPr>
                            <w:r w:rsidRPr="00E85F0C">
                              <w:t xml:space="preserve">Provisions have been made in to cater for </w:t>
                            </w:r>
                            <w:r w:rsidR="00A328BE">
                              <w:t xml:space="preserve">non-ICU level </w:t>
                            </w:r>
                            <w:r w:rsidRPr="00E85F0C">
                              <w:t>patients that are located within the ICU but do not require a 1:1 ratio, i.e., because they are not critically ill or do not require the sustained support of vital organ functions. In these circumstances the operator of a level 1 or level 2 hospital does not contravene the 1:1 ratio if a nurse assigned to the ICU provides care to up to 2 patients who meet the above criteria. </w:t>
                            </w:r>
                          </w:p>
                          <w:p w14:paraId="1066A22C" w14:textId="77777777" w:rsidR="007E2444" w:rsidRDefault="007E2444" w:rsidP="007E2444">
                            <w:r>
                              <w:t xml:space="preserve">In a level 1 hospital with a co-located ICU ward with 37 ICU patients and two (2) HDU patients, the ratio requirements on all shifts are 1 nurse for every ICU level patient, 1 nurse for every 2 non-ICU level patient, in this case HDU level patients, and 1 nurse in charge. </w:t>
                            </w:r>
                          </w:p>
                          <w:p w14:paraId="4C68339F" w14:textId="77777777" w:rsidR="007E2444" w:rsidRDefault="007E2444" w:rsidP="007E2444">
                            <w:pPr>
                              <w:pStyle w:val="Body"/>
                            </w:pPr>
                            <w:r w:rsidRPr="00E85F0C">
                              <w:t>To meet the required nurse to patient ratio in an ICU with 37 ICU patients and 2 HDU patients 38 nurses should be rostered, comprising 1 nurse providing care to up to 2 patients and 37 nurses providing 1:1 care.  </w:t>
                            </w:r>
                          </w:p>
                          <w:p w14:paraId="79CBA3BF" w14:textId="77777777" w:rsidR="003E65B7" w:rsidRDefault="003E65B7" w:rsidP="003E65B7"/>
                        </w:txbxContent>
                      </wps:txbx>
                      <wps:bodyPr rot="0" vert="horz" wrap="square" lIns="91440" tIns="45720" rIns="91440" bIns="45720" anchor="t" anchorCtr="0">
                        <a:noAutofit/>
                      </wps:bodyPr>
                    </wps:wsp>
                  </a:graphicData>
                </a:graphic>
              </wp:inline>
            </w:drawing>
          </mc:Choice>
          <mc:Fallback>
            <w:pict>
              <v:shape w14:anchorId="3A78433A" id="Text Box 2" o:spid="_x0000_s1027" type="#_x0000_t202" style="width:462.75pt;height:1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" fillcolor="#bfbfbf [2412]">
                <v:textbox>
                  <w:txbxContent>
                    <w:p w14:paraId="12F27052" w14:textId="412BC932" w:rsidR="003E65B7" w:rsidRPr="00E85F0C" w:rsidRDefault="003E65B7" w:rsidP="003E65B7">
                      <w:pPr>
                        <w:pStyle w:val="Body"/>
                      </w:pPr>
                      <w:r w:rsidRPr="00E85F0C">
                        <w:t xml:space="preserve">Provisions have been made in to cater for </w:t>
                      </w:r>
                      <w:r w:rsidR="00A328BE">
                        <w:t xml:space="preserve">non-ICU level </w:t>
                      </w:r>
                      <w:r w:rsidRPr="00E85F0C">
                        <w:t>patients that are located within the ICU but do not require a 1:1 ratio, i.e., because they are not critically ill or do not require the sustained support of vital organ functions. In these circumstances the operator of a level 1 or level 2 hospital does not contravene the 1:1 ratio if a nurse assigned to the ICU provides care to up to 2 patients who meet the above criteria. </w:t>
                      </w:r>
                    </w:p>
                    <w:p w14:paraId="1066A22C" w14:textId="77777777" w:rsidR="007E2444" w:rsidRDefault="007E2444" w:rsidP="007E2444">
                      <w:r>
                        <w:t xml:space="preserve">In a level 1 hospital with a co-located ICU ward with 37 ICU patients and two (2) HDU patients, the ratio requirements on all shifts are 1 nurse for every ICU level patient, 1 nurse for every 2 non-ICU level patient, in this case HDU level patients, and 1 nurse in charge. </w:t>
                      </w:r>
                    </w:p>
                    <w:p w14:paraId="4C68339F" w14:textId="77777777" w:rsidR="007E2444" w:rsidRDefault="007E2444" w:rsidP="007E2444">
                      <w:pPr>
                        <w:pStyle w:val="Body"/>
                      </w:pPr>
                      <w:r w:rsidRPr="00E85F0C">
                        <w:t>To meet the required nurse to patient ratio in an ICU with 37 ICU patients and 2 HDU patients 38 nurses should be rostered, comprising 1 nurse providing care to up to 2 patients and 37 nurses providing 1:1 care.  </w:t>
                      </w:r>
                    </w:p>
                    <w:p w14:paraId="79CBA3BF" w14:textId="77777777" w:rsidR="003E65B7" w:rsidRDefault="003E65B7" w:rsidP="003E65B7"/>
                  </w:txbxContent>
                </v:textbox>
                <w10:anchorlock/>
              </v:shape>
            </w:pict>
          </mc:Fallback>
        </mc:AlternateContent>
      </w:r>
    </w:p>
    <w:p w14:paraId="69E9ECA6" w14:textId="5BB66485" w:rsidR="00064D54" w:rsidRPr="00EC65C1" w:rsidRDefault="00064D54" w:rsidP="00EC65C1">
      <w:pPr>
        <w:pStyle w:val="Body"/>
        <w:rPr>
          <w:rStyle w:val="Heading3Char"/>
          <w:rFonts w:eastAsia="MS Mincho"/>
          <w:b/>
          <w:sz w:val="24"/>
          <w:szCs w:val="22"/>
        </w:rPr>
      </w:pPr>
      <w:r w:rsidRPr="00EC65C1">
        <w:rPr>
          <w:rStyle w:val="Heading3Char"/>
          <w:rFonts w:eastAsia="MS Mincho"/>
          <w:b/>
          <w:sz w:val="24"/>
          <w:szCs w:val="22"/>
        </w:rPr>
        <w:t xml:space="preserve">Example </w:t>
      </w:r>
      <w:r w:rsidR="00C6556B" w:rsidRPr="00EC65C1">
        <w:rPr>
          <w:rStyle w:val="Heading3Char"/>
          <w:rFonts w:eastAsia="MS Mincho"/>
          <w:b/>
          <w:sz w:val="24"/>
          <w:szCs w:val="22"/>
        </w:rPr>
        <w:t>2</w:t>
      </w:r>
      <w:r w:rsidRPr="00EC65C1">
        <w:rPr>
          <w:rStyle w:val="Heading3Char"/>
          <w:rFonts w:eastAsia="MS Mincho"/>
          <w:b/>
          <w:sz w:val="24"/>
          <w:szCs w:val="22"/>
        </w:rPr>
        <w:t>:</w:t>
      </w:r>
      <w:r w:rsidR="00864596" w:rsidRPr="00EC65C1">
        <w:rPr>
          <w:rStyle w:val="Heading3Char"/>
          <w:rFonts w:eastAsia="MS Mincho"/>
          <w:b/>
          <w:sz w:val="24"/>
          <w:szCs w:val="22"/>
        </w:rPr>
        <w:t xml:space="preserve"> Nurse in charge requirements</w:t>
      </w:r>
      <w:r w:rsidR="00C9618B" w:rsidRPr="00EC65C1">
        <w:rPr>
          <w:rStyle w:val="Heading3Char"/>
          <w:rFonts w:eastAsia="MS Mincho"/>
          <w:b/>
          <w:sz w:val="24"/>
          <w:szCs w:val="22"/>
        </w:rPr>
        <w:t xml:space="preserve"> where there is a CCU</w:t>
      </w:r>
      <w:r w:rsidR="00327C97" w:rsidRPr="00EC65C1">
        <w:rPr>
          <w:rStyle w:val="Heading3Char"/>
          <w:rFonts w:eastAsia="MS Mincho"/>
          <w:b/>
          <w:sz w:val="24"/>
          <w:szCs w:val="22"/>
        </w:rPr>
        <w:t>/HDU</w:t>
      </w:r>
      <w:r w:rsidR="00C9618B" w:rsidRPr="00EC65C1">
        <w:rPr>
          <w:rStyle w:val="Heading3Char"/>
          <w:rFonts w:eastAsia="MS Mincho"/>
          <w:b/>
          <w:sz w:val="24"/>
          <w:szCs w:val="22"/>
        </w:rPr>
        <w:t xml:space="preserve"> component </w:t>
      </w:r>
      <w:r w:rsidR="006F440C" w:rsidRPr="00EC65C1">
        <w:rPr>
          <w:rStyle w:val="Heading3Char"/>
          <w:rFonts w:eastAsia="MS Mincho"/>
          <w:b/>
          <w:sz w:val="24"/>
          <w:szCs w:val="22"/>
        </w:rPr>
        <w:t>with</w:t>
      </w:r>
      <w:r w:rsidR="00C9618B" w:rsidRPr="00EC65C1">
        <w:rPr>
          <w:rStyle w:val="Heading3Char"/>
          <w:rFonts w:eastAsia="MS Mincho"/>
          <w:b/>
          <w:sz w:val="24"/>
          <w:szCs w:val="22"/>
        </w:rPr>
        <w:t>in another ward</w:t>
      </w:r>
      <w:r w:rsidR="00864596" w:rsidRPr="00EC65C1">
        <w:rPr>
          <w:rStyle w:val="Heading3Char"/>
          <w:rFonts w:eastAsia="MS Mincho"/>
          <w:b/>
          <w:sz w:val="24"/>
          <w:szCs w:val="22"/>
        </w:rPr>
        <w:t xml:space="preserve"> </w:t>
      </w:r>
    </w:p>
    <w:p w14:paraId="202C4194" w14:textId="55956635" w:rsidR="00C6556B" w:rsidRPr="007E241A" w:rsidRDefault="003E65B7" w:rsidP="00EC65C1">
      <w:pPr>
        <w:pStyle w:val="Body"/>
        <w:rPr>
          <w:rStyle w:val="Heading3Char"/>
          <w:rFonts w:eastAsia="MS Mincho"/>
          <w:b/>
          <w:sz w:val="24"/>
          <w:szCs w:val="22"/>
        </w:rPr>
      </w:pPr>
      <w:r w:rsidRPr="008C1840">
        <w:rPr>
          <w:i/>
          <w:iCs/>
          <w:noProof/>
        </w:rPr>
        <mc:AlternateContent>
          <mc:Choice Requires="wps">
            <w:drawing>
              <wp:inline distT="0" distB="0" distL="0" distR="0" wp14:anchorId="427F0D3B" wp14:editId="665B0E47">
                <wp:extent cx="5876925" cy="1081377"/>
                <wp:effectExtent l="0" t="0" r="28575" b="24130"/>
                <wp:docPr id="1775871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081377"/>
                        </a:xfrm>
                        <a:prstGeom prst="rect">
                          <a:avLst/>
                        </a:prstGeom>
                        <a:solidFill>
                          <a:schemeClr val="bg1">
                            <a:lumMod val="75000"/>
                          </a:schemeClr>
                        </a:solidFill>
                        <a:ln w="9525">
                          <a:solidFill>
                            <a:srgbClr val="000000"/>
                          </a:solidFill>
                          <a:miter lim="800000"/>
                          <a:headEnd/>
                          <a:tailEnd/>
                        </a:ln>
                      </wps:spPr>
                      <wps:txbx>
                        <w:txbxContent>
                          <w:p w14:paraId="4E19A134" w14:textId="5F4E77EB" w:rsidR="003E65B7" w:rsidRPr="00F6502B" w:rsidRDefault="003E65B7" w:rsidP="003E65B7">
                            <w:r w:rsidRPr="008C12E7">
                              <w:t xml:space="preserve">In a level 2 hospital where there is a </w:t>
                            </w:r>
                            <w:r w:rsidRPr="00F6502B">
                              <w:t xml:space="preserve">CCU component </w:t>
                            </w:r>
                            <w:r w:rsidR="009B1B50">
                              <w:t>with</w:t>
                            </w:r>
                            <w:r w:rsidRPr="00F6502B">
                              <w:t xml:space="preserve">in another ward (e.g., </w:t>
                            </w:r>
                            <w:r>
                              <w:t xml:space="preserve">the </w:t>
                            </w:r>
                            <w:r w:rsidRPr="00F6502B">
                              <w:t>cardiology war</w:t>
                            </w:r>
                            <w:r>
                              <w:t>d</w:t>
                            </w:r>
                            <w:r w:rsidRPr="00F6502B">
                              <w:t xml:space="preserve"> has </w:t>
                            </w:r>
                            <w:r>
                              <w:t xml:space="preserve">a </w:t>
                            </w:r>
                            <w:r w:rsidRPr="00F6502B">
                              <w:t xml:space="preserve">CCU attached) </w:t>
                            </w:r>
                            <w:r w:rsidRPr="008C12E7">
                              <w:t xml:space="preserve">only </w:t>
                            </w:r>
                            <w:r w:rsidRPr="00F6502B">
                              <w:t xml:space="preserve">one </w:t>
                            </w:r>
                            <w:r w:rsidRPr="008C12E7">
                              <w:t xml:space="preserve">nurse in charge on night </w:t>
                            </w:r>
                            <w:r w:rsidR="00004779">
                              <w:t>shift</w:t>
                            </w:r>
                            <w:r>
                              <w:t xml:space="preserve"> is required</w:t>
                            </w:r>
                            <w:r w:rsidRPr="008C12E7">
                              <w:t xml:space="preserve">. </w:t>
                            </w:r>
                          </w:p>
                          <w:p w14:paraId="484A1644" w14:textId="47D24ADF" w:rsidR="003E65B7" w:rsidRPr="00F6502B" w:rsidRDefault="003E65B7" w:rsidP="003E65B7">
                            <w:r w:rsidRPr="00F6502B">
                              <w:t xml:space="preserve">The nurse </w:t>
                            </w:r>
                            <w:r w:rsidR="00406509">
                              <w:t xml:space="preserve">in charge </w:t>
                            </w:r>
                            <w:r w:rsidRPr="00F6502B">
                              <w:t xml:space="preserve">on night </w:t>
                            </w:r>
                            <w:r w:rsidR="00004779">
                              <w:t>shift</w:t>
                            </w:r>
                            <w:r w:rsidRPr="00F6502B">
                              <w:t xml:space="preserve"> is only applicable to level 1 hospitals </w:t>
                            </w:r>
                            <w:r w:rsidR="009B1B50">
                              <w:t xml:space="preserve">with a </w:t>
                            </w:r>
                            <w:r w:rsidR="009B1B50" w:rsidRPr="00F6502B">
                              <w:t>standalone HDU</w:t>
                            </w:r>
                            <w:r w:rsidR="009B1B50">
                              <w:t xml:space="preserve"> </w:t>
                            </w:r>
                            <w:r w:rsidRPr="00F6502B">
                              <w:t>and all hospitals with a standalone CCU. If the CCU is a component in another ward, then the existing nurse in charge arrangements will apply.  </w:t>
                            </w:r>
                          </w:p>
                          <w:p w14:paraId="5D450864" w14:textId="77777777" w:rsidR="003E65B7" w:rsidRDefault="003E65B7" w:rsidP="003E65B7"/>
                        </w:txbxContent>
                      </wps:txbx>
                      <wps:bodyPr rot="0" vert="horz" wrap="square" lIns="91440" tIns="45720" rIns="91440" bIns="45720" anchor="t" anchorCtr="0">
                        <a:noAutofit/>
                      </wps:bodyPr>
                    </wps:wsp>
                  </a:graphicData>
                </a:graphic>
              </wp:inline>
            </w:drawing>
          </mc:Choice>
          <mc:Fallback>
            <w:pict>
              <v:shape w14:anchorId="427F0D3B" id="_x0000_s1028" type="#_x0000_t202" style="width:462.75pt;height:8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" fillcolor="#bfbfbf [2412]">
                <v:textbox>
                  <w:txbxContent>
                    <w:p w14:paraId="4E19A134" w14:textId="5F4E77EB" w:rsidR="003E65B7" w:rsidRPr="00F6502B" w:rsidRDefault="003E65B7" w:rsidP="003E65B7">
                      <w:r w:rsidRPr="008C12E7">
                        <w:t xml:space="preserve">In a level 2 hospital where there is a </w:t>
                      </w:r>
                      <w:r w:rsidRPr="00F6502B">
                        <w:t xml:space="preserve">CCU component </w:t>
                      </w:r>
                      <w:r w:rsidR="009B1B50">
                        <w:t>with</w:t>
                      </w:r>
                      <w:r w:rsidRPr="00F6502B">
                        <w:t xml:space="preserve">in another ward (e.g., </w:t>
                      </w:r>
                      <w:r>
                        <w:t xml:space="preserve">the </w:t>
                      </w:r>
                      <w:r w:rsidRPr="00F6502B">
                        <w:t>cardiology war</w:t>
                      </w:r>
                      <w:r>
                        <w:t>d</w:t>
                      </w:r>
                      <w:r w:rsidRPr="00F6502B">
                        <w:t xml:space="preserve"> has </w:t>
                      </w:r>
                      <w:r>
                        <w:t xml:space="preserve">a </w:t>
                      </w:r>
                      <w:r w:rsidRPr="00F6502B">
                        <w:t xml:space="preserve">CCU attached) </w:t>
                      </w:r>
                      <w:r w:rsidRPr="008C12E7">
                        <w:t xml:space="preserve">only </w:t>
                      </w:r>
                      <w:r w:rsidRPr="00F6502B">
                        <w:t xml:space="preserve">one </w:t>
                      </w:r>
                      <w:r w:rsidRPr="008C12E7">
                        <w:t xml:space="preserve">nurse in charge on night </w:t>
                      </w:r>
                      <w:r w:rsidR="00004779">
                        <w:t>shift</w:t>
                      </w:r>
                      <w:r>
                        <w:t xml:space="preserve"> is required</w:t>
                      </w:r>
                      <w:r w:rsidRPr="008C12E7">
                        <w:t xml:space="preserve">. </w:t>
                      </w:r>
                    </w:p>
                    <w:p w14:paraId="484A1644" w14:textId="47D24ADF" w:rsidR="003E65B7" w:rsidRPr="00F6502B" w:rsidRDefault="003E65B7" w:rsidP="003E65B7">
                      <w:r w:rsidRPr="00F6502B">
                        <w:t xml:space="preserve">The nurse </w:t>
                      </w:r>
                      <w:r w:rsidR="00406509">
                        <w:t xml:space="preserve">in charge </w:t>
                      </w:r>
                      <w:r w:rsidRPr="00F6502B">
                        <w:t xml:space="preserve">on night </w:t>
                      </w:r>
                      <w:r w:rsidR="00004779">
                        <w:t>shift</w:t>
                      </w:r>
                      <w:r w:rsidRPr="00F6502B">
                        <w:t xml:space="preserve"> is only applicable to level 1 hospitals </w:t>
                      </w:r>
                      <w:r w:rsidR="009B1B50">
                        <w:t xml:space="preserve">with a </w:t>
                      </w:r>
                      <w:r w:rsidR="009B1B50" w:rsidRPr="00F6502B">
                        <w:t>standalone HDU</w:t>
                      </w:r>
                      <w:r w:rsidR="009B1B50">
                        <w:t xml:space="preserve"> </w:t>
                      </w:r>
                      <w:r w:rsidRPr="00F6502B">
                        <w:t>and all hospitals with a standalone CCU. If the CCU is a component in another ward, then the existing nurse in charge arrangements will apply.  </w:t>
                      </w:r>
                    </w:p>
                    <w:p w14:paraId="5D450864" w14:textId="77777777" w:rsidR="003E65B7" w:rsidRDefault="003E65B7" w:rsidP="003E65B7"/>
                  </w:txbxContent>
                </v:textbox>
                <w10:anchorlock/>
              </v:shape>
            </w:pict>
          </mc:Fallback>
        </mc:AlternateContent>
      </w:r>
      <w:r w:rsidR="00C6556B" w:rsidRPr="007E241A">
        <w:rPr>
          <w:rStyle w:val="Heading3Char"/>
          <w:rFonts w:eastAsia="MS Mincho"/>
          <w:b/>
          <w:sz w:val="24"/>
          <w:szCs w:val="22"/>
        </w:rPr>
        <w:t xml:space="preserve">Example 3: </w:t>
      </w:r>
      <w:r w:rsidR="001B1967" w:rsidRPr="007E241A">
        <w:rPr>
          <w:rStyle w:val="Heading3Char"/>
          <w:rFonts w:eastAsia="MS Mincho"/>
          <w:b/>
          <w:sz w:val="24"/>
          <w:szCs w:val="22"/>
        </w:rPr>
        <w:t>Flexible a</w:t>
      </w:r>
      <w:r w:rsidR="00C6556B" w:rsidRPr="007E241A">
        <w:rPr>
          <w:rStyle w:val="Heading3Char"/>
          <w:rFonts w:eastAsia="MS Mincho"/>
          <w:b/>
          <w:sz w:val="24"/>
          <w:szCs w:val="22"/>
        </w:rPr>
        <w:t xml:space="preserve">pplication of </w:t>
      </w:r>
      <w:r w:rsidR="001B1967" w:rsidRPr="007E241A">
        <w:rPr>
          <w:rStyle w:val="Heading3Char"/>
          <w:rFonts w:eastAsia="MS Mincho"/>
          <w:b/>
          <w:sz w:val="24"/>
          <w:szCs w:val="22"/>
        </w:rPr>
        <w:t>the</w:t>
      </w:r>
      <w:r w:rsidR="00C6556B" w:rsidRPr="007E241A">
        <w:rPr>
          <w:rStyle w:val="Heading3Char"/>
          <w:rFonts w:eastAsia="MS Mincho"/>
          <w:b/>
          <w:sz w:val="24"/>
          <w:szCs w:val="22"/>
        </w:rPr>
        <w:t xml:space="preserve"> ratio in a postnatal ward</w:t>
      </w:r>
    </w:p>
    <w:p w14:paraId="6CB8484C" w14:textId="693E9705" w:rsidR="001B1967" w:rsidRDefault="001B1967" w:rsidP="001B1967">
      <w:pPr>
        <w:pStyle w:val="Body"/>
      </w:pPr>
      <w:r w:rsidRPr="008C1840">
        <w:rPr>
          <w:i/>
          <w:iCs/>
          <w:noProof/>
        </w:rPr>
        <mc:AlternateContent>
          <mc:Choice Requires="wps">
            <w:drawing>
              <wp:inline distT="0" distB="0" distL="0" distR="0" wp14:anchorId="2134879D" wp14:editId="774361FB">
                <wp:extent cx="5876925" cy="1605280"/>
                <wp:effectExtent l="0" t="0" r="28575" b="13970"/>
                <wp:docPr id="1631267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605280"/>
                        </a:xfrm>
                        <a:prstGeom prst="rect">
                          <a:avLst/>
                        </a:prstGeom>
                        <a:solidFill>
                          <a:schemeClr val="bg1">
                            <a:lumMod val="75000"/>
                          </a:schemeClr>
                        </a:solidFill>
                        <a:ln w="9525">
                          <a:solidFill>
                            <a:srgbClr val="000000"/>
                          </a:solidFill>
                          <a:miter lim="800000"/>
                          <a:headEnd/>
                          <a:tailEnd/>
                        </a:ln>
                      </wps:spPr>
                      <wps:txbx>
                        <w:txbxContent>
                          <w:p w14:paraId="74BA6AFD" w14:textId="2BA1038D" w:rsidR="001B1967" w:rsidRDefault="001B1967" w:rsidP="001B1967">
                            <w:r>
                              <w:t xml:space="preserve">In a prescribed postnatal ward with 28 patients and a 1-to-4 ratio on night shift, a minimum of 7 midwives </w:t>
                            </w:r>
                            <w:r w:rsidR="00BB5CF1">
                              <w:t xml:space="preserve">as well as a </w:t>
                            </w:r>
                            <w:r w:rsidR="00485B00">
                              <w:t xml:space="preserve">one </w:t>
                            </w:r>
                            <w:r w:rsidR="00BB5CF1">
                              <w:t>midwife</w:t>
                            </w:r>
                            <w:r w:rsidR="007C6273">
                              <w:t xml:space="preserve"> in charge or nurse</w:t>
                            </w:r>
                            <w:r w:rsidR="00BB5CF1">
                              <w:t xml:space="preserve"> in charge </w:t>
                            </w:r>
                            <w:r>
                              <w:t xml:space="preserve">would be required under the amendment to the ratios. If 9 patients require a higher level of care, and 19 patients require a lower level of care, then the </w:t>
                            </w:r>
                            <w:r w:rsidR="002D0E99">
                              <w:t>midwife</w:t>
                            </w:r>
                            <w:r>
                              <w:t xml:space="preserve"> in</w:t>
                            </w:r>
                            <w:r w:rsidR="00406509">
                              <w:t xml:space="preserve"> </w:t>
                            </w:r>
                            <w:r>
                              <w:t xml:space="preserve">charge may allocate 3 midwives to care for the 9 patients requiring the higher level of care (i.e. 1-to-3 ratio), 1 </w:t>
                            </w:r>
                            <w:r w:rsidR="002D0E99">
                              <w:t xml:space="preserve">midwife </w:t>
                            </w:r>
                            <w:r>
                              <w:t xml:space="preserve">to care for 4 patients (i.e. 1-to-4 ratio) and the other 3 </w:t>
                            </w:r>
                            <w:r w:rsidR="00691047">
                              <w:t xml:space="preserve">midwives </w:t>
                            </w:r>
                            <w:r>
                              <w:t xml:space="preserve">care for 15 patients (i.e. 1 to 5 ratio). </w:t>
                            </w:r>
                          </w:p>
                          <w:p w14:paraId="2EA774F5" w14:textId="77777777" w:rsidR="001B1967" w:rsidRDefault="001B1967" w:rsidP="001B1967">
                            <w:r>
                              <w:t>This may legitimately result in some midwives either being assigned fewer or more patients than prescribed in the relevant ratio.</w:t>
                            </w:r>
                          </w:p>
                        </w:txbxContent>
                      </wps:txbx>
                      <wps:bodyPr rot="0" vert="horz" wrap="square" lIns="91440" tIns="45720" rIns="91440" bIns="45720" anchor="t" anchorCtr="0">
                        <a:noAutofit/>
                      </wps:bodyPr>
                    </wps:wsp>
                  </a:graphicData>
                </a:graphic>
              </wp:inline>
            </w:drawing>
          </mc:Choice>
          <mc:Fallback>
            <w:pict>
              <v:shape w14:anchorId="2134879D" id="_x0000_s1029" type="#_x0000_t202" style="width:462.75pt;height:1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" fillcolor="#bfbfbf [2412]">
                <v:textbox>
                  <w:txbxContent>
                    <w:p w14:paraId="74BA6AFD" w14:textId="2BA1038D" w:rsidR="001B1967" w:rsidRDefault="001B1967" w:rsidP="001B1967">
                      <w:r>
                        <w:t xml:space="preserve">In a prescribed postnatal ward with 28 patients and a 1-to-4 ratio on night shift, a minimum of 7 midwives </w:t>
                      </w:r>
                      <w:r w:rsidR="00BB5CF1">
                        <w:t xml:space="preserve">as well as a </w:t>
                      </w:r>
                      <w:r w:rsidR="00485B00">
                        <w:t xml:space="preserve">one </w:t>
                      </w:r>
                      <w:r w:rsidR="00BB5CF1">
                        <w:t>midwife</w:t>
                      </w:r>
                      <w:r w:rsidR="007C6273">
                        <w:t xml:space="preserve"> in charge or nurse</w:t>
                      </w:r>
                      <w:r w:rsidR="00BB5CF1">
                        <w:t xml:space="preserve"> in charge </w:t>
                      </w:r>
                      <w:r>
                        <w:t xml:space="preserve">would be required under the amendment to the ratios. If 9 patients require a higher level of care, and 19 patients require a lower level of care, then the </w:t>
                      </w:r>
                      <w:r w:rsidR="002D0E99">
                        <w:t>midwife</w:t>
                      </w:r>
                      <w:r>
                        <w:t xml:space="preserve"> in</w:t>
                      </w:r>
                      <w:r w:rsidR="00406509">
                        <w:t xml:space="preserve"> </w:t>
                      </w:r>
                      <w:r>
                        <w:t xml:space="preserve">charge may allocate 3 midwives to care for the 9 patients requiring the higher level of care (i.e. 1-to-3 ratio), 1 </w:t>
                      </w:r>
                      <w:r w:rsidR="002D0E99">
                        <w:t xml:space="preserve">midwife </w:t>
                      </w:r>
                      <w:r>
                        <w:t xml:space="preserve">to care for 4 patients (i.e. 1-to-4 ratio) and the other 3 </w:t>
                      </w:r>
                      <w:r w:rsidR="00691047">
                        <w:t xml:space="preserve">midwives </w:t>
                      </w:r>
                      <w:r>
                        <w:t xml:space="preserve">care for 15 patients (i.e. 1 to 5 ratio). </w:t>
                      </w:r>
                    </w:p>
                    <w:p w14:paraId="2EA774F5" w14:textId="77777777" w:rsidR="001B1967" w:rsidRDefault="001B1967" w:rsidP="001B1967">
                      <w:r>
                        <w:t>This may legitimately result in some midwives either being assigned fewer or more patients than prescribed in the relevant ratio.</w:t>
                      </w:r>
                    </w:p>
                  </w:txbxContent>
                </v:textbox>
                <w10:anchorlock/>
              </v:shape>
            </w:pict>
          </mc:Fallback>
        </mc:AlternateContent>
      </w:r>
    </w:p>
    <w:p w14:paraId="1E283385" w14:textId="6847F0C5" w:rsidR="00C93882" w:rsidRPr="00C93882" w:rsidRDefault="00C93882" w:rsidP="001B1967">
      <w:pPr>
        <w:pStyle w:val="Body"/>
        <w:rPr>
          <w:rStyle w:val="Heading3Char"/>
          <w:rFonts w:eastAsia="MS Mincho"/>
          <w:b/>
          <w:sz w:val="24"/>
          <w:szCs w:val="22"/>
        </w:rPr>
      </w:pPr>
      <w:r w:rsidRPr="00C93882">
        <w:rPr>
          <w:rStyle w:val="Heading3Char"/>
          <w:rFonts w:eastAsia="MS Mincho"/>
          <w:b/>
          <w:sz w:val="24"/>
          <w:szCs w:val="22"/>
        </w:rPr>
        <w:t>Example 4: Application of ICU Liaison Nurse and Team Leader ratio</w:t>
      </w:r>
    </w:p>
    <w:p w14:paraId="7432C8DA" w14:textId="60B6F679" w:rsidR="00C93882" w:rsidRDefault="00C93882" w:rsidP="001B1967">
      <w:pPr>
        <w:pStyle w:val="Body"/>
      </w:pPr>
      <w:r w:rsidRPr="008C1840">
        <w:rPr>
          <w:i/>
          <w:iCs/>
          <w:noProof/>
        </w:rPr>
        <mc:AlternateContent>
          <mc:Choice Requires="wps">
            <w:drawing>
              <wp:inline distT="0" distB="0" distL="0" distR="0" wp14:anchorId="661A7D29" wp14:editId="6F519C12">
                <wp:extent cx="5876925" cy="1555750"/>
                <wp:effectExtent l="0" t="0" r="28575" b="25400"/>
                <wp:docPr id="8437179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555750"/>
                        </a:xfrm>
                        <a:prstGeom prst="rect">
                          <a:avLst/>
                        </a:prstGeom>
                        <a:solidFill>
                          <a:schemeClr val="bg1">
                            <a:lumMod val="75000"/>
                          </a:schemeClr>
                        </a:solidFill>
                        <a:ln w="9525">
                          <a:solidFill>
                            <a:srgbClr val="000000"/>
                          </a:solidFill>
                          <a:miter lim="800000"/>
                          <a:headEnd/>
                          <a:tailEnd/>
                        </a:ln>
                      </wps:spPr>
                      <wps:txbx>
                        <w:txbxContent>
                          <w:p w14:paraId="62710578" w14:textId="77777777" w:rsidR="00B6435C" w:rsidRPr="00B6435C" w:rsidRDefault="00B6435C" w:rsidP="00B6435C">
                            <w:r w:rsidRPr="00B6435C">
                              <w:t xml:space="preserve">There are 32 beds in a level 1 hospital ICU. The ratio for a level 1 hospital ICU is 1:15 for the liaison nurse and 1:10 for the team leader. </w:t>
                            </w:r>
                          </w:p>
                          <w:p w14:paraId="24EBC77A" w14:textId="77777777" w:rsidR="00B6435C" w:rsidRPr="00B6435C" w:rsidRDefault="00B6435C" w:rsidP="00B6435C">
                            <w:r w:rsidRPr="00B6435C">
                              <w:t xml:space="preserve">In this example the hospital must staff with three (3) liaison nurses and four (4) team leaders to meet the liaison nurse and team leader ratios for the 32 bed ICU. </w:t>
                            </w:r>
                          </w:p>
                          <w:p w14:paraId="045068F8" w14:textId="77777777" w:rsidR="00B6435C" w:rsidRPr="00B6435C" w:rsidRDefault="00B6435C" w:rsidP="00B6435C">
                            <w:r w:rsidRPr="00B6435C">
                              <w:t xml:space="preserve">As the number of ICU beds does not align directly with the relevant ratios, the operator of the hospital must round up with one additional liaison nurse and one additional team leader to ensure that this ICU is staffed in accordance with the liaison nurse and team leader ratios. </w:t>
                            </w:r>
                          </w:p>
                          <w:p w14:paraId="05170F6A" w14:textId="77777777" w:rsidR="00C93882" w:rsidRDefault="00C93882" w:rsidP="00C93882"/>
                        </w:txbxContent>
                      </wps:txbx>
                      <wps:bodyPr rot="0" vert="horz" wrap="square" lIns="91440" tIns="45720" rIns="91440" bIns="45720" anchor="t" anchorCtr="0">
                        <a:noAutofit/>
                      </wps:bodyPr>
                    </wps:wsp>
                  </a:graphicData>
                </a:graphic>
              </wp:inline>
            </w:drawing>
          </mc:Choice>
          <mc:Fallback>
            <w:pict>
              <v:shape w14:anchorId="661A7D29" id="_x0000_s1030" type="#_x0000_t202" style="width:462.75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" fillcolor="#bfbfbf [2412]">
                <v:textbox>
                  <w:txbxContent>
                    <w:p w14:paraId="62710578" w14:textId="77777777" w:rsidR="00B6435C" w:rsidRPr="00B6435C" w:rsidRDefault="00B6435C" w:rsidP="00B6435C">
                      <w:r w:rsidRPr="00B6435C">
                        <w:t xml:space="preserve">There are 32 beds in a level 1 hospital ICU. The ratio for a level 1 hospital ICU is 1:15 for the liaison nurse and 1:10 for the team leader. </w:t>
                      </w:r>
                    </w:p>
                    <w:p w14:paraId="24EBC77A" w14:textId="77777777" w:rsidR="00B6435C" w:rsidRPr="00B6435C" w:rsidRDefault="00B6435C" w:rsidP="00B6435C">
                      <w:r w:rsidRPr="00B6435C">
                        <w:t xml:space="preserve">In this example the hospital must staff with three (3) liaison nurses and four (4) team leaders to meet the liaison nurse and team leader ratios for the 32 bed ICU. </w:t>
                      </w:r>
                    </w:p>
                    <w:p w14:paraId="045068F8" w14:textId="77777777" w:rsidR="00B6435C" w:rsidRPr="00B6435C" w:rsidRDefault="00B6435C" w:rsidP="00B6435C">
                      <w:r w:rsidRPr="00B6435C">
                        <w:t xml:space="preserve">As the number of ICU beds does not align directly with the relevant ratios, the operator of the hospital must round up with one additional liaison nurse and one additional team leader to ensure that this ICU is staffed in accordance with the liaison nurse and team leader ratios. </w:t>
                      </w:r>
                    </w:p>
                    <w:p w14:paraId="05170F6A" w14:textId="77777777" w:rsidR="00C93882" w:rsidRDefault="00C93882" w:rsidP="00C93882"/>
                  </w:txbxContent>
                </v:textbox>
                <w10:anchorlock/>
              </v:shape>
            </w:pict>
          </mc:Fallback>
        </mc:AlternateContent>
      </w:r>
    </w:p>
    <w:p w14:paraId="0452CFD0" w14:textId="7A98C851" w:rsidR="006354B0" w:rsidRDefault="006354B0" w:rsidP="006354B0">
      <w:pPr>
        <w:pStyle w:val="Heading2"/>
      </w:pPr>
      <w:bookmarkStart w:id="9" w:name="_Toc194310941"/>
      <w:r>
        <w:lastRenderedPageBreak/>
        <w:t>Compliance with ratios</w:t>
      </w:r>
      <w:bookmarkEnd w:id="9"/>
    </w:p>
    <w:p w14:paraId="11D6509C" w14:textId="7797050C" w:rsidR="00412AED" w:rsidRDefault="00954042" w:rsidP="000C3323">
      <w:pPr>
        <w:pStyle w:val="Body"/>
      </w:pPr>
      <w:r>
        <w:t>F</w:t>
      </w:r>
      <w:r w:rsidR="00875EFD">
        <w:t xml:space="preserve">ollowing the implementation of </w:t>
      </w:r>
      <w:r w:rsidR="00134779">
        <w:t xml:space="preserve">the 25% and </w:t>
      </w:r>
      <w:r w:rsidR="00C16258">
        <w:t xml:space="preserve">75% </w:t>
      </w:r>
      <w:r w:rsidR="00CA0AC2">
        <w:t>phase</w:t>
      </w:r>
      <w:r w:rsidR="00B53967">
        <w:t>s</w:t>
      </w:r>
      <w:r w:rsidR="00CA0AC2">
        <w:t xml:space="preserve"> of the </w:t>
      </w:r>
      <w:r w:rsidR="000A7F5A" w:rsidRPr="000A7F5A">
        <w:t xml:space="preserve">Amendment </w:t>
      </w:r>
      <w:r w:rsidR="00542970">
        <w:t>Bill</w:t>
      </w:r>
      <w:r w:rsidR="00542970" w:rsidRPr="000A7F5A">
        <w:t xml:space="preserve"> </w:t>
      </w:r>
      <w:r w:rsidR="000A7F5A" w:rsidRPr="000A7F5A">
        <w:t>2025</w:t>
      </w:r>
      <w:r w:rsidR="00C05854">
        <w:t>,</w:t>
      </w:r>
      <w:r w:rsidR="000A7F5A" w:rsidRPr="00AA6DA6">
        <w:rPr>
          <w:b/>
          <w:bCs/>
          <w:color w:val="000000" w:themeColor="text1"/>
          <w:sz w:val="22"/>
          <w:szCs w:val="22"/>
        </w:rPr>
        <w:t xml:space="preserve"> </w:t>
      </w:r>
      <w:r w:rsidR="00D34208">
        <w:t xml:space="preserve">provision </w:t>
      </w:r>
      <w:r>
        <w:t xml:space="preserve">has </w:t>
      </w:r>
      <w:r w:rsidR="00D34208">
        <w:t>been made</w:t>
      </w:r>
      <w:r>
        <w:t xml:space="preserve"> in the Amendment </w:t>
      </w:r>
      <w:r w:rsidR="00FC0688">
        <w:t>Bill</w:t>
      </w:r>
      <w:r w:rsidR="00D34208">
        <w:t xml:space="preserve"> </w:t>
      </w:r>
      <w:r w:rsidR="005C4108">
        <w:t xml:space="preserve">2025 </w:t>
      </w:r>
      <w:r w:rsidR="00D34208">
        <w:t xml:space="preserve">for a </w:t>
      </w:r>
      <w:r w:rsidR="008B4011">
        <w:t>‘</w:t>
      </w:r>
      <w:r w:rsidR="000A7F5A">
        <w:t>no dispute</w:t>
      </w:r>
      <w:r w:rsidR="008B4011">
        <w:t>’</w:t>
      </w:r>
      <w:r w:rsidR="000A7F5A">
        <w:t xml:space="preserve"> </w:t>
      </w:r>
      <w:r w:rsidR="00D34208">
        <w:t>period.</w:t>
      </w:r>
      <w:r w:rsidR="00493097">
        <w:t xml:space="preserve"> </w:t>
      </w:r>
      <w:r w:rsidR="00665584">
        <w:t>P</w:t>
      </w:r>
      <w:r w:rsidR="007B5891">
        <w:t>rovid</w:t>
      </w:r>
      <w:r w:rsidR="00665584">
        <w:t>ing</w:t>
      </w:r>
      <w:r w:rsidR="007B5891">
        <w:t xml:space="preserve"> health services with greater flexibility</w:t>
      </w:r>
      <w:r w:rsidR="00373AA8">
        <w:t xml:space="preserve"> and remov</w:t>
      </w:r>
      <w:r w:rsidR="00665584">
        <w:t xml:space="preserve">ing </w:t>
      </w:r>
      <w:r w:rsidR="00373AA8">
        <w:t>p</w:t>
      </w:r>
      <w:r w:rsidR="00665584">
        <w:t>ossible p</w:t>
      </w:r>
      <w:r w:rsidR="00373AA8">
        <w:t>enalties</w:t>
      </w:r>
      <w:r w:rsidR="007B5891">
        <w:t>, t</w:t>
      </w:r>
      <w:r w:rsidR="00493097">
        <w:t xml:space="preserve">his </w:t>
      </w:r>
      <w:r w:rsidR="007B5891">
        <w:t xml:space="preserve">provision will </w:t>
      </w:r>
      <w:r w:rsidR="00493097">
        <w:t>ensure that during</w:t>
      </w:r>
      <w:r w:rsidR="00951A6D">
        <w:t xml:space="preserve"> implementation where </w:t>
      </w:r>
      <w:r w:rsidR="00D34208">
        <w:t xml:space="preserve">it is </w:t>
      </w:r>
      <w:r w:rsidR="00815FE1">
        <w:t xml:space="preserve">alleged </w:t>
      </w:r>
      <w:r w:rsidR="00D34208">
        <w:t xml:space="preserve">a </w:t>
      </w:r>
      <w:r w:rsidR="00815FE1">
        <w:t xml:space="preserve">breach of a staffing requirement </w:t>
      </w:r>
      <w:r w:rsidR="00484AF9">
        <w:t xml:space="preserve">has occurred </w:t>
      </w:r>
      <w:r w:rsidR="00F54957">
        <w:t>local dispute process</w:t>
      </w:r>
      <w:r w:rsidR="007B5891">
        <w:t>es</w:t>
      </w:r>
      <w:r w:rsidR="00F54957">
        <w:t xml:space="preserve"> </w:t>
      </w:r>
      <w:r w:rsidR="009D529C">
        <w:t xml:space="preserve">outlined at section 41 of the Principal Act </w:t>
      </w:r>
      <w:r w:rsidR="00F54957">
        <w:t>do not apply</w:t>
      </w:r>
      <w:r w:rsidR="007B5891">
        <w:t>.</w:t>
      </w:r>
    </w:p>
    <w:p w14:paraId="1D69689E" w14:textId="369F2522" w:rsidR="00027BFA" w:rsidRDefault="00431016" w:rsidP="00320163">
      <w:pPr>
        <w:pStyle w:val="Body"/>
        <w:rPr>
          <w:b/>
          <w:bCs/>
        </w:rPr>
      </w:pPr>
      <w:r>
        <w:t xml:space="preserve">Health services are not expected to </w:t>
      </w:r>
      <w:r w:rsidR="00860FF5">
        <w:t xml:space="preserve">recruit agency staff </w:t>
      </w:r>
      <w:r w:rsidR="001A6CA7">
        <w:t xml:space="preserve">or to employ staff at overtime rates to meet the new ratios during the ‘no dispute’ periods. </w:t>
      </w:r>
      <w:r>
        <w:t xml:space="preserve"> </w:t>
      </w:r>
      <w:r w:rsidR="000321D9">
        <w:t xml:space="preserve">Once </w:t>
      </w:r>
      <w:r w:rsidR="007F0623">
        <w:t xml:space="preserve">a </w:t>
      </w:r>
      <w:r w:rsidR="00F40C03">
        <w:t xml:space="preserve">no dispute period has passed, </w:t>
      </w:r>
      <w:r w:rsidR="00871E54">
        <w:t>local dispute resolution processes will apply</w:t>
      </w:r>
      <w:r w:rsidR="005D4E60">
        <w:t xml:space="preserve"> as outlined in </w:t>
      </w:r>
      <w:r w:rsidR="699D6E78">
        <w:t>T</w:t>
      </w:r>
      <w:r w:rsidR="005D4E60">
        <w:t xml:space="preserve">able </w:t>
      </w:r>
      <w:r w:rsidR="7DD7BB07">
        <w:t xml:space="preserve">1 </w:t>
      </w:r>
      <w:r w:rsidR="005D4E60">
        <w:t>below</w:t>
      </w:r>
      <w:r w:rsidR="00871E54">
        <w:t xml:space="preserve">. </w:t>
      </w:r>
    </w:p>
    <w:p w14:paraId="297460A1" w14:textId="346B8F68" w:rsidR="003A6F82" w:rsidRPr="003A6F82" w:rsidRDefault="20A40689" w:rsidP="003A6F82">
      <w:pPr>
        <w:pStyle w:val="Body"/>
        <w:rPr>
          <w:b/>
        </w:rPr>
      </w:pPr>
      <w:r w:rsidRPr="07780CE6">
        <w:rPr>
          <w:b/>
          <w:bCs/>
        </w:rPr>
        <w:t>Table 1</w:t>
      </w:r>
      <w:r w:rsidR="5BCF20CB" w:rsidRPr="07780CE6">
        <w:rPr>
          <w:b/>
          <w:bCs/>
        </w:rPr>
        <w:t xml:space="preserve">: No dispute </w:t>
      </w:r>
      <w:r w:rsidR="5BCF20CB" w:rsidRPr="74209FFA">
        <w:rPr>
          <w:b/>
          <w:bCs/>
        </w:rPr>
        <w:t xml:space="preserve">periods and </w:t>
      </w:r>
      <w:r w:rsidR="5BCF20CB" w:rsidRPr="11F78B47">
        <w:rPr>
          <w:b/>
          <w:bCs/>
        </w:rPr>
        <w:t xml:space="preserve">local dispute resolution </w:t>
      </w:r>
      <w:r w:rsidR="5BCF20CB" w:rsidRPr="1BCB58F3">
        <w:rPr>
          <w:b/>
          <w:bCs/>
        </w:rPr>
        <w:t>timeframes</w:t>
      </w:r>
    </w:p>
    <w:tbl>
      <w:tblPr>
        <w:tblStyle w:val="TableGrid"/>
        <w:tblW w:w="0" w:type="auto"/>
        <w:tblLayout w:type="fixed"/>
        <w:tblLook w:val="04A0" w:firstRow="1" w:lastRow="0" w:firstColumn="1" w:lastColumn="0" w:noHBand="0" w:noVBand="1"/>
      </w:tblPr>
      <w:tblGrid>
        <w:gridCol w:w="2247"/>
        <w:gridCol w:w="4235"/>
        <w:gridCol w:w="2806"/>
      </w:tblGrid>
      <w:tr w:rsidR="00A06BB6" w14:paraId="6C45C896" w14:textId="486CA1E5" w:rsidTr="5DEDADF4">
        <w:tc>
          <w:tcPr>
            <w:tcW w:w="2247" w:type="dxa"/>
            <w:shd w:val="clear" w:color="auto" w:fill="002060"/>
          </w:tcPr>
          <w:p w14:paraId="486FA5D0" w14:textId="3E1B59FA" w:rsidR="00A834DB" w:rsidRPr="00A834DB" w:rsidRDefault="00A834DB" w:rsidP="006354B0">
            <w:pPr>
              <w:pStyle w:val="Body"/>
              <w:rPr>
                <w:b/>
                <w:bCs/>
                <w:color w:val="FFFFFF" w:themeColor="background1"/>
              </w:rPr>
            </w:pPr>
            <w:r>
              <w:rPr>
                <w:b/>
                <w:bCs/>
                <w:color w:val="FFFFFF" w:themeColor="background1"/>
              </w:rPr>
              <w:t>Implementation p</w:t>
            </w:r>
            <w:r w:rsidRPr="00A834DB">
              <w:rPr>
                <w:b/>
                <w:bCs/>
                <w:color w:val="FFFFFF" w:themeColor="background1"/>
              </w:rPr>
              <w:t>hase</w:t>
            </w:r>
          </w:p>
        </w:tc>
        <w:tc>
          <w:tcPr>
            <w:tcW w:w="4235" w:type="dxa"/>
            <w:shd w:val="clear" w:color="auto" w:fill="002060"/>
          </w:tcPr>
          <w:p w14:paraId="7E390370" w14:textId="0E2E4629" w:rsidR="00A834DB" w:rsidRPr="00A834DB" w:rsidRDefault="004D2CF3" w:rsidP="006354B0">
            <w:pPr>
              <w:pStyle w:val="Body"/>
              <w:rPr>
                <w:b/>
                <w:bCs/>
                <w:color w:val="FFFFFF" w:themeColor="background1"/>
              </w:rPr>
            </w:pPr>
            <w:r>
              <w:rPr>
                <w:b/>
                <w:bCs/>
                <w:color w:val="FFFFFF" w:themeColor="background1"/>
              </w:rPr>
              <w:t>No</w:t>
            </w:r>
            <w:r w:rsidR="00352445">
              <w:rPr>
                <w:b/>
                <w:bCs/>
                <w:color w:val="FFFFFF" w:themeColor="background1"/>
              </w:rPr>
              <w:t xml:space="preserve"> dispute</w:t>
            </w:r>
            <w:r w:rsidRPr="00A834DB">
              <w:rPr>
                <w:b/>
                <w:bCs/>
                <w:color w:val="FFFFFF" w:themeColor="background1"/>
              </w:rPr>
              <w:t xml:space="preserve"> </w:t>
            </w:r>
            <w:r w:rsidR="00A834DB" w:rsidRPr="00A834DB">
              <w:rPr>
                <w:b/>
                <w:bCs/>
                <w:color w:val="FFFFFF" w:themeColor="background1"/>
              </w:rPr>
              <w:t>period</w:t>
            </w:r>
          </w:p>
        </w:tc>
        <w:tc>
          <w:tcPr>
            <w:tcW w:w="2806" w:type="dxa"/>
            <w:shd w:val="clear" w:color="auto" w:fill="002060"/>
          </w:tcPr>
          <w:p w14:paraId="0A8B9EE5" w14:textId="4C349A03" w:rsidR="00A834DB" w:rsidRPr="00A834DB" w:rsidRDefault="00A834DB" w:rsidP="006354B0">
            <w:pPr>
              <w:pStyle w:val="Body"/>
              <w:rPr>
                <w:b/>
                <w:bCs/>
                <w:color w:val="FFFFFF" w:themeColor="background1"/>
              </w:rPr>
            </w:pPr>
            <w:r>
              <w:rPr>
                <w:b/>
                <w:bCs/>
                <w:color w:val="FFFFFF" w:themeColor="background1"/>
              </w:rPr>
              <w:t>Local dispute re</w:t>
            </w:r>
            <w:r w:rsidR="007B075A">
              <w:rPr>
                <w:b/>
                <w:bCs/>
                <w:color w:val="FFFFFF" w:themeColor="background1"/>
              </w:rPr>
              <w:t>solution applies</w:t>
            </w:r>
          </w:p>
        </w:tc>
      </w:tr>
      <w:tr w:rsidR="00A06BB6" w14:paraId="41AE2BDD" w14:textId="72678B04" w:rsidTr="00ED1094">
        <w:tc>
          <w:tcPr>
            <w:tcW w:w="2247" w:type="dxa"/>
          </w:tcPr>
          <w:p w14:paraId="4C2D07B8" w14:textId="3853535B" w:rsidR="00A834DB" w:rsidRDefault="00A834DB" w:rsidP="006354B0">
            <w:pPr>
              <w:pStyle w:val="Body"/>
            </w:pPr>
            <w:r>
              <w:t>25%</w:t>
            </w:r>
          </w:p>
        </w:tc>
        <w:tc>
          <w:tcPr>
            <w:tcW w:w="4235" w:type="dxa"/>
          </w:tcPr>
          <w:p w14:paraId="768E06F7" w14:textId="7050D6AD" w:rsidR="00A834DB" w:rsidRDefault="00E7432B" w:rsidP="006354B0">
            <w:pPr>
              <w:pStyle w:val="Body"/>
            </w:pPr>
            <w:r>
              <w:t xml:space="preserve">The day after </w:t>
            </w:r>
            <w:r w:rsidR="00A834DB">
              <w:t xml:space="preserve">Royal </w:t>
            </w:r>
            <w:r w:rsidR="005A49B3">
              <w:t>A</w:t>
            </w:r>
            <w:r w:rsidR="00A834DB">
              <w:t>ssent</w:t>
            </w:r>
            <w:r w:rsidR="00A834DB" w:rsidDel="00253DBB">
              <w:t xml:space="preserve"> </w:t>
            </w:r>
            <w:r w:rsidR="00906CAE">
              <w:t xml:space="preserve">to </w:t>
            </w:r>
            <w:r w:rsidR="006601D2">
              <w:t>30 November 2025</w:t>
            </w:r>
          </w:p>
        </w:tc>
        <w:tc>
          <w:tcPr>
            <w:tcW w:w="2806" w:type="dxa"/>
          </w:tcPr>
          <w:p w14:paraId="094D1237" w14:textId="6984D287" w:rsidR="00705237" w:rsidRDefault="007B075A" w:rsidP="006354B0">
            <w:pPr>
              <w:pStyle w:val="Body"/>
            </w:pPr>
            <w:r>
              <w:t xml:space="preserve">From </w:t>
            </w:r>
            <w:r w:rsidR="004A2CF5">
              <w:t>1 December 20</w:t>
            </w:r>
            <w:r w:rsidR="00031903">
              <w:t>25</w:t>
            </w:r>
          </w:p>
        </w:tc>
      </w:tr>
      <w:tr w:rsidR="00A06BB6" w14:paraId="62FB60A0" w14:textId="450D6F56" w:rsidTr="00ED1094">
        <w:tc>
          <w:tcPr>
            <w:tcW w:w="2247" w:type="dxa"/>
          </w:tcPr>
          <w:p w14:paraId="51D59A1F" w14:textId="2288F4BF" w:rsidR="00A834DB" w:rsidRDefault="00A834DB" w:rsidP="006354B0">
            <w:pPr>
              <w:pStyle w:val="Body"/>
            </w:pPr>
            <w:r>
              <w:t>75%</w:t>
            </w:r>
          </w:p>
        </w:tc>
        <w:tc>
          <w:tcPr>
            <w:tcW w:w="4235" w:type="dxa"/>
          </w:tcPr>
          <w:p w14:paraId="0A867321" w14:textId="73707D43" w:rsidR="00A834DB" w:rsidRDefault="00A834DB" w:rsidP="006354B0">
            <w:pPr>
              <w:pStyle w:val="Body"/>
            </w:pPr>
            <w:r>
              <w:t xml:space="preserve">1 December 2025 to 30 </w:t>
            </w:r>
            <w:r w:rsidR="004D49A6">
              <w:t xml:space="preserve">June </w:t>
            </w:r>
            <w:r>
              <w:t>2026</w:t>
            </w:r>
          </w:p>
        </w:tc>
        <w:tc>
          <w:tcPr>
            <w:tcW w:w="2806" w:type="dxa"/>
          </w:tcPr>
          <w:p w14:paraId="2F74FE53" w14:textId="6B8FB15A" w:rsidR="00A834DB" w:rsidRDefault="003F3A20" w:rsidP="006354B0">
            <w:pPr>
              <w:pStyle w:val="Body"/>
            </w:pPr>
            <w:r>
              <w:t xml:space="preserve">From </w:t>
            </w:r>
            <w:r w:rsidR="00E71FAC">
              <w:t>1 July</w:t>
            </w:r>
            <w:r>
              <w:t xml:space="preserve"> 2026</w:t>
            </w:r>
          </w:p>
        </w:tc>
      </w:tr>
      <w:tr w:rsidR="00A06BB6" w14:paraId="22CED1E4" w14:textId="67AFB3F4" w:rsidTr="00ED1094">
        <w:tc>
          <w:tcPr>
            <w:tcW w:w="2247" w:type="dxa"/>
          </w:tcPr>
          <w:p w14:paraId="60B6B756" w14:textId="62604E8E" w:rsidR="00A834DB" w:rsidRDefault="00A834DB" w:rsidP="006354B0">
            <w:pPr>
              <w:pStyle w:val="Body"/>
            </w:pPr>
            <w:r>
              <w:t>100%</w:t>
            </w:r>
          </w:p>
        </w:tc>
        <w:tc>
          <w:tcPr>
            <w:tcW w:w="4235" w:type="dxa"/>
          </w:tcPr>
          <w:p w14:paraId="5CA43695" w14:textId="4FF394B0" w:rsidR="00A834DB" w:rsidRDefault="003F3A20" w:rsidP="006354B0">
            <w:pPr>
              <w:pStyle w:val="Body"/>
            </w:pPr>
            <w:r>
              <w:t>Nil</w:t>
            </w:r>
          </w:p>
        </w:tc>
        <w:tc>
          <w:tcPr>
            <w:tcW w:w="2806" w:type="dxa"/>
          </w:tcPr>
          <w:p w14:paraId="5A978064" w14:textId="4E9C0FFC" w:rsidR="00A834DB" w:rsidRDefault="007F4139" w:rsidP="006354B0">
            <w:pPr>
              <w:pStyle w:val="Body"/>
            </w:pPr>
            <w:r>
              <w:t xml:space="preserve">From </w:t>
            </w:r>
            <w:r w:rsidR="003F3A20">
              <w:t>1 July</w:t>
            </w:r>
            <w:r>
              <w:t xml:space="preserve"> 2026</w:t>
            </w:r>
            <w:r w:rsidR="0056697F">
              <w:t>.</w:t>
            </w:r>
          </w:p>
        </w:tc>
      </w:tr>
    </w:tbl>
    <w:p w14:paraId="5D8C0474" w14:textId="5EA09193" w:rsidR="00FD356B" w:rsidRPr="00A97767" w:rsidRDefault="00FD356B" w:rsidP="00FD356B">
      <w:pPr>
        <w:pStyle w:val="Heading3"/>
      </w:pPr>
      <w:r w:rsidRPr="00A97767">
        <w:t>Operationalisation</w:t>
      </w:r>
      <w:r w:rsidR="00A06510" w:rsidRPr="00A97767">
        <w:t xml:space="preserve"> of the </w:t>
      </w:r>
      <w:r w:rsidRPr="00A97767">
        <w:t>roles to comply with ratios</w:t>
      </w:r>
    </w:p>
    <w:p w14:paraId="7E9FE87F" w14:textId="7D3C056A" w:rsidR="00617CAE" w:rsidRPr="00A97767" w:rsidRDefault="004E67BE" w:rsidP="006354B0">
      <w:pPr>
        <w:pStyle w:val="Body"/>
        <w:rPr>
          <w:lang w:val="en-US"/>
        </w:rPr>
      </w:pPr>
      <w:r>
        <w:t xml:space="preserve">As the </w:t>
      </w:r>
      <w:r w:rsidR="0010532E">
        <w:t>ICU team leader and liaison nurse</w:t>
      </w:r>
      <w:r>
        <w:t xml:space="preserve"> roles are not </w:t>
      </w:r>
      <w:r w:rsidR="0010532E">
        <w:t>specifically</w:t>
      </w:r>
      <w:r>
        <w:t xml:space="preserve"> defined in the Principal Act or the </w:t>
      </w:r>
      <w:r w:rsidR="000B3134">
        <w:t>Amendment Bill 2025</w:t>
      </w:r>
      <w:r>
        <w:t xml:space="preserve">, </w:t>
      </w:r>
      <w:r w:rsidR="000B63EE">
        <w:t xml:space="preserve">to </w:t>
      </w:r>
      <w:r w:rsidR="000B5AF0">
        <w:t>guide</w:t>
      </w:r>
      <w:r w:rsidR="000B63EE">
        <w:t xml:space="preserve"> health services </w:t>
      </w:r>
      <w:r w:rsidR="000B5AF0" w:rsidRPr="003642E0">
        <w:rPr>
          <w:rFonts w:eastAsia="Aptos" w:cs="Arial"/>
          <w:szCs w:val="21"/>
          <w14:ligatures w14:val="standardContextual"/>
        </w:rPr>
        <w:t>to operationalise these roles in the context of the Act</w:t>
      </w:r>
      <w:r w:rsidR="000B5AF0" w:rsidRPr="003642E0">
        <w:t xml:space="preserve"> </w:t>
      </w:r>
      <w:r w:rsidR="005B6292">
        <w:t xml:space="preserve">iterative descriptors will be provided in the </w:t>
      </w:r>
      <w:r w:rsidR="00EA29DB" w:rsidRPr="00EA29DB">
        <w:rPr>
          <w:i/>
          <w:iCs/>
        </w:rPr>
        <w:t>Phase three - Improvements to ratios FAQ</w:t>
      </w:r>
      <w:r w:rsidR="00EA29DB" w:rsidRPr="00EA29DB">
        <w:t xml:space="preserve"> </w:t>
      </w:r>
      <w:r w:rsidR="00EA29DB">
        <w:t>document</w:t>
      </w:r>
      <w:r w:rsidR="0022782C">
        <w:t xml:space="preserve">. </w:t>
      </w:r>
      <w:r w:rsidR="00747ADA">
        <w:t xml:space="preserve">Additionally, </w:t>
      </w:r>
      <w:r>
        <w:t>b</w:t>
      </w:r>
      <w:r w:rsidR="004753DD" w:rsidRPr="00496CEF">
        <w:t xml:space="preserve">est practice guidance </w:t>
      </w:r>
      <w:r w:rsidR="007F5722" w:rsidRPr="00A97767">
        <w:t xml:space="preserve">such as the </w:t>
      </w:r>
      <w:r w:rsidR="004753DD" w:rsidRPr="00496CEF">
        <w:t xml:space="preserve">Australian College of Critical Care Nurses (ACCCN’s) </w:t>
      </w:r>
      <w:hyperlink r:id="rId22" w:tgtFrame="_blank" w:history="1">
        <w:r w:rsidR="004753DD" w:rsidRPr="00496CEF">
          <w:rPr>
            <w:rStyle w:val="Hyperlink"/>
          </w:rPr>
          <w:t>Workforce Standards for Intensive Care Nursi</w:t>
        </w:r>
        <w:r w:rsidR="004753DD" w:rsidRPr="00496CEF">
          <w:rPr>
            <w:rStyle w:val="Hyperlink"/>
          </w:rPr>
          <w:t>n</w:t>
        </w:r>
        <w:r w:rsidR="004753DD" w:rsidRPr="00496CEF">
          <w:rPr>
            <w:rStyle w:val="Hyperlink"/>
          </w:rPr>
          <w:t>g</w:t>
        </w:r>
      </w:hyperlink>
      <w:r w:rsidR="007F5722" w:rsidRPr="00A97767">
        <w:t xml:space="preserve"> </w:t>
      </w:r>
      <w:r w:rsidR="008F01F0">
        <w:t>&lt;</w:t>
      </w:r>
      <w:r w:rsidR="008F01F0" w:rsidRPr="008F01F0">
        <w:t>https://acccn.com.au/wp-content/uploads/Workforce-Standards.pdf</w:t>
      </w:r>
      <w:r w:rsidR="008F01F0">
        <w:t xml:space="preserve">&gt; </w:t>
      </w:r>
      <w:r w:rsidR="007F5722" w:rsidRPr="00A97767">
        <w:t>may</w:t>
      </w:r>
      <w:r w:rsidR="002772A5" w:rsidRPr="00A97767">
        <w:t xml:space="preserve"> be</w:t>
      </w:r>
      <w:r w:rsidR="007F5722" w:rsidRPr="00A97767">
        <w:t xml:space="preserve"> used </w:t>
      </w:r>
      <w:r w:rsidR="0022782C">
        <w:t xml:space="preserve">by health services </w:t>
      </w:r>
      <w:r w:rsidR="007F5722" w:rsidRPr="00A97767">
        <w:t xml:space="preserve">to inform the </w:t>
      </w:r>
      <w:r w:rsidR="007F5722" w:rsidRPr="00496CEF">
        <w:t xml:space="preserve">role and responsibilities of </w:t>
      </w:r>
      <w:r w:rsidR="007F5722" w:rsidRPr="00A97767">
        <w:t xml:space="preserve">the </w:t>
      </w:r>
      <w:r w:rsidR="007F5722" w:rsidRPr="00496CEF">
        <w:t>ICU liaison nurse</w:t>
      </w:r>
      <w:r w:rsidR="007F5722" w:rsidRPr="00A97767">
        <w:t xml:space="preserve"> and t</w:t>
      </w:r>
      <w:r w:rsidR="007F5722" w:rsidRPr="00496CEF">
        <w:t xml:space="preserve">eam leader </w:t>
      </w:r>
      <w:r w:rsidR="007F5722" w:rsidRPr="00A97767">
        <w:t xml:space="preserve">positions. </w:t>
      </w:r>
      <w:r w:rsidR="004753DD" w:rsidRPr="00496CEF">
        <w:rPr>
          <w:lang w:val="en-US"/>
        </w:rPr>
        <w:t> </w:t>
      </w:r>
    </w:p>
    <w:p w14:paraId="57A75A9A" w14:textId="1833B759" w:rsidR="00BD5F76" w:rsidRPr="00496CEF" w:rsidRDefault="00BD5F76" w:rsidP="00BD5F76">
      <w:pPr>
        <w:pStyle w:val="Body"/>
      </w:pPr>
      <w:r w:rsidRPr="00496CEF">
        <w:t xml:space="preserve">It is up to each health service to operationalise the </w:t>
      </w:r>
      <w:r w:rsidRPr="00A97767">
        <w:t xml:space="preserve">various </w:t>
      </w:r>
      <w:r w:rsidRPr="00496CEF">
        <w:t>role</w:t>
      </w:r>
      <w:r w:rsidRPr="00A97767">
        <w:t>s</w:t>
      </w:r>
      <w:r w:rsidRPr="00496CEF">
        <w:t xml:space="preserve"> to meet local health service needs</w:t>
      </w:r>
      <w:r w:rsidR="00935277" w:rsidRPr="00A97767">
        <w:t xml:space="preserve">, including models of care, </w:t>
      </w:r>
      <w:r w:rsidRPr="00496CEF">
        <w:t>at the same time as meeting legislated ratio requirements.</w:t>
      </w:r>
      <w:r w:rsidRPr="00A97767">
        <w:t xml:space="preserve"> Health services are also required to ensure </w:t>
      </w:r>
      <w:r w:rsidR="00240532">
        <w:t>arrangements put in place are consistent</w:t>
      </w:r>
      <w:r w:rsidRPr="00A97767">
        <w:t xml:space="preserve"> with the Enterprise Agreement. </w:t>
      </w:r>
    </w:p>
    <w:p w14:paraId="4AB18FAC" w14:textId="0D46FE56" w:rsidR="00BD5F76" w:rsidRPr="006354B0" w:rsidRDefault="00BD5F76" w:rsidP="006354B0">
      <w:pPr>
        <w:pStyle w:val="Body"/>
        <w:sectPr w:rsidR="00BD5F76" w:rsidRPr="006354B0" w:rsidSect="00996CAE">
          <w:headerReference w:type="even" r:id="rId23"/>
          <w:headerReference w:type="default" r:id="rId24"/>
          <w:footerReference w:type="even" r:id="rId25"/>
          <w:footerReference w:type="default" r:id="rId26"/>
          <w:headerReference w:type="first" r:id="rId27"/>
          <w:footerReference w:type="first" r:id="rId28"/>
          <w:pgSz w:w="11906" w:h="16838" w:code="9"/>
          <w:pgMar w:top="1418" w:right="1304" w:bottom="1134" w:left="1304" w:header="680" w:footer="851" w:gutter="0"/>
          <w:cols w:space="340"/>
          <w:docGrid w:linePitch="360"/>
        </w:sectPr>
      </w:pPr>
    </w:p>
    <w:p w14:paraId="0B9F7FE9" w14:textId="1E7A308A" w:rsidR="00FE396D" w:rsidRDefault="007A6CBB" w:rsidP="767EF4F1">
      <w:pPr>
        <w:pStyle w:val="Body"/>
        <w:rPr>
          <w:b/>
        </w:rPr>
      </w:pPr>
      <w:r w:rsidRPr="3334FFA6">
        <w:rPr>
          <w:b/>
        </w:rPr>
        <w:lastRenderedPageBreak/>
        <w:t xml:space="preserve">Table </w:t>
      </w:r>
      <w:r w:rsidR="35A539FB" w:rsidRPr="3334FFA6">
        <w:rPr>
          <w:b/>
        </w:rPr>
        <w:t>2: Calendar of phase three amendments to the Principal Act</w:t>
      </w:r>
    </w:p>
    <w:p w14:paraId="61192567" w14:textId="5F409694" w:rsidR="00CD64CA" w:rsidRPr="00CD64CA" w:rsidRDefault="00CD64CA" w:rsidP="767EF4F1">
      <w:pPr>
        <w:pStyle w:val="Body"/>
        <w:rPr>
          <w:i/>
          <w:iCs/>
        </w:rPr>
      </w:pPr>
      <w:r w:rsidRPr="00CD64CA">
        <w:rPr>
          <w:i/>
          <w:iCs/>
        </w:rPr>
        <w:t>When determining how to staff the ward with the additional hours to meet the new ratio requirements, hospitals are expected to consult with staff.</w:t>
      </w:r>
    </w:p>
    <w:tbl>
      <w:tblPr>
        <w:tblStyle w:val="TableGrid"/>
        <w:tblW w:w="0" w:type="auto"/>
        <w:jc w:val="center"/>
        <w:tblLook w:val="04A0" w:firstRow="1" w:lastRow="0" w:firstColumn="1" w:lastColumn="0" w:noHBand="0" w:noVBand="1"/>
      </w:tblPr>
      <w:tblGrid>
        <w:gridCol w:w="6301"/>
        <w:gridCol w:w="2922"/>
        <w:gridCol w:w="2505"/>
        <w:gridCol w:w="2548"/>
      </w:tblGrid>
      <w:tr w:rsidR="00072EF4" w14:paraId="47ECEA7C" w14:textId="77777777" w:rsidTr="00072EF4">
        <w:trPr>
          <w:cantSplit/>
          <w:trHeight w:val="132"/>
          <w:jc w:val="center"/>
        </w:trPr>
        <w:tc>
          <w:tcPr>
            <w:tcW w:w="0" w:type="auto"/>
            <w:shd w:val="clear" w:color="auto" w:fill="002060"/>
          </w:tcPr>
          <w:p w14:paraId="03F5C0B9" w14:textId="77A9A49A" w:rsidR="00FE396D" w:rsidRPr="00770D46" w:rsidRDefault="00FE396D">
            <w:pPr>
              <w:spacing w:after="0" w:line="240" w:lineRule="auto"/>
              <w:rPr>
                <w:b/>
                <w:bCs/>
                <w:color w:val="FFFFFF" w:themeColor="background1"/>
                <w:szCs w:val="21"/>
              </w:rPr>
            </w:pPr>
            <w:r w:rsidRPr="00770D46">
              <w:rPr>
                <w:b/>
                <w:bCs/>
                <w:color w:val="FFFFFF" w:themeColor="background1"/>
                <w:szCs w:val="21"/>
              </w:rPr>
              <w:t xml:space="preserve">Amendment </w:t>
            </w:r>
            <w:r w:rsidR="00542970">
              <w:rPr>
                <w:b/>
                <w:bCs/>
                <w:color w:val="FFFFFF" w:themeColor="background1"/>
                <w:szCs w:val="21"/>
              </w:rPr>
              <w:t>Bill</w:t>
            </w:r>
            <w:r w:rsidR="00542970" w:rsidRPr="00770D46">
              <w:rPr>
                <w:b/>
                <w:bCs/>
                <w:color w:val="FFFFFF" w:themeColor="background1"/>
                <w:szCs w:val="21"/>
              </w:rPr>
              <w:t xml:space="preserve"> </w:t>
            </w:r>
            <w:r w:rsidRPr="00770D46">
              <w:rPr>
                <w:b/>
                <w:bCs/>
                <w:color w:val="FFFFFF" w:themeColor="background1"/>
                <w:szCs w:val="21"/>
              </w:rPr>
              <w:t>2025</w:t>
            </w:r>
          </w:p>
        </w:tc>
        <w:tc>
          <w:tcPr>
            <w:tcW w:w="0" w:type="auto"/>
            <w:shd w:val="clear" w:color="auto" w:fill="002060"/>
          </w:tcPr>
          <w:p w14:paraId="05EF239F" w14:textId="5C150A99" w:rsidR="00FE396D" w:rsidRPr="00831C6B" w:rsidRDefault="00FE396D">
            <w:pPr>
              <w:spacing w:after="0" w:line="240" w:lineRule="auto"/>
              <w:rPr>
                <w:b/>
                <w:bCs/>
                <w:color w:val="FFFFFF" w:themeColor="background1"/>
              </w:rPr>
            </w:pPr>
            <w:r w:rsidRPr="00831C6B">
              <w:rPr>
                <w:b/>
                <w:bCs/>
                <w:color w:val="FFFFFF" w:themeColor="background1"/>
              </w:rPr>
              <w:t>Stage 1</w:t>
            </w:r>
            <w:r>
              <w:rPr>
                <w:b/>
                <w:bCs/>
                <w:color w:val="FFFFFF" w:themeColor="background1"/>
              </w:rPr>
              <w:t xml:space="preserve"> </w:t>
            </w:r>
            <w:r w:rsidR="0075187B">
              <w:rPr>
                <w:b/>
                <w:bCs/>
                <w:color w:val="FFFFFF" w:themeColor="background1"/>
              </w:rPr>
              <w:t>–</w:t>
            </w:r>
            <w:r>
              <w:rPr>
                <w:b/>
                <w:bCs/>
                <w:color w:val="FFFFFF" w:themeColor="background1"/>
              </w:rPr>
              <w:t xml:space="preserve"> </w:t>
            </w:r>
            <w:r w:rsidR="002543F8">
              <w:rPr>
                <w:b/>
                <w:bCs/>
                <w:color w:val="FFFFFF" w:themeColor="background1"/>
              </w:rPr>
              <w:t>Day after Royal Assent</w:t>
            </w:r>
            <w:r w:rsidR="001B5BCD">
              <w:rPr>
                <w:b/>
                <w:bCs/>
                <w:color w:val="FFFFFF" w:themeColor="background1"/>
              </w:rPr>
              <w:t xml:space="preserve"> </w:t>
            </w:r>
            <w:r w:rsidRPr="00831C6B">
              <w:rPr>
                <w:b/>
                <w:bCs/>
              </w:rPr>
              <w:t>to 30 November 2025</w:t>
            </w:r>
          </w:p>
        </w:tc>
        <w:tc>
          <w:tcPr>
            <w:tcW w:w="0" w:type="auto"/>
            <w:shd w:val="clear" w:color="auto" w:fill="002060"/>
          </w:tcPr>
          <w:p w14:paraId="423636E5" w14:textId="1F8974FB" w:rsidR="00FE396D" w:rsidRPr="00831C6B" w:rsidRDefault="00FE396D">
            <w:pPr>
              <w:spacing w:after="0" w:line="240" w:lineRule="auto"/>
              <w:rPr>
                <w:b/>
                <w:bCs/>
                <w:color w:val="FFFFFF" w:themeColor="background1"/>
              </w:rPr>
            </w:pPr>
            <w:r w:rsidRPr="00831C6B">
              <w:rPr>
                <w:b/>
                <w:bCs/>
                <w:color w:val="FFFFFF" w:themeColor="background1"/>
              </w:rPr>
              <w:t xml:space="preserve">Stage 2 - </w:t>
            </w:r>
            <w:r w:rsidRPr="00831C6B">
              <w:rPr>
                <w:b/>
                <w:bCs/>
              </w:rPr>
              <w:t>1 December 20</w:t>
            </w:r>
            <w:r w:rsidR="00E77DE6">
              <w:rPr>
                <w:b/>
                <w:bCs/>
              </w:rPr>
              <w:t>2</w:t>
            </w:r>
            <w:r w:rsidRPr="00831C6B">
              <w:rPr>
                <w:b/>
                <w:bCs/>
              </w:rPr>
              <w:t>5 to 30 June 202</w:t>
            </w:r>
            <w:r w:rsidR="00F71590">
              <w:rPr>
                <w:b/>
                <w:bCs/>
              </w:rPr>
              <w:t>6</w:t>
            </w:r>
          </w:p>
        </w:tc>
        <w:tc>
          <w:tcPr>
            <w:tcW w:w="0" w:type="auto"/>
            <w:shd w:val="clear" w:color="auto" w:fill="002060"/>
          </w:tcPr>
          <w:p w14:paraId="34E4C882" w14:textId="77777777" w:rsidR="00FE396D" w:rsidRPr="00831C6B" w:rsidRDefault="00FE396D">
            <w:pPr>
              <w:spacing w:after="0" w:line="240" w:lineRule="auto"/>
              <w:rPr>
                <w:b/>
                <w:bCs/>
                <w:color w:val="FFFFFF" w:themeColor="background1"/>
              </w:rPr>
            </w:pPr>
            <w:r w:rsidRPr="00831C6B">
              <w:rPr>
                <w:b/>
                <w:bCs/>
                <w:color w:val="FFFFFF" w:themeColor="background1"/>
              </w:rPr>
              <w:t xml:space="preserve">Stage 3 - </w:t>
            </w:r>
            <w:r w:rsidRPr="00831C6B">
              <w:rPr>
                <w:b/>
                <w:bCs/>
              </w:rPr>
              <w:t>1 July 2026 onwards</w:t>
            </w:r>
          </w:p>
        </w:tc>
      </w:tr>
      <w:tr w:rsidR="00B7017E" w14:paraId="2213B733" w14:textId="77777777" w:rsidTr="00072EF4">
        <w:trPr>
          <w:cantSplit/>
          <w:trHeight w:val="132"/>
          <w:tblHeader/>
          <w:jc w:val="center"/>
        </w:trPr>
        <w:tc>
          <w:tcPr>
            <w:tcW w:w="0" w:type="auto"/>
            <w:gridSpan w:val="4"/>
            <w:shd w:val="clear" w:color="auto" w:fill="808080" w:themeFill="background1" w:themeFillShade="80"/>
          </w:tcPr>
          <w:p w14:paraId="6C69634F" w14:textId="5199313B" w:rsidR="00B7017E" w:rsidRPr="00B7017E" w:rsidRDefault="00B7017E">
            <w:pPr>
              <w:spacing w:after="0" w:line="240" w:lineRule="auto"/>
              <w:rPr>
                <w:b/>
                <w:bCs/>
              </w:rPr>
            </w:pPr>
            <w:r>
              <w:rPr>
                <w:color w:val="FFFFFF" w:themeColor="background1"/>
              </w:rPr>
              <w:t xml:space="preserve">Amendment Bill 2025 - </w:t>
            </w:r>
            <w:r w:rsidRPr="00134402">
              <w:rPr>
                <w:color w:val="FFFFFF" w:themeColor="background1"/>
              </w:rPr>
              <w:t>Schedule 3</w:t>
            </w:r>
            <w:r w:rsidR="00727455">
              <w:rPr>
                <w:color w:val="FFFFFF" w:themeColor="background1"/>
              </w:rPr>
              <w:t xml:space="preserve"> - </w:t>
            </w:r>
            <w:r w:rsidRPr="00134402">
              <w:rPr>
                <w:color w:val="FFFFFF" w:themeColor="background1"/>
              </w:rPr>
              <w:t>Categories of hospitals for</w:t>
            </w:r>
            <w:r>
              <w:rPr>
                <w:color w:val="FFFFFF" w:themeColor="background1"/>
              </w:rPr>
              <w:t xml:space="preserve"> </w:t>
            </w:r>
            <w:r w:rsidRPr="00134402">
              <w:rPr>
                <w:color w:val="FFFFFF" w:themeColor="background1"/>
              </w:rPr>
              <w:t>emergency department ratios</w:t>
            </w:r>
            <w:r>
              <w:rPr>
                <w:color w:val="FFFFFF" w:themeColor="background1"/>
              </w:rPr>
              <w:t xml:space="preserve"> – Part 1</w:t>
            </w:r>
          </w:p>
        </w:tc>
      </w:tr>
      <w:tr w:rsidR="00072EF4" w14:paraId="7E60D3D2" w14:textId="77777777" w:rsidTr="00072EF4">
        <w:trPr>
          <w:cantSplit/>
          <w:trHeight w:val="132"/>
          <w:tblHeader/>
          <w:jc w:val="center"/>
        </w:trPr>
        <w:tc>
          <w:tcPr>
            <w:tcW w:w="0" w:type="auto"/>
            <w:shd w:val="clear" w:color="auto" w:fill="auto"/>
          </w:tcPr>
          <w:p w14:paraId="05450A69" w14:textId="77777777" w:rsidR="00B7017E" w:rsidRPr="00B7017E" w:rsidRDefault="00B7017E" w:rsidP="00B7017E">
            <w:pPr>
              <w:spacing w:after="0" w:line="240" w:lineRule="auto"/>
              <w:rPr>
                <w:szCs w:val="21"/>
              </w:rPr>
            </w:pPr>
            <w:r w:rsidRPr="00B7017E">
              <w:rPr>
                <w:szCs w:val="21"/>
              </w:rPr>
              <w:t>On the morning shift</w:t>
            </w:r>
          </w:p>
          <w:p w14:paraId="682A5C63" w14:textId="44AD1C69" w:rsidR="00B7017E" w:rsidRPr="00B7017E" w:rsidRDefault="00B7017E" w:rsidP="00B7017E">
            <w:pPr>
              <w:spacing w:after="0" w:line="240" w:lineRule="auto"/>
              <w:rPr>
                <w:b/>
                <w:bCs/>
                <w:szCs w:val="21"/>
              </w:rPr>
            </w:pPr>
            <w:r w:rsidRPr="00B7017E">
              <w:rPr>
                <w:szCs w:val="21"/>
              </w:rPr>
              <w:t>(i) one nurse for each resuscitation bed</w:t>
            </w:r>
          </w:p>
        </w:tc>
        <w:tc>
          <w:tcPr>
            <w:tcW w:w="0" w:type="auto"/>
            <w:shd w:val="clear" w:color="auto" w:fill="auto"/>
            <w:vAlign w:val="center"/>
          </w:tcPr>
          <w:p w14:paraId="3C272698" w14:textId="785B5A68" w:rsidR="00B7017E" w:rsidRPr="00B7017E" w:rsidRDefault="00B7017E" w:rsidP="0036516C">
            <w:pPr>
              <w:spacing w:after="0" w:line="240" w:lineRule="auto"/>
              <w:jc w:val="center"/>
            </w:pPr>
            <w:r w:rsidRPr="00B7017E">
              <w:t>25% compliance</w:t>
            </w:r>
          </w:p>
        </w:tc>
        <w:tc>
          <w:tcPr>
            <w:tcW w:w="0" w:type="auto"/>
            <w:shd w:val="clear" w:color="auto" w:fill="auto"/>
            <w:vAlign w:val="center"/>
          </w:tcPr>
          <w:p w14:paraId="45006CE3" w14:textId="63A841D6" w:rsidR="00B7017E" w:rsidRPr="00B7017E" w:rsidRDefault="00B7017E" w:rsidP="0036516C">
            <w:pPr>
              <w:spacing w:after="0" w:line="240" w:lineRule="auto"/>
              <w:jc w:val="center"/>
              <w:rPr>
                <w:b/>
                <w:bCs/>
              </w:rPr>
            </w:pPr>
            <w:r>
              <w:t>75</w:t>
            </w:r>
            <w:r w:rsidRPr="00900E89">
              <w:t>%</w:t>
            </w:r>
            <w:r>
              <w:t xml:space="preserve"> compliance</w:t>
            </w:r>
          </w:p>
        </w:tc>
        <w:tc>
          <w:tcPr>
            <w:tcW w:w="0" w:type="auto"/>
            <w:shd w:val="clear" w:color="auto" w:fill="auto"/>
            <w:vAlign w:val="center"/>
          </w:tcPr>
          <w:p w14:paraId="3C5E07DF" w14:textId="48F2AAE6" w:rsidR="00B7017E" w:rsidRPr="00B7017E" w:rsidRDefault="00B7017E" w:rsidP="0036516C">
            <w:pPr>
              <w:spacing w:after="0" w:line="240" w:lineRule="auto"/>
              <w:jc w:val="center"/>
              <w:rPr>
                <w:b/>
                <w:bCs/>
              </w:rPr>
            </w:pPr>
            <w:r w:rsidRPr="00900E89">
              <w:t>100%</w:t>
            </w:r>
            <w:r>
              <w:t xml:space="preserve"> compliance</w:t>
            </w:r>
          </w:p>
        </w:tc>
      </w:tr>
      <w:tr w:rsidR="00B7017E" w14:paraId="16353757" w14:textId="77777777" w:rsidTr="00AE17AC">
        <w:trPr>
          <w:trHeight w:val="207"/>
          <w:jc w:val="center"/>
        </w:trPr>
        <w:tc>
          <w:tcPr>
            <w:tcW w:w="0" w:type="auto"/>
            <w:gridSpan w:val="4"/>
            <w:shd w:val="clear" w:color="auto" w:fill="808080" w:themeFill="background1" w:themeFillShade="80"/>
          </w:tcPr>
          <w:p w14:paraId="66EC66EB" w14:textId="421CA2E7" w:rsidR="00B7017E" w:rsidRPr="002B62D7" w:rsidRDefault="00B7017E" w:rsidP="00B7017E">
            <w:pPr>
              <w:spacing w:after="0" w:line="240" w:lineRule="auto"/>
              <w:rPr>
                <w:color w:val="FFFFFF" w:themeColor="background1"/>
              </w:rPr>
            </w:pPr>
            <w:r w:rsidRPr="002B62D7">
              <w:rPr>
                <w:color w:val="FFFFFF" w:themeColor="background1"/>
              </w:rPr>
              <w:t xml:space="preserve">Amendment </w:t>
            </w:r>
            <w:r>
              <w:rPr>
                <w:color w:val="FFFFFF" w:themeColor="background1"/>
              </w:rPr>
              <w:t>Bill</w:t>
            </w:r>
            <w:r w:rsidRPr="002B62D7">
              <w:rPr>
                <w:color w:val="FFFFFF" w:themeColor="background1"/>
              </w:rPr>
              <w:t xml:space="preserve"> 2025 - Schedule 1, Level 1 hospitals - 20A Intensive care units</w:t>
            </w:r>
          </w:p>
        </w:tc>
      </w:tr>
      <w:tr w:rsidR="00072EF4" w:rsidRPr="00770D46" w14:paraId="5F263D04" w14:textId="77777777" w:rsidTr="00AE17AC">
        <w:trPr>
          <w:trHeight w:val="50"/>
          <w:jc w:val="center"/>
        </w:trPr>
        <w:tc>
          <w:tcPr>
            <w:tcW w:w="0" w:type="auto"/>
            <w:shd w:val="clear" w:color="auto" w:fill="auto"/>
          </w:tcPr>
          <w:p w14:paraId="1298C2A6" w14:textId="77777777" w:rsidR="00B7017E" w:rsidRDefault="00B7017E" w:rsidP="00B7017E">
            <w:pPr>
              <w:spacing w:after="0" w:line="240" w:lineRule="auto"/>
            </w:pPr>
            <w:r w:rsidRPr="00FC4D8B">
              <w:t>on the morning shift</w:t>
            </w:r>
          </w:p>
          <w:p w14:paraId="09701D12" w14:textId="77777777" w:rsidR="00B7017E" w:rsidRPr="00FC4D8B" w:rsidRDefault="00B7017E" w:rsidP="00B7017E">
            <w:pPr>
              <w:spacing w:after="0" w:line="240" w:lineRule="auto"/>
            </w:pPr>
            <w:r w:rsidRPr="00FC4D8B">
              <w:t>(i) one ICU liaison nurse for every 15 beds; and</w:t>
            </w:r>
          </w:p>
          <w:p w14:paraId="2D17E8F2" w14:textId="77777777" w:rsidR="00B7017E" w:rsidRPr="00FC4D8B" w:rsidRDefault="00B7017E" w:rsidP="00B7017E">
            <w:pPr>
              <w:spacing w:after="0" w:line="240" w:lineRule="auto"/>
            </w:pPr>
            <w:r w:rsidRPr="00FC4D8B">
              <w:t>(ii) one team leader for every 10 beds; and</w:t>
            </w:r>
          </w:p>
          <w:p w14:paraId="0950689B" w14:textId="77777777" w:rsidR="00B7017E" w:rsidRPr="00FC4D8B" w:rsidRDefault="00B7017E" w:rsidP="00B7017E">
            <w:pPr>
              <w:spacing w:after="0" w:line="240" w:lineRule="auto"/>
            </w:pPr>
            <w:r w:rsidRPr="00FC4D8B">
              <w:t>(iii) one nurse for each bed; and</w:t>
            </w:r>
          </w:p>
          <w:p w14:paraId="6CC9A9DE" w14:textId="77777777" w:rsidR="00B7017E" w:rsidRPr="002B62D7" w:rsidRDefault="00B7017E" w:rsidP="00B7017E">
            <w:pPr>
              <w:spacing w:after="0" w:line="240" w:lineRule="auto"/>
            </w:pPr>
            <w:r w:rsidRPr="00FC4D8B">
              <w:t>(iv) one nurse in charge</w:t>
            </w:r>
            <w:r>
              <w:t>.</w:t>
            </w:r>
          </w:p>
        </w:tc>
        <w:tc>
          <w:tcPr>
            <w:tcW w:w="0" w:type="auto"/>
            <w:vMerge w:val="restart"/>
            <w:vAlign w:val="center"/>
          </w:tcPr>
          <w:p w14:paraId="0F86A642" w14:textId="2E44727D" w:rsidR="00B7017E" w:rsidRPr="002B62D7" w:rsidRDefault="00B7017E" w:rsidP="00B7017E">
            <w:pPr>
              <w:spacing w:after="0" w:line="240" w:lineRule="auto"/>
            </w:pPr>
            <w:r w:rsidRPr="00924DEC">
              <w:t>25%</w:t>
            </w:r>
            <w:r>
              <w:t xml:space="preserve"> compliance with each </w:t>
            </w:r>
            <w:r w:rsidRPr="002906E7">
              <w:t xml:space="preserve">staffing </w:t>
            </w:r>
            <w:r>
              <w:t xml:space="preserve">component </w:t>
            </w:r>
          </w:p>
        </w:tc>
        <w:tc>
          <w:tcPr>
            <w:tcW w:w="0" w:type="auto"/>
            <w:vMerge w:val="restart"/>
            <w:vAlign w:val="center"/>
          </w:tcPr>
          <w:p w14:paraId="3BA4E826" w14:textId="12E8F643" w:rsidR="00B7017E" w:rsidRPr="002B62D7" w:rsidRDefault="00B7017E" w:rsidP="00B7017E">
            <w:pPr>
              <w:spacing w:after="0" w:line="240" w:lineRule="auto"/>
            </w:pPr>
            <w:r>
              <w:t>75</w:t>
            </w:r>
            <w:r w:rsidRPr="00900E89">
              <w:t>%</w:t>
            </w:r>
            <w:r>
              <w:t xml:space="preserve"> compliance with each </w:t>
            </w:r>
            <w:r w:rsidRPr="002906E7">
              <w:t xml:space="preserve">staffing </w:t>
            </w:r>
            <w:r>
              <w:t xml:space="preserve">component </w:t>
            </w:r>
          </w:p>
        </w:tc>
        <w:tc>
          <w:tcPr>
            <w:tcW w:w="0" w:type="auto"/>
            <w:vMerge w:val="restart"/>
            <w:vAlign w:val="center"/>
          </w:tcPr>
          <w:p w14:paraId="406AE028" w14:textId="0E3C1B72" w:rsidR="00B7017E" w:rsidRPr="002B62D7" w:rsidRDefault="00B7017E" w:rsidP="00B7017E">
            <w:pPr>
              <w:spacing w:after="0" w:line="240" w:lineRule="auto"/>
            </w:pPr>
            <w:r w:rsidRPr="00900E89">
              <w:t>100%</w:t>
            </w:r>
            <w:r>
              <w:t xml:space="preserve"> compliance with each </w:t>
            </w:r>
            <w:r w:rsidRPr="002906E7">
              <w:t xml:space="preserve">staffing </w:t>
            </w:r>
            <w:r>
              <w:t xml:space="preserve">component </w:t>
            </w:r>
          </w:p>
        </w:tc>
      </w:tr>
      <w:tr w:rsidR="00072EF4" w:rsidRPr="00770D46" w14:paraId="4D17326E" w14:textId="77777777" w:rsidTr="00AE17AC">
        <w:trPr>
          <w:trHeight w:val="50"/>
          <w:jc w:val="center"/>
        </w:trPr>
        <w:tc>
          <w:tcPr>
            <w:tcW w:w="0" w:type="auto"/>
            <w:shd w:val="clear" w:color="auto" w:fill="auto"/>
          </w:tcPr>
          <w:p w14:paraId="58FF9E2A" w14:textId="77777777" w:rsidR="00B7017E" w:rsidRDefault="00B7017E" w:rsidP="00B7017E">
            <w:pPr>
              <w:spacing w:after="0" w:line="240" w:lineRule="auto"/>
            </w:pPr>
            <w:r w:rsidRPr="00FC4D8B">
              <w:t xml:space="preserve">on the </w:t>
            </w:r>
            <w:r>
              <w:t xml:space="preserve">afternoon </w:t>
            </w:r>
            <w:r w:rsidRPr="00FC4D8B">
              <w:t>shift</w:t>
            </w:r>
          </w:p>
          <w:p w14:paraId="616397AF" w14:textId="77777777" w:rsidR="00B7017E" w:rsidRPr="00FC4D8B" w:rsidRDefault="00B7017E" w:rsidP="00B7017E">
            <w:pPr>
              <w:spacing w:after="0" w:line="240" w:lineRule="auto"/>
            </w:pPr>
            <w:r w:rsidRPr="00FC4D8B">
              <w:t>(i) one ICU liaison nurse for every 15 beds; and</w:t>
            </w:r>
          </w:p>
          <w:p w14:paraId="44BEFA07" w14:textId="77777777" w:rsidR="00B7017E" w:rsidRPr="00FC4D8B" w:rsidRDefault="00B7017E" w:rsidP="00B7017E">
            <w:pPr>
              <w:spacing w:after="0" w:line="240" w:lineRule="auto"/>
            </w:pPr>
            <w:r w:rsidRPr="00FC4D8B">
              <w:t>(ii) one team leader for every 10 beds; and</w:t>
            </w:r>
          </w:p>
          <w:p w14:paraId="6D8AB622" w14:textId="77777777" w:rsidR="00B7017E" w:rsidRPr="00FC4D8B" w:rsidRDefault="00B7017E" w:rsidP="00B7017E">
            <w:pPr>
              <w:spacing w:after="0" w:line="240" w:lineRule="auto"/>
            </w:pPr>
            <w:r w:rsidRPr="00FC4D8B">
              <w:t>(iii) one nurse for each bed; and</w:t>
            </w:r>
          </w:p>
          <w:p w14:paraId="7D7A1D26" w14:textId="77777777" w:rsidR="00B7017E" w:rsidRPr="002B62D7" w:rsidRDefault="00B7017E" w:rsidP="00B7017E">
            <w:pPr>
              <w:spacing w:after="0" w:line="240" w:lineRule="auto"/>
            </w:pPr>
            <w:r w:rsidRPr="00FC4D8B">
              <w:t>(iv) one nurse in charge</w:t>
            </w:r>
            <w:r>
              <w:t>.</w:t>
            </w:r>
          </w:p>
        </w:tc>
        <w:tc>
          <w:tcPr>
            <w:tcW w:w="0" w:type="auto"/>
            <w:vMerge/>
          </w:tcPr>
          <w:p w14:paraId="50BD4319" w14:textId="77777777" w:rsidR="00B7017E" w:rsidRPr="002B62D7" w:rsidRDefault="00B7017E" w:rsidP="00B7017E">
            <w:pPr>
              <w:spacing w:after="0" w:line="240" w:lineRule="auto"/>
            </w:pPr>
          </w:p>
        </w:tc>
        <w:tc>
          <w:tcPr>
            <w:tcW w:w="0" w:type="auto"/>
            <w:vMerge/>
          </w:tcPr>
          <w:p w14:paraId="07C3FF83" w14:textId="77777777" w:rsidR="00B7017E" w:rsidRPr="002B62D7" w:rsidRDefault="00B7017E" w:rsidP="00B7017E">
            <w:pPr>
              <w:spacing w:after="0" w:line="240" w:lineRule="auto"/>
            </w:pPr>
          </w:p>
        </w:tc>
        <w:tc>
          <w:tcPr>
            <w:tcW w:w="0" w:type="auto"/>
            <w:vMerge/>
          </w:tcPr>
          <w:p w14:paraId="052DE783" w14:textId="77777777" w:rsidR="00B7017E" w:rsidRPr="002B62D7" w:rsidRDefault="00B7017E" w:rsidP="00B7017E">
            <w:pPr>
              <w:spacing w:after="0" w:line="240" w:lineRule="auto"/>
            </w:pPr>
          </w:p>
        </w:tc>
      </w:tr>
      <w:tr w:rsidR="00072EF4" w:rsidRPr="00770D46" w14:paraId="38C01632" w14:textId="77777777" w:rsidTr="00AE17AC">
        <w:trPr>
          <w:trHeight w:val="50"/>
          <w:jc w:val="center"/>
        </w:trPr>
        <w:tc>
          <w:tcPr>
            <w:tcW w:w="0" w:type="auto"/>
            <w:shd w:val="clear" w:color="auto" w:fill="auto"/>
          </w:tcPr>
          <w:p w14:paraId="0DF67563" w14:textId="77777777" w:rsidR="00B7017E" w:rsidRPr="00400A52" w:rsidRDefault="00B7017E" w:rsidP="00B7017E">
            <w:pPr>
              <w:spacing w:after="0" w:line="240" w:lineRule="auto"/>
            </w:pPr>
            <w:r w:rsidRPr="00400A52">
              <w:t>on the night shif</w:t>
            </w:r>
            <w:r>
              <w:t>t</w:t>
            </w:r>
          </w:p>
          <w:p w14:paraId="43021F1F" w14:textId="77777777" w:rsidR="00B7017E" w:rsidRPr="00400A52" w:rsidRDefault="00B7017E" w:rsidP="00B7017E">
            <w:pPr>
              <w:spacing w:after="0" w:line="240" w:lineRule="auto"/>
            </w:pPr>
            <w:r w:rsidRPr="00400A52">
              <w:t>(i) one ICU liaison nurse for every 30 beds; and</w:t>
            </w:r>
          </w:p>
          <w:p w14:paraId="4370BF07" w14:textId="77777777" w:rsidR="00B7017E" w:rsidRPr="00400A52" w:rsidRDefault="00B7017E" w:rsidP="00B7017E">
            <w:pPr>
              <w:spacing w:after="0" w:line="240" w:lineRule="auto"/>
            </w:pPr>
            <w:r w:rsidRPr="00400A52">
              <w:t>(ii) one team leader for every 10 beds; and</w:t>
            </w:r>
          </w:p>
          <w:p w14:paraId="575D566B" w14:textId="77777777" w:rsidR="00B7017E" w:rsidRPr="00400A52" w:rsidRDefault="00B7017E" w:rsidP="00B7017E">
            <w:pPr>
              <w:spacing w:after="0" w:line="240" w:lineRule="auto"/>
            </w:pPr>
            <w:r w:rsidRPr="00400A52">
              <w:t>(iii) one nurse for each bed; and</w:t>
            </w:r>
          </w:p>
          <w:p w14:paraId="32C92FC6" w14:textId="77777777" w:rsidR="00B7017E" w:rsidRPr="002B62D7" w:rsidRDefault="00B7017E" w:rsidP="00B7017E">
            <w:pPr>
              <w:spacing w:after="0" w:line="240" w:lineRule="auto"/>
            </w:pPr>
            <w:r w:rsidRPr="00400A52">
              <w:t>(iv) one nurse in charge.</w:t>
            </w:r>
          </w:p>
        </w:tc>
        <w:tc>
          <w:tcPr>
            <w:tcW w:w="0" w:type="auto"/>
            <w:vMerge/>
          </w:tcPr>
          <w:p w14:paraId="6B3A7DCB" w14:textId="77777777" w:rsidR="00B7017E" w:rsidRPr="002B62D7" w:rsidRDefault="00B7017E" w:rsidP="00B7017E">
            <w:pPr>
              <w:spacing w:after="0" w:line="240" w:lineRule="auto"/>
            </w:pPr>
          </w:p>
        </w:tc>
        <w:tc>
          <w:tcPr>
            <w:tcW w:w="0" w:type="auto"/>
            <w:vMerge/>
          </w:tcPr>
          <w:p w14:paraId="3DF8BDCC" w14:textId="77777777" w:rsidR="00B7017E" w:rsidRPr="002B62D7" w:rsidRDefault="00B7017E" w:rsidP="00B7017E">
            <w:pPr>
              <w:spacing w:after="0" w:line="240" w:lineRule="auto"/>
            </w:pPr>
          </w:p>
        </w:tc>
        <w:tc>
          <w:tcPr>
            <w:tcW w:w="0" w:type="auto"/>
            <w:vMerge/>
          </w:tcPr>
          <w:p w14:paraId="0A960810" w14:textId="77777777" w:rsidR="00B7017E" w:rsidRPr="002B62D7" w:rsidRDefault="00B7017E" w:rsidP="00B7017E">
            <w:pPr>
              <w:spacing w:after="0" w:line="240" w:lineRule="auto"/>
            </w:pPr>
          </w:p>
        </w:tc>
      </w:tr>
      <w:tr w:rsidR="00B7017E" w14:paraId="3C7C9979" w14:textId="77777777" w:rsidTr="00AE17AC">
        <w:trPr>
          <w:trHeight w:val="70"/>
          <w:jc w:val="center"/>
        </w:trPr>
        <w:tc>
          <w:tcPr>
            <w:tcW w:w="0" w:type="auto"/>
            <w:gridSpan w:val="4"/>
            <w:shd w:val="clear" w:color="auto" w:fill="808080" w:themeFill="background1" w:themeFillShade="80"/>
          </w:tcPr>
          <w:p w14:paraId="3C204179" w14:textId="5FA2549A" w:rsidR="00B7017E" w:rsidRPr="002B62D7" w:rsidRDefault="00B7017E" w:rsidP="00B7017E">
            <w:pPr>
              <w:spacing w:after="0" w:line="240" w:lineRule="auto"/>
              <w:rPr>
                <w:color w:val="FFFFFF" w:themeColor="background1"/>
              </w:rPr>
            </w:pPr>
            <w:r w:rsidRPr="002B62D7">
              <w:rPr>
                <w:color w:val="FFFFFF" w:themeColor="background1"/>
              </w:rPr>
              <w:t xml:space="preserve">Amendment </w:t>
            </w:r>
            <w:r>
              <w:rPr>
                <w:color w:val="FFFFFF" w:themeColor="background1"/>
              </w:rPr>
              <w:t>Bill</w:t>
            </w:r>
            <w:r w:rsidRPr="002B62D7">
              <w:rPr>
                <w:color w:val="FFFFFF" w:themeColor="background1"/>
              </w:rPr>
              <w:t xml:space="preserve"> 2025 - Schedule 1, Level 2 hospitals - 20B Intensive care units</w:t>
            </w:r>
          </w:p>
        </w:tc>
      </w:tr>
      <w:tr w:rsidR="00072EF4" w14:paraId="0D7890D8" w14:textId="77777777" w:rsidTr="00AE17AC">
        <w:trPr>
          <w:trHeight w:val="50"/>
          <w:jc w:val="center"/>
        </w:trPr>
        <w:tc>
          <w:tcPr>
            <w:tcW w:w="0" w:type="auto"/>
            <w:shd w:val="clear" w:color="auto" w:fill="auto"/>
          </w:tcPr>
          <w:p w14:paraId="13187A9F" w14:textId="77777777" w:rsidR="00B7017E" w:rsidRPr="002B62D7" w:rsidRDefault="00B7017E" w:rsidP="00B7017E">
            <w:pPr>
              <w:spacing w:after="0" w:line="240" w:lineRule="auto"/>
            </w:pPr>
            <w:r w:rsidRPr="002B62D7">
              <w:t>on the morning shift</w:t>
            </w:r>
          </w:p>
          <w:p w14:paraId="2D24DA10" w14:textId="77777777" w:rsidR="00B7017E" w:rsidRPr="002B62D7" w:rsidRDefault="00B7017E" w:rsidP="00B7017E">
            <w:pPr>
              <w:spacing w:after="0" w:line="240" w:lineRule="auto"/>
            </w:pPr>
            <w:r w:rsidRPr="002B62D7">
              <w:t>(i) one ICU liaison nurse; and</w:t>
            </w:r>
          </w:p>
          <w:p w14:paraId="79CE6968" w14:textId="77777777" w:rsidR="00B7017E" w:rsidRPr="002B62D7" w:rsidRDefault="00B7017E" w:rsidP="00B7017E">
            <w:pPr>
              <w:spacing w:after="0" w:line="240" w:lineRule="auto"/>
            </w:pPr>
            <w:r w:rsidRPr="002B62D7">
              <w:t>(ii) one team leader for every 12 beds; and</w:t>
            </w:r>
          </w:p>
          <w:p w14:paraId="7EAEB390" w14:textId="77777777" w:rsidR="00B7017E" w:rsidRPr="002B62D7" w:rsidRDefault="00B7017E" w:rsidP="00B7017E">
            <w:pPr>
              <w:spacing w:after="0" w:line="240" w:lineRule="auto"/>
            </w:pPr>
            <w:r w:rsidRPr="002B62D7">
              <w:t>(iii) one nurse for each bed; and</w:t>
            </w:r>
          </w:p>
          <w:p w14:paraId="0F2B9406" w14:textId="77777777" w:rsidR="00B7017E" w:rsidRPr="002B62D7" w:rsidRDefault="00B7017E" w:rsidP="00B7017E">
            <w:pPr>
              <w:spacing w:after="0" w:line="240" w:lineRule="auto"/>
            </w:pPr>
            <w:r w:rsidRPr="002B62D7">
              <w:t>(iv) one nurse in charge</w:t>
            </w:r>
            <w:r>
              <w:t>.</w:t>
            </w:r>
          </w:p>
        </w:tc>
        <w:tc>
          <w:tcPr>
            <w:tcW w:w="0" w:type="auto"/>
            <w:vMerge w:val="restart"/>
            <w:shd w:val="clear" w:color="auto" w:fill="auto"/>
            <w:vAlign w:val="center"/>
          </w:tcPr>
          <w:p w14:paraId="15DA75A3" w14:textId="32F5933F" w:rsidR="00B7017E" w:rsidRPr="002B62D7" w:rsidRDefault="00B7017E" w:rsidP="00B7017E">
            <w:pPr>
              <w:spacing w:after="0" w:line="240" w:lineRule="auto"/>
            </w:pPr>
            <w:r w:rsidRPr="00924DEC">
              <w:t>25%</w:t>
            </w:r>
            <w:r>
              <w:t xml:space="preserve"> compliance with each </w:t>
            </w:r>
            <w:r w:rsidRPr="002906E7">
              <w:t xml:space="preserve">staffing </w:t>
            </w:r>
            <w:r>
              <w:t xml:space="preserve">component </w:t>
            </w:r>
          </w:p>
        </w:tc>
        <w:tc>
          <w:tcPr>
            <w:tcW w:w="0" w:type="auto"/>
            <w:vMerge w:val="restart"/>
            <w:shd w:val="clear" w:color="auto" w:fill="auto"/>
            <w:vAlign w:val="center"/>
          </w:tcPr>
          <w:p w14:paraId="78DF9E51" w14:textId="121E9F85" w:rsidR="00B7017E" w:rsidRPr="002B62D7" w:rsidRDefault="00B7017E" w:rsidP="00B7017E">
            <w:pPr>
              <w:spacing w:after="0" w:line="240" w:lineRule="auto"/>
            </w:pPr>
            <w:r>
              <w:t>75</w:t>
            </w:r>
            <w:r w:rsidRPr="00900E89">
              <w:t>%</w:t>
            </w:r>
            <w:r>
              <w:t xml:space="preserve"> compliance with each </w:t>
            </w:r>
            <w:r w:rsidRPr="002906E7">
              <w:t xml:space="preserve">staffing </w:t>
            </w:r>
            <w:r>
              <w:t xml:space="preserve">component </w:t>
            </w:r>
          </w:p>
        </w:tc>
        <w:tc>
          <w:tcPr>
            <w:tcW w:w="0" w:type="auto"/>
            <w:vMerge w:val="restart"/>
            <w:shd w:val="clear" w:color="auto" w:fill="auto"/>
            <w:vAlign w:val="center"/>
          </w:tcPr>
          <w:p w14:paraId="35C97ACB" w14:textId="3BDA7DAB" w:rsidR="00B7017E" w:rsidRPr="002B62D7" w:rsidRDefault="00B7017E" w:rsidP="00B7017E">
            <w:pPr>
              <w:spacing w:after="0" w:line="240" w:lineRule="auto"/>
            </w:pPr>
            <w:r w:rsidRPr="00900E89">
              <w:t>100%</w:t>
            </w:r>
            <w:r>
              <w:t xml:space="preserve"> compliance with each </w:t>
            </w:r>
            <w:r w:rsidRPr="002906E7">
              <w:t xml:space="preserve">staffing </w:t>
            </w:r>
            <w:r>
              <w:t xml:space="preserve">component </w:t>
            </w:r>
          </w:p>
        </w:tc>
      </w:tr>
      <w:tr w:rsidR="00072EF4" w14:paraId="5AB345DF" w14:textId="77777777" w:rsidTr="00AE17AC">
        <w:trPr>
          <w:trHeight w:val="50"/>
          <w:jc w:val="center"/>
        </w:trPr>
        <w:tc>
          <w:tcPr>
            <w:tcW w:w="0" w:type="auto"/>
            <w:shd w:val="clear" w:color="auto" w:fill="auto"/>
          </w:tcPr>
          <w:p w14:paraId="655972CD" w14:textId="77777777" w:rsidR="00B7017E" w:rsidRPr="002B62D7" w:rsidRDefault="00B7017E" w:rsidP="00B7017E">
            <w:pPr>
              <w:spacing w:after="0" w:line="240" w:lineRule="auto"/>
            </w:pPr>
            <w:r w:rsidRPr="002B62D7">
              <w:t>the afternoon shift</w:t>
            </w:r>
          </w:p>
          <w:p w14:paraId="3396157D" w14:textId="77777777" w:rsidR="00B7017E" w:rsidRPr="002B62D7" w:rsidRDefault="00B7017E" w:rsidP="00B7017E">
            <w:pPr>
              <w:spacing w:after="0" w:line="240" w:lineRule="auto"/>
            </w:pPr>
            <w:r w:rsidRPr="002B62D7">
              <w:t>(i) one ICU liaison nurse; and</w:t>
            </w:r>
          </w:p>
          <w:p w14:paraId="1FC32F48" w14:textId="77777777" w:rsidR="00B7017E" w:rsidRPr="002B62D7" w:rsidRDefault="00B7017E" w:rsidP="00B7017E">
            <w:pPr>
              <w:spacing w:after="0" w:line="240" w:lineRule="auto"/>
            </w:pPr>
            <w:r w:rsidRPr="002B62D7">
              <w:t>(ii) one team leader for every 12 beds; and</w:t>
            </w:r>
          </w:p>
          <w:p w14:paraId="1DF9B2F4" w14:textId="77777777" w:rsidR="00B7017E" w:rsidRPr="002B62D7" w:rsidRDefault="00B7017E" w:rsidP="00B7017E">
            <w:pPr>
              <w:spacing w:after="0" w:line="240" w:lineRule="auto"/>
            </w:pPr>
            <w:r w:rsidRPr="002B62D7">
              <w:t>(iii) one nurse for each bed; and</w:t>
            </w:r>
          </w:p>
          <w:p w14:paraId="0F52ED4C" w14:textId="77777777" w:rsidR="00B7017E" w:rsidRPr="002B62D7" w:rsidRDefault="00B7017E" w:rsidP="00B7017E">
            <w:pPr>
              <w:spacing w:after="0" w:line="240" w:lineRule="auto"/>
            </w:pPr>
            <w:r w:rsidRPr="002B62D7">
              <w:t>(iv) one nurse in charge</w:t>
            </w:r>
            <w:r>
              <w:t>.</w:t>
            </w:r>
          </w:p>
        </w:tc>
        <w:tc>
          <w:tcPr>
            <w:tcW w:w="0" w:type="auto"/>
            <w:vMerge/>
          </w:tcPr>
          <w:p w14:paraId="7B6627FD" w14:textId="77777777" w:rsidR="00B7017E" w:rsidRPr="002B62D7" w:rsidRDefault="00B7017E" w:rsidP="00B7017E">
            <w:pPr>
              <w:spacing w:after="0" w:line="240" w:lineRule="auto"/>
            </w:pPr>
          </w:p>
        </w:tc>
        <w:tc>
          <w:tcPr>
            <w:tcW w:w="0" w:type="auto"/>
            <w:vMerge/>
          </w:tcPr>
          <w:p w14:paraId="19191BA2" w14:textId="77777777" w:rsidR="00B7017E" w:rsidRPr="002B62D7" w:rsidRDefault="00B7017E" w:rsidP="00B7017E">
            <w:pPr>
              <w:spacing w:after="0" w:line="240" w:lineRule="auto"/>
            </w:pPr>
          </w:p>
        </w:tc>
        <w:tc>
          <w:tcPr>
            <w:tcW w:w="0" w:type="auto"/>
            <w:vMerge/>
          </w:tcPr>
          <w:p w14:paraId="7345E01A" w14:textId="77777777" w:rsidR="00B7017E" w:rsidRPr="002B62D7" w:rsidRDefault="00B7017E" w:rsidP="00B7017E">
            <w:pPr>
              <w:spacing w:after="0" w:line="240" w:lineRule="auto"/>
            </w:pPr>
          </w:p>
        </w:tc>
      </w:tr>
      <w:tr w:rsidR="00072EF4" w14:paraId="59C016F4" w14:textId="77777777" w:rsidTr="00AE17AC">
        <w:trPr>
          <w:trHeight w:val="50"/>
          <w:jc w:val="center"/>
        </w:trPr>
        <w:tc>
          <w:tcPr>
            <w:tcW w:w="0" w:type="auto"/>
            <w:shd w:val="clear" w:color="auto" w:fill="auto"/>
          </w:tcPr>
          <w:p w14:paraId="2A8C62BD" w14:textId="77777777" w:rsidR="00B7017E" w:rsidRPr="002B62D7" w:rsidRDefault="00B7017E" w:rsidP="00B7017E">
            <w:pPr>
              <w:spacing w:after="0" w:line="240" w:lineRule="auto"/>
            </w:pPr>
            <w:r w:rsidRPr="002B62D7">
              <w:t>on the night shift</w:t>
            </w:r>
          </w:p>
          <w:p w14:paraId="66B4C79F" w14:textId="77777777" w:rsidR="00B7017E" w:rsidRPr="002B62D7" w:rsidRDefault="00B7017E" w:rsidP="00B7017E">
            <w:pPr>
              <w:spacing w:after="0" w:line="240" w:lineRule="auto"/>
            </w:pPr>
            <w:r w:rsidRPr="002B62D7">
              <w:lastRenderedPageBreak/>
              <w:t>(i) one team leader; and</w:t>
            </w:r>
          </w:p>
          <w:p w14:paraId="405B0C3B" w14:textId="77777777" w:rsidR="00B7017E" w:rsidRPr="002B62D7" w:rsidRDefault="00B7017E" w:rsidP="00B7017E">
            <w:pPr>
              <w:spacing w:after="0" w:line="240" w:lineRule="auto"/>
            </w:pPr>
            <w:r w:rsidRPr="002B62D7">
              <w:t>(ii) one nurse for each bed; and</w:t>
            </w:r>
          </w:p>
          <w:p w14:paraId="7FF11BBB" w14:textId="77777777" w:rsidR="00B7017E" w:rsidRPr="002B62D7" w:rsidRDefault="00B7017E" w:rsidP="00B7017E">
            <w:pPr>
              <w:spacing w:after="0" w:line="240" w:lineRule="auto"/>
            </w:pPr>
            <w:r w:rsidRPr="002B62D7">
              <w:t>(iii) one nurse in charge.</w:t>
            </w:r>
          </w:p>
        </w:tc>
        <w:tc>
          <w:tcPr>
            <w:tcW w:w="0" w:type="auto"/>
            <w:vMerge/>
          </w:tcPr>
          <w:p w14:paraId="5FC1CF24" w14:textId="77777777" w:rsidR="00B7017E" w:rsidRPr="002B62D7" w:rsidRDefault="00B7017E" w:rsidP="00B7017E">
            <w:pPr>
              <w:spacing w:after="0" w:line="240" w:lineRule="auto"/>
            </w:pPr>
          </w:p>
        </w:tc>
        <w:tc>
          <w:tcPr>
            <w:tcW w:w="0" w:type="auto"/>
            <w:vMerge/>
          </w:tcPr>
          <w:p w14:paraId="29347BCF" w14:textId="77777777" w:rsidR="00B7017E" w:rsidRPr="002B62D7" w:rsidRDefault="00B7017E" w:rsidP="00B7017E">
            <w:pPr>
              <w:spacing w:after="0" w:line="240" w:lineRule="auto"/>
            </w:pPr>
          </w:p>
        </w:tc>
        <w:tc>
          <w:tcPr>
            <w:tcW w:w="0" w:type="auto"/>
            <w:vMerge/>
          </w:tcPr>
          <w:p w14:paraId="5D7E84F8" w14:textId="77777777" w:rsidR="00B7017E" w:rsidRPr="002B62D7" w:rsidRDefault="00B7017E" w:rsidP="00B7017E">
            <w:pPr>
              <w:spacing w:after="0" w:line="240" w:lineRule="auto"/>
            </w:pPr>
          </w:p>
        </w:tc>
      </w:tr>
      <w:tr w:rsidR="00B7017E" w14:paraId="03C9E944" w14:textId="77777777" w:rsidTr="00AE17AC">
        <w:trPr>
          <w:trHeight w:val="50"/>
          <w:jc w:val="center"/>
        </w:trPr>
        <w:tc>
          <w:tcPr>
            <w:tcW w:w="0" w:type="auto"/>
            <w:gridSpan w:val="4"/>
            <w:shd w:val="clear" w:color="auto" w:fill="808080" w:themeFill="background1" w:themeFillShade="80"/>
          </w:tcPr>
          <w:p w14:paraId="393D67F5" w14:textId="6EFFADF5" w:rsidR="003642E0" w:rsidRPr="008A03C6" w:rsidRDefault="00B7017E" w:rsidP="00B7017E">
            <w:pPr>
              <w:spacing w:after="0" w:line="240" w:lineRule="auto"/>
              <w:rPr>
                <w:color w:val="FFFFFF" w:themeColor="background1"/>
              </w:rPr>
            </w:pPr>
            <w:r w:rsidRPr="002B62D7">
              <w:rPr>
                <w:color w:val="FFFFFF" w:themeColor="background1"/>
              </w:rPr>
              <w:t xml:space="preserve">Amendment </w:t>
            </w:r>
            <w:r>
              <w:rPr>
                <w:color w:val="FFFFFF" w:themeColor="background1"/>
              </w:rPr>
              <w:t>Bill</w:t>
            </w:r>
            <w:r w:rsidRPr="002B62D7">
              <w:rPr>
                <w:color w:val="FFFFFF" w:themeColor="background1"/>
              </w:rPr>
              <w:t xml:space="preserve"> 2025 - Section 21 (b) (ii) Coronary care units</w:t>
            </w:r>
          </w:p>
        </w:tc>
      </w:tr>
      <w:tr w:rsidR="00072EF4" w14:paraId="65964A3C" w14:textId="77777777" w:rsidTr="00AE17AC">
        <w:trPr>
          <w:trHeight w:val="50"/>
          <w:jc w:val="center"/>
        </w:trPr>
        <w:tc>
          <w:tcPr>
            <w:tcW w:w="0" w:type="auto"/>
            <w:shd w:val="clear" w:color="auto" w:fill="auto"/>
          </w:tcPr>
          <w:p w14:paraId="74067F36" w14:textId="77777777" w:rsidR="00B7017E" w:rsidRDefault="00B7017E" w:rsidP="00B7017E">
            <w:pPr>
              <w:spacing w:after="0" w:line="240" w:lineRule="auto"/>
            </w:pPr>
            <w:r>
              <w:t>on the night shift—</w:t>
            </w:r>
          </w:p>
          <w:p w14:paraId="384B2C95" w14:textId="77777777" w:rsidR="00B7017E" w:rsidRPr="002B62D7" w:rsidRDefault="00B7017E" w:rsidP="00B7017E">
            <w:pPr>
              <w:spacing w:after="0" w:line="240" w:lineRule="auto"/>
            </w:pPr>
            <w:r w:rsidRPr="002B62D7">
              <w:t>(ii) subject to subsection (2), one nurse in charge.</w:t>
            </w:r>
          </w:p>
        </w:tc>
        <w:tc>
          <w:tcPr>
            <w:tcW w:w="0" w:type="auto"/>
            <w:shd w:val="clear" w:color="auto" w:fill="auto"/>
            <w:vAlign w:val="center"/>
          </w:tcPr>
          <w:p w14:paraId="36FA349C" w14:textId="7BA593EE" w:rsidR="00B7017E" w:rsidRPr="002B62D7" w:rsidRDefault="00B7017E" w:rsidP="00B7017E">
            <w:pPr>
              <w:spacing w:after="0" w:line="240" w:lineRule="auto"/>
            </w:pPr>
            <w:r w:rsidRPr="00924DEC">
              <w:t>25%</w:t>
            </w:r>
            <w:r>
              <w:t xml:space="preserve"> compliance </w:t>
            </w:r>
          </w:p>
        </w:tc>
        <w:tc>
          <w:tcPr>
            <w:tcW w:w="0" w:type="auto"/>
            <w:shd w:val="clear" w:color="auto" w:fill="auto"/>
            <w:vAlign w:val="center"/>
          </w:tcPr>
          <w:p w14:paraId="37C10E67" w14:textId="010F2F12" w:rsidR="00B7017E" w:rsidRPr="002B62D7" w:rsidRDefault="00B7017E" w:rsidP="00B7017E">
            <w:pPr>
              <w:spacing w:after="0" w:line="240" w:lineRule="auto"/>
            </w:pPr>
            <w:r>
              <w:t>75</w:t>
            </w:r>
            <w:r w:rsidRPr="00900E89">
              <w:t>%</w:t>
            </w:r>
            <w:r>
              <w:t xml:space="preserve"> compliance </w:t>
            </w:r>
          </w:p>
        </w:tc>
        <w:tc>
          <w:tcPr>
            <w:tcW w:w="0" w:type="auto"/>
            <w:shd w:val="clear" w:color="auto" w:fill="auto"/>
            <w:vAlign w:val="center"/>
          </w:tcPr>
          <w:p w14:paraId="04525512" w14:textId="5F43D816" w:rsidR="00B7017E" w:rsidRPr="002B62D7" w:rsidRDefault="00B7017E" w:rsidP="00B7017E">
            <w:pPr>
              <w:spacing w:after="0" w:line="240" w:lineRule="auto"/>
            </w:pPr>
            <w:r w:rsidRPr="00900E89">
              <w:t>100%</w:t>
            </w:r>
            <w:r>
              <w:t xml:space="preserve"> compliance </w:t>
            </w:r>
          </w:p>
        </w:tc>
      </w:tr>
      <w:tr w:rsidR="00B7017E" w14:paraId="21100C51" w14:textId="77777777" w:rsidTr="00AE17AC">
        <w:trPr>
          <w:trHeight w:val="70"/>
          <w:jc w:val="center"/>
        </w:trPr>
        <w:tc>
          <w:tcPr>
            <w:tcW w:w="0" w:type="auto"/>
            <w:gridSpan w:val="4"/>
            <w:shd w:val="clear" w:color="auto" w:fill="808080" w:themeFill="background1" w:themeFillShade="80"/>
          </w:tcPr>
          <w:p w14:paraId="51AAD090" w14:textId="4EE1A875" w:rsidR="00B7017E" w:rsidRPr="002B62D7" w:rsidRDefault="00B7017E" w:rsidP="00B7017E">
            <w:pPr>
              <w:spacing w:after="0" w:line="240" w:lineRule="auto"/>
              <w:rPr>
                <w:color w:val="FFFFFF" w:themeColor="background1"/>
              </w:rPr>
            </w:pPr>
            <w:r w:rsidRPr="002B62D7">
              <w:rPr>
                <w:color w:val="FFFFFF" w:themeColor="background1"/>
              </w:rPr>
              <w:t xml:space="preserve">Amendment </w:t>
            </w:r>
            <w:r>
              <w:rPr>
                <w:color w:val="FFFFFF" w:themeColor="background1"/>
              </w:rPr>
              <w:t>Bill</w:t>
            </w:r>
            <w:r w:rsidRPr="002B62D7">
              <w:rPr>
                <w:color w:val="FFFFFF" w:themeColor="background1"/>
              </w:rPr>
              <w:t xml:space="preserve"> 2025 – Section 22 (1) (b) High dependency units</w:t>
            </w:r>
            <w:r w:rsidR="00245B09">
              <w:rPr>
                <w:color w:val="FFFFFF" w:themeColor="background1"/>
              </w:rPr>
              <w:t xml:space="preserve"> </w:t>
            </w:r>
            <w:r w:rsidR="00E071CC">
              <w:rPr>
                <w:color w:val="FFFFFF" w:themeColor="background1"/>
              </w:rPr>
              <w:t xml:space="preserve"> (standalone only)</w:t>
            </w:r>
          </w:p>
        </w:tc>
      </w:tr>
      <w:tr w:rsidR="00072EF4" w14:paraId="681007BA" w14:textId="77777777" w:rsidTr="00AE17AC">
        <w:trPr>
          <w:trHeight w:val="70"/>
          <w:jc w:val="center"/>
        </w:trPr>
        <w:tc>
          <w:tcPr>
            <w:tcW w:w="0" w:type="auto"/>
          </w:tcPr>
          <w:p w14:paraId="7FB53765" w14:textId="2B07367A" w:rsidR="00B7017E" w:rsidRPr="009A12AB" w:rsidRDefault="00B7017E" w:rsidP="00B7017E">
            <w:pPr>
              <w:spacing w:after="0" w:line="240" w:lineRule="auto"/>
              <w:rPr>
                <w:lang w:eastAsia="en-AU"/>
              </w:rPr>
            </w:pPr>
            <w:r w:rsidRPr="00456862">
              <w:rPr>
                <w:lang w:eastAsia="en-AU"/>
              </w:rPr>
              <w:t>The operator of a level 1 hospital</w:t>
            </w:r>
            <w:r>
              <w:rPr>
                <w:lang w:eastAsia="en-AU"/>
              </w:rPr>
              <w:t xml:space="preserve"> </w:t>
            </w:r>
            <w:r w:rsidRPr="009A12AB">
              <w:rPr>
                <w:lang w:eastAsia="en-AU"/>
              </w:rPr>
              <w:t>on the night shift—</w:t>
            </w:r>
          </w:p>
          <w:p w14:paraId="661B11D4" w14:textId="77777777" w:rsidR="00B7017E" w:rsidRDefault="00B7017E" w:rsidP="00B7017E">
            <w:pPr>
              <w:spacing w:after="0" w:line="240" w:lineRule="auto"/>
            </w:pPr>
            <w:r w:rsidRPr="009A12AB">
              <w:t>(ii) subject to subsection (1A), one nurse in charge unless the unit is co-located with an intensive care unit.</w:t>
            </w:r>
          </w:p>
        </w:tc>
        <w:tc>
          <w:tcPr>
            <w:tcW w:w="0" w:type="auto"/>
            <w:vAlign w:val="center"/>
          </w:tcPr>
          <w:p w14:paraId="3787E0D6" w14:textId="4D996A1B" w:rsidR="00B7017E" w:rsidRPr="00924DEC" w:rsidRDefault="00B7017E" w:rsidP="00B7017E">
            <w:pPr>
              <w:spacing w:after="0" w:line="240" w:lineRule="auto"/>
            </w:pPr>
            <w:r w:rsidRPr="00924DEC">
              <w:t>25%</w:t>
            </w:r>
            <w:r>
              <w:t xml:space="preserve"> compliance </w:t>
            </w:r>
          </w:p>
        </w:tc>
        <w:tc>
          <w:tcPr>
            <w:tcW w:w="0" w:type="auto"/>
            <w:vAlign w:val="center"/>
          </w:tcPr>
          <w:p w14:paraId="72C93E04" w14:textId="3115CCA5" w:rsidR="00B7017E" w:rsidRPr="00900E89" w:rsidRDefault="00B7017E" w:rsidP="00B7017E">
            <w:pPr>
              <w:spacing w:after="0" w:line="240" w:lineRule="auto"/>
            </w:pPr>
            <w:r>
              <w:t>75</w:t>
            </w:r>
            <w:r w:rsidRPr="00900E89">
              <w:t>%</w:t>
            </w:r>
            <w:r>
              <w:t xml:space="preserve"> compliance </w:t>
            </w:r>
          </w:p>
        </w:tc>
        <w:tc>
          <w:tcPr>
            <w:tcW w:w="0" w:type="auto"/>
            <w:vAlign w:val="center"/>
          </w:tcPr>
          <w:p w14:paraId="2D5D1C36" w14:textId="52DECBB9" w:rsidR="00B7017E" w:rsidRPr="00900E89" w:rsidRDefault="00B7017E" w:rsidP="00B7017E">
            <w:pPr>
              <w:spacing w:after="0" w:line="240" w:lineRule="auto"/>
            </w:pPr>
            <w:r w:rsidRPr="00900E89">
              <w:t>100%</w:t>
            </w:r>
            <w:r>
              <w:t xml:space="preserve"> compliance </w:t>
            </w:r>
          </w:p>
        </w:tc>
      </w:tr>
      <w:tr w:rsidR="00B7017E" w14:paraId="47C21A72" w14:textId="77777777" w:rsidTr="00AE17AC">
        <w:trPr>
          <w:trHeight w:val="128"/>
          <w:jc w:val="center"/>
        </w:trPr>
        <w:tc>
          <w:tcPr>
            <w:tcW w:w="0" w:type="auto"/>
            <w:gridSpan w:val="4"/>
            <w:shd w:val="clear" w:color="auto" w:fill="808080" w:themeFill="background1" w:themeFillShade="80"/>
          </w:tcPr>
          <w:p w14:paraId="4A0548AE" w14:textId="7C724C2A" w:rsidR="00B7017E" w:rsidRPr="002B62D7" w:rsidRDefault="00B7017E" w:rsidP="00B7017E">
            <w:pPr>
              <w:spacing w:after="0" w:line="240" w:lineRule="auto"/>
              <w:rPr>
                <w:color w:val="FFFFFF" w:themeColor="background1"/>
              </w:rPr>
            </w:pPr>
            <w:r w:rsidRPr="002B62D7">
              <w:rPr>
                <w:color w:val="FFFFFF" w:themeColor="background1"/>
              </w:rPr>
              <w:t xml:space="preserve">Amendment </w:t>
            </w:r>
            <w:r>
              <w:rPr>
                <w:color w:val="FFFFFF" w:themeColor="background1"/>
              </w:rPr>
              <w:t>Bill</w:t>
            </w:r>
            <w:r w:rsidRPr="002B62D7">
              <w:rPr>
                <w:color w:val="FFFFFF" w:themeColor="background1"/>
              </w:rPr>
              <w:t xml:space="preserve"> 2025 – Section 30A, *as listed in the Regulations</w:t>
            </w:r>
          </w:p>
        </w:tc>
      </w:tr>
      <w:tr w:rsidR="00072EF4" w14:paraId="3A611911" w14:textId="77777777" w:rsidTr="00AE17AC">
        <w:trPr>
          <w:trHeight w:val="128"/>
          <w:jc w:val="center"/>
        </w:trPr>
        <w:tc>
          <w:tcPr>
            <w:tcW w:w="0" w:type="auto"/>
          </w:tcPr>
          <w:p w14:paraId="7C7D5C14" w14:textId="77777777" w:rsidR="00B7017E" w:rsidRDefault="00B7017E" w:rsidP="00B7017E">
            <w:pPr>
              <w:spacing w:after="0" w:line="240" w:lineRule="auto"/>
            </w:pPr>
            <w:r w:rsidRPr="009A12AB">
              <w:t>the operator of a prescribed hospital</w:t>
            </w:r>
            <w:r>
              <w:t xml:space="preserve">* </w:t>
            </w:r>
            <w:r w:rsidRPr="009A12AB">
              <w:t>must staff an antenatal ward on the night shift with one midwife for every 4 patients.</w:t>
            </w:r>
          </w:p>
        </w:tc>
        <w:tc>
          <w:tcPr>
            <w:tcW w:w="0" w:type="auto"/>
            <w:vAlign w:val="center"/>
          </w:tcPr>
          <w:p w14:paraId="70427535" w14:textId="09D35E5B" w:rsidR="00B7017E" w:rsidRDefault="00B7017E" w:rsidP="00B7017E">
            <w:pPr>
              <w:spacing w:after="0" w:line="240" w:lineRule="auto"/>
            </w:pPr>
            <w:r w:rsidRPr="00924DEC">
              <w:t>25%</w:t>
            </w:r>
            <w:r>
              <w:t xml:space="preserve"> compliance </w:t>
            </w:r>
          </w:p>
        </w:tc>
        <w:tc>
          <w:tcPr>
            <w:tcW w:w="0" w:type="auto"/>
            <w:vAlign w:val="center"/>
          </w:tcPr>
          <w:p w14:paraId="40975B87" w14:textId="42DF1253" w:rsidR="00B7017E" w:rsidRDefault="00B7017E" w:rsidP="00B7017E">
            <w:pPr>
              <w:spacing w:after="0" w:line="240" w:lineRule="auto"/>
            </w:pPr>
            <w:r>
              <w:t>75</w:t>
            </w:r>
            <w:r w:rsidRPr="00900E89">
              <w:t>%</w:t>
            </w:r>
            <w:r>
              <w:t xml:space="preserve"> compliance </w:t>
            </w:r>
          </w:p>
        </w:tc>
        <w:tc>
          <w:tcPr>
            <w:tcW w:w="0" w:type="auto"/>
            <w:vAlign w:val="center"/>
          </w:tcPr>
          <w:p w14:paraId="099F2BD4" w14:textId="74C75CCB" w:rsidR="00B7017E" w:rsidRDefault="00B7017E" w:rsidP="00B7017E">
            <w:pPr>
              <w:spacing w:after="0" w:line="240" w:lineRule="auto"/>
            </w:pPr>
            <w:r w:rsidRPr="00900E89">
              <w:t>100%</w:t>
            </w:r>
            <w:r>
              <w:t xml:space="preserve"> compliance </w:t>
            </w:r>
          </w:p>
        </w:tc>
      </w:tr>
      <w:tr w:rsidR="00B7017E" w14:paraId="6330B481" w14:textId="77777777" w:rsidTr="00AE17AC">
        <w:trPr>
          <w:trHeight w:val="128"/>
          <w:jc w:val="center"/>
        </w:trPr>
        <w:tc>
          <w:tcPr>
            <w:tcW w:w="0" w:type="auto"/>
            <w:gridSpan w:val="4"/>
            <w:shd w:val="clear" w:color="auto" w:fill="808080" w:themeFill="background1" w:themeFillShade="80"/>
          </w:tcPr>
          <w:p w14:paraId="3A0B6BBB" w14:textId="47E0F40C" w:rsidR="00B7017E" w:rsidRPr="002B62D7" w:rsidRDefault="00B7017E" w:rsidP="00B7017E">
            <w:pPr>
              <w:spacing w:after="0" w:line="240" w:lineRule="auto"/>
              <w:rPr>
                <w:color w:val="FFFFFF" w:themeColor="background1"/>
              </w:rPr>
            </w:pPr>
            <w:r w:rsidRPr="002B62D7">
              <w:rPr>
                <w:color w:val="FFFFFF" w:themeColor="background1"/>
              </w:rPr>
              <w:t xml:space="preserve">Amendment </w:t>
            </w:r>
            <w:r>
              <w:rPr>
                <w:color w:val="FFFFFF" w:themeColor="background1"/>
              </w:rPr>
              <w:t>Bill</w:t>
            </w:r>
            <w:r w:rsidRPr="002B62D7">
              <w:rPr>
                <w:color w:val="FFFFFF" w:themeColor="background1"/>
              </w:rPr>
              <w:t xml:space="preserve"> 2025 – Section 31B, *as listed in the Regulations</w:t>
            </w:r>
          </w:p>
        </w:tc>
      </w:tr>
      <w:tr w:rsidR="00072EF4" w14:paraId="2F702C21" w14:textId="77777777" w:rsidTr="00AE17AC">
        <w:trPr>
          <w:trHeight w:val="128"/>
          <w:jc w:val="center"/>
        </w:trPr>
        <w:tc>
          <w:tcPr>
            <w:tcW w:w="0" w:type="auto"/>
          </w:tcPr>
          <w:p w14:paraId="5E89B551" w14:textId="4C27489E" w:rsidR="00B7017E" w:rsidRPr="0017365C" w:rsidRDefault="00B7017E" w:rsidP="00B7017E">
            <w:pPr>
              <w:spacing w:after="0" w:line="240" w:lineRule="auto"/>
            </w:pPr>
            <w:r>
              <w:t>t</w:t>
            </w:r>
            <w:r w:rsidRPr="00387022">
              <w:t>he operator of a</w:t>
            </w:r>
            <w:r>
              <w:t xml:space="preserve"> prescribed</w:t>
            </w:r>
            <w:r w:rsidRPr="00387022">
              <w:t xml:space="preserve"> hospital</w:t>
            </w:r>
            <w:r>
              <w:t>*</w:t>
            </w:r>
            <w:r w:rsidRPr="00387022">
              <w:t xml:space="preserve"> must staff a postnatal ward with the following— (a) on the </w:t>
            </w:r>
            <w:r>
              <w:t>night</w:t>
            </w:r>
            <w:r w:rsidRPr="00387022">
              <w:t xml:space="preserve"> shift— (i) one midwife or nurse for every 4 patients</w:t>
            </w:r>
            <w:r>
              <w:t>.</w:t>
            </w:r>
          </w:p>
        </w:tc>
        <w:tc>
          <w:tcPr>
            <w:tcW w:w="0" w:type="auto"/>
            <w:vAlign w:val="center"/>
          </w:tcPr>
          <w:p w14:paraId="63FDD950" w14:textId="21981384" w:rsidR="00B7017E" w:rsidRPr="00924DEC" w:rsidRDefault="00B7017E" w:rsidP="00B7017E">
            <w:pPr>
              <w:spacing w:after="0" w:line="240" w:lineRule="auto"/>
            </w:pPr>
            <w:r w:rsidRPr="00924DEC">
              <w:t>25%</w:t>
            </w:r>
            <w:r>
              <w:t xml:space="preserve"> compliance </w:t>
            </w:r>
          </w:p>
        </w:tc>
        <w:tc>
          <w:tcPr>
            <w:tcW w:w="0" w:type="auto"/>
            <w:vAlign w:val="center"/>
          </w:tcPr>
          <w:p w14:paraId="1C86B9B1" w14:textId="7C221493" w:rsidR="00B7017E" w:rsidRPr="00900E89" w:rsidRDefault="00B7017E" w:rsidP="00B7017E">
            <w:pPr>
              <w:spacing w:after="0" w:line="240" w:lineRule="auto"/>
            </w:pPr>
            <w:r>
              <w:t>75</w:t>
            </w:r>
            <w:r w:rsidRPr="00900E89">
              <w:t>%</w:t>
            </w:r>
            <w:r>
              <w:t xml:space="preserve"> compliance </w:t>
            </w:r>
          </w:p>
        </w:tc>
        <w:tc>
          <w:tcPr>
            <w:tcW w:w="0" w:type="auto"/>
            <w:vAlign w:val="center"/>
          </w:tcPr>
          <w:p w14:paraId="778E76CA" w14:textId="748E1727" w:rsidR="00B7017E" w:rsidRPr="00900E89" w:rsidRDefault="00B7017E" w:rsidP="00B7017E">
            <w:pPr>
              <w:spacing w:after="0" w:line="240" w:lineRule="auto"/>
            </w:pPr>
            <w:r w:rsidRPr="00900E89">
              <w:t>100%</w:t>
            </w:r>
            <w:r>
              <w:t xml:space="preserve"> compliance </w:t>
            </w:r>
          </w:p>
        </w:tc>
      </w:tr>
    </w:tbl>
    <w:p w14:paraId="4D2859C5" w14:textId="66429DC1" w:rsidR="00FE396D" w:rsidRDefault="00FE396D" w:rsidP="001A23C7">
      <w:pPr>
        <w:pStyle w:val="Body"/>
        <w:sectPr w:rsidR="00FE396D" w:rsidSect="00D02067">
          <w:pgSz w:w="16838" w:h="11906" w:orient="landscape" w:code="9"/>
          <w:pgMar w:top="1304" w:right="1418" w:bottom="1304" w:left="1134" w:header="680" w:footer="851" w:gutter="0"/>
          <w:cols w:space="340"/>
          <w:titlePg/>
          <w:docGrid w:linePitch="360"/>
        </w:sectPr>
      </w:pPr>
    </w:p>
    <w:p w14:paraId="5CD51F1F" w14:textId="7717D2CF" w:rsidR="00071092" w:rsidRPr="00E65311" w:rsidRDefault="00071092" w:rsidP="00E65311">
      <w:pPr>
        <w:pStyle w:val="Heading1"/>
      </w:pPr>
      <w:bookmarkStart w:id="10" w:name="_Toc194310942"/>
      <w:r w:rsidRPr="00E65311">
        <w:lastRenderedPageBreak/>
        <w:t>Funding</w:t>
      </w:r>
      <w:bookmarkEnd w:id="10"/>
    </w:p>
    <w:p w14:paraId="663E098F" w14:textId="36F420D4" w:rsidR="00DC039D" w:rsidRDefault="00142023" w:rsidP="00DC039D">
      <w:pPr>
        <w:pStyle w:val="Body"/>
      </w:pPr>
      <w:r>
        <w:t>During the implementation phase, h</w:t>
      </w:r>
      <w:r w:rsidR="008722FA">
        <w:t>ealth services are advised to</w:t>
      </w:r>
      <w:r w:rsidR="00DC039D">
        <w:t xml:space="preserve"> </w:t>
      </w:r>
      <w:r w:rsidR="00454B72">
        <w:t xml:space="preserve">consider </w:t>
      </w:r>
      <w:r w:rsidR="004758A9">
        <w:t>available funding</w:t>
      </w:r>
      <w:r w:rsidR="00DC039D">
        <w:t xml:space="preserve"> when determining </w:t>
      </w:r>
      <w:r w:rsidR="00DC039D" w:rsidRPr="00B56679">
        <w:t>how to staff the ward with the additional hours</w:t>
      </w:r>
      <w:r w:rsidR="00DC039D">
        <w:t xml:space="preserve"> to meet the new ratio requirements. </w:t>
      </w:r>
    </w:p>
    <w:p w14:paraId="448562FB" w14:textId="3C0AE1C7" w:rsidR="00071092" w:rsidRPr="00071092" w:rsidRDefault="00063AB9" w:rsidP="00DC039D">
      <w:pPr>
        <w:pStyle w:val="Body"/>
      </w:pPr>
      <w:r>
        <w:t xml:space="preserve">Funding </w:t>
      </w:r>
      <w:r w:rsidR="00DD7516">
        <w:t xml:space="preserve">will </w:t>
      </w:r>
      <w:r w:rsidR="00E70FB3">
        <w:t xml:space="preserve">be </w:t>
      </w:r>
      <w:r w:rsidR="00DD7516">
        <w:t>provided</w:t>
      </w:r>
      <w:r w:rsidR="00E70FB3">
        <w:t xml:space="preserve"> to op</w:t>
      </w:r>
      <w:r w:rsidR="00561FB2">
        <w:t xml:space="preserve">erationalise the ratios. </w:t>
      </w:r>
      <w:r w:rsidR="00071092">
        <w:t xml:space="preserve">Further advice on funding will be provided to each impacted health service directly. </w:t>
      </w:r>
    </w:p>
    <w:p w14:paraId="31DF1333" w14:textId="3BC4FCAC" w:rsidR="00C133EE" w:rsidRDefault="00896E4E" w:rsidP="00A71CE4">
      <w:pPr>
        <w:pStyle w:val="Heading1"/>
      </w:pPr>
      <w:bookmarkStart w:id="11" w:name="_Toc194310943"/>
      <w:r>
        <w:t>Reporting</w:t>
      </w:r>
      <w:r w:rsidR="009D682D">
        <w:t xml:space="preserve"> requirements</w:t>
      </w:r>
      <w:bookmarkEnd w:id="11"/>
    </w:p>
    <w:p w14:paraId="3F93411D" w14:textId="1B538ABA" w:rsidR="009D682D" w:rsidRDefault="009D682D" w:rsidP="00BF605B">
      <w:pPr>
        <w:pStyle w:val="Heading2"/>
      </w:pPr>
      <w:bookmarkStart w:id="12" w:name="_Toc194310944"/>
      <w:bookmarkStart w:id="13" w:name="_Toc178782035"/>
      <w:bookmarkEnd w:id="2"/>
      <w:r>
        <w:t>Nominate and publish details of mixed wards</w:t>
      </w:r>
      <w:bookmarkEnd w:id="12"/>
    </w:p>
    <w:p w14:paraId="17481153" w14:textId="2D8EC407" w:rsidR="009D682D" w:rsidRDefault="005D1B95" w:rsidP="009D682D">
      <w:pPr>
        <w:pStyle w:val="Body"/>
      </w:pPr>
      <w:r>
        <w:t xml:space="preserve">The existing </w:t>
      </w:r>
      <w:r w:rsidR="00F6778F">
        <w:t xml:space="preserve">process outlined in section 12A(1) of the Principal Act regarding </w:t>
      </w:r>
      <w:r w:rsidR="001F5069">
        <w:t xml:space="preserve">nominating and </w:t>
      </w:r>
      <w:r w:rsidR="000A1DC1">
        <w:t>publishing</w:t>
      </w:r>
      <w:r w:rsidR="001F5069">
        <w:t xml:space="preserve"> t</w:t>
      </w:r>
      <w:r w:rsidR="000B28B1">
        <w:t>he ratio</w:t>
      </w:r>
      <w:r w:rsidR="000A1DC1">
        <w:t xml:space="preserve"> of mixed wards will apply to any new</w:t>
      </w:r>
      <w:r w:rsidR="009D682D">
        <w:t xml:space="preserve"> ratio</w:t>
      </w:r>
      <w:r w:rsidR="000A1DC1">
        <w:t>s that</w:t>
      </w:r>
      <w:r w:rsidR="009D682D">
        <w:t xml:space="preserve"> </w:t>
      </w:r>
      <w:r w:rsidR="005073F2">
        <w:t>come into effect</w:t>
      </w:r>
      <w:r w:rsidR="003C6702">
        <w:t xml:space="preserve"> via the Amendment </w:t>
      </w:r>
      <w:r w:rsidR="00FC0688">
        <w:t xml:space="preserve">Bill </w:t>
      </w:r>
      <w:r w:rsidR="003C6702">
        <w:t>2025.</w:t>
      </w:r>
    </w:p>
    <w:p w14:paraId="6298C986" w14:textId="17F8545E" w:rsidR="00952D93" w:rsidRPr="009D682D" w:rsidRDefault="00623A69" w:rsidP="009D682D">
      <w:pPr>
        <w:pStyle w:val="Body"/>
      </w:pPr>
      <w:r>
        <w:t>For the purpose</w:t>
      </w:r>
      <w:r w:rsidR="00392310">
        <w:t>s</w:t>
      </w:r>
      <w:r>
        <w:t xml:space="preserve"> of the </w:t>
      </w:r>
      <w:r w:rsidR="00862D45">
        <w:t>amendments</w:t>
      </w:r>
      <w:r>
        <w:t>, w</w:t>
      </w:r>
      <w:r w:rsidR="00952D93">
        <w:t>here a</w:t>
      </w:r>
      <w:r w:rsidR="00392310">
        <w:t xml:space="preserve"> designated</w:t>
      </w:r>
      <w:r w:rsidR="00952D93">
        <w:t xml:space="preserve"> ICU </w:t>
      </w:r>
      <w:r w:rsidR="006C1BA4">
        <w:t xml:space="preserve">has </w:t>
      </w:r>
      <w:r w:rsidR="00C454E3">
        <w:t xml:space="preserve">non-ICU beds, e.g., </w:t>
      </w:r>
      <w:r w:rsidR="00A13DBB">
        <w:t>HDU beds</w:t>
      </w:r>
      <w:r w:rsidR="00392310">
        <w:t xml:space="preserve">, </w:t>
      </w:r>
      <w:r>
        <w:t xml:space="preserve">this would </w:t>
      </w:r>
      <w:r w:rsidR="00BB24DA">
        <w:t>not</w:t>
      </w:r>
      <w:r>
        <w:t xml:space="preserve"> be considered a</w:t>
      </w:r>
      <w:r w:rsidR="00104DE3">
        <w:t xml:space="preserve"> mixed ward</w:t>
      </w:r>
      <w:r w:rsidR="00392310">
        <w:t xml:space="preserve">. </w:t>
      </w:r>
    </w:p>
    <w:p w14:paraId="4AC566AE" w14:textId="6B6FEAE5" w:rsidR="00BF605B" w:rsidRPr="00BF605B" w:rsidRDefault="00BF605B" w:rsidP="00BF605B">
      <w:pPr>
        <w:pStyle w:val="Heading2"/>
      </w:pPr>
      <w:bookmarkStart w:id="14" w:name="_Toc194310945"/>
      <w:r w:rsidRPr="00BF605B">
        <w:t>Compliance reporting</w:t>
      </w:r>
      <w:bookmarkEnd w:id="13"/>
      <w:bookmarkEnd w:id="14"/>
      <w:r w:rsidRPr="00BF605B">
        <w:t xml:space="preserve"> </w:t>
      </w:r>
    </w:p>
    <w:p w14:paraId="5D754539" w14:textId="0C78C6D9" w:rsidR="006E05B2" w:rsidRDefault="0040625A" w:rsidP="005E5A49">
      <w:pPr>
        <w:pStyle w:val="Body"/>
        <w:rPr>
          <w:color w:val="000000" w:themeColor="text1"/>
        </w:rPr>
      </w:pPr>
      <w:r>
        <w:t xml:space="preserve">Operators of hospitals impacted by the amendments will be required </w:t>
      </w:r>
      <w:r w:rsidR="007B11B0">
        <w:t>by the</w:t>
      </w:r>
      <w:r w:rsidR="00204930">
        <w:t xml:space="preserve"> Department of Health (the</w:t>
      </w:r>
      <w:r w:rsidR="007B11B0">
        <w:t xml:space="preserve"> department</w:t>
      </w:r>
      <w:r w:rsidR="00204930">
        <w:t>)</w:t>
      </w:r>
      <w:r w:rsidR="007B11B0">
        <w:t xml:space="preserve"> </w:t>
      </w:r>
      <w:r>
        <w:t>to maintain appropriate documentation to demonstrate compliance</w:t>
      </w:r>
      <w:r w:rsidR="006B2269">
        <w:t xml:space="preserve"> with the new ratios such as rosters and </w:t>
      </w:r>
      <w:r w:rsidR="002F1601">
        <w:t>payroll</w:t>
      </w:r>
      <w:r w:rsidR="006B2269">
        <w:t xml:space="preserve"> data</w:t>
      </w:r>
      <w:r w:rsidR="005E5A49">
        <w:t xml:space="preserve">. This includes information from </w:t>
      </w:r>
      <w:r w:rsidR="005E5A49">
        <w:rPr>
          <w:color w:val="000000" w:themeColor="text1"/>
        </w:rPr>
        <w:t xml:space="preserve">the day following </w:t>
      </w:r>
      <w:r w:rsidR="00C0200B">
        <w:rPr>
          <w:color w:val="000000" w:themeColor="text1"/>
        </w:rPr>
        <w:t>R</w:t>
      </w:r>
      <w:r w:rsidR="005E5A49">
        <w:rPr>
          <w:color w:val="000000" w:themeColor="text1"/>
        </w:rPr>
        <w:t xml:space="preserve">oyal </w:t>
      </w:r>
      <w:r w:rsidR="00C0200B">
        <w:rPr>
          <w:color w:val="000000" w:themeColor="text1"/>
        </w:rPr>
        <w:t>A</w:t>
      </w:r>
      <w:r w:rsidR="005E5A49">
        <w:rPr>
          <w:color w:val="000000" w:themeColor="text1"/>
        </w:rPr>
        <w:t>ssent</w:t>
      </w:r>
      <w:r w:rsidR="005E5A49" w:rsidRPr="5A30D662">
        <w:rPr>
          <w:color w:val="000000" w:themeColor="text1"/>
        </w:rPr>
        <w:t xml:space="preserve"> </w:t>
      </w:r>
      <w:r w:rsidR="005E5A49">
        <w:t xml:space="preserve">regarding the number of hours and/or shifts per area where 25% of the amendments have been implemented and from </w:t>
      </w:r>
      <w:r w:rsidR="005E5A49" w:rsidRPr="5A30D662">
        <w:rPr>
          <w:color w:val="000000" w:themeColor="text1"/>
        </w:rPr>
        <w:t xml:space="preserve">1 </w:t>
      </w:r>
      <w:r w:rsidR="005E5A49">
        <w:rPr>
          <w:color w:val="000000" w:themeColor="text1"/>
        </w:rPr>
        <w:t xml:space="preserve">December </w:t>
      </w:r>
      <w:r w:rsidR="005E5A49" w:rsidRPr="5A30D662">
        <w:rPr>
          <w:color w:val="000000" w:themeColor="text1"/>
        </w:rPr>
        <w:t xml:space="preserve">2025 demonstrating that </w:t>
      </w:r>
      <w:r w:rsidR="005E5A49">
        <w:rPr>
          <w:color w:val="000000" w:themeColor="text1"/>
        </w:rPr>
        <w:t>75</w:t>
      </w:r>
      <w:r w:rsidR="005E5A49" w:rsidRPr="5A30D662">
        <w:rPr>
          <w:color w:val="000000" w:themeColor="text1"/>
        </w:rPr>
        <w:t xml:space="preserve">% of the </w:t>
      </w:r>
      <w:r w:rsidR="005E5A49">
        <w:rPr>
          <w:color w:val="000000" w:themeColor="text1"/>
        </w:rPr>
        <w:t>amendments</w:t>
      </w:r>
      <w:r w:rsidR="005E5A49" w:rsidRPr="5A30D662">
        <w:rPr>
          <w:color w:val="000000" w:themeColor="text1"/>
        </w:rPr>
        <w:t xml:space="preserve"> have been implemented. </w:t>
      </w:r>
    </w:p>
    <w:p w14:paraId="492504FC" w14:textId="378FDACF" w:rsidR="00BF605B" w:rsidRPr="00634A97" w:rsidRDefault="00B97365" w:rsidP="00B7223F">
      <w:pPr>
        <w:pStyle w:val="Heading3"/>
      </w:pPr>
      <w:r>
        <w:t>Inability to comply with ratios</w:t>
      </w:r>
    </w:p>
    <w:p w14:paraId="0DF78250" w14:textId="75832153" w:rsidR="003F47D0" w:rsidRDefault="00CE669A" w:rsidP="00BF605B">
      <w:pPr>
        <w:rPr>
          <w:i/>
          <w:iCs/>
        </w:rPr>
      </w:pPr>
      <w:r>
        <w:t xml:space="preserve">To support health services in </w:t>
      </w:r>
      <w:r w:rsidR="00707E68">
        <w:t xml:space="preserve">addressing issues that </w:t>
      </w:r>
      <w:r w:rsidR="002B7DC5">
        <w:t>may result</w:t>
      </w:r>
      <w:r w:rsidR="000622C5">
        <w:t xml:space="preserve"> in</w:t>
      </w:r>
      <w:r w:rsidR="002B7DC5">
        <w:t xml:space="preserve"> the</w:t>
      </w:r>
      <w:r w:rsidR="00BF605B" w:rsidRPr="00634A97">
        <w:t xml:space="preserve"> </w:t>
      </w:r>
      <w:r w:rsidR="00B97365">
        <w:t>inability to comply</w:t>
      </w:r>
      <w:r w:rsidR="00BF605B" w:rsidRPr="00634A97">
        <w:t xml:space="preserve"> with ratios </w:t>
      </w:r>
      <w:r w:rsidR="003F47D0">
        <w:t xml:space="preserve">implemented as part of the </w:t>
      </w:r>
      <w:r w:rsidR="00CD746D" w:rsidRPr="007627AF">
        <w:t xml:space="preserve">Amendment </w:t>
      </w:r>
      <w:r w:rsidR="00FC0688">
        <w:t>Bill</w:t>
      </w:r>
      <w:r w:rsidR="00FC0688" w:rsidRPr="007627AF">
        <w:t xml:space="preserve"> </w:t>
      </w:r>
      <w:r w:rsidR="00CD746D" w:rsidRPr="007627AF">
        <w:t>2025</w:t>
      </w:r>
      <w:r w:rsidR="006C1212">
        <w:t xml:space="preserve"> health services will be required to provide a bimonthly compliance update until 1 July 2026.</w:t>
      </w:r>
    </w:p>
    <w:p w14:paraId="227DE7BB" w14:textId="10713765" w:rsidR="00DD6377" w:rsidRDefault="00C458F3" w:rsidP="00BF605B">
      <w:r>
        <w:t xml:space="preserve">The inability </w:t>
      </w:r>
      <w:r w:rsidRPr="00C458F3">
        <w:t>to comply with ratios</w:t>
      </w:r>
      <w:r>
        <w:t xml:space="preserve"> should be reported to the </w:t>
      </w:r>
      <w:r w:rsidR="00A102BA">
        <w:t xml:space="preserve">department </w:t>
      </w:r>
      <w:r w:rsidR="002F6621">
        <w:t xml:space="preserve">with reasons as to why, </w:t>
      </w:r>
      <w:r w:rsidR="00181D99">
        <w:t xml:space="preserve">may </w:t>
      </w:r>
      <w:r w:rsidR="002F6621">
        <w:t>includ</w:t>
      </w:r>
      <w:r w:rsidR="00181D99">
        <w:t>e</w:t>
      </w:r>
      <w:r w:rsidR="005B7DCD">
        <w:t xml:space="preserve"> but </w:t>
      </w:r>
      <w:r w:rsidR="00181D99">
        <w:t xml:space="preserve">is </w:t>
      </w:r>
      <w:r w:rsidR="005B7DCD">
        <w:t>not limited to</w:t>
      </w:r>
      <w:r w:rsidR="00A102BA">
        <w:t>:</w:t>
      </w:r>
    </w:p>
    <w:p w14:paraId="53627668" w14:textId="27364AD8" w:rsidR="00A102BA" w:rsidRDefault="00A102BA" w:rsidP="001478CB">
      <w:pPr>
        <w:pStyle w:val="ListParagraph"/>
        <w:numPr>
          <w:ilvl w:val="0"/>
          <w:numId w:val="8"/>
        </w:numPr>
      </w:pPr>
      <w:r>
        <w:t xml:space="preserve">Unable to recruit </w:t>
      </w:r>
      <w:r w:rsidR="00E54970">
        <w:t>relevant</w:t>
      </w:r>
      <w:r>
        <w:t xml:space="preserve"> staff </w:t>
      </w:r>
      <w:r w:rsidR="00E54970">
        <w:t>to fulfil the ratio</w:t>
      </w:r>
    </w:p>
    <w:p w14:paraId="7530B1F0" w14:textId="62C7612F" w:rsidR="00E26F8F" w:rsidRDefault="00E26F8F" w:rsidP="001478CB">
      <w:pPr>
        <w:pStyle w:val="ListParagraph"/>
        <w:numPr>
          <w:ilvl w:val="0"/>
          <w:numId w:val="8"/>
        </w:numPr>
      </w:pPr>
      <w:r>
        <w:t>Insufficient internal staff to fulfil the ratio</w:t>
      </w:r>
    </w:p>
    <w:p w14:paraId="70BB7BD0" w14:textId="77777777" w:rsidR="007F02A1" w:rsidRDefault="00E54970" w:rsidP="001478CB">
      <w:pPr>
        <w:pStyle w:val="ListParagraph"/>
        <w:numPr>
          <w:ilvl w:val="0"/>
          <w:numId w:val="8"/>
        </w:numPr>
      </w:pPr>
      <w:r>
        <w:t>Leave requirements including unplanned and planned leave</w:t>
      </w:r>
    </w:p>
    <w:p w14:paraId="5C2D17D0" w14:textId="77777777" w:rsidR="00FC787D" w:rsidRDefault="007F02A1" w:rsidP="001478CB">
      <w:pPr>
        <w:pStyle w:val="ListParagraph"/>
        <w:numPr>
          <w:ilvl w:val="0"/>
          <w:numId w:val="8"/>
        </w:numPr>
      </w:pPr>
      <w:r>
        <w:t>Redistribution of staff to fulfil other ratio requirements</w:t>
      </w:r>
      <w:r w:rsidR="002A4CA7">
        <w:t>.</w:t>
      </w:r>
    </w:p>
    <w:p w14:paraId="1DB9498E" w14:textId="61C178D4" w:rsidR="00064D54" w:rsidRDefault="003E44F2" w:rsidP="00320163">
      <w:r>
        <w:t xml:space="preserve">The department will consult with </w:t>
      </w:r>
      <w:r w:rsidR="00BE74A9">
        <w:t xml:space="preserve">health services </w:t>
      </w:r>
      <w:r w:rsidR="006065A1">
        <w:t xml:space="preserve">regarding </w:t>
      </w:r>
      <w:r w:rsidR="00361B97">
        <w:t xml:space="preserve">data collection prior to reporting requirements being finalised. </w:t>
      </w:r>
      <w:r w:rsidR="00803BF4">
        <w:t xml:space="preserve">All efforts will be made to utilise existing reporting and data collect </w:t>
      </w:r>
      <w:r w:rsidR="004A6BFD">
        <w:t>processes. Further</w:t>
      </w:r>
      <w:r w:rsidR="00F00131">
        <w:t xml:space="preserve"> information on the reporting process, including </w:t>
      </w:r>
      <w:r w:rsidR="007C4985">
        <w:t xml:space="preserve">any </w:t>
      </w:r>
      <w:r w:rsidR="008763DD">
        <w:t>relevant</w:t>
      </w:r>
      <w:r w:rsidR="008268AF">
        <w:t xml:space="preserve"> </w:t>
      </w:r>
      <w:r w:rsidR="00072751">
        <w:t>template</w:t>
      </w:r>
      <w:r w:rsidR="008763DD">
        <w:t>s</w:t>
      </w:r>
      <w:r w:rsidR="008268AF">
        <w:t>,</w:t>
      </w:r>
      <w:r w:rsidR="00072751">
        <w:t xml:space="preserve"> will be provided </w:t>
      </w:r>
      <w:r w:rsidR="00670213">
        <w:t>to health services in due course.</w:t>
      </w:r>
      <w:r w:rsidR="00320163" w:rsidRPr="00C458F3">
        <w:t xml:space="preserve"> </w:t>
      </w:r>
    </w:p>
    <w:p w14:paraId="3E148DFD" w14:textId="77777777" w:rsidR="00064D54" w:rsidRDefault="00064D54">
      <w:pPr>
        <w:spacing w:after="0" w:line="240" w:lineRule="auto"/>
      </w:pPr>
      <w:r>
        <w:br w:type="page"/>
      </w:r>
    </w:p>
    <w:p w14:paraId="4DCA7F63" w14:textId="77777777" w:rsidR="0003389C" w:rsidRDefault="0003389C" w:rsidP="0003389C">
      <w:pPr>
        <w:pStyle w:val="Heading1"/>
      </w:pPr>
      <w:bookmarkStart w:id="15" w:name="_Toc194310946"/>
      <w:r w:rsidRPr="003A6F82">
        <w:lastRenderedPageBreak/>
        <w:t xml:space="preserve">Safe Patient Care (Nurse to Patient and Midwife to Patient Ratios) Regulations </w:t>
      </w:r>
      <w:r w:rsidRPr="007D308F">
        <w:t>2015</w:t>
      </w:r>
      <w:bookmarkEnd w:id="15"/>
    </w:p>
    <w:p w14:paraId="6C85D580" w14:textId="3928AA53" w:rsidR="0003389C" w:rsidRDefault="0003389C" w:rsidP="0003389C">
      <w:pPr>
        <w:pStyle w:val="Body"/>
      </w:pPr>
      <w:r>
        <w:t xml:space="preserve">The </w:t>
      </w:r>
      <w:r w:rsidRPr="000144A8">
        <w:rPr>
          <w:i/>
          <w:iCs/>
        </w:rPr>
        <w:t xml:space="preserve">Safe Patient Care (Nurse to Patient and Midwife to Patient Ratios) </w:t>
      </w:r>
      <w:r w:rsidRPr="007D308F">
        <w:rPr>
          <w:i/>
          <w:iCs/>
        </w:rPr>
        <w:t>Regulations 2015</w:t>
      </w:r>
      <w:r>
        <w:t xml:space="preserve"> will be updated to list the prescribed hospitals </w:t>
      </w:r>
      <w:r w:rsidR="008904FB">
        <w:t>where</w:t>
      </w:r>
      <w:r>
        <w:t xml:space="preserve"> phase 3 midwifery ratios will apply. </w:t>
      </w:r>
    </w:p>
    <w:p w14:paraId="655C75DA" w14:textId="76D31178" w:rsidR="0003389C" w:rsidRDefault="0003389C" w:rsidP="0003389C">
      <w:pPr>
        <w:pStyle w:val="Body"/>
      </w:pPr>
      <w:r>
        <w:t xml:space="preserve">The prescribed hospitals will reflect those listed in the department’s </w:t>
      </w:r>
      <w:hyperlink r:id="rId29">
        <w:r w:rsidRPr="216FDCD5">
          <w:rPr>
            <w:rStyle w:val="Hyperlink"/>
          </w:rPr>
          <w:t>Maternity Capabil</w:t>
        </w:r>
        <w:r w:rsidRPr="216FDCD5">
          <w:rPr>
            <w:rStyle w:val="Hyperlink"/>
          </w:rPr>
          <w:t>i</w:t>
        </w:r>
        <w:r w:rsidRPr="216FDCD5">
          <w:rPr>
            <w:rStyle w:val="Hyperlink"/>
          </w:rPr>
          <w:t>ty</w:t>
        </w:r>
      </w:hyperlink>
      <w:r w:rsidR="004A0717">
        <w:rPr>
          <w:rStyle w:val="Hyperlink"/>
        </w:rPr>
        <w:t xml:space="preserve"> Framework</w:t>
      </w:r>
      <w:r w:rsidRPr="00641B6C">
        <w:t xml:space="preserve"> </w:t>
      </w:r>
      <w:r w:rsidR="008F01F0">
        <w:t>&lt;</w:t>
      </w:r>
      <w:r w:rsidR="008F01F0" w:rsidRPr="008F01F0">
        <w:t>https://www.health.vic.gov.au/patient-care/capability-frameworks-for-maternity-and-newborn-care-in-victoria</w:t>
      </w:r>
      <w:r w:rsidR="008F01F0">
        <w:t xml:space="preserve">&gt; </w:t>
      </w:r>
      <w:r>
        <w:t xml:space="preserve">as a </w:t>
      </w:r>
      <w:r w:rsidRPr="00641B6C">
        <w:t>Level 5 and 6 service</w:t>
      </w:r>
      <w:r>
        <w:t xml:space="preserve">, </w:t>
      </w:r>
      <w:r w:rsidRPr="00641B6C">
        <w:t>and Level 4 services that are part of a larger multicampus metropolitan health service</w:t>
      </w:r>
      <w:r w:rsidR="0087136A">
        <w:t>.</w:t>
      </w:r>
      <w:r>
        <w:t xml:space="preserve"> </w:t>
      </w:r>
      <w:r w:rsidR="005F5067">
        <w:t>T</w:t>
      </w:r>
      <w:r w:rsidR="00A57896">
        <w:t>o ensure that only applicable services are listed</w:t>
      </w:r>
      <w:r w:rsidR="00E432E3">
        <w:t>,</w:t>
      </w:r>
      <w:r w:rsidR="00A57896">
        <w:t xml:space="preserve"> t</w:t>
      </w:r>
      <w:r w:rsidR="005F5067">
        <w:t xml:space="preserve">he </w:t>
      </w:r>
      <w:r w:rsidR="00321AE3">
        <w:t>Regulations will be updated</w:t>
      </w:r>
      <w:r w:rsidR="00A57896">
        <w:t xml:space="preserve"> </w:t>
      </w:r>
      <w:r w:rsidR="00C84611">
        <w:t>routinely to capture any</w:t>
      </w:r>
      <w:r w:rsidR="00A57896">
        <w:t xml:space="preserve"> </w:t>
      </w:r>
      <w:r w:rsidR="00A57896" w:rsidRPr="00321AE3">
        <w:t>capability uplift or decrease</w:t>
      </w:r>
      <w:r w:rsidR="00A57896">
        <w:t>.</w:t>
      </w:r>
    </w:p>
    <w:p w14:paraId="27220AD5" w14:textId="2B4875C7" w:rsidR="0003389C" w:rsidRDefault="0003389C" w:rsidP="0003389C">
      <w:pPr>
        <w:pStyle w:val="Body"/>
      </w:pPr>
      <w:r>
        <w:t xml:space="preserve">A copy of the </w:t>
      </w:r>
      <w:r w:rsidR="4DE1ECFF">
        <w:t>in-force</w:t>
      </w:r>
      <w:r>
        <w:t xml:space="preserve"> Regulations can be found </w:t>
      </w:r>
      <w:r w:rsidR="008F01F0">
        <w:t xml:space="preserve">at </w:t>
      </w:r>
      <w:r w:rsidR="008F01F0" w:rsidRPr="008F01F0">
        <w:t>Safe Patient Care (</w:t>
      </w:r>
      <w:hyperlink r:id="rId30" w:history="1">
        <w:r w:rsidR="008F01F0" w:rsidRPr="008F01F0">
          <w:rPr>
            <w:rStyle w:val="Hyperlink"/>
          </w:rPr>
          <w:t>Nurse to Patient and Midwife to Patient Ratios) Regulations 2015</w:t>
        </w:r>
      </w:hyperlink>
      <w:r w:rsidR="008F01F0">
        <w:t xml:space="preserve"> &lt;</w:t>
      </w:r>
      <w:r w:rsidR="008F01F0" w:rsidRPr="008F01F0">
        <w:t>https://www.legislation.vic.gov.au/in-force/statutory-rules/safe-patient-care-nurse-patient-and-midwife-patient-ratios-regulations/002</w:t>
      </w:r>
      <w:r w:rsidR="008F01F0">
        <w:t>&gt;.</w:t>
      </w:r>
    </w:p>
    <w:p w14:paraId="7ED460BE" w14:textId="77777777" w:rsidR="00CA472B" w:rsidRDefault="00CA472B" w:rsidP="00CA472B">
      <w:pPr>
        <w:pStyle w:val="Heading1"/>
      </w:pPr>
      <w:bookmarkStart w:id="16" w:name="_Toc194310947"/>
      <w:r>
        <w:t>Further information</w:t>
      </w:r>
      <w:bookmarkEnd w:id="16"/>
    </w:p>
    <w:p w14:paraId="34906045" w14:textId="2FE10E4A" w:rsidR="00CA472B" w:rsidRPr="007F11F5" w:rsidRDefault="00CA472B" w:rsidP="00CA472B">
      <w:pPr>
        <w:pStyle w:val="Body"/>
      </w:pPr>
      <w:r w:rsidRPr="007F11F5">
        <w:t xml:space="preserve">Updates, as available, will be published on the Safe Patient Care Act </w:t>
      </w:r>
      <w:hyperlink r:id="rId31" w:tgtFrame="_blank" w:history="1">
        <w:r w:rsidRPr="007F11F5">
          <w:rPr>
            <w:rStyle w:val="Hyperlink"/>
          </w:rPr>
          <w:t>web</w:t>
        </w:r>
        <w:r w:rsidRPr="007F11F5">
          <w:rPr>
            <w:rStyle w:val="Hyperlink"/>
          </w:rPr>
          <w:t>p</w:t>
        </w:r>
        <w:r w:rsidRPr="007F11F5">
          <w:rPr>
            <w:rStyle w:val="Hyperlink"/>
          </w:rPr>
          <w:t>age</w:t>
        </w:r>
      </w:hyperlink>
      <w:r w:rsidRPr="007F11F5">
        <w:t> </w:t>
      </w:r>
      <w:r w:rsidR="008F01F0">
        <w:t>&lt;</w:t>
      </w:r>
      <w:r w:rsidR="008F01F0" w:rsidRPr="008F01F0">
        <w:t>https://www.health.vic.gov.au/nursing-and-midwifery/nursing-and-midwifery-legislation-and-regulation</w:t>
      </w:r>
      <w:r w:rsidR="008F01F0">
        <w:t>&gt;</w:t>
      </w:r>
      <w:r w:rsidRPr="007F11F5">
        <w:t> </w:t>
      </w:r>
    </w:p>
    <w:p w14:paraId="21CA0BAA" w14:textId="77777777" w:rsidR="00CA472B" w:rsidRPr="007F11F5" w:rsidRDefault="00CA472B" w:rsidP="00CA472B">
      <w:pPr>
        <w:pStyle w:val="Body"/>
      </w:pPr>
      <w:r w:rsidRPr="007F11F5">
        <w:t xml:space="preserve">Impacted health services can direct questions to: </w:t>
      </w:r>
      <w:hyperlink r:id="rId32" w:tgtFrame="_blank" w:history="1">
        <w:r w:rsidRPr="007F11F5">
          <w:rPr>
            <w:rStyle w:val="Hyperlink"/>
          </w:rPr>
          <w:t>ratios@health.vic.gov.au</w:t>
        </w:r>
      </w:hyperlink>
      <w:r w:rsidRPr="007F11F5">
        <w:t> </w:t>
      </w:r>
    </w:p>
    <w:p w14:paraId="6FB12ACE" w14:textId="77777777" w:rsidR="00CA472B" w:rsidRDefault="00CA472B" w:rsidP="0003389C">
      <w:pPr>
        <w:pStyle w:val="Body"/>
      </w:pPr>
    </w:p>
    <w:p w14:paraId="12A24C50" w14:textId="7F0161AB" w:rsidR="00C117F5" w:rsidRPr="00F20947" w:rsidRDefault="00C117F5" w:rsidP="00FE39F4">
      <w:pPr>
        <w:pStyle w:val="Body"/>
        <w:rPr>
          <w:rFonts w:eastAsia="MS Gothic" w:cs="Arial"/>
          <w:color w:val="201547"/>
          <w:kern w:val="32"/>
          <w:sz w:val="44"/>
          <w:szCs w:val="44"/>
        </w:rPr>
      </w:pPr>
      <w:r>
        <w:br w:type="page"/>
      </w:r>
    </w:p>
    <w:p w14:paraId="5DE642DA" w14:textId="20803186" w:rsidR="00DF431E" w:rsidRDefault="00C117F5" w:rsidP="00275D2D">
      <w:pPr>
        <w:pStyle w:val="Heading1"/>
      </w:pPr>
      <w:bookmarkStart w:id="17" w:name="_Appendix_A_–"/>
      <w:bookmarkStart w:id="18" w:name="_Toc194310948"/>
      <w:bookmarkEnd w:id="17"/>
      <w:r w:rsidRPr="00B074A2">
        <w:lastRenderedPageBreak/>
        <w:t xml:space="preserve">Appendix </w:t>
      </w:r>
      <w:r w:rsidR="00B074A2" w:rsidRPr="00B074A2">
        <w:t>A</w:t>
      </w:r>
      <w:r w:rsidR="00A50727">
        <w:t xml:space="preserve"> – Applicable health services</w:t>
      </w:r>
      <w:bookmarkEnd w:id="18"/>
    </w:p>
    <w:p w14:paraId="223F72AC" w14:textId="77777777" w:rsidR="005D41EB" w:rsidRDefault="005D41EB" w:rsidP="005D41EB">
      <w:pPr>
        <w:pStyle w:val="Heading2"/>
      </w:pPr>
      <w:bookmarkStart w:id="19" w:name="_Toc194310949"/>
      <w:r>
        <w:t>Intensive care unit ratios</w:t>
      </w:r>
      <w:bookmarkEnd w:id="19"/>
    </w:p>
    <w:p w14:paraId="73B779D5" w14:textId="650D9B82" w:rsidR="00D3636C" w:rsidRDefault="00EE73EE" w:rsidP="005D41EB">
      <w:pPr>
        <w:pStyle w:val="Body"/>
      </w:pPr>
      <w:r>
        <w:t xml:space="preserve">All </w:t>
      </w:r>
      <w:r w:rsidR="001A70BD">
        <w:t>p</w:t>
      </w:r>
      <w:r>
        <w:t xml:space="preserve">hase 3 ICU ratios will apply in </w:t>
      </w:r>
      <w:r w:rsidR="00A50727" w:rsidRPr="00641B6C">
        <w:t xml:space="preserve">Level 1 and level 2 hospitals </w:t>
      </w:r>
      <w:r w:rsidR="00F46446">
        <w:t xml:space="preserve">specified in </w:t>
      </w:r>
      <w:r w:rsidR="00A50727" w:rsidRPr="00641B6C">
        <w:t xml:space="preserve">Schedule 1 to the </w:t>
      </w:r>
      <w:r w:rsidR="007627AF">
        <w:t xml:space="preserve">Principal </w:t>
      </w:r>
      <w:r w:rsidR="00A50727" w:rsidRPr="00641B6C">
        <w:t>Act w</w:t>
      </w:r>
      <w:r w:rsidR="00F46446">
        <w:t xml:space="preserve">here there is an </w:t>
      </w:r>
      <w:r w:rsidR="00A50727" w:rsidRPr="00641B6C">
        <w:t>intensive care unit</w:t>
      </w:r>
      <w:r w:rsidR="00F46446">
        <w:t>. This encompasses 2</w:t>
      </w:r>
      <w:r w:rsidR="002C6133">
        <w:t>4</w:t>
      </w:r>
      <w:r w:rsidR="00A50727" w:rsidRPr="00641B6C">
        <w:t xml:space="preserve"> hospitals across metropolitan Melbourne and regional Victoria</w:t>
      </w:r>
      <w:r w:rsidR="00204D3C">
        <w:t xml:space="preserve">. </w:t>
      </w:r>
    </w:p>
    <w:tbl>
      <w:tblPr>
        <w:tblW w:w="5829" w:type="dxa"/>
        <w:tblCellMar>
          <w:top w:w="15" w:type="dxa"/>
          <w:bottom w:w="15" w:type="dxa"/>
        </w:tblCellMar>
        <w:tblLook w:val="04A0" w:firstRow="1" w:lastRow="0" w:firstColumn="1" w:lastColumn="0" w:noHBand="0" w:noVBand="1"/>
      </w:tblPr>
      <w:tblGrid>
        <w:gridCol w:w="2342"/>
        <w:gridCol w:w="3487"/>
      </w:tblGrid>
      <w:tr w:rsidR="005C31ED" w:rsidRPr="005C31ED" w14:paraId="4E14A97D" w14:textId="77777777" w:rsidTr="00BC7F08">
        <w:trPr>
          <w:trHeight w:val="595"/>
          <w:tblHeader/>
        </w:trPr>
        <w:tc>
          <w:tcPr>
            <w:tcW w:w="2342"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6CAE9FCC" w14:textId="77777777" w:rsidR="005C31ED" w:rsidRPr="005C31ED" w:rsidRDefault="005C31ED" w:rsidP="005C31ED">
            <w:pPr>
              <w:spacing w:after="0" w:line="240" w:lineRule="auto"/>
              <w:jc w:val="center"/>
              <w:rPr>
                <w:rFonts w:cs="Arial"/>
                <w:b/>
                <w:bCs/>
                <w:color w:val="FFFFFF" w:themeColor="background1"/>
                <w:szCs w:val="21"/>
                <w:lang w:eastAsia="en-AU"/>
              </w:rPr>
            </w:pPr>
            <w:r w:rsidRPr="005C31ED">
              <w:rPr>
                <w:rFonts w:cs="Arial"/>
                <w:b/>
                <w:bCs/>
                <w:color w:val="FFFFFF" w:themeColor="background1"/>
                <w:szCs w:val="21"/>
                <w:lang w:eastAsia="en-AU"/>
              </w:rPr>
              <w:t>Hospital Level (Current Schedule 1)</w:t>
            </w:r>
          </w:p>
        </w:tc>
        <w:tc>
          <w:tcPr>
            <w:tcW w:w="3487"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023533E6" w14:textId="3EE11D01" w:rsidR="005C31ED" w:rsidRPr="005C31ED" w:rsidRDefault="005C31ED" w:rsidP="005C31ED">
            <w:pPr>
              <w:spacing w:after="0" w:line="240" w:lineRule="auto"/>
              <w:jc w:val="center"/>
              <w:rPr>
                <w:rFonts w:cs="Arial"/>
                <w:b/>
                <w:bCs/>
                <w:color w:val="FFFFFF" w:themeColor="background1"/>
                <w:szCs w:val="21"/>
                <w:lang w:eastAsia="en-AU"/>
              </w:rPr>
            </w:pPr>
            <w:r w:rsidRPr="005C31ED">
              <w:rPr>
                <w:rFonts w:cs="Arial"/>
                <w:b/>
                <w:bCs/>
                <w:color w:val="FFFFFF" w:themeColor="background1"/>
                <w:szCs w:val="21"/>
                <w:lang w:eastAsia="en-AU"/>
              </w:rPr>
              <w:t xml:space="preserve">Hospital Name as listed in the </w:t>
            </w:r>
            <w:r w:rsidR="007627AF">
              <w:rPr>
                <w:rFonts w:cs="Arial"/>
                <w:b/>
                <w:bCs/>
                <w:color w:val="FFFFFF" w:themeColor="background1"/>
                <w:szCs w:val="21"/>
                <w:lang w:eastAsia="en-AU"/>
              </w:rPr>
              <w:t xml:space="preserve">Principal </w:t>
            </w:r>
            <w:r w:rsidRPr="005C31ED">
              <w:rPr>
                <w:rFonts w:cs="Arial"/>
                <w:b/>
                <w:bCs/>
                <w:color w:val="FFFFFF" w:themeColor="background1"/>
                <w:szCs w:val="21"/>
                <w:lang w:eastAsia="en-AU"/>
              </w:rPr>
              <w:t>Act</w:t>
            </w:r>
            <w:r w:rsidR="007A3051" w:rsidRPr="00BC7F08">
              <w:rPr>
                <w:rFonts w:cs="Arial"/>
                <w:b/>
                <w:bCs/>
                <w:color w:val="FFFFFF" w:themeColor="background1"/>
                <w:szCs w:val="21"/>
                <w:lang w:eastAsia="en-AU"/>
              </w:rPr>
              <w:t xml:space="preserve"> </w:t>
            </w:r>
            <w:r w:rsidR="00AC5964" w:rsidRPr="00BC7F08">
              <w:rPr>
                <w:rFonts w:cs="Arial"/>
                <w:b/>
                <w:bCs/>
                <w:color w:val="FFFFFF" w:themeColor="background1"/>
                <w:szCs w:val="21"/>
                <w:lang w:eastAsia="en-AU"/>
              </w:rPr>
              <w:t>(</w:t>
            </w:r>
            <w:r w:rsidR="007A3051" w:rsidRPr="00BC7F08">
              <w:rPr>
                <w:rFonts w:cs="Arial"/>
                <w:b/>
                <w:bCs/>
                <w:color w:val="FFFFFF" w:themeColor="background1"/>
                <w:szCs w:val="21"/>
                <w:lang w:eastAsia="en-AU"/>
              </w:rPr>
              <w:t>pre nomenclature update</w:t>
            </w:r>
            <w:r w:rsidR="00AC5964" w:rsidRPr="00BC7F08">
              <w:rPr>
                <w:rFonts w:cs="Arial"/>
                <w:b/>
                <w:bCs/>
                <w:color w:val="FFFFFF" w:themeColor="background1"/>
                <w:szCs w:val="21"/>
                <w:lang w:eastAsia="en-AU"/>
              </w:rPr>
              <w:t>*</w:t>
            </w:r>
            <w:r w:rsidRPr="005C31ED">
              <w:rPr>
                <w:rFonts w:cs="Arial"/>
                <w:b/>
                <w:bCs/>
                <w:color w:val="FFFFFF" w:themeColor="background1"/>
                <w:szCs w:val="21"/>
                <w:lang w:eastAsia="en-AU"/>
              </w:rPr>
              <w:t>)</w:t>
            </w:r>
          </w:p>
        </w:tc>
      </w:tr>
      <w:tr w:rsidR="005C31ED" w:rsidRPr="005C31ED" w14:paraId="2FB9B6F0" w14:textId="77777777" w:rsidTr="00700188">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09B6FD54"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Level 1 hospitals</w:t>
            </w:r>
          </w:p>
        </w:tc>
        <w:tc>
          <w:tcPr>
            <w:tcW w:w="3487" w:type="dxa"/>
            <w:tcBorders>
              <w:top w:val="single" w:sz="4" w:space="0" w:color="auto"/>
              <w:left w:val="single" w:sz="4" w:space="0" w:color="auto"/>
              <w:bottom w:val="single" w:sz="4" w:space="0" w:color="auto"/>
              <w:right w:val="single" w:sz="4" w:space="0" w:color="auto"/>
            </w:tcBorders>
            <w:noWrap/>
            <w:vAlign w:val="bottom"/>
            <w:hideMark/>
          </w:tcPr>
          <w:p w14:paraId="4C212C9F"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Alfred Hospital</w:t>
            </w:r>
          </w:p>
        </w:tc>
      </w:tr>
      <w:tr w:rsidR="005C31ED" w:rsidRPr="005C31ED" w14:paraId="1E4B9FB5" w14:textId="77777777" w:rsidTr="00700188">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02ABF39A"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Level 1 hospitals</w:t>
            </w:r>
          </w:p>
        </w:tc>
        <w:tc>
          <w:tcPr>
            <w:tcW w:w="3487" w:type="dxa"/>
            <w:tcBorders>
              <w:top w:val="single" w:sz="4" w:space="0" w:color="auto"/>
              <w:left w:val="single" w:sz="4" w:space="0" w:color="auto"/>
              <w:bottom w:val="single" w:sz="4" w:space="0" w:color="auto"/>
              <w:right w:val="single" w:sz="4" w:space="0" w:color="auto"/>
            </w:tcBorders>
            <w:noWrap/>
            <w:vAlign w:val="bottom"/>
            <w:hideMark/>
          </w:tcPr>
          <w:p w14:paraId="19AD0954"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Austin Hospital</w:t>
            </w:r>
          </w:p>
        </w:tc>
      </w:tr>
      <w:tr w:rsidR="005C31ED" w:rsidRPr="005C31ED" w14:paraId="56A25036" w14:textId="77777777" w:rsidTr="00700188">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563A921C"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Level 1 hospitals</w:t>
            </w:r>
          </w:p>
        </w:tc>
        <w:tc>
          <w:tcPr>
            <w:tcW w:w="3487" w:type="dxa"/>
            <w:tcBorders>
              <w:top w:val="single" w:sz="4" w:space="0" w:color="auto"/>
              <w:left w:val="single" w:sz="4" w:space="0" w:color="auto"/>
              <w:bottom w:val="single" w:sz="4" w:space="0" w:color="auto"/>
              <w:right w:val="single" w:sz="4" w:space="0" w:color="auto"/>
            </w:tcBorders>
            <w:noWrap/>
            <w:vAlign w:val="bottom"/>
            <w:hideMark/>
          </w:tcPr>
          <w:p w14:paraId="20040E38"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Box Hill Hospital</w:t>
            </w:r>
          </w:p>
        </w:tc>
      </w:tr>
      <w:tr w:rsidR="005C31ED" w:rsidRPr="005C31ED" w14:paraId="410DFDC6" w14:textId="77777777" w:rsidTr="00700188">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2BEC079A"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Level 1 hospitals</w:t>
            </w:r>
          </w:p>
        </w:tc>
        <w:tc>
          <w:tcPr>
            <w:tcW w:w="3487" w:type="dxa"/>
            <w:tcBorders>
              <w:top w:val="single" w:sz="4" w:space="0" w:color="auto"/>
              <w:left w:val="single" w:sz="4" w:space="0" w:color="auto"/>
              <w:bottom w:val="single" w:sz="4" w:space="0" w:color="auto"/>
              <w:right w:val="single" w:sz="4" w:space="0" w:color="auto"/>
            </w:tcBorders>
            <w:noWrap/>
            <w:vAlign w:val="bottom"/>
            <w:hideMark/>
          </w:tcPr>
          <w:p w14:paraId="18EC6C93"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Casey Hospital</w:t>
            </w:r>
          </w:p>
        </w:tc>
      </w:tr>
      <w:tr w:rsidR="005C31ED" w:rsidRPr="005C31ED" w14:paraId="3B32A8A6" w14:textId="77777777" w:rsidTr="00700188">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50CD5B83"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Level 1 hospitals</w:t>
            </w:r>
          </w:p>
        </w:tc>
        <w:tc>
          <w:tcPr>
            <w:tcW w:w="3487" w:type="dxa"/>
            <w:tcBorders>
              <w:top w:val="single" w:sz="4" w:space="0" w:color="auto"/>
              <w:left w:val="single" w:sz="4" w:space="0" w:color="auto"/>
              <w:bottom w:val="single" w:sz="4" w:space="0" w:color="auto"/>
              <w:right w:val="single" w:sz="4" w:space="0" w:color="auto"/>
            </w:tcBorders>
            <w:noWrap/>
            <w:vAlign w:val="bottom"/>
            <w:hideMark/>
          </w:tcPr>
          <w:p w14:paraId="713C8E79"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Dandenong Hospital</w:t>
            </w:r>
          </w:p>
        </w:tc>
      </w:tr>
      <w:tr w:rsidR="005C31ED" w:rsidRPr="005C31ED" w14:paraId="2921026E" w14:textId="77777777" w:rsidTr="00700188">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217CC957"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Level 1 hospitals</w:t>
            </w:r>
          </w:p>
        </w:tc>
        <w:tc>
          <w:tcPr>
            <w:tcW w:w="3487" w:type="dxa"/>
            <w:tcBorders>
              <w:top w:val="single" w:sz="4" w:space="0" w:color="auto"/>
              <w:left w:val="single" w:sz="4" w:space="0" w:color="auto"/>
              <w:bottom w:val="single" w:sz="4" w:space="0" w:color="auto"/>
              <w:right w:val="single" w:sz="4" w:space="0" w:color="auto"/>
            </w:tcBorders>
            <w:noWrap/>
            <w:vAlign w:val="bottom"/>
            <w:hideMark/>
          </w:tcPr>
          <w:p w14:paraId="4B44CAB3"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Footscray Hospital</w:t>
            </w:r>
          </w:p>
        </w:tc>
      </w:tr>
      <w:tr w:rsidR="005C31ED" w:rsidRPr="005C31ED" w14:paraId="7CEDF459" w14:textId="77777777" w:rsidTr="00700188">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726701C9"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Level 1 hospitals</w:t>
            </w:r>
          </w:p>
        </w:tc>
        <w:tc>
          <w:tcPr>
            <w:tcW w:w="3487" w:type="dxa"/>
            <w:tcBorders>
              <w:top w:val="single" w:sz="4" w:space="0" w:color="auto"/>
              <w:left w:val="single" w:sz="4" w:space="0" w:color="auto"/>
              <w:bottom w:val="single" w:sz="4" w:space="0" w:color="auto"/>
              <w:right w:val="single" w:sz="4" w:space="0" w:color="auto"/>
            </w:tcBorders>
            <w:noWrap/>
            <w:vAlign w:val="bottom"/>
            <w:hideMark/>
          </w:tcPr>
          <w:p w14:paraId="74BC7553"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Frankston Hospital</w:t>
            </w:r>
          </w:p>
        </w:tc>
      </w:tr>
      <w:tr w:rsidR="005C31ED" w:rsidRPr="005C31ED" w14:paraId="4F98DC40" w14:textId="77777777" w:rsidTr="00700188">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4FC3FCA2"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Level 1 hospitals</w:t>
            </w:r>
          </w:p>
        </w:tc>
        <w:tc>
          <w:tcPr>
            <w:tcW w:w="3487" w:type="dxa"/>
            <w:tcBorders>
              <w:top w:val="single" w:sz="4" w:space="0" w:color="auto"/>
              <w:left w:val="single" w:sz="4" w:space="0" w:color="auto"/>
              <w:bottom w:val="single" w:sz="4" w:space="0" w:color="auto"/>
              <w:right w:val="single" w:sz="4" w:space="0" w:color="auto"/>
            </w:tcBorders>
            <w:noWrap/>
            <w:vAlign w:val="bottom"/>
            <w:hideMark/>
          </w:tcPr>
          <w:p w14:paraId="2CBFA7E6"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Monash Children's Hospital</w:t>
            </w:r>
          </w:p>
        </w:tc>
      </w:tr>
      <w:tr w:rsidR="005C31ED" w:rsidRPr="005C31ED" w14:paraId="25B5AA97" w14:textId="77777777" w:rsidTr="00700188">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364657D8"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Level 1 hospitals</w:t>
            </w:r>
          </w:p>
        </w:tc>
        <w:tc>
          <w:tcPr>
            <w:tcW w:w="3487" w:type="dxa"/>
            <w:tcBorders>
              <w:top w:val="single" w:sz="4" w:space="0" w:color="auto"/>
              <w:left w:val="single" w:sz="4" w:space="0" w:color="auto"/>
              <w:bottom w:val="single" w:sz="4" w:space="0" w:color="auto"/>
              <w:right w:val="single" w:sz="4" w:space="0" w:color="auto"/>
            </w:tcBorders>
            <w:noWrap/>
            <w:vAlign w:val="bottom"/>
            <w:hideMark/>
          </w:tcPr>
          <w:p w14:paraId="43A4D615"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Monash Medical Centre (Clayton)</w:t>
            </w:r>
          </w:p>
        </w:tc>
      </w:tr>
      <w:tr w:rsidR="005C31ED" w:rsidRPr="005C31ED" w14:paraId="1988BBD9" w14:textId="77777777" w:rsidTr="00700188">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455E16DB"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Level 1 hospitals</w:t>
            </w:r>
          </w:p>
        </w:tc>
        <w:tc>
          <w:tcPr>
            <w:tcW w:w="3487" w:type="dxa"/>
            <w:tcBorders>
              <w:top w:val="single" w:sz="4" w:space="0" w:color="auto"/>
              <w:left w:val="single" w:sz="4" w:space="0" w:color="auto"/>
              <w:bottom w:val="single" w:sz="4" w:space="0" w:color="auto"/>
              <w:right w:val="single" w:sz="4" w:space="0" w:color="auto"/>
            </w:tcBorders>
            <w:noWrap/>
            <w:vAlign w:val="bottom"/>
            <w:hideMark/>
          </w:tcPr>
          <w:p w14:paraId="459FABA5"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Northern Hospital</w:t>
            </w:r>
          </w:p>
        </w:tc>
      </w:tr>
      <w:tr w:rsidR="005C31ED" w:rsidRPr="005C31ED" w14:paraId="6B6EE20A" w14:textId="77777777" w:rsidTr="00700188">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2D9B44AE"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Level 1 hospitals</w:t>
            </w:r>
          </w:p>
        </w:tc>
        <w:tc>
          <w:tcPr>
            <w:tcW w:w="3487" w:type="dxa"/>
            <w:tcBorders>
              <w:top w:val="single" w:sz="4" w:space="0" w:color="auto"/>
              <w:left w:val="single" w:sz="4" w:space="0" w:color="auto"/>
              <w:bottom w:val="single" w:sz="4" w:space="0" w:color="auto"/>
              <w:right w:val="single" w:sz="4" w:space="0" w:color="auto"/>
            </w:tcBorders>
            <w:noWrap/>
            <w:vAlign w:val="bottom"/>
            <w:hideMark/>
          </w:tcPr>
          <w:p w14:paraId="38A6A0AD"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St Vincent's Hospital</w:t>
            </w:r>
          </w:p>
        </w:tc>
      </w:tr>
      <w:tr w:rsidR="005C31ED" w:rsidRPr="005C31ED" w14:paraId="2A25D078" w14:textId="77777777" w:rsidTr="00700188">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17E287A1"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Level 1 hospitals</w:t>
            </w:r>
          </w:p>
        </w:tc>
        <w:tc>
          <w:tcPr>
            <w:tcW w:w="3487" w:type="dxa"/>
            <w:tcBorders>
              <w:top w:val="single" w:sz="4" w:space="0" w:color="auto"/>
              <w:left w:val="single" w:sz="4" w:space="0" w:color="auto"/>
              <w:bottom w:val="single" w:sz="4" w:space="0" w:color="auto"/>
              <w:right w:val="single" w:sz="4" w:space="0" w:color="auto"/>
            </w:tcBorders>
            <w:noWrap/>
            <w:vAlign w:val="bottom"/>
            <w:hideMark/>
          </w:tcPr>
          <w:p w14:paraId="6879F7D7"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Sunshine Hospital</w:t>
            </w:r>
          </w:p>
        </w:tc>
      </w:tr>
      <w:tr w:rsidR="005C31ED" w:rsidRPr="005C31ED" w14:paraId="0F8005DC" w14:textId="77777777" w:rsidTr="00700188">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07BB4B83"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Level 1 hospitals</w:t>
            </w:r>
          </w:p>
        </w:tc>
        <w:tc>
          <w:tcPr>
            <w:tcW w:w="3487" w:type="dxa"/>
            <w:tcBorders>
              <w:top w:val="single" w:sz="4" w:space="0" w:color="auto"/>
              <w:left w:val="single" w:sz="4" w:space="0" w:color="auto"/>
              <w:bottom w:val="single" w:sz="4" w:space="0" w:color="auto"/>
              <w:right w:val="single" w:sz="4" w:space="0" w:color="auto"/>
            </w:tcBorders>
            <w:noWrap/>
            <w:vAlign w:val="bottom"/>
            <w:hideMark/>
          </w:tcPr>
          <w:p w14:paraId="374C91BE"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The Royal Children's Hospital</w:t>
            </w:r>
          </w:p>
        </w:tc>
      </w:tr>
      <w:tr w:rsidR="005C31ED" w:rsidRPr="005C31ED" w14:paraId="6A91F323" w14:textId="77777777" w:rsidTr="00700188">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3D6D889D"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Level 1 hospitals</w:t>
            </w:r>
          </w:p>
        </w:tc>
        <w:tc>
          <w:tcPr>
            <w:tcW w:w="3487" w:type="dxa"/>
            <w:tcBorders>
              <w:top w:val="single" w:sz="4" w:space="0" w:color="auto"/>
              <w:left w:val="single" w:sz="4" w:space="0" w:color="auto"/>
              <w:bottom w:val="single" w:sz="4" w:space="0" w:color="auto"/>
              <w:right w:val="single" w:sz="4" w:space="0" w:color="auto"/>
            </w:tcBorders>
            <w:noWrap/>
            <w:vAlign w:val="bottom"/>
            <w:hideMark/>
          </w:tcPr>
          <w:p w14:paraId="2E1EB1A6"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The Royal Melbourne Hospital</w:t>
            </w:r>
          </w:p>
        </w:tc>
      </w:tr>
      <w:tr w:rsidR="005C31ED" w:rsidRPr="005C31ED" w14:paraId="2F83A156" w14:textId="77777777" w:rsidTr="00700188">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7C296AA4"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Level 1 hospitals</w:t>
            </w:r>
          </w:p>
        </w:tc>
        <w:tc>
          <w:tcPr>
            <w:tcW w:w="3487" w:type="dxa"/>
            <w:tcBorders>
              <w:top w:val="single" w:sz="4" w:space="0" w:color="auto"/>
              <w:left w:val="single" w:sz="4" w:space="0" w:color="auto"/>
              <w:bottom w:val="single" w:sz="4" w:space="0" w:color="auto"/>
              <w:right w:val="single" w:sz="4" w:space="0" w:color="auto"/>
            </w:tcBorders>
            <w:noWrap/>
            <w:vAlign w:val="bottom"/>
            <w:hideMark/>
          </w:tcPr>
          <w:p w14:paraId="5BED091E"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University Hospital Geelong</w:t>
            </w:r>
          </w:p>
        </w:tc>
      </w:tr>
      <w:tr w:rsidR="005C31ED" w:rsidRPr="005C31ED" w14:paraId="14110207" w14:textId="77777777" w:rsidTr="00700188">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67D1271F"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Level 2 hospitals</w:t>
            </w:r>
          </w:p>
        </w:tc>
        <w:tc>
          <w:tcPr>
            <w:tcW w:w="3487" w:type="dxa"/>
            <w:tcBorders>
              <w:top w:val="single" w:sz="4" w:space="0" w:color="auto"/>
              <w:left w:val="nil"/>
              <w:bottom w:val="single" w:sz="4" w:space="0" w:color="auto"/>
              <w:right w:val="single" w:sz="4" w:space="0" w:color="auto"/>
            </w:tcBorders>
            <w:noWrap/>
            <w:vAlign w:val="bottom"/>
            <w:hideMark/>
          </w:tcPr>
          <w:p w14:paraId="5DD6CA05"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Ballarat Base Hospital</w:t>
            </w:r>
          </w:p>
        </w:tc>
      </w:tr>
      <w:tr w:rsidR="005C31ED" w:rsidRPr="005C31ED" w14:paraId="62EC0744" w14:textId="77777777" w:rsidTr="00700188">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6B8782B5"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Level 2 hospitals</w:t>
            </w:r>
          </w:p>
        </w:tc>
        <w:tc>
          <w:tcPr>
            <w:tcW w:w="3487" w:type="dxa"/>
            <w:tcBorders>
              <w:top w:val="single" w:sz="4" w:space="0" w:color="auto"/>
              <w:left w:val="nil"/>
              <w:bottom w:val="single" w:sz="4" w:space="0" w:color="auto"/>
              <w:right w:val="single" w:sz="4" w:space="0" w:color="auto"/>
            </w:tcBorders>
            <w:noWrap/>
            <w:vAlign w:val="bottom"/>
            <w:hideMark/>
          </w:tcPr>
          <w:p w14:paraId="48AE547C"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Bendigo Hospital</w:t>
            </w:r>
          </w:p>
        </w:tc>
      </w:tr>
      <w:tr w:rsidR="005C31ED" w:rsidRPr="005C31ED" w14:paraId="70B8892F" w14:textId="77777777" w:rsidTr="00700188">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13DF9CF7"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Level 2 hospitals</w:t>
            </w:r>
          </w:p>
        </w:tc>
        <w:tc>
          <w:tcPr>
            <w:tcW w:w="3487" w:type="dxa"/>
            <w:tcBorders>
              <w:top w:val="single" w:sz="4" w:space="0" w:color="auto"/>
              <w:left w:val="nil"/>
              <w:bottom w:val="single" w:sz="4" w:space="0" w:color="auto"/>
              <w:right w:val="single" w:sz="4" w:space="0" w:color="auto"/>
            </w:tcBorders>
            <w:noWrap/>
            <w:vAlign w:val="bottom"/>
            <w:hideMark/>
          </w:tcPr>
          <w:p w14:paraId="04955A5E"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Goulburn Valley Health</w:t>
            </w:r>
          </w:p>
        </w:tc>
      </w:tr>
      <w:tr w:rsidR="005C31ED" w:rsidRPr="005C31ED" w14:paraId="64343A5F" w14:textId="77777777" w:rsidTr="00700188">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7273C363"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Level 2 hospitals</w:t>
            </w:r>
          </w:p>
        </w:tc>
        <w:tc>
          <w:tcPr>
            <w:tcW w:w="3487" w:type="dxa"/>
            <w:tcBorders>
              <w:top w:val="single" w:sz="4" w:space="0" w:color="auto"/>
              <w:left w:val="nil"/>
              <w:bottom w:val="single" w:sz="4" w:space="0" w:color="auto"/>
              <w:right w:val="single" w:sz="4" w:space="0" w:color="auto"/>
            </w:tcBorders>
            <w:noWrap/>
            <w:vAlign w:val="bottom"/>
            <w:hideMark/>
          </w:tcPr>
          <w:p w14:paraId="5E1B9BC8"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Latrobe Regional Hospital</w:t>
            </w:r>
          </w:p>
        </w:tc>
      </w:tr>
      <w:tr w:rsidR="005C31ED" w:rsidRPr="005C31ED" w14:paraId="5C021E66" w14:textId="77777777" w:rsidTr="00700188">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42B02BDF"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Level 2 hospitals</w:t>
            </w:r>
          </w:p>
        </w:tc>
        <w:tc>
          <w:tcPr>
            <w:tcW w:w="3487" w:type="dxa"/>
            <w:tcBorders>
              <w:top w:val="single" w:sz="4" w:space="0" w:color="auto"/>
              <w:left w:val="nil"/>
              <w:bottom w:val="single" w:sz="4" w:space="0" w:color="auto"/>
              <w:right w:val="single" w:sz="4" w:space="0" w:color="auto"/>
            </w:tcBorders>
            <w:noWrap/>
            <w:vAlign w:val="bottom"/>
            <w:hideMark/>
          </w:tcPr>
          <w:p w14:paraId="7B8FF049"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Maroondah Hospital</w:t>
            </w:r>
          </w:p>
        </w:tc>
      </w:tr>
      <w:tr w:rsidR="005C31ED" w:rsidRPr="005C31ED" w14:paraId="0A05B0EE" w14:textId="77777777" w:rsidTr="00700188">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58550EE3"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Level 2 hospitals</w:t>
            </w:r>
          </w:p>
        </w:tc>
        <w:tc>
          <w:tcPr>
            <w:tcW w:w="3487" w:type="dxa"/>
            <w:tcBorders>
              <w:top w:val="single" w:sz="4" w:space="0" w:color="auto"/>
              <w:left w:val="nil"/>
              <w:bottom w:val="single" w:sz="4" w:space="0" w:color="auto"/>
              <w:right w:val="single" w:sz="4" w:space="0" w:color="auto"/>
            </w:tcBorders>
            <w:noWrap/>
            <w:vAlign w:val="bottom"/>
            <w:hideMark/>
          </w:tcPr>
          <w:p w14:paraId="52290084"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New Mildura Base Hospital</w:t>
            </w:r>
          </w:p>
        </w:tc>
      </w:tr>
      <w:tr w:rsidR="005C31ED" w:rsidRPr="005C31ED" w14:paraId="67384586" w14:textId="77777777" w:rsidTr="00700188">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1761604C"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Level 2 hospitals</w:t>
            </w:r>
          </w:p>
        </w:tc>
        <w:tc>
          <w:tcPr>
            <w:tcW w:w="3487" w:type="dxa"/>
            <w:tcBorders>
              <w:top w:val="single" w:sz="4" w:space="0" w:color="auto"/>
              <w:left w:val="nil"/>
              <w:bottom w:val="single" w:sz="4" w:space="0" w:color="auto"/>
              <w:right w:val="single" w:sz="4" w:space="0" w:color="auto"/>
            </w:tcBorders>
            <w:noWrap/>
            <w:vAlign w:val="bottom"/>
            <w:hideMark/>
          </w:tcPr>
          <w:p w14:paraId="0DB8022E"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Northeast Health Wangaratta</w:t>
            </w:r>
          </w:p>
        </w:tc>
      </w:tr>
      <w:tr w:rsidR="005C31ED" w:rsidRPr="005C31ED" w14:paraId="2AAB6446" w14:textId="77777777" w:rsidTr="00700188">
        <w:trPr>
          <w:trHeight w:val="320"/>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74D002F6"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Level 2 hospitals</w:t>
            </w:r>
          </w:p>
        </w:tc>
        <w:tc>
          <w:tcPr>
            <w:tcW w:w="3487" w:type="dxa"/>
            <w:tcBorders>
              <w:top w:val="single" w:sz="4" w:space="0" w:color="auto"/>
              <w:left w:val="nil"/>
              <w:bottom w:val="single" w:sz="4" w:space="0" w:color="auto"/>
              <w:right w:val="single" w:sz="4" w:space="0" w:color="auto"/>
            </w:tcBorders>
            <w:noWrap/>
            <w:vAlign w:val="bottom"/>
            <w:hideMark/>
          </w:tcPr>
          <w:p w14:paraId="6B0E9D09"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Warrnambool Base Hospital</w:t>
            </w:r>
          </w:p>
        </w:tc>
      </w:tr>
      <w:tr w:rsidR="005C31ED" w:rsidRPr="005C31ED" w14:paraId="239D9EB9" w14:textId="77777777" w:rsidTr="00700188">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0C328A9A"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Level 2 hospitals</w:t>
            </w:r>
          </w:p>
        </w:tc>
        <w:tc>
          <w:tcPr>
            <w:tcW w:w="3487" w:type="dxa"/>
            <w:tcBorders>
              <w:top w:val="single" w:sz="4" w:space="0" w:color="auto"/>
              <w:left w:val="single" w:sz="4" w:space="0" w:color="auto"/>
              <w:bottom w:val="single" w:sz="4" w:space="0" w:color="auto"/>
              <w:right w:val="single" w:sz="4" w:space="0" w:color="auto"/>
            </w:tcBorders>
            <w:noWrap/>
            <w:vAlign w:val="bottom"/>
            <w:hideMark/>
          </w:tcPr>
          <w:p w14:paraId="09FC0021" w14:textId="77777777" w:rsidR="005C31ED" w:rsidRPr="005C31ED" w:rsidRDefault="005C31ED" w:rsidP="005C31ED">
            <w:pPr>
              <w:spacing w:after="0" w:line="240" w:lineRule="auto"/>
              <w:rPr>
                <w:rFonts w:cs="Arial"/>
                <w:color w:val="000000"/>
                <w:szCs w:val="21"/>
                <w:lang w:eastAsia="en-AU"/>
              </w:rPr>
            </w:pPr>
            <w:r w:rsidRPr="005C31ED">
              <w:rPr>
                <w:rFonts w:cs="Arial"/>
                <w:color w:val="000000"/>
                <w:szCs w:val="21"/>
                <w:lang w:eastAsia="en-AU"/>
              </w:rPr>
              <w:t>Werribee Mercy Hospital</w:t>
            </w:r>
          </w:p>
        </w:tc>
      </w:tr>
    </w:tbl>
    <w:p w14:paraId="2CD22D1D" w14:textId="77777777" w:rsidR="000A501A" w:rsidRDefault="000A501A" w:rsidP="000A501A">
      <w:pPr>
        <w:pStyle w:val="Body"/>
      </w:pPr>
    </w:p>
    <w:p w14:paraId="50E266F5" w14:textId="78D4226D" w:rsidR="00414D3C" w:rsidRPr="007E241A" w:rsidRDefault="00996E55" w:rsidP="007E241A">
      <w:pPr>
        <w:pStyle w:val="Body"/>
        <w:rPr>
          <w:szCs w:val="21"/>
        </w:rPr>
      </w:pPr>
      <w:r w:rsidRPr="007E241A">
        <w:rPr>
          <w:szCs w:val="21"/>
        </w:rPr>
        <w:t xml:space="preserve">It is noted that </w:t>
      </w:r>
      <w:r w:rsidR="00C43416" w:rsidRPr="007E241A">
        <w:rPr>
          <w:szCs w:val="21"/>
        </w:rPr>
        <w:t xml:space="preserve">several </w:t>
      </w:r>
      <w:r w:rsidR="00850A79" w:rsidRPr="007E241A">
        <w:rPr>
          <w:szCs w:val="21"/>
        </w:rPr>
        <w:t xml:space="preserve">hospitals listed in </w:t>
      </w:r>
      <w:r w:rsidR="004A7EF8" w:rsidRPr="007E241A">
        <w:rPr>
          <w:szCs w:val="21"/>
        </w:rPr>
        <w:t xml:space="preserve">Schedule 1 </w:t>
      </w:r>
      <w:r w:rsidR="006D1570" w:rsidRPr="007E241A">
        <w:rPr>
          <w:szCs w:val="21"/>
        </w:rPr>
        <w:t>to</w:t>
      </w:r>
      <w:r w:rsidR="004A7EF8" w:rsidRPr="007E241A">
        <w:rPr>
          <w:szCs w:val="21"/>
        </w:rPr>
        <w:t xml:space="preserve"> </w:t>
      </w:r>
      <w:r w:rsidR="00850A79" w:rsidRPr="007E241A">
        <w:rPr>
          <w:szCs w:val="21"/>
        </w:rPr>
        <w:t xml:space="preserve">the </w:t>
      </w:r>
      <w:r w:rsidR="006D1570" w:rsidRPr="007E241A">
        <w:rPr>
          <w:szCs w:val="21"/>
        </w:rPr>
        <w:t xml:space="preserve">Principal </w:t>
      </w:r>
      <w:r w:rsidR="00850A79" w:rsidRPr="007E241A">
        <w:rPr>
          <w:szCs w:val="21"/>
        </w:rPr>
        <w:t>Act do not currently have an ICU so will not be subject to the ICU ratios</w:t>
      </w:r>
      <w:r w:rsidR="006D1570" w:rsidRPr="007E241A">
        <w:rPr>
          <w:szCs w:val="21"/>
        </w:rPr>
        <w:t xml:space="preserve"> at this time</w:t>
      </w:r>
      <w:r w:rsidR="00850A79" w:rsidRPr="007E241A">
        <w:rPr>
          <w:szCs w:val="21"/>
        </w:rPr>
        <w:t xml:space="preserve">. </w:t>
      </w:r>
      <w:r w:rsidR="00E03EF5" w:rsidRPr="007E241A">
        <w:rPr>
          <w:szCs w:val="21"/>
        </w:rPr>
        <w:t xml:space="preserve">These hospitals </w:t>
      </w:r>
      <w:r w:rsidR="007E241A" w:rsidRPr="007E241A">
        <w:rPr>
          <w:szCs w:val="21"/>
        </w:rPr>
        <w:t>include</w:t>
      </w:r>
      <w:r w:rsidR="00E03EF5" w:rsidRPr="007E241A">
        <w:rPr>
          <w:szCs w:val="21"/>
        </w:rPr>
        <w:t xml:space="preserve"> </w:t>
      </w:r>
      <w:r w:rsidR="00061A63" w:rsidRPr="007E241A">
        <w:rPr>
          <w:szCs w:val="21"/>
        </w:rPr>
        <w:t xml:space="preserve">Level 1 </w:t>
      </w:r>
      <w:r w:rsidRPr="007E241A">
        <w:rPr>
          <w:szCs w:val="21"/>
        </w:rPr>
        <w:t>hospitals</w:t>
      </w:r>
      <w:r w:rsidR="00E03EF5" w:rsidRPr="007E241A">
        <w:rPr>
          <w:szCs w:val="21"/>
        </w:rPr>
        <w:t xml:space="preserve">; </w:t>
      </w:r>
      <w:r w:rsidRPr="007E241A">
        <w:rPr>
          <w:szCs w:val="21"/>
        </w:rPr>
        <w:t>Heidelberg Repatriation Hospital</w:t>
      </w:r>
      <w:r w:rsidR="00061A63" w:rsidRPr="007E241A">
        <w:rPr>
          <w:szCs w:val="21"/>
        </w:rPr>
        <w:t xml:space="preserve"> and </w:t>
      </w:r>
      <w:r w:rsidR="00F968A8">
        <w:rPr>
          <w:szCs w:val="21"/>
        </w:rPr>
        <w:t xml:space="preserve">the </w:t>
      </w:r>
      <w:r w:rsidR="00061A63" w:rsidRPr="007E241A">
        <w:rPr>
          <w:szCs w:val="21"/>
        </w:rPr>
        <w:t>Peter MacCallum Cancer Centre</w:t>
      </w:r>
      <w:r w:rsidR="00E03EF5" w:rsidRPr="007E241A">
        <w:rPr>
          <w:szCs w:val="21"/>
        </w:rPr>
        <w:t xml:space="preserve"> and </w:t>
      </w:r>
      <w:r w:rsidR="00061A63" w:rsidRPr="007E241A">
        <w:rPr>
          <w:szCs w:val="21"/>
        </w:rPr>
        <w:t>Level 2 hospitals</w:t>
      </w:r>
      <w:r w:rsidR="00E03EF5" w:rsidRPr="007E241A">
        <w:rPr>
          <w:szCs w:val="21"/>
        </w:rPr>
        <w:t xml:space="preserve">; </w:t>
      </w:r>
      <w:r w:rsidR="00414D3C" w:rsidRPr="007E241A">
        <w:rPr>
          <w:szCs w:val="21"/>
        </w:rPr>
        <w:t>Mercy Hospital for Women, The Royal Women's Hospital</w:t>
      </w:r>
      <w:r w:rsidR="004A7EF8" w:rsidRPr="007E241A">
        <w:rPr>
          <w:szCs w:val="21"/>
        </w:rPr>
        <w:t>.</w:t>
      </w:r>
      <w:r w:rsidR="006D1570" w:rsidRPr="007E241A">
        <w:rPr>
          <w:szCs w:val="21"/>
        </w:rPr>
        <w:t xml:space="preserve"> </w:t>
      </w:r>
    </w:p>
    <w:p w14:paraId="7BA322A4" w14:textId="77777777" w:rsidR="00414D3C" w:rsidRDefault="00414D3C" w:rsidP="000A501A">
      <w:pPr>
        <w:pStyle w:val="Body"/>
      </w:pPr>
    </w:p>
    <w:p w14:paraId="02A770D1" w14:textId="4CCE990C" w:rsidR="000621FF" w:rsidRDefault="000621FF" w:rsidP="000621FF">
      <w:pPr>
        <w:pStyle w:val="Heading2"/>
      </w:pPr>
      <w:bookmarkStart w:id="20" w:name="_Toc194310950"/>
      <w:r>
        <w:lastRenderedPageBreak/>
        <w:t>Emergency department ratios</w:t>
      </w:r>
      <w:bookmarkEnd w:id="20"/>
    </w:p>
    <w:p w14:paraId="293D9819" w14:textId="05538F78" w:rsidR="00A50727" w:rsidRDefault="00B074A2" w:rsidP="005D41EB">
      <w:pPr>
        <w:pStyle w:val="Body"/>
      </w:pPr>
      <w:r>
        <w:t>Phase 3 amendments will apply in h</w:t>
      </w:r>
      <w:r w:rsidR="00A50727" w:rsidRPr="00641B6C">
        <w:t xml:space="preserve">ospitals with emergency departments outlined in Part 1 in Schedule 3 to the </w:t>
      </w:r>
      <w:r w:rsidR="007627AF">
        <w:t xml:space="preserve">Principal </w:t>
      </w:r>
      <w:r w:rsidR="00A50727" w:rsidRPr="00641B6C">
        <w:t>Act</w:t>
      </w:r>
      <w:r>
        <w:t xml:space="preserve">. This encompasses </w:t>
      </w:r>
      <w:r w:rsidR="00A50727" w:rsidRPr="00641B6C">
        <w:t>22 hospitals across metropolitan Melbourne and regional Victoria</w:t>
      </w:r>
      <w:r w:rsidR="00385D2F">
        <w:t xml:space="preserve">. </w:t>
      </w:r>
    </w:p>
    <w:tbl>
      <w:tblPr>
        <w:tblW w:w="7360" w:type="dxa"/>
        <w:tblCellMar>
          <w:top w:w="15" w:type="dxa"/>
          <w:bottom w:w="15" w:type="dxa"/>
        </w:tblCellMar>
        <w:tblLook w:val="04A0" w:firstRow="1" w:lastRow="0" w:firstColumn="1" w:lastColumn="0" w:noHBand="0" w:noVBand="1"/>
      </w:tblPr>
      <w:tblGrid>
        <w:gridCol w:w="2841"/>
        <w:gridCol w:w="4519"/>
      </w:tblGrid>
      <w:tr w:rsidR="00F1203F" w:rsidRPr="00F1203F" w14:paraId="3D063DA7" w14:textId="77777777" w:rsidTr="00BC7F08">
        <w:trPr>
          <w:trHeight w:val="585"/>
          <w:tblHeader/>
        </w:trPr>
        <w:tc>
          <w:tcPr>
            <w:tcW w:w="2841"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10C62953" w14:textId="6E8B6629" w:rsidR="00F1203F" w:rsidRPr="00F1203F" w:rsidRDefault="00F1203F" w:rsidP="00F1203F">
            <w:pPr>
              <w:spacing w:after="0" w:line="240" w:lineRule="auto"/>
              <w:jc w:val="center"/>
              <w:rPr>
                <w:rFonts w:cs="Arial"/>
                <w:b/>
                <w:bCs/>
                <w:color w:val="FFFFFF" w:themeColor="background1"/>
                <w:szCs w:val="21"/>
                <w:lang w:eastAsia="en-AU"/>
              </w:rPr>
            </w:pPr>
            <w:r w:rsidRPr="00F1203F">
              <w:rPr>
                <w:rFonts w:cs="Arial"/>
                <w:b/>
                <w:bCs/>
                <w:color w:val="FFFFFF" w:themeColor="background1"/>
                <w:szCs w:val="21"/>
                <w:lang w:eastAsia="en-AU"/>
              </w:rPr>
              <w:t xml:space="preserve">Hospital Level </w:t>
            </w:r>
            <w:r w:rsidR="00406B11" w:rsidRPr="00BC7F08">
              <w:rPr>
                <w:rFonts w:cs="Arial"/>
                <w:b/>
                <w:bCs/>
                <w:color w:val="FFFFFF" w:themeColor="background1"/>
                <w:szCs w:val="21"/>
                <w:lang w:eastAsia="en-AU"/>
              </w:rPr>
              <w:t>(</w:t>
            </w:r>
            <w:r w:rsidRPr="00F1203F">
              <w:rPr>
                <w:rFonts w:cs="Arial"/>
                <w:b/>
                <w:bCs/>
                <w:color w:val="FFFFFF" w:themeColor="background1"/>
                <w:szCs w:val="21"/>
                <w:lang w:eastAsia="en-AU"/>
              </w:rPr>
              <w:t>Schedule 3, Part 1)</w:t>
            </w:r>
          </w:p>
        </w:tc>
        <w:tc>
          <w:tcPr>
            <w:tcW w:w="4519"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1D2C069C" w14:textId="3230EEC4" w:rsidR="00F1203F" w:rsidRPr="00F1203F" w:rsidRDefault="00F1203F" w:rsidP="00F1203F">
            <w:pPr>
              <w:spacing w:after="0" w:line="240" w:lineRule="auto"/>
              <w:jc w:val="center"/>
              <w:rPr>
                <w:rFonts w:cs="Arial"/>
                <w:b/>
                <w:bCs/>
                <w:color w:val="FFFFFF" w:themeColor="background1"/>
                <w:szCs w:val="21"/>
                <w:lang w:eastAsia="en-AU"/>
              </w:rPr>
            </w:pPr>
            <w:r w:rsidRPr="00F1203F">
              <w:rPr>
                <w:rFonts w:cs="Arial"/>
                <w:b/>
                <w:bCs/>
                <w:color w:val="FFFFFF" w:themeColor="background1"/>
                <w:szCs w:val="21"/>
                <w:lang w:eastAsia="en-AU"/>
              </w:rPr>
              <w:t xml:space="preserve">Hospital (as listed in the </w:t>
            </w:r>
            <w:r w:rsidR="007627AF">
              <w:rPr>
                <w:rFonts w:cs="Arial"/>
                <w:b/>
                <w:bCs/>
                <w:color w:val="FFFFFF" w:themeColor="background1"/>
                <w:szCs w:val="21"/>
                <w:lang w:eastAsia="en-AU"/>
              </w:rPr>
              <w:t xml:space="preserve">Principal </w:t>
            </w:r>
            <w:r w:rsidRPr="00F1203F">
              <w:rPr>
                <w:rFonts w:cs="Arial"/>
                <w:b/>
                <w:bCs/>
                <w:color w:val="FFFFFF" w:themeColor="background1"/>
                <w:szCs w:val="21"/>
                <w:lang w:eastAsia="en-AU"/>
              </w:rPr>
              <w:t>Act</w:t>
            </w:r>
            <w:r w:rsidRPr="00BC7F08">
              <w:rPr>
                <w:rFonts w:cs="Arial"/>
                <w:b/>
                <w:bCs/>
                <w:color w:val="FFFFFF" w:themeColor="background1"/>
                <w:szCs w:val="21"/>
                <w:lang w:eastAsia="en-AU"/>
              </w:rPr>
              <w:t xml:space="preserve"> pre nomenclature update</w:t>
            </w:r>
            <w:r w:rsidR="00AC5964" w:rsidRPr="00BC7F08">
              <w:rPr>
                <w:rFonts w:cs="Arial"/>
                <w:b/>
                <w:bCs/>
                <w:color w:val="FFFFFF" w:themeColor="background1"/>
                <w:szCs w:val="21"/>
                <w:lang w:eastAsia="en-AU"/>
              </w:rPr>
              <w:t>*</w:t>
            </w:r>
            <w:r w:rsidRPr="005C31ED">
              <w:rPr>
                <w:rFonts w:cs="Arial"/>
                <w:b/>
                <w:bCs/>
                <w:color w:val="FFFFFF" w:themeColor="background1"/>
                <w:szCs w:val="21"/>
                <w:lang w:eastAsia="en-AU"/>
              </w:rPr>
              <w:t>)</w:t>
            </w:r>
          </w:p>
        </w:tc>
      </w:tr>
      <w:tr w:rsidR="00F1203F" w:rsidRPr="00F1203F" w14:paraId="72696A2C" w14:textId="77777777" w:rsidTr="00700188">
        <w:trPr>
          <w:trHeight w:val="315"/>
          <w:tblHeader/>
        </w:trPr>
        <w:tc>
          <w:tcPr>
            <w:tcW w:w="2841" w:type="dxa"/>
            <w:tcBorders>
              <w:top w:val="single" w:sz="4" w:space="0" w:color="auto"/>
              <w:left w:val="single" w:sz="4" w:space="0" w:color="auto"/>
              <w:bottom w:val="single" w:sz="4" w:space="0" w:color="auto"/>
              <w:right w:val="single" w:sz="4" w:space="0" w:color="auto"/>
            </w:tcBorders>
            <w:noWrap/>
            <w:vAlign w:val="bottom"/>
            <w:hideMark/>
          </w:tcPr>
          <w:p w14:paraId="3378053D" w14:textId="77777777" w:rsidR="00F1203F" w:rsidRPr="00F1203F" w:rsidRDefault="00F1203F" w:rsidP="00F1203F">
            <w:pPr>
              <w:spacing w:after="0" w:line="240" w:lineRule="auto"/>
              <w:jc w:val="center"/>
              <w:rPr>
                <w:rFonts w:cs="Arial"/>
                <w:color w:val="000000"/>
                <w:szCs w:val="21"/>
                <w:lang w:eastAsia="en-AU"/>
              </w:rPr>
            </w:pPr>
            <w:r w:rsidRPr="00F1203F">
              <w:rPr>
                <w:rFonts w:cs="Arial"/>
                <w:color w:val="000000"/>
                <w:szCs w:val="21"/>
                <w:lang w:eastAsia="en-AU"/>
              </w:rPr>
              <w:t>1</w:t>
            </w:r>
          </w:p>
        </w:tc>
        <w:tc>
          <w:tcPr>
            <w:tcW w:w="4519" w:type="dxa"/>
            <w:tcBorders>
              <w:top w:val="single" w:sz="4" w:space="0" w:color="auto"/>
              <w:left w:val="single" w:sz="4" w:space="0" w:color="auto"/>
              <w:bottom w:val="single" w:sz="4" w:space="0" w:color="auto"/>
              <w:right w:val="single" w:sz="4" w:space="0" w:color="auto"/>
            </w:tcBorders>
            <w:noWrap/>
            <w:vAlign w:val="center"/>
            <w:hideMark/>
          </w:tcPr>
          <w:p w14:paraId="1E6DB946" w14:textId="77777777" w:rsidR="00F1203F" w:rsidRPr="00F1203F" w:rsidRDefault="00F1203F" w:rsidP="00F1203F">
            <w:pPr>
              <w:spacing w:after="0" w:line="240" w:lineRule="auto"/>
              <w:rPr>
                <w:rFonts w:cs="Arial"/>
                <w:color w:val="000000"/>
                <w:szCs w:val="21"/>
                <w:lang w:eastAsia="en-AU"/>
              </w:rPr>
            </w:pPr>
            <w:r w:rsidRPr="00F1203F">
              <w:rPr>
                <w:rFonts w:cs="Arial"/>
                <w:color w:val="000000"/>
                <w:szCs w:val="21"/>
                <w:lang w:eastAsia="en-AU"/>
              </w:rPr>
              <w:t>Alfred Hospital</w:t>
            </w:r>
          </w:p>
        </w:tc>
      </w:tr>
      <w:tr w:rsidR="00F1203F" w:rsidRPr="00F1203F" w14:paraId="04123490" w14:textId="77777777" w:rsidTr="00700188">
        <w:trPr>
          <w:trHeight w:val="315"/>
          <w:tblHeader/>
        </w:trPr>
        <w:tc>
          <w:tcPr>
            <w:tcW w:w="2841" w:type="dxa"/>
            <w:tcBorders>
              <w:top w:val="single" w:sz="4" w:space="0" w:color="auto"/>
              <w:left w:val="single" w:sz="4" w:space="0" w:color="auto"/>
              <w:bottom w:val="single" w:sz="4" w:space="0" w:color="auto"/>
              <w:right w:val="single" w:sz="4" w:space="0" w:color="auto"/>
            </w:tcBorders>
            <w:noWrap/>
            <w:vAlign w:val="bottom"/>
            <w:hideMark/>
          </w:tcPr>
          <w:p w14:paraId="511B1F95" w14:textId="77777777" w:rsidR="00F1203F" w:rsidRPr="00F1203F" w:rsidRDefault="00F1203F" w:rsidP="00F1203F">
            <w:pPr>
              <w:spacing w:after="0" w:line="240" w:lineRule="auto"/>
              <w:jc w:val="center"/>
              <w:rPr>
                <w:rFonts w:cs="Arial"/>
                <w:color w:val="000000"/>
                <w:szCs w:val="21"/>
                <w:lang w:eastAsia="en-AU"/>
              </w:rPr>
            </w:pPr>
            <w:r w:rsidRPr="00F1203F">
              <w:rPr>
                <w:rFonts w:cs="Arial"/>
                <w:color w:val="000000"/>
                <w:szCs w:val="21"/>
                <w:lang w:eastAsia="en-AU"/>
              </w:rPr>
              <w:t>1</w:t>
            </w:r>
          </w:p>
        </w:tc>
        <w:tc>
          <w:tcPr>
            <w:tcW w:w="4519" w:type="dxa"/>
            <w:tcBorders>
              <w:top w:val="single" w:sz="4" w:space="0" w:color="auto"/>
              <w:left w:val="single" w:sz="4" w:space="0" w:color="auto"/>
              <w:bottom w:val="single" w:sz="4" w:space="0" w:color="auto"/>
              <w:right w:val="single" w:sz="4" w:space="0" w:color="auto"/>
            </w:tcBorders>
            <w:noWrap/>
            <w:vAlign w:val="center"/>
            <w:hideMark/>
          </w:tcPr>
          <w:p w14:paraId="18976BE0" w14:textId="77777777" w:rsidR="00F1203F" w:rsidRPr="00F1203F" w:rsidRDefault="00F1203F" w:rsidP="00F1203F">
            <w:pPr>
              <w:spacing w:after="0" w:line="240" w:lineRule="auto"/>
              <w:rPr>
                <w:rFonts w:cs="Arial"/>
                <w:color w:val="000000"/>
                <w:szCs w:val="21"/>
                <w:lang w:eastAsia="en-AU"/>
              </w:rPr>
            </w:pPr>
            <w:r w:rsidRPr="00F1203F">
              <w:rPr>
                <w:rFonts w:cs="Arial"/>
                <w:color w:val="000000"/>
                <w:szCs w:val="21"/>
                <w:lang w:eastAsia="en-AU"/>
              </w:rPr>
              <w:t>Angliss Hospital</w:t>
            </w:r>
          </w:p>
        </w:tc>
      </w:tr>
      <w:tr w:rsidR="00F1203F" w:rsidRPr="00F1203F" w14:paraId="3AB21C13" w14:textId="77777777" w:rsidTr="00700188">
        <w:trPr>
          <w:trHeight w:val="315"/>
          <w:tblHeader/>
        </w:trPr>
        <w:tc>
          <w:tcPr>
            <w:tcW w:w="2841" w:type="dxa"/>
            <w:tcBorders>
              <w:top w:val="single" w:sz="4" w:space="0" w:color="auto"/>
              <w:left w:val="single" w:sz="4" w:space="0" w:color="auto"/>
              <w:bottom w:val="single" w:sz="4" w:space="0" w:color="auto"/>
              <w:right w:val="single" w:sz="4" w:space="0" w:color="auto"/>
            </w:tcBorders>
            <w:noWrap/>
            <w:vAlign w:val="bottom"/>
            <w:hideMark/>
          </w:tcPr>
          <w:p w14:paraId="49773707" w14:textId="77777777" w:rsidR="00F1203F" w:rsidRPr="00F1203F" w:rsidRDefault="00F1203F" w:rsidP="00F1203F">
            <w:pPr>
              <w:spacing w:after="0" w:line="240" w:lineRule="auto"/>
              <w:jc w:val="center"/>
              <w:rPr>
                <w:rFonts w:cs="Arial"/>
                <w:color w:val="000000"/>
                <w:szCs w:val="21"/>
                <w:lang w:eastAsia="en-AU"/>
              </w:rPr>
            </w:pPr>
            <w:r w:rsidRPr="00F1203F">
              <w:rPr>
                <w:rFonts w:cs="Arial"/>
                <w:color w:val="000000"/>
                <w:szCs w:val="21"/>
                <w:lang w:eastAsia="en-AU"/>
              </w:rPr>
              <w:t>1</w:t>
            </w:r>
          </w:p>
        </w:tc>
        <w:tc>
          <w:tcPr>
            <w:tcW w:w="4519" w:type="dxa"/>
            <w:tcBorders>
              <w:top w:val="single" w:sz="4" w:space="0" w:color="auto"/>
              <w:left w:val="single" w:sz="4" w:space="0" w:color="auto"/>
              <w:bottom w:val="single" w:sz="4" w:space="0" w:color="auto"/>
              <w:right w:val="single" w:sz="4" w:space="0" w:color="auto"/>
            </w:tcBorders>
            <w:noWrap/>
            <w:vAlign w:val="center"/>
            <w:hideMark/>
          </w:tcPr>
          <w:p w14:paraId="7D86E2A7" w14:textId="77777777" w:rsidR="00F1203F" w:rsidRPr="00F1203F" w:rsidRDefault="00F1203F" w:rsidP="00F1203F">
            <w:pPr>
              <w:spacing w:after="0" w:line="240" w:lineRule="auto"/>
              <w:rPr>
                <w:rFonts w:cs="Arial"/>
                <w:color w:val="000000"/>
                <w:szCs w:val="21"/>
                <w:lang w:eastAsia="en-AU"/>
              </w:rPr>
            </w:pPr>
            <w:r w:rsidRPr="00F1203F">
              <w:rPr>
                <w:rFonts w:cs="Arial"/>
                <w:color w:val="000000"/>
                <w:szCs w:val="21"/>
                <w:lang w:eastAsia="en-AU"/>
              </w:rPr>
              <w:t>Austin Hospital</w:t>
            </w:r>
          </w:p>
        </w:tc>
      </w:tr>
      <w:tr w:rsidR="00F1203F" w:rsidRPr="00F1203F" w14:paraId="4C5574DE" w14:textId="77777777" w:rsidTr="00700188">
        <w:trPr>
          <w:trHeight w:val="315"/>
          <w:tblHeader/>
        </w:trPr>
        <w:tc>
          <w:tcPr>
            <w:tcW w:w="2841" w:type="dxa"/>
            <w:tcBorders>
              <w:top w:val="single" w:sz="4" w:space="0" w:color="auto"/>
              <w:left w:val="single" w:sz="4" w:space="0" w:color="auto"/>
              <w:bottom w:val="single" w:sz="4" w:space="0" w:color="auto"/>
              <w:right w:val="single" w:sz="4" w:space="0" w:color="auto"/>
            </w:tcBorders>
            <w:noWrap/>
            <w:vAlign w:val="bottom"/>
            <w:hideMark/>
          </w:tcPr>
          <w:p w14:paraId="5DEBE509" w14:textId="77777777" w:rsidR="00F1203F" w:rsidRPr="00F1203F" w:rsidRDefault="00F1203F" w:rsidP="00F1203F">
            <w:pPr>
              <w:spacing w:after="0" w:line="240" w:lineRule="auto"/>
              <w:jc w:val="center"/>
              <w:rPr>
                <w:rFonts w:cs="Arial"/>
                <w:color w:val="000000"/>
                <w:szCs w:val="21"/>
                <w:lang w:eastAsia="en-AU"/>
              </w:rPr>
            </w:pPr>
            <w:r w:rsidRPr="00F1203F">
              <w:rPr>
                <w:rFonts w:cs="Arial"/>
                <w:color w:val="000000"/>
                <w:szCs w:val="21"/>
                <w:lang w:eastAsia="en-AU"/>
              </w:rPr>
              <w:t>1</w:t>
            </w:r>
          </w:p>
        </w:tc>
        <w:tc>
          <w:tcPr>
            <w:tcW w:w="4519" w:type="dxa"/>
            <w:tcBorders>
              <w:top w:val="single" w:sz="4" w:space="0" w:color="auto"/>
              <w:left w:val="single" w:sz="4" w:space="0" w:color="auto"/>
              <w:bottom w:val="single" w:sz="4" w:space="0" w:color="auto"/>
              <w:right w:val="single" w:sz="4" w:space="0" w:color="auto"/>
            </w:tcBorders>
            <w:noWrap/>
            <w:vAlign w:val="center"/>
            <w:hideMark/>
          </w:tcPr>
          <w:p w14:paraId="3DBE65D5" w14:textId="77777777" w:rsidR="00F1203F" w:rsidRPr="00F1203F" w:rsidRDefault="00F1203F" w:rsidP="00F1203F">
            <w:pPr>
              <w:spacing w:after="0" w:line="240" w:lineRule="auto"/>
              <w:rPr>
                <w:rFonts w:cs="Arial"/>
                <w:color w:val="000000"/>
                <w:szCs w:val="21"/>
                <w:lang w:eastAsia="en-AU"/>
              </w:rPr>
            </w:pPr>
            <w:r w:rsidRPr="00F1203F">
              <w:rPr>
                <w:rFonts w:cs="Arial"/>
                <w:color w:val="000000"/>
                <w:szCs w:val="21"/>
                <w:lang w:eastAsia="en-AU"/>
              </w:rPr>
              <w:t>Ballarat Base Hospital</w:t>
            </w:r>
          </w:p>
        </w:tc>
      </w:tr>
      <w:tr w:rsidR="00F1203F" w:rsidRPr="00F1203F" w14:paraId="6CFEA70B" w14:textId="77777777" w:rsidTr="00700188">
        <w:trPr>
          <w:trHeight w:val="315"/>
          <w:tblHeader/>
        </w:trPr>
        <w:tc>
          <w:tcPr>
            <w:tcW w:w="2841" w:type="dxa"/>
            <w:tcBorders>
              <w:top w:val="single" w:sz="4" w:space="0" w:color="auto"/>
              <w:left w:val="single" w:sz="4" w:space="0" w:color="auto"/>
              <w:bottom w:val="single" w:sz="4" w:space="0" w:color="auto"/>
              <w:right w:val="single" w:sz="4" w:space="0" w:color="auto"/>
            </w:tcBorders>
            <w:noWrap/>
            <w:vAlign w:val="bottom"/>
            <w:hideMark/>
          </w:tcPr>
          <w:p w14:paraId="05715659" w14:textId="77777777" w:rsidR="00F1203F" w:rsidRPr="00F1203F" w:rsidRDefault="00F1203F" w:rsidP="00F1203F">
            <w:pPr>
              <w:spacing w:after="0" w:line="240" w:lineRule="auto"/>
              <w:jc w:val="center"/>
              <w:rPr>
                <w:rFonts w:cs="Arial"/>
                <w:color w:val="000000"/>
                <w:szCs w:val="21"/>
                <w:lang w:eastAsia="en-AU"/>
              </w:rPr>
            </w:pPr>
            <w:r w:rsidRPr="00F1203F">
              <w:rPr>
                <w:rFonts w:cs="Arial"/>
                <w:color w:val="000000"/>
                <w:szCs w:val="21"/>
                <w:lang w:eastAsia="en-AU"/>
              </w:rPr>
              <w:t>1</w:t>
            </w:r>
          </w:p>
        </w:tc>
        <w:tc>
          <w:tcPr>
            <w:tcW w:w="4519" w:type="dxa"/>
            <w:tcBorders>
              <w:top w:val="single" w:sz="4" w:space="0" w:color="auto"/>
              <w:left w:val="single" w:sz="4" w:space="0" w:color="auto"/>
              <w:bottom w:val="single" w:sz="4" w:space="0" w:color="auto"/>
              <w:right w:val="single" w:sz="4" w:space="0" w:color="auto"/>
            </w:tcBorders>
            <w:noWrap/>
            <w:vAlign w:val="center"/>
            <w:hideMark/>
          </w:tcPr>
          <w:p w14:paraId="680A44CF" w14:textId="77777777" w:rsidR="00F1203F" w:rsidRPr="00F1203F" w:rsidRDefault="00F1203F" w:rsidP="00F1203F">
            <w:pPr>
              <w:spacing w:after="0" w:line="240" w:lineRule="auto"/>
              <w:rPr>
                <w:rFonts w:cs="Arial"/>
                <w:color w:val="000000"/>
                <w:szCs w:val="21"/>
                <w:lang w:eastAsia="en-AU"/>
              </w:rPr>
            </w:pPr>
            <w:r w:rsidRPr="00F1203F">
              <w:rPr>
                <w:rFonts w:cs="Arial"/>
                <w:color w:val="000000"/>
                <w:szCs w:val="21"/>
                <w:lang w:eastAsia="en-AU"/>
              </w:rPr>
              <w:t>Bendigo Hospital</w:t>
            </w:r>
          </w:p>
        </w:tc>
      </w:tr>
      <w:tr w:rsidR="00F1203F" w:rsidRPr="00F1203F" w14:paraId="73DE70CE" w14:textId="77777777" w:rsidTr="00700188">
        <w:trPr>
          <w:trHeight w:val="315"/>
          <w:tblHeader/>
        </w:trPr>
        <w:tc>
          <w:tcPr>
            <w:tcW w:w="2841" w:type="dxa"/>
            <w:tcBorders>
              <w:top w:val="single" w:sz="4" w:space="0" w:color="auto"/>
              <w:left w:val="single" w:sz="4" w:space="0" w:color="auto"/>
              <w:bottom w:val="single" w:sz="4" w:space="0" w:color="auto"/>
              <w:right w:val="single" w:sz="4" w:space="0" w:color="auto"/>
            </w:tcBorders>
            <w:noWrap/>
            <w:vAlign w:val="bottom"/>
            <w:hideMark/>
          </w:tcPr>
          <w:p w14:paraId="005B35C7" w14:textId="77777777" w:rsidR="00F1203F" w:rsidRPr="00F1203F" w:rsidRDefault="00F1203F" w:rsidP="00F1203F">
            <w:pPr>
              <w:spacing w:after="0" w:line="240" w:lineRule="auto"/>
              <w:jc w:val="center"/>
              <w:rPr>
                <w:rFonts w:cs="Arial"/>
                <w:color w:val="000000"/>
                <w:szCs w:val="21"/>
                <w:lang w:eastAsia="en-AU"/>
              </w:rPr>
            </w:pPr>
            <w:r w:rsidRPr="00F1203F">
              <w:rPr>
                <w:rFonts w:cs="Arial"/>
                <w:color w:val="000000"/>
                <w:szCs w:val="21"/>
                <w:lang w:eastAsia="en-AU"/>
              </w:rPr>
              <w:t>1</w:t>
            </w:r>
          </w:p>
        </w:tc>
        <w:tc>
          <w:tcPr>
            <w:tcW w:w="4519" w:type="dxa"/>
            <w:tcBorders>
              <w:top w:val="single" w:sz="4" w:space="0" w:color="auto"/>
              <w:left w:val="single" w:sz="4" w:space="0" w:color="auto"/>
              <w:bottom w:val="single" w:sz="4" w:space="0" w:color="auto"/>
              <w:right w:val="single" w:sz="4" w:space="0" w:color="auto"/>
            </w:tcBorders>
            <w:noWrap/>
            <w:vAlign w:val="center"/>
            <w:hideMark/>
          </w:tcPr>
          <w:p w14:paraId="462AD29B" w14:textId="77777777" w:rsidR="00F1203F" w:rsidRPr="00F1203F" w:rsidRDefault="00F1203F" w:rsidP="00F1203F">
            <w:pPr>
              <w:spacing w:after="0" w:line="240" w:lineRule="auto"/>
              <w:rPr>
                <w:rFonts w:cs="Arial"/>
                <w:color w:val="000000"/>
                <w:szCs w:val="21"/>
                <w:lang w:eastAsia="en-AU"/>
              </w:rPr>
            </w:pPr>
            <w:r w:rsidRPr="00F1203F">
              <w:rPr>
                <w:rFonts w:cs="Arial"/>
                <w:color w:val="000000"/>
                <w:szCs w:val="21"/>
                <w:lang w:eastAsia="en-AU"/>
              </w:rPr>
              <w:t>Box Hill Hospital</w:t>
            </w:r>
          </w:p>
        </w:tc>
      </w:tr>
      <w:tr w:rsidR="00F1203F" w:rsidRPr="00F1203F" w14:paraId="1E710FB6" w14:textId="77777777" w:rsidTr="00700188">
        <w:trPr>
          <w:trHeight w:val="315"/>
          <w:tblHeader/>
        </w:trPr>
        <w:tc>
          <w:tcPr>
            <w:tcW w:w="2841" w:type="dxa"/>
            <w:tcBorders>
              <w:top w:val="single" w:sz="4" w:space="0" w:color="auto"/>
              <w:left w:val="single" w:sz="4" w:space="0" w:color="auto"/>
              <w:bottom w:val="single" w:sz="4" w:space="0" w:color="auto"/>
              <w:right w:val="single" w:sz="4" w:space="0" w:color="auto"/>
            </w:tcBorders>
            <w:noWrap/>
            <w:vAlign w:val="bottom"/>
            <w:hideMark/>
          </w:tcPr>
          <w:p w14:paraId="379A77A9" w14:textId="77777777" w:rsidR="00F1203F" w:rsidRPr="00F1203F" w:rsidRDefault="00F1203F" w:rsidP="00F1203F">
            <w:pPr>
              <w:spacing w:after="0" w:line="240" w:lineRule="auto"/>
              <w:jc w:val="center"/>
              <w:rPr>
                <w:rFonts w:cs="Arial"/>
                <w:color w:val="000000"/>
                <w:szCs w:val="21"/>
                <w:lang w:eastAsia="en-AU"/>
              </w:rPr>
            </w:pPr>
            <w:r w:rsidRPr="00F1203F">
              <w:rPr>
                <w:rFonts w:cs="Arial"/>
                <w:color w:val="000000"/>
                <w:szCs w:val="21"/>
                <w:lang w:eastAsia="en-AU"/>
              </w:rPr>
              <w:t>1</w:t>
            </w:r>
          </w:p>
        </w:tc>
        <w:tc>
          <w:tcPr>
            <w:tcW w:w="4519" w:type="dxa"/>
            <w:tcBorders>
              <w:top w:val="single" w:sz="4" w:space="0" w:color="auto"/>
              <w:left w:val="single" w:sz="4" w:space="0" w:color="auto"/>
              <w:bottom w:val="single" w:sz="4" w:space="0" w:color="auto"/>
              <w:right w:val="single" w:sz="4" w:space="0" w:color="auto"/>
            </w:tcBorders>
            <w:noWrap/>
            <w:vAlign w:val="center"/>
            <w:hideMark/>
          </w:tcPr>
          <w:p w14:paraId="3BED6CBB" w14:textId="77777777" w:rsidR="00F1203F" w:rsidRPr="00F1203F" w:rsidRDefault="00F1203F" w:rsidP="00F1203F">
            <w:pPr>
              <w:spacing w:after="0" w:line="240" w:lineRule="auto"/>
              <w:rPr>
                <w:rFonts w:cs="Arial"/>
                <w:color w:val="000000"/>
                <w:szCs w:val="21"/>
                <w:lang w:eastAsia="en-AU"/>
              </w:rPr>
            </w:pPr>
            <w:r w:rsidRPr="00F1203F">
              <w:rPr>
                <w:rFonts w:cs="Arial"/>
                <w:color w:val="000000"/>
                <w:szCs w:val="21"/>
                <w:lang w:eastAsia="en-AU"/>
              </w:rPr>
              <w:t>Casey Hospital</w:t>
            </w:r>
          </w:p>
        </w:tc>
      </w:tr>
      <w:tr w:rsidR="00F1203F" w:rsidRPr="00F1203F" w14:paraId="654905D2" w14:textId="77777777" w:rsidTr="00700188">
        <w:trPr>
          <w:trHeight w:val="315"/>
          <w:tblHeader/>
        </w:trPr>
        <w:tc>
          <w:tcPr>
            <w:tcW w:w="2841" w:type="dxa"/>
            <w:tcBorders>
              <w:top w:val="single" w:sz="4" w:space="0" w:color="auto"/>
              <w:left w:val="single" w:sz="4" w:space="0" w:color="auto"/>
              <w:bottom w:val="single" w:sz="4" w:space="0" w:color="auto"/>
              <w:right w:val="single" w:sz="4" w:space="0" w:color="auto"/>
            </w:tcBorders>
            <w:noWrap/>
            <w:vAlign w:val="bottom"/>
            <w:hideMark/>
          </w:tcPr>
          <w:p w14:paraId="7274816C" w14:textId="77777777" w:rsidR="00F1203F" w:rsidRPr="00F1203F" w:rsidRDefault="00F1203F" w:rsidP="00F1203F">
            <w:pPr>
              <w:spacing w:after="0" w:line="240" w:lineRule="auto"/>
              <w:jc w:val="center"/>
              <w:rPr>
                <w:rFonts w:cs="Arial"/>
                <w:color w:val="000000"/>
                <w:szCs w:val="21"/>
                <w:lang w:eastAsia="en-AU"/>
              </w:rPr>
            </w:pPr>
            <w:r w:rsidRPr="00F1203F">
              <w:rPr>
                <w:rFonts w:cs="Arial"/>
                <w:color w:val="000000"/>
                <w:szCs w:val="21"/>
                <w:lang w:eastAsia="en-AU"/>
              </w:rPr>
              <w:t>1</w:t>
            </w:r>
          </w:p>
        </w:tc>
        <w:tc>
          <w:tcPr>
            <w:tcW w:w="4519" w:type="dxa"/>
            <w:tcBorders>
              <w:top w:val="single" w:sz="4" w:space="0" w:color="auto"/>
              <w:left w:val="single" w:sz="4" w:space="0" w:color="auto"/>
              <w:bottom w:val="single" w:sz="4" w:space="0" w:color="auto"/>
              <w:right w:val="single" w:sz="4" w:space="0" w:color="auto"/>
            </w:tcBorders>
            <w:noWrap/>
            <w:vAlign w:val="center"/>
            <w:hideMark/>
          </w:tcPr>
          <w:p w14:paraId="7A95F0EF" w14:textId="77777777" w:rsidR="00F1203F" w:rsidRPr="00F1203F" w:rsidRDefault="00F1203F" w:rsidP="00F1203F">
            <w:pPr>
              <w:spacing w:after="0" w:line="240" w:lineRule="auto"/>
              <w:rPr>
                <w:rFonts w:cs="Arial"/>
                <w:color w:val="000000"/>
                <w:szCs w:val="21"/>
                <w:lang w:eastAsia="en-AU"/>
              </w:rPr>
            </w:pPr>
            <w:r w:rsidRPr="00F1203F">
              <w:rPr>
                <w:rFonts w:cs="Arial"/>
                <w:color w:val="000000"/>
                <w:szCs w:val="21"/>
                <w:lang w:eastAsia="en-AU"/>
              </w:rPr>
              <w:t>Dandenong Hospital</w:t>
            </w:r>
          </w:p>
        </w:tc>
      </w:tr>
      <w:tr w:rsidR="00F1203F" w:rsidRPr="00F1203F" w14:paraId="47872F9B" w14:textId="77777777" w:rsidTr="00700188">
        <w:trPr>
          <w:trHeight w:val="315"/>
          <w:tblHeader/>
        </w:trPr>
        <w:tc>
          <w:tcPr>
            <w:tcW w:w="2841" w:type="dxa"/>
            <w:tcBorders>
              <w:top w:val="single" w:sz="4" w:space="0" w:color="auto"/>
              <w:left w:val="single" w:sz="4" w:space="0" w:color="auto"/>
              <w:bottom w:val="single" w:sz="4" w:space="0" w:color="auto"/>
              <w:right w:val="single" w:sz="4" w:space="0" w:color="auto"/>
            </w:tcBorders>
            <w:noWrap/>
            <w:vAlign w:val="bottom"/>
            <w:hideMark/>
          </w:tcPr>
          <w:p w14:paraId="3D713303" w14:textId="77777777" w:rsidR="00F1203F" w:rsidRPr="00F1203F" w:rsidRDefault="00F1203F" w:rsidP="00F1203F">
            <w:pPr>
              <w:spacing w:after="0" w:line="240" w:lineRule="auto"/>
              <w:jc w:val="center"/>
              <w:rPr>
                <w:rFonts w:cs="Arial"/>
                <w:color w:val="000000"/>
                <w:szCs w:val="21"/>
                <w:lang w:eastAsia="en-AU"/>
              </w:rPr>
            </w:pPr>
            <w:r w:rsidRPr="00F1203F">
              <w:rPr>
                <w:rFonts w:cs="Arial"/>
                <w:color w:val="000000"/>
                <w:szCs w:val="21"/>
                <w:lang w:eastAsia="en-AU"/>
              </w:rPr>
              <w:t>1</w:t>
            </w:r>
          </w:p>
        </w:tc>
        <w:tc>
          <w:tcPr>
            <w:tcW w:w="4519" w:type="dxa"/>
            <w:tcBorders>
              <w:top w:val="single" w:sz="4" w:space="0" w:color="auto"/>
              <w:left w:val="single" w:sz="4" w:space="0" w:color="auto"/>
              <w:bottom w:val="single" w:sz="4" w:space="0" w:color="auto"/>
              <w:right w:val="single" w:sz="4" w:space="0" w:color="auto"/>
            </w:tcBorders>
            <w:noWrap/>
            <w:vAlign w:val="center"/>
            <w:hideMark/>
          </w:tcPr>
          <w:p w14:paraId="3ABEDF3E" w14:textId="77777777" w:rsidR="00F1203F" w:rsidRPr="00F1203F" w:rsidRDefault="00F1203F" w:rsidP="00F1203F">
            <w:pPr>
              <w:spacing w:after="0" w:line="240" w:lineRule="auto"/>
              <w:rPr>
                <w:rFonts w:cs="Arial"/>
                <w:color w:val="000000"/>
                <w:szCs w:val="21"/>
                <w:lang w:eastAsia="en-AU"/>
              </w:rPr>
            </w:pPr>
            <w:r w:rsidRPr="00F1203F">
              <w:rPr>
                <w:rFonts w:cs="Arial"/>
                <w:color w:val="000000"/>
                <w:szCs w:val="21"/>
                <w:lang w:eastAsia="en-AU"/>
              </w:rPr>
              <w:t>Footscray Hospital</w:t>
            </w:r>
          </w:p>
        </w:tc>
      </w:tr>
      <w:tr w:rsidR="00F1203F" w:rsidRPr="00F1203F" w14:paraId="0B031EB9" w14:textId="77777777" w:rsidTr="00700188">
        <w:trPr>
          <w:trHeight w:val="315"/>
          <w:tblHeader/>
        </w:trPr>
        <w:tc>
          <w:tcPr>
            <w:tcW w:w="2841" w:type="dxa"/>
            <w:tcBorders>
              <w:top w:val="single" w:sz="4" w:space="0" w:color="auto"/>
              <w:left w:val="single" w:sz="4" w:space="0" w:color="auto"/>
              <w:bottom w:val="single" w:sz="4" w:space="0" w:color="auto"/>
              <w:right w:val="single" w:sz="4" w:space="0" w:color="auto"/>
            </w:tcBorders>
            <w:noWrap/>
            <w:vAlign w:val="bottom"/>
            <w:hideMark/>
          </w:tcPr>
          <w:p w14:paraId="283A1E3C" w14:textId="77777777" w:rsidR="00F1203F" w:rsidRPr="00F1203F" w:rsidRDefault="00F1203F" w:rsidP="00F1203F">
            <w:pPr>
              <w:spacing w:after="0" w:line="240" w:lineRule="auto"/>
              <w:jc w:val="center"/>
              <w:rPr>
                <w:rFonts w:cs="Arial"/>
                <w:color w:val="000000"/>
                <w:szCs w:val="21"/>
                <w:lang w:eastAsia="en-AU"/>
              </w:rPr>
            </w:pPr>
            <w:r w:rsidRPr="00F1203F">
              <w:rPr>
                <w:rFonts w:cs="Arial"/>
                <w:color w:val="000000"/>
                <w:szCs w:val="21"/>
                <w:lang w:eastAsia="en-AU"/>
              </w:rPr>
              <w:t>1</w:t>
            </w:r>
          </w:p>
        </w:tc>
        <w:tc>
          <w:tcPr>
            <w:tcW w:w="4519" w:type="dxa"/>
            <w:tcBorders>
              <w:top w:val="single" w:sz="4" w:space="0" w:color="auto"/>
              <w:left w:val="single" w:sz="4" w:space="0" w:color="auto"/>
              <w:bottom w:val="single" w:sz="4" w:space="0" w:color="auto"/>
              <w:right w:val="single" w:sz="4" w:space="0" w:color="auto"/>
            </w:tcBorders>
            <w:noWrap/>
            <w:vAlign w:val="center"/>
            <w:hideMark/>
          </w:tcPr>
          <w:p w14:paraId="58A69DDD" w14:textId="77777777" w:rsidR="00F1203F" w:rsidRPr="00F1203F" w:rsidRDefault="00F1203F" w:rsidP="00F1203F">
            <w:pPr>
              <w:spacing w:after="0" w:line="240" w:lineRule="auto"/>
              <w:rPr>
                <w:rFonts w:cs="Arial"/>
                <w:color w:val="000000"/>
                <w:szCs w:val="21"/>
                <w:lang w:eastAsia="en-AU"/>
              </w:rPr>
            </w:pPr>
            <w:r w:rsidRPr="00F1203F">
              <w:rPr>
                <w:rFonts w:cs="Arial"/>
                <w:color w:val="000000"/>
                <w:szCs w:val="21"/>
                <w:lang w:eastAsia="en-AU"/>
              </w:rPr>
              <w:t>Frankston Hospital</w:t>
            </w:r>
          </w:p>
        </w:tc>
      </w:tr>
      <w:tr w:rsidR="00F1203F" w:rsidRPr="00F1203F" w14:paraId="6A3D0151" w14:textId="77777777" w:rsidTr="00700188">
        <w:trPr>
          <w:trHeight w:val="315"/>
          <w:tblHeader/>
        </w:trPr>
        <w:tc>
          <w:tcPr>
            <w:tcW w:w="2841" w:type="dxa"/>
            <w:tcBorders>
              <w:top w:val="single" w:sz="4" w:space="0" w:color="auto"/>
              <w:left w:val="single" w:sz="4" w:space="0" w:color="auto"/>
              <w:bottom w:val="single" w:sz="4" w:space="0" w:color="auto"/>
              <w:right w:val="single" w:sz="4" w:space="0" w:color="auto"/>
            </w:tcBorders>
            <w:noWrap/>
            <w:vAlign w:val="bottom"/>
            <w:hideMark/>
          </w:tcPr>
          <w:p w14:paraId="11BE6737" w14:textId="77777777" w:rsidR="00F1203F" w:rsidRPr="00F1203F" w:rsidRDefault="00F1203F" w:rsidP="00F1203F">
            <w:pPr>
              <w:spacing w:after="0" w:line="240" w:lineRule="auto"/>
              <w:jc w:val="center"/>
              <w:rPr>
                <w:rFonts w:cs="Arial"/>
                <w:color w:val="000000"/>
                <w:szCs w:val="21"/>
                <w:lang w:eastAsia="en-AU"/>
              </w:rPr>
            </w:pPr>
            <w:r w:rsidRPr="00F1203F">
              <w:rPr>
                <w:rFonts w:cs="Arial"/>
                <w:color w:val="000000"/>
                <w:szCs w:val="21"/>
                <w:lang w:eastAsia="en-AU"/>
              </w:rPr>
              <w:t>1</w:t>
            </w:r>
          </w:p>
        </w:tc>
        <w:tc>
          <w:tcPr>
            <w:tcW w:w="4519" w:type="dxa"/>
            <w:tcBorders>
              <w:top w:val="single" w:sz="4" w:space="0" w:color="auto"/>
              <w:left w:val="single" w:sz="4" w:space="0" w:color="auto"/>
              <w:bottom w:val="single" w:sz="4" w:space="0" w:color="auto"/>
              <w:right w:val="single" w:sz="4" w:space="0" w:color="auto"/>
            </w:tcBorders>
            <w:noWrap/>
            <w:vAlign w:val="center"/>
            <w:hideMark/>
          </w:tcPr>
          <w:p w14:paraId="508A71CF" w14:textId="77777777" w:rsidR="00F1203F" w:rsidRPr="00F1203F" w:rsidRDefault="00F1203F" w:rsidP="00F1203F">
            <w:pPr>
              <w:spacing w:after="0" w:line="240" w:lineRule="auto"/>
              <w:rPr>
                <w:rFonts w:cs="Arial"/>
                <w:color w:val="000000"/>
                <w:szCs w:val="21"/>
                <w:lang w:eastAsia="en-AU"/>
              </w:rPr>
            </w:pPr>
            <w:r w:rsidRPr="00F1203F">
              <w:rPr>
                <w:rFonts w:cs="Arial"/>
                <w:color w:val="000000"/>
                <w:szCs w:val="21"/>
                <w:lang w:eastAsia="en-AU"/>
              </w:rPr>
              <w:t>Goulburn Valley Health (Shepparton campus)</w:t>
            </w:r>
          </w:p>
        </w:tc>
      </w:tr>
      <w:tr w:rsidR="00F1203F" w:rsidRPr="00F1203F" w14:paraId="2EACA162" w14:textId="77777777" w:rsidTr="00700188">
        <w:trPr>
          <w:trHeight w:val="315"/>
          <w:tblHeader/>
        </w:trPr>
        <w:tc>
          <w:tcPr>
            <w:tcW w:w="2841" w:type="dxa"/>
            <w:tcBorders>
              <w:top w:val="single" w:sz="4" w:space="0" w:color="auto"/>
              <w:left w:val="single" w:sz="4" w:space="0" w:color="auto"/>
              <w:bottom w:val="single" w:sz="4" w:space="0" w:color="auto"/>
              <w:right w:val="single" w:sz="4" w:space="0" w:color="auto"/>
            </w:tcBorders>
            <w:noWrap/>
            <w:vAlign w:val="bottom"/>
            <w:hideMark/>
          </w:tcPr>
          <w:p w14:paraId="41686894" w14:textId="77777777" w:rsidR="00F1203F" w:rsidRPr="00F1203F" w:rsidRDefault="00F1203F" w:rsidP="00F1203F">
            <w:pPr>
              <w:spacing w:after="0" w:line="240" w:lineRule="auto"/>
              <w:jc w:val="center"/>
              <w:rPr>
                <w:rFonts w:cs="Arial"/>
                <w:color w:val="000000"/>
                <w:szCs w:val="21"/>
                <w:lang w:eastAsia="en-AU"/>
              </w:rPr>
            </w:pPr>
            <w:r w:rsidRPr="00F1203F">
              <w:rPr>
                <w:rFonts w:cs="Arial"/>
                <w:color w:val="000000"/>
                <w:szCs w:val="21"/>
                <w:lang w:eastAsia="en-AU"/>
              </w:rPr>
              <w:t>1</w:t>
            </w:r>
          </w:p>
        </w:tc>
        <w:tc>
          <w:tcPr>
            <w:tcW w:w="4519" w:type="dxa"/>
            <w:tcBorders>
              <w:top w:val="single" w:sz="4" w:space="0" w:color="auto"/>
              <w:left w:val="single" w:sz="4" w:space="0" w:color="auto"/>
              <w:bottom w:val="single" w:sz="4" w:space="0" w:color="auto"/>
              <w:right w:val="single" w:sz="4" w:space="0" w:color="auto"/>
            </w:tcBorders>
            <w:noWrap/>
            <w:vAlign w:val="center"/>
            <w:hideMark/>
          </w:tcPr>
          <w:p w14:paraId="5D80BBAC" w14:textId="77777777" w:rsidR="00F1203F" w:rsidRPr="00F1203F" w:rsidRDefault="00F1203F" w:rsidP="00F1203F">
            <w:pPr>
              <w:spacing w:after="0" w:line="240" w:lineRule="auto"/>
              <w:rPr>
                <w:rFonts w:cs="Arial"/>
                <w:color w:val="000000"/>
                <w:szCs w:val="21"/>
                <w:lang w:eastAsia="en-AU"/>
              </w:rPr>
            </w:pPr>
            <w:r w:rsidRPr="00F1203F">
              <w:rPr>
                <w:rFonts w:cs="Arial"/>
                <w:color w:val="000000"/>
                <w:szCs w:val="21"/>
                <w:lang w:eastAsia="en-AU"/>
              </w:rPr>
              <w:t>Latrobe Regional Hospital</w:t>
            </w:r>
          </w:p>
        </w:tc>
      </w:tr>
      <w:tr w:rsidR="00F1203F" w:rsidRPr="00F1203F" w14:paraId="2FC56117" w14:textId="77777777" w:rsidTr="00700188">
        <w:trPr>
          <w:trHeight w:val="315"/>
          <w:tblHeader/>
        </w:trPr>
        <w:tc>
          <w:tcPr>
            <w:tcW w:w="2841" w:type="dxa"/>
            <w:tcBorders>
              <w:top w:val="single" w:sz="4" w:space="0" w:color="auto"/>
              <w:left w:val="single" w:sz="4" w:space="0" w:color="auto"/>
              <w:bottom w:val="single" w:sz="4" w:space="0" w:color="auto"/>
              <w:right w:val="single" w:sz="4" w:space="0" w:color="auto"/>
            </w:tcBorders>
            <w:noWrap/>
            <w:vAlign w:val="bottom"/>
            <w:hideMark/>
          </w:tcPr>
          <w:p w14:paraId="2FB7F5A8" w14:textId="77777777" w:rsidR="00F1203F" w:rsidRPr="00F1203F" w:rsidRDefault="00F1203F" w:rsidP="00F1203F">
            <w:pPr>
              <w:spacing w:after="0" w:line="240" w:lineRule="auto"/>
              <w:jc w:val="center"/>
              <w:rPr>
                <w:rFonts w:cs="Arial"/>
                <w:color w:val="000000"/>
                <w:szCs w:val="21"/>
                <w:lang w:eastAsia="en-AU"/>
              </w:rPr>
            </w:pPr>
            <w:r w:rsidRPr="00F1203F">
              <w:rPr>
                <w:rFonts w:cs="Arial"/>
                <w:color w:val="000000"/>
                <w:szCs w:val="21"/>
                <w:lang w:eastAsia="en-AU"/>
              </w:rPr>
              <w:t>1</w:t>
            </w:r>
          </w:p>
        </w:tc>
        <w:tc>
          <w:tcPr>
            <w:tcW w:w="4519" w:type="dxa"/>
            <w:tcBorders>
              <w:top w:val="single" w:sz="4" w:space="0" w:color="auto"/>
              <w:left w:val="single" w:sz="4" w:space="0" w:color="auto"/>
              <w:bottom w:val="single" w:sz="4" w:space="0" w:color="auto"/>
              <w:right w:val="single" w:sz="4" w:space="0" w:color="auto"/>
            </w:tcBorders>
            <w:noWrap/>
            <w:vAlign w:val="center"/>
            <w:hideMark/>
          </w:tcPr>
          <w:p w14:paraId="3F580BB1" w14:textId="77777777" w:rsidR="00F1203F" w:rsidRPr="00F1203F" w:rsidRDefault="00F1203F" w:rsidP="00F1203F">
            <w:pPr>
              <w:spacing w:after="0" w:line="240" w:lineRule="auto"/>
              <w:rPr>
                <w:rFonts w:cs="Arial"/>
                <w:color w:val="000000"/>
                <w:szCs w:val="21"/>
                <w:lang w:eastAsia="en-AU"/>
              </w:rPr>
            </w:pPr>
            <w:r w:rsidRPr="00F1203F">
              <w:rPr>
                <w:rFonts w:cs="Arial"/>
                <w:color w:val="000000"/>
                <w:szCs w:val="21"/>
                <w:lang w:eastAsia="en-AU"/>
              </w:rPr>
              <w:t>Maroondah Hospital</w:t>
            </w:r>
          </w:p>
        </w:tc>
      </w:tr>
      <w:tr w:rsidR="00F1203F" w:rsidRPr="00F1203F" w14:paraId="67C85C93" w14:textId="77777777" w:rsidTr="00700188">
        <w:trPr>
          <w:trHeight w:val="315"/>
          <w:tblHeader/>
        </w:trPr>
        <w:tc>
          <w:tcPr>
            <w:tcW w:w="2841" w:type="dxa"/>
            <w:tcBorders>
              <w:top w:val="single" w:sz="4" w:space="0" w:color="auto"/>
              <w:left w:val="single" w:sz="4" w:space="0" w:color="auto"/>
              <w:bottom w:val="single" w:sz="4" w:space="0" w:color="auto"/>
              <w:right w:val="single" w:sz="4" w:space="0" w:color="auto"/>
            </w:tcBorders>
            <w:noWrap/>
            <w:vAlign w:val="bottom"/>
            <w:hideMark/>
          </w:tcPr>
          <w:p w14:paraId="422A7663" w14:textId="77777777" w:rsidR="00F1203F" w:rsidRPr="00F1203F" w:rsidRDefault="00F1203F" w:rsidP="00F1203F">
            <w:pPr>
              <w:spacing w:after="0" w:line="240" w:lineRule="auto"/>
              <w:jc w:val="center"/>
              <w:rPr>
                <w:rFonts w:cs="Arial"/>
                <w:color w:val="000000"/>
                <w:szCs w:val="21"/>
                <w:lang w:eastAsia="en-AU"/>
              </w:rPr>
            </w:pPr>
            <w:r w:rsidRPr="00F1203F">
              <w:rPr>
                <w:rFonts w:cs="Arial"/>
                <w:color w:val="000000"/>
                <w:szCs w:val="21"/>
                <w:lang w:eastAsia="en-AU"/>
              </w:rPr>
              <w:t>1</w:t>
            </w:r>
          </w:p>
        </w:tc>
        <w:tc>
          <w:tcPr>
            <w:tcW w:w="4519" w:type="dxa"/>
            <w:tcBorders>
              <w:top w:val="single" w:sz="4" w:space="0" w:color="auto"/>
              <w:left w:val="single" w:sz="4" w:space="0" w:color="auto"/>
              <w:bottom w:val="single" w:sz="4" w:space="0" w:color="auto"/>
              <w:right w:val="single" w:sz="4" w:space="0" w:color="auto"/>
            </w:tcBorders>
            <w:noWrap/>
            <w:vAlign w:val="center"/>
            <w:hideMark/>
          </w:tcPr>
          <w:p w14:paraId="720C954B" w14:textId="77777777" w:rsidR="00F1203F" w:rsidRPr="00F1203F" w:rsidRDefault="00F1203F" w:rsidP="00F1203F">
            <w:pPr>
              <w:spacing w:after="0" w:line="240" w:lineRule="auto"/>
              <w:rPr>
                <w:rFonts w:cs="Arial"/>
                <w:color w:val="000000"/>
                <w:szCs w:val="21"/>
                <w:lang w:eastAsia="en-AU"/>
              </w:rPr>
            </w:pPr>
            <w:r w:rsidRPr="00F1203F">
              <w:rPr>
                <w:rFonts w:cs="Arial"/>
                <w:color w:val="000000"/>
                <w:szCs w:val="21"/>
                <w:lang w:eastAsia="en-AU"/>
              </w:rPr>
              <w:t>Monash Medical Centre (Clayton)</w:t>
            </w:r>
          </w:p>
        </w:tc>
      </w:tr>
      <w:tr w:rsidR="00F1203F" w:rsidRPr="00F1203F" w14:paraId="2DC2EA8F" w14:textId="77777777" w:rsidTr="00700188">
        <w:trPr>
          <w:trHeight w:val="315"/>
          <w:tblHeader/>
        </w:trPr>
        <w:tc>
          <w:tcPr>
            <w:tcW w:w="2841" w:type="dxa"/>
            <w:tcBorders>
              <w:top w:val="single" w:sz="4" w:space="0" w:color="auto"/>
              <w:left w:val="single" w:sz="4" w:space="0" w:color="auto"/>
              <w:bottom w:val="single" w:sz="4" w:space="0" w:color="auto"/>
              <w:right w:val="single" w:sz="4" w:space="0" w:color="auto"/>
            </w:tcBorders>
            <w:noWrap/>
            <w:vAlign w:val="bottom"/>
            <w:hideMark/>
          </w:tcPr>
          <w:p w14:paraId="0C9456D6" w14:textId="77777777" w:rsidR="00F1203F" w:rsidRPr="00F1203F" w:rsidRDefault="00F1203F" w:rsidP="00F1203F">
            <w:pPr>
              <w:spacing w:after="0" w:line="240" w:lineRule="auto"/>
              <w:jc w:val="center"/>
              <w:rPr>
                <w:rFonts w:cs="Arial"/>
                <w:color w:val="000000"/>
                <w:szCs w:val="21"/>
                <w:lang w:eastAsia="en-AU"/>
              </w:rPr>
            </w:pPr>
            <w:r w:rsidRPr="00F1203F">
              <w:rPr>
                <w:rFonts w:cs="Arial"/>
                <w:color w:val="000000"/>
                <w:szCs w:val="21"/>
                <w:lang w:eastAsia="en-AU"/>
              </w:rPr>
              <w:t>1</w:t>
            </w:r>
          </w:p>
        </w:tc>
        <w:tc>
          <w:tcPr>
            <w:tcW w:w="4519" w:type="dxa"/>
            <w:tcBorders>
              <w:top w:val="single" w:sz="4" w:space="0" w:color="auto"/>
              <w:left w:val="single" w:sz="4" w:space="0" w:color="auto"/>
              <w:bottom w:val="single" w:sz="4" w:space="0" w:color="auto"/>
              <w:right w:val="single" w:sz="4" w:space="0" w:color="auto"/>
            </w:tcBorders>
            <w:noWrap/>
            <w:vAlign w:val="center"/>
            <w:hideMark/>
          </w:tcPr>
          <w:p w14:paraId="31D404A5" w14:textId="77777777" w:rsidR="00F1203F" w:rsidRPr="00F1203F" w:rsidRDefault="00F1203F" w:rsidP="00F1203F">
            <w:pPr>
              <w:spacing w:after="0" w:line="240" w:lineRule="auto"/>
              <w:rPr>
                <w:rFonts w:cs="Arial"/>
                <w:color w:val="000000"/>
                <w:szCs w:val="21"/>
                <w:lang w:eastAsia="en-AU"/>
              </w:rPr>
            </w:pPr>
            <w:r w:rsidRPr="00F1203F">
              <w:rPr>
                <w:rFonts w:cs="Arial"/>
                <w:color w:val="000000"/>
                <w:szCs w:val="21"/>
                <w:lang w:eastAsia="en-AU"/>
              </w:rPr>
              <w:t>New Mildura Base Hospital</w:t>
            </w:r>
          </w:p>
        </w:tc>
      </w:tr>
      <w:tr w:rsidR="00F1203F" w:rsidRPr="00F1203F" w14:paraId="5CA6736D" w14:textId="77777777" w:rsidTr="00700188">
        <w:trPr>
          <w:trHeight w:val="315"/>
          <w:tblHeader/>
        </w:trPr>
        <w:tc>
          <w:tcPr>
            <w:tcW w:w="2841" w:type="dxa"/>
            <w:tcBorders>
              <w:top w:val="single" w:sz="4" w:space="0" w:color="auto"/>
              <w:left w:val="single" w:sz="4" w:space="0" w:color="auto"/>
              <w:bottom w:val="single" w:sz="4" w:space="0" w:color="auto"/>
              <w:right w:val="single" w:sz="4" w:space="0" w:color="auto"/>
            </w:tcBorders>
            <w:noWrap/>
            <w:vAlign w:val="bottom"/>
            <w:hideMark/>
          </w:tcPr>
          <w:p w14:paraId="29AD47C4" w14:textId="77777777" w:rsidR="00F1203F" w:rsidRPr="00F1203F" w:rsidRDefault="00F1203F" w:rsidP="00F1203F">
            <w:pPr>
              <w:spacing w:after="0" w:line="240" w:lineRule="auto"/>
              <w:jc w:val="center"/>
              <w:rPr>
                <w:rFonts w:cs="Arial"/>
                <w:color w:val="000000"/>
                <w:szCs w:val="21"/>
                <w:lang w:eastAsia="en-AU"/>
              </w:rPr>
            </w:pPr>
            <w:r w:rsidRPr="00F1203F">
              <w:rPr>
                <w:rFonts w:cs="Arial"/>
                <w:color w:val="000000"/>
                <w:szCs w:val="21"/>
                <w:lang w:eastAsia="en-AU"/>
              </w:rPr>
              <w:t>1</w:t>
            </w:r>
          </w:p>
        </w:tc>
        <w:tc>
          <w:tcPr>
            <w:tcW w:w="4519" w:type="dxa"/>
            <w:tcBorders>
              <w:top w:val="single" w:sz="4" w:space="0" w:color="auto"/>
              <w:left w:val="single" w:sz="4" w:space="0" w:color="auto"/>
              <w:bottom w:val="single" w:sz="4" w:space="0" w:color="auto"/>
              <w:right w:val="single" w:sz="4" w:space="0" w:color="auto"/>
            </w:tcBorders>
            <w:noWrap/>
            <w:vAlign w:val="center"/>
            <w:hideMark/>
          </w:tcPr>
          <w:p w14:paraId="77A6FF8B" w14:textId="77777777" w:rsidR="00F1203F" w:rsidRPr="00F1203F" w:rsidRDefault="00F1203F" w:rsidP="00F1203F">
            <w:pPr>
              <w:spacing w:after="0" w:line="240" w:lineRule="auto"/>
              <w:rPr>
                <w:rFonts w:cs="Arial"/>
                <w:color w:val="000000"/>
                <w:szCs w:val="21"/>
                <w:lang w:eastAsia="en-AU"/>
              </w:rPr>
            </w:pPr>
            <w:r w:rsidRPr="00F1203F">
              <w:rPr>
                <w:rFonts w:cs="Arial"/>
                <w:color w:val="000000"/>
                <w:szCs w:val="21"/>
                <w:lang w:eastAsia="en-AU"/>
              </w:rPr>
              <w:t>Northern Hospital</w:t>
            </w:r>
          </w:p>
        </w:tc>
      </w:tr>
      <w:tr w:rsidR="00F1203F" w:rsidRPr="00F1203F" w14:paraId="60096278" w14:textId="77777777" w:rsidTr="00700188">
        <w:trPr>
          <w:trHeight w:val="315"/>
          <w:tblHeader/>
        </w:trPr>
        <w:tc>
          <w:tcPr>
            <w:tcW w:w="2841" w:type="dxa"/>
            <w:tcBorders>
              <w:top w:val="single" w:sz="4" w:space="0" w:color="auto"/>
              <w:left w:val="single" w:sz="4" w:space="0" w:color="auto"/>
              <w:bottom w:val="single" w:sz="4" w:space="0" w:color="auto"/>
              <w:right w:val="single" w:sz="4" w:space="0" w:color="auto"/>
            </w:tcBorders>
            <w:noWrap/>
            <w:vAlign w:val="bottom"/>
            <w:hideMark/>
          </w:tcPr>
          <w:p w14:paraId="78A70738" w14:textId="77777777" w:rsidR="00F1203F" w:rsidRPr="00F1203F" w:rsidRDefault="00F1203F" w:rsidP="00F1203F">
            <w:pPr>
              <w:spacing w:after="0" w:line="240" w:lineRule="auto"/>
              <w:jc w:val="center"/>
              <w:rPr>
                <w:rFonts w:cs="Arial"/>
                <w:color w:val="000000"/>
                <w:szCs w:val="21"/>
                <w:lang w:eastAsia="en-AU"/>
              </w:rPr>
            </w:pPr>
            <w:r w:rsidRPr="00F1203F">
              <w:rPr>
                <w:rFonts w:cs="Arial"/>
                <w:color w:val="000000"/>
                <w:szCs w:val="21"/>
                <w:lang w:eastAsia="en-AU"/>
              </w:rPr>
              <w:t>1</w:t>
            </w:r>
          </w:p>
        </w:tc>
        <w:tc>
          <w:tcPr>
            <w:tcW w:w="4519" w:type="dxa"/>
            <w:tcBorders>
              <w:top w:val="single" w:sz="4" w:space="0" w:color="auto"/>
              <w:left w:val="single" w:sz="4" w:space="0" w:color="auto"/>
              <w:bottom w:val="single" w:sz="4" w:space="0" w:color="auto"/>
              <w:right w:val="single" w:sz="4" w:space="0" w:color="auto"/>
            </w:tcBorders>
            <w:noWrap/>
            <w:vAlign w:val="center"/>
            <w:hideMark/>
          </w:tcPr>
          <w:p w14:paraId="3ACCDB64" w14:textId="77777777" w:rsidR="00F1203F" w:rsidRPr="00F1203F" w:rsidRDefault="00F1203F" w:rsidP="00F1203F">
            <w:pPr>
              <w:spacing w:after="0" w:line="240" w:lineRule="auto"/>
              <w:rPr>
                <w:rFonts w:cs="Arial"/>
                <w:color w:val="000000"/>
                <w:szCs w:val="21"/>
                <w:lang w:eastAsia="en-AU"/>
              </w:rPr>
            </w:pPr>
            <w:r w:rsidRPr="00F1203F">
              <w:rPr>
                <w:rFonts w:cs="Arial"/>
                <w:color w:val="000000"/>
                <w:szCs w:val="21"/>
                <w:lang w:eastAsia="en-AU"/>
              </w:rPr>
              <w:t>St Vincent's Hospital</w:t>
            </w:r>
          </w:p>
        </w:tc>
      </w:tr>
      <w:tr w:rsidR="00F1203F" w:rsidRPr="00F1203F" w14:paraId="7D1B8623" w14:textId="77777777" w:rsidTr="00700188">
        <w:trPr>
          <w:trHeight w:val="315"/>
          <w:tblHeader/>
        </w:trPr>
        <w:tc>
          <w:tcPr>
            <w:tcW w:w="2841" w:type="dxa"/>
            <w:tcBorders>
              <w:top w:val="single" w:sz="4" w:space="0" w:color="auto"/>
              <w:left w:val="single" w:sz="4" w:space="0" w:color="auto"/>
              <w:bottom w:val="single" w:sz="4" w:space="0" w:color="auto"/>
              <w:right w:val="single" w:sz="4" w:space="0" w:color="auto"/>
            </w:tcBorders>
            <w:noWrap/>
            <w:vAlign w:val="bottom"/>
            <w:hideMark/>
          </w:tcPr>
          <w:p w14:paraId="631378F2" w14:textId="77777777" w:rsidR="00F1203F" w:rsidRPr="00F1203F" w:rsidRDefault="00F1203F" w:rsidP="00F1203F">
            <w:pPr>
              <w:spacing w:after="0" w:line="240" w:lineRule="auto"/>
              <w:jc w:val="center"/>
              <w:rPr>
                <w:rFonts w:cs="Arial"/>
                <w:color w:val="000000"/>
                <w:szCs w:val="21"/>
                <w:lang w:eastAsia="en-AU"/>
              </w:rPr>
            </w:pPr>
            <w:r w:rsidRPr="00F1203F">
              <w:rPr>
                <w:rFonts w:cs="Arial"/>
                <w:color w:val="000000"/>
                <w:szCs w:val="21"/>
                <w:lang w:eastAsia="en-AU"/>
              </w:rPr>
              <w:t>1</w:t>
            </w:r>
          </w:p>
        </w:tc>
        <w:tc>
          <w:tcPr>
            <w:tcW w:w="4519" w:type="dxa"/>
            <w:tcBorders>
              <w:top w:val="single" w:sz="4" w:space="0" w:color="auto"/>
              <w:left w:val="single" w:sz="4" w:space="0" w:color="auto"/>
              <w:bottom w:val="single" w:sz="4" w:space="0" w:color="auto"/>
              <w:right w:val="single" w:sz="4" w:space="0" w:color="auto"/>
            </w:tcBorders>
            <w:noWrap/>
            <w:vAlign w:val="center"/>
            <w:hideMark/>
          </w:tcPr>
          <w:p w14:paraId="7D13D691" w14:textId="77777777" w:rsidR="00F1203F" w:rsidRPr="00F1203F" w:rsidRDefault="00F1203F" w:rsidP="00F1203F">
            <w:pPr>
              <w:spacing w:after="0" w:line="240" w:lineRule="auto"/>
              <w:rPr>
                <w:rFonts w:cs="Arial"/>
                <w:color w:val="000000"/>
                <w:szCs w:val="21"/>
                <w:lang w:eastAsia="en-AU"/>
              </w:rPr>
            </w:pPr>
            <w:r w:rsidRPr="00F1203F">
              <w:rPr>
                <w:rFonts w:cs="Arial"/>
                <w:color w:val="000000"/>
                <w:szCs w:val="21"/>
                <w:lang w:eastAsia="en-AU"/>
              </w:rPr>
              <w:t>Sunshine Hospital</w:t>
            </w:r>
          </w:p>
        </w:tc>
      </w:tr>
      <w:tr w:rsidR="00F1203F" w:rsidRPr="00F1203F" w14:paraId="335FB3C2" w14:textId="77777777" w:rsidTr="00700188">
        <w:trPr>
          <w:trHeight w:val="315"/>
          <w:tblHeader/>
        </w:trPr>
        <w:tc>
          <w:tcPr>
            <w:tcW w:w="2841" w:type="dxa"/>
            <w:tcBorders>
              <w:top w:val="single" w:sz="4" w:space="0" w:color="auto"/>
              <w:left w:val="single" w:sz="4" w:space="0" w:color="auto"/>
              <w:bottom w:val="single" w:sz="4" w:space="0" w:color="auto"/>
              <w:right w:val="single" w:sz="4" w:space="0" w:color="auto"/>
            </w:tcBorders>
            <w:noWrap/>
            <w:vAlign w:val="bottom"/>
            <w:hideMark/>
          </w:tcPr>
          <w:p w14:paraId="23F5EA86" w14:textId="77777777" w:rsidR="00F1203F" w:rsidRPr="00F1203F" w:rsidRDefault="00F1203F" w:rsidP="00F1203F">
            <w:pPr>
              <w:spacing w:after="0" w:line="240" w:lineRule="auto"/>
              <w:jc w:val="center"/>
              <w:rPr>
                <w:rFonts w:cs="Arial"/>
                <w:color w:val="000000"/>
                <w:szCs w:val="21"/>
                <w:lang w:eastAsia="en-AU"/>
              </w:rPr>
            </w:pPr>
            <w:r w:rsidRPr="00F1203F">
              <w:rPr>
                <w:rFonts w:cs="Arial"/>
                <w:color w:val="000000"/>
                <w:szCs w:val="21"/>
                <w:lang w:eastAsia="en-AU"/>
              </w:rPr>
              <w:t>1</w:t>
            </w:r>
          </w:p>
        </w:tc>
        <w:tc>
          <w:tcPr>
            <w:tcW w:w="4519" w:type="dxa"/>
            <w:tcBorders>
              <w:top w:val="single" w:sz="4" w:space="0" w:color="auto"/>
              <w:left w:val="single" w:sz="4" w:space="0" w:color="auto"/>
              <w:bottom w:val="single" w:sz="4" w:space="0" w:color="auto"/>
              <w:right w:val="single" w:sz="4" w:space="0" w:color="auto"/>
            </w:tcBorders>
            <w:noWrap/>
            <w:vAlign w:val="center"/>
            <w:hideMark/>
          </w:tcPr>
          <w:p w14:paraId="2C32C942" w14:textId="77777777" w:rsidR="00F1203F" w:rsidRPr="00F1203F" w:rsidRDefault="00F1203F" w:rsidP="00F1203F">
            <w:pPr>
              <w:spacing w:after="0" w:line="240" w:lineRule="auto"/>
              <w:rPr>
                <w:rFonts w:cs="Arial"/>
                <w:color w:val="000000"/>
                <w:szCs w:val="21"/>
                <w:lang w:eastAsia="en-AU"/>
              </w:rPr>
            </w:pPr>
            <w:r w:rsidRPr="00F1203F">
              <w:rPr>
                <w:rFonts w:cs="Arial"/>
                <w:color w:val="000000"/>
                <w:szCs w:val="21"/>
                <w:lang w:eastAsia="en-AU"/>
              </w:rPr>
              <w:t>The Royal Children's Hospital</w:t>
            </w:r>
          </w:p>
        </w:tc>
      </w:tr>
      <w:tr w:rsidR="00F1203F" w:rsidRPr="00F1203F" w14:paraId="6E9758EC" w14:textId="77777777" w:rsidTr="00700188">
        <w:trPr>
          <w:trHeight w:val="315"/>
          <w:tblHeader/>
        </w:trPr>
        <w:tc>
          <w:tcPr>
            <w:tcW w:w="2841" w:type="dxa"/>
            <w:tcBorders>
              <w:top w:val="single" w:sz="4" w:space="0" w:color="auto"/>
              <w:left w:val="single" w:sz="4" w:space="0" w:color="auto"/>
              <w:bottom w:val="single" w:sz="4" w:space="0" w:color="auto"/>
              <w:right w:val="single" w:sz="4" w:space="0" w:color="auto"/>
            </w:tcBorders>
            <w:noWrap/>
            <w:vAlign w:val="bottom"/>
            <w:hideMark/>
          </w:tcPr>
          <w:p w14:paraId="797FD797" w14:textId="77777777" w:rsidR="00F1203F" w:rsidRPr="00F1203F" w:rsidRDefault="00F1203F" w:rsidP="00F1203F">
            <w:pPr>
              <w:spacing w:after="0" w:line="240" w:lineRule="auto"/>
              <w:jc w:val="center"/>
              <w:rPr>
                <w:rFonts w:cs="Arial"/>
                <w:color w:val="000000"/>
                <w:szCs w:val="21"/>
                <w:lang w:eastAsia="en-AU"/>
              </w:rPr>
            </w:pPr>
            <w:r w:rsidRPr="00F1203F">
              <w:rPr>
                <w:rFonts w:cs="Arial"/>
                <w:color w:val="000000"/>
                <w:szCs w:val="21"/>
                <w:lang w:eastAsia="en-AU"/>
              </w:rPr>
              <w:t>1</w:t>
            </w:r>
          </w:p>
        </w:tc>
        <w:tc>
          <w:tcPr>
            <w:tcW w:w="4519" w:type="dxa"/>
            <w:tcBorders>
              <w:top w:val="single" w:sz="4" w:space="0" w:color="auto"/>
              <w:left w:val="single" w:sz="4" w:space="0" w:color="auto"/>
              <w:bottom w:val="single" w:sz="4" w:space="0" w:color="auto"/>
              <w:right w:val="single" w:sz="4" w:space="0" w:color="auto"/>
            </w:tcBorders>
            <w:noWrap/>
            <w:vAlign w:val="center"/>
            <w:hideMark/>
          </w:tcPr>
          <w:p w14:paraId="387EABF3" w14:textId="77777777" w:rsidR="00F1203F" w:rsidRPr="00F1203F" w:rsidRDefault="00F1203F" w:rsidP="00F1203F">
            <w:pPr>
              <w:spacing w:after="0" w:line="240" w:lineRule="auto"/>
              <w:rPr>
                <w:rFonts w:cs="Arial"/>
                <w:color w:val="000000"/>
                <w:szCs w:val="21"/>
                <w:lang w:eastAsia="en-AU"/>
              </w:rPr>
            </w:pPr>
            <w:r w:rsidRPr="00F1203F">
              <w:rPr>
                <w:rFonts w:cs="Arial"/>
                <w:color w:val="000000"/>
                <w:szCs w:val="21"/>
                <w:lang w:eastAsia="en-AU"/>
              </w:rPr>
              <w:t>The Royal Melbourne Hospital (City campus)</w:t>
            </w:r>
          </w:p>
        </w:tc>
      </w:tr>
      <w:tr w:rsidR="00F1203F" w:rsidRPr="00F1203F" w14:paraId="1DC6BF5B" w14:textId="77777777" w:rsidTr="00700188">
        <w:trPr>
          <w:trHeight w:val="315"/>
          <w:tblHeader/>
        </w:trPr>
        <w:tc>
          <w:tcPr>
            <w:tcW w:w="2841" w:type="dxa"/>
            <w:tcBorders>
              <w:top w:val="single" w:sz="4" w:space="0" w:color="auto"/>
              <w:left w:val="single" w:sz="4" w:space="0" w:color="auto"/>
              <w:bottom w:val="single" w:sz="4" w:space="0" w:color="auto"/>
              <w:right w:val="single" w:sz="4" w:space="0" w:color="auto"/>
            </w:tcBorders>
            <w:noWrap/>
            <w:vAlign w:val="bottom"/>
            <w:hideMark/>
          </w:tcPr>
          <w:p w14:paraId="3F3B5929" w14:textId="77777777" w:rsidR="00F1203F" w:rsidRPr="00F1203F" w:rsidRDefault="00F1203F" w:rsidP="00F1203F">
            <w:pPr>
              <w:spacing w:after="0" w:line="240" w:lineRule="auto"/>
              <w:jc w:val="center"/>
              <w:rPr>
                <w:rFonts w:cs="Arial"/>
                <w:color w:val="000000"/>
                <w:szCs w:val="21"/>
                <w:lang w:eastAsia="en-AU"/>
              </w:rPr>
            </w:pPr>
            <w:r w:rsidRPr="00F1203F">
              <w:rPr>
                <w:rFonts w:cs="Arial"/>
                <w:color w:val="000000"/>
                <w:szCs w:val="21"/>
                <w:lang w:eastAsia="en-AU"/>
              </w:rPr>
              <w:t>1</w:t>
            </w:r>
          </w:p>
        </w:tc>
        <w:tc>
          <w:tcPr>
            <w:tcW w:w="4519" w:type="dxa"/>
            <w:tcBorders>
              <w:top w:val="single" w:sz="4" w:space="0" w:color="auto"/>
              <w:left w:val="single" w:sz="4" w:space="0" w:color="auto"/>
              <w:bottom w:val="single" w:sz="4" w:space="0" w:color="auto"/>
              <w:right w:val="single" w:sz="4" w:space="0" w:color="auto"/>
            </w:tcBorders>
            <w:noWrap/>
            <w:vAlign w:val="center"/>
            <w:hideMark/>
          </w:tcPr>
          <w:p w14:paraId="62D84472" w14:textId="77777777" w:rsidR="00F1203F" w:rsidRPr="00F1203F" w:rsidRDefault="00F1203F" w:rsidP="00F1203F">
            <w:pPr>
              <w:spacing w:after="0" w:line="240" w:lineRule="auto"/>
              <w:rPr>
                <w:rFonts w:cs="Arial"/>
                <w:color w:val="000000"/>
                <w:szCs w:val="21"/>
                <w:lang w:eastAsia="en-AU"/>
              </w:rPr>
            </w:pPr>
            <w:r w:rsidRPr="00F1203F">
              <w:rPr>
                <w:rFonts w:cs="Arial"/>
                <w:color w:val="000000"/>
                <w:szCs w:val="21"/>
                <w:lang w:eastAsia="en-AU"/>
              </w:rPr>
              <w:t>University Hospital Geelong</w:t>
            </w:r>
          </w:p>
        </w:tc>
      </w:tr>
      <w:tr w:rsidR="00F1203F" w:rsidRPr="00F1203F" w14:paraId="09F5AFE9" w14:textId="77777777" w:rsidTr="00700188">
        <w:trPr>
          <w:trHeight w:val="315"/>
          <w:tblHeader/>
        </w:trPr>
        <w:tc>
          <w:tcPr>
            <w:tcW w:w="2841" w:type="dxa"/>
            <w:tcBorders>
              <w:top w:val="single" w:sz="4" w:space="0" w:color="auto"/>
              <w:left w:val="single" w:sz="4" w:space="0" w:color="auto"/>
              <w:bottom w:val="single" w:sz="4" w:space="0" w:color="auto"/>
              <w:right w:val="single" w:sz="4" w:space="0" w:color="auto"/>
            </w:tcBorders>
            <w:noWrap/>
            <w:vAlign w:val="bottom"/>
            <w:hideMark/>
          </w:tcPr>
          <w:p w14:paraId="6CA7B5C9" w14:textId="77777777" w:rsidR="00F1203F" w:rsidRPr="00F1203F" w:rsidRDefault="00F1203F" w:rsidP="00F1203F">
            <w:pPr>
              <w:spacing w:after="0" w:line="240" w:lineRule="auto"/>
              <w:jc w:val="center"/>
              <w:rPr>
                <w:rFonts w:cs="Arial"/>
                <w:color w:val="000000"/>
                <w:szCs w:val="21"/>
                <w:lang w:eastAsia="en-AU"/>
              </w:rPr>
            </w:pPr>
            <w:r w:rsidRPr="00F1203F">
              <w:rPr>
                <w:rFonts w:cs="Arial"/>
                <w:color w:val="000000"/>
                <w:szCs w:val="21"/>
                <w:lang w:eastAsia="en-AU"/>
              </w:rPr>
              <w:t>1</w:t>
            </w:r>
          </w:p>
        </w:tc>
        <w:tc>
          <w:tcPr>
            <w:tcW w:w="4519" w:type="dxa"/>
            <w:tcBorders>
              <w:top w:val="single" w:sz="4" w:space="0" w:color="auto"/>
              <w:left w:val="single" w:sz="4" w:space="0" w:color="auto"/>
              <w:bottom w:val="single" w:sz="4" w:space="0" w:color="auto"/>
              <w:right w:val="single" w:sz="4" w:space="0" w:color="auto"/>
            </w:tcBorders>
            <w:noWrap/>
            <w:vAlign w:val="center"/>
            <w:hideMark/>
          </w:tcPr>
          <w:p w14:paraId="78F5D4E8" w14:textId="77777777" w:rsidR="00F1203F" w:rsidRPr="00F1203F" w:rsidRDefault="00F1203F" w:rsidP="00F1203F">
            <w:pPr>
              <w:spacing w:after="0" w:line="240" w:lineRule="auto"/>
              <w:rPr>
                <w:rFonts w:cs="Arial"/>
                <w:color w:val="000000"/>
                <w:szCs w:val="21"/>
                <w:lang w:eastAsia="en-AU"/>
              </w:rPr>
            </w:pPr>
            <w:r w:rsidRPr="00F1203F">
              <w:rPr>
                <w:rFonts w:cs="Arial"/>
                <w:color w:val="000000"/>
                <w:szCs w:val="21"/>
                <w:lang w:eastAsia="en-AU"/>
              </w:rPr>
              <w:t>Werribee Mercy Hospital</w:t>
            </w:r>
          </w:p>
        </w:tc>
      </w:tr>
    </w:tbl>
    <w:p w14:paraId="6E7F77BB" w14:textId="6BECA51C" w:rsidR="000621FF" w:rsidRDefault="000621FF" w:rsidP="000621FF">
      <w:pPr>
        <w:pStyle w:val="Heading2"/>
      </w:pPr>
      <w:bookmarkStart w:id="21" w:name="_Toc194310951"/>
      <w:r>
        <w:t>Midwifery ratios</w:t>
      </w:r>
      <w:bookmarkEnd w:id="21"/>
    </w:p>
    <w:p w14:paraId="18C19301" w14:textId="2F118414" w:rsidR="00987F9B" w:rsidRDefault="00B074A2" w:rsidP="000621FF">
      <w:pPr>
        <w:pStyle w:val="Body"/>
      </w:pPr>
      <w:r>
        <w:t xml:space="preserve">Phase 3 midwifery ratios will apply in </w:t>
      </w:r>
      <w:r w:rsidR="00113A73">
        <w:t xml:space="preserve">postnatal and antenatal wards of </w:t>
      </w:r>
      <w:r w:rsidR="00184B24">
        <w:t xml:space="preserve">prescribed hospitals. </w:t>
      </w:r>
      <w:r w:rsidR="00D417E9">
        <w:t xml:space="preserve">The </w:t>
      </w:r>
      <w:r w:rsidR="001E67BA" w:rsidRPr="001E67BA">
        <w:t xml:space="preserve">department’s Maternity Capability Framework </w:t>
      </w:r>
      <w:r w:rsidR="00E329E0">
        <w:t xml:space="preserve">has been used </w:t>
      </w:r>
      <w:r w:rsidR="00987F9B">
        <w:t xml:space="preserve">to determine the </w:t>
      </w:r>
      <w:r w:rsidR="00E329E0">
        <w:t xml:space="preserve">prescribed hospitals </w:t>
      </w:r>
    </w:p>
    <w:p w14:paraId="4ED757F2" w14:textId="64E679FD" w:rsidR="001E67BA" w:rsidRDefault="00E329E0" w:rsidP="000621FF">
      <w:pPr>
        <w:pStyle w:val="Body"/>
      </w:pPr>
      <w:r w:rsidRPr="001E67BA">
        <w:t>As the levels outlined in the</w:t>
      </w:r>
      <w:r w:rsidR="00987F9B">
        <w:t xml:space="preserve"> </w:t>
      </w:r>
      <w:r w:rsidR="00987F9B" w:rsidRPr="001E67BA">
        <w:t>Maternity Capability Framewor</w:t>
      </w:r>
      <w:r w:rsidR="00987F9B">
        <w:t xml:space="preserve">k </w:t>
      </w:r>
      <w:r w:rsidR="001E67BA" w:rsidRPr="001E67BA">
        <w:t>are subject to change, the</w:t>
      </w:r>
      <w:r w:rsidR="00454A0C">
        <w:t>se</w:t>
      </w:r>
      <w:r w:rsidR="001E67BA" w:rsidRPr="001E67BA">
        <w:t xml:space="preserve"> levels </w:t>
      </w:r>
      <w:r w:rsidR="00454A0C">
        <w:t xml:space="preserve">have </w:t>
      </w:r>
      <w:r w:rsidR="001E67BA" w:rsidRPr="001E67BA">
        <w:t xml:space="preserve">not specified in the </w:t>
      </w:r>
      <w:r w:rsidR="007627AF">
        <w:t xml:space="preserve">Principal </w:t>
      </w:r>
      <w:r w:rsidR="001E67BA" w:rsidRPr="001E67BA">
        <w:t>Act</w:t>
      </w:r>
      <w:r w:rsidR="00A4193B">
        <w:t xml:space="preserve"> and reference to </w:t>
      </w:r>
      <w:r w:rsidR="00A4193B" w:rsidRPr="00A4193B">
        <w:t xml:space="preserve">‘operators of a </w:t>
      </w:r>
      <w:r w:rsidR="00A4193B" w:rsidRPr="00A4193B">
        <w:rPr>
          <w:i/>
          <w:iCs/>
        </w:rPr>
        <w:t>prescribed</w:t>
      </w:r>
      <w:r w:rsidR="00A4193B" w:rsidRPr="00A4193B">
        <w:t xml:space="preserve"> hospital’</w:t>
      </w:r>
      <w:r w:rsidR="00A4193B">
        <w:t xml:space="preserve"> </w:t>
      </w:r>
      <w:r w:rsidR="00F42260">
        <w:t xml:space="preserve">has instead been </w:t>
      </w:r>
      <w:r w:rsidR="00A4193B">
        <w:t>used</w:t>
      </w:r>
      <w:r w:rsidR="001E67BA" w:rsidRPr="001E67BA">
        <w:t xml:space="preserve">. </w:t>
      </w:r>
      <w:r w:rsidR="000144A8">
        <w:t xml:space="preserve">Prescribed hospitals will be listed in the </w:t>
      </w:r>
      <w:r w:rsidR="001E67BA" w:rsidRPr="000144A8">
        <w:rPr>
          <w:i/>
          <w:iCs/>
        </w:rPr>
        <w:t xml:space="preserve">Safe Patient Care (Nurse to Patient and Midwife to Patient Ratios) Regulations </w:t>
      </w:r>
      <w:r w:rsidR="001E67BA" w:rsidRPr="00906CAE">
        <w:rPr>
          <w:i/>
          <w:iCs/>
        </w:rPr>
        <w:t>2015</w:t>
      </w:r>
      <w:r w:rsidR="00AA33EC">
        <w:t>.</w:t>
      </w:r>
      <w:r w:rsidR="000144A8">
        <w:t xml:space="preserve"> </w:t>
      </w:r>
    </w:p>
    <w:p w14:paraId="3B00CF0C" w14:textId="5FC08C00" w:rsidR="00A50727" w:rsidRDefault="008D2DB2" w:rsidP="000621FF">
      <w:pPr>
        <w:pStyle w:val="Body"/>
      </w:pPr>
      <w:r>
        <w:t>T</w:t>
      </w:r>
      <w:r w:rsidR="00DA2C4D">
        <w:t xml:space="preserve">he </w:t>
      </w:r>
      <w:r>
        <w:t xml:space="preserve">phase 3 midwifery ratios will apply only in </w:t>
      </w:r>
      <w:hyperlink r:id="rId33" w:history="1">
        <w:r w:rsidR="00A50727" w:rsidRPr="00641B6C">
          <w:rPr>
            <w:rStyle w:val="Hyperlink"/>
          </w:rPr>
          <w:t>Maternity Capability</w:t>
        </w:r>
      </w:hyperlink>
      <w:r w:rsidR="00A50727" w:rsidRPr="00641B6C">
        <w:t xml:space="preserve"> Level 5 and 6 services</w:t>
      </w:r>
      <w:r w:rsidR="001E42A4">
        <w:t xml:space="preserve">, </w:t>
      </w:r>
      <w:r w:rsidR="00A50727" w:rsidRPr="00641B6C">
        <w:t>and Level 4 services that are part of a larger multicampus metropolitan health service</w:t>
      </w:r>
      <w:r w:rsidR="00B074A2">
        <w:t xml:space="preserve">. This encompasses </w:t>
      </w:r>
      <w:r w:rsidR="00A50727" w:rsidRPr="00641B6C">
        <w:t>1</w:t>
      </w:r>
      <w:r w:rsidR="00482781">
        <w:t>8</w:t>
      </w:r>
      <w:r w:rsidR="00A50727" w:rsidRPr="00641B6C">
        <w:t xml:space="preserve"> hospitals across metropolitan Melbourne and regional Victoria.   </w:t>
      </w:r>
    </w:p>
    <w:p w14:paraId="6EA99D68" w14:textId="77229269" w:rsidR="00E44ED6" w:rsidRPr="000D4D9D" w:rsidRDefault="00E44ED6" w:rsidP="000621FF">
      <w:pPr>
        <w:pStyle w:val="Body"/>
        <w:rPr>
          <w:i/>
          <w:iCs/>
        </w:rPr>
      </w:pPr>
    </w:p>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166"/>
        <w:gridCol w:w="3393"/>
        <w:gridCol w:w="3599"/>
      </w:tblGrid>
      <w:tr w:rsidR="00BC7F08" w:rsidRPr="006641DB" w14:paraId="0FFC06EF" w14:textId="77777777" w:rsidTr="00BC7F08">
        <w:trPr>
          <w:trHeight w:val="570"/>
          <w:tblHeader/>
        </w:trPr>
        <w:tc>
          <w:tcPr>
            <w:tcW w:w="2166" w:type="dxa"/>
            <w:shd w:val="clear" w:color="auto" w:fill="002060"/>
            <w:vAlign w:val="bottom"/>
            <w:hideMark/>
          </w:tcPr>
          <w:p w14:paraId="7E18379C" w14:textId="77777777" w:rsidR="006641DB" w:rsidRPr="006641DB" w:rsidRDefault="006641DB" w:rsidP="006641DB">
            <w:pPr>
              <w:spacing w:after="0" w:line="240" w:lineRule="auto"/>
              <w:jc w:val="center"/>
              <w:rPr>
                <w:rFonts w:cs="Arial"/>
                <w:b/>
                <w:bCs/>
                <w:color w:val="FFFFFF" w:themeColor="background1"/>
                <w:szCs w:val="21"/>
                <w:lang w:eastAsia="en-AU"/>
              </w:rPr>
            </w:pPr>
            <w:r w:rsidRPr="006641DB">
              <w:rPr>
                <w:rFonts w:cs="Arial"/>
                <w:b/>
                <w:bCs/>
                <w:color w:val="FFFFFF" w:themeColor="background1"/>
                <w:szCs w:val="21"/>
                <w:lang w:eastAsia="en-AU"/>
              </w:rPr>
              <w:lastRenderedPageBreak/>
              <w:t>Maternity Capability level</w:t>
            </w:r>
          </w:p>
        </w:tc>
        <w:tc>
          <w:tcPr>
            <w:tcW w:w="3393" w:type="dxa"/>
            <w:shd w:val="clear" w:color="auto" w:fill="002060"/>
            <w:vAlign w:val="bottom"/>
            <w:hideMark/>
          </w:tcPr>
          <w:p w14:paraId="021A5163" w14:textId="77777777" w:rsidR="006641DB" w:rsidRPr="006641DB" w:rsidRDefault="006641DB" w:rsidP="006641DB">
            <w:pPr>
              <w:spacing w:after="0" w:line="240" w:lineRule="auto"/>
              <w:jc w:val="center"/>
              <w:rPr>
                <w:rFonts w:cs="Arial"/>
                <w:b/>
                <w:bCs/>
                <w:color w:val="FFFFFF" w:themeColor="background1"/>
                <w:szCs w:val="21"/>
                <w:lang w:eastAsia="en-AU"/>
              </w:rPr>
            </w:pPr>
            <w:r w:rsidRPr="006641DB">
              <w:rPr>
                <w:rFonts w:cs="Arial"/>
                <w:b/>
                <w:bCs/>
                <w:color w:val="FFFFFF" w:themeColor="background1"/>
                <w:szCs w:val="21"/>
                <w:lang w:eastAsia="en-AU"/>
              </w:rPr>
              <w:t>Maternity Capability Framework Service name</w:t>
            </w:r>
          </w:p>
        </w:tc>
        <w:tc>
          <w:tcPr>
            <w:tcW w:w="3599" w:type="dxa"/>
            <w:shd w:val="clear" w:color="auto" w:fill="002060"/>
            <w:vAlign w:val="bottom"/>
            <w:hideMark/>
          </w:tcPr>
          <w:p w14:paraId="46B1043A" w14:textId="2424EE5C" w:rsidR="006641DB" w:rsidRPr="006641DB" w:rsidRDefault="006641DB" w:rsidP="006641DB">
            <w:pPr>
              <w:spacing w:after="0" w:line="240" w:lineRule="auto"/>
              <w:jc w:val="center"/>
              <w:rPr>
                <w:rFonts w:cs="Arial"/>
                <w:b/>
                <w:bCs/>
                <w:color w:val="FFFFFF" w:themeColor="background1"/>
                <w:szCs w:val="21"/>
                <w:lang w:eastAsia="en-AU"/>
              </w:rPr>
            </w:pPr>
            <w:r w:rsidRPr="006641DB">
              <w:rPr>
                <w:rFonts w:cs="Arial"/>
                <w:b/>
                <w:bCs/>
                <w:color w:val="FFFFFF" w:themeColor="background1"/>
                <w:szCs w:val="21"/>
                <w:lang w:eastAsia="en-AU"/>
              </w:rPr>
              <w:t xml:space="preserve">Hospital name as listed in Schedules of the </w:t>
            </w:r>
            <w:r w:rsidR="007627AF">
              <w:rPr>
                <w:rFonts w:cs="Arial"/>
                <w:b/>
                <w:bCs/>
                <w:color w:val="FFFFFF" w:themeColor="background1"/>
                <w:szCs w:val="21"/>
                <w:lang w:eastAsia="en-AU"/>
              </w:rPr>
              <w:t xml:space="preserve">Principal </w:t>
            </w:r>
            <w:r w:rsidRPr="006641DB">
              <w:rPr>
                <w:rFonts w:cs="Arial"/>
                <w:b/>
                <w:bCs/>
                <w:color w:val="FFFFFF" w:themeColor="background1"/>
                <w:szCs w:val="21"/>
                <w:lang w:eastAsia="en-AU"/>
              </w:rPr>
              <w:t>Act currently</w:t>
            </w:r>
            <w:r w:rsidR="00B6263E" w:rsidRPr="00BC7F08">
              <w:rPr>
                <w:rFonts w:cs="Arial"/>
                <w:b/>
                <w:bCs/>
                <w:color w:val="FFFFFF" w:themeColor="background1"/>
                <w:szCs w:val="21"/>
                <w:lang w:eastAsia="en-AU"/>
              </w:rPr>
              <w:t xml:space="preserve"> (pre nomenclature update</w:t>
            </w:r>
            <w:r w:rsidR="00AC5964" w:rsidRPr="00BC7F08">
              <w:rPr>
                <w:rFonts w:cs="Arial"/>
                <w:b/>
                <w:bCs/>
                <w:color w:val="FFFFFF" w:themeColor="background1"/>
                <w:szCs w:val="21"/>
                <w:lang w:eastAsia="en-AU"/>
              </w:rPr>
              <w:t>*</w:t>
            </w:r>
            <w:r w:rsidR="00B6263E" w:rsidRPr="00BC7F08">
              <w:rPr>
                <w:rFonts w:cs="Arial"/>
                <w:b/>
                <w:bCs/>
                <w:color w:val="FFFFFF" w:themeColor="background1"/>
                <w:szCs w:val="21"/>
                <w:lang w:eastAsia="en-AU"/>
              </w:rPr>
              <w:t>)</w:t>
            </w:r>
          </w:p>
        </w:tc>
      </w:tr>
      <w:tr w:rsidR="006641DB" w:rsidRPr="006641DB" w14:paraId="73FD5CA6" w14:textId="77777777" w:rsidTr="00C85ECD">
        <w:trPr>
          <w:trHeight w:val="299"/>
          <w:tblHeader/>
        </w:trPr>
        <w:tc>
          <w:tcPr>
            <w:tcW w:w="2166" w:type="dxa"/>
            <w:noWrap/>
            <w:vAlign w:val="bottom"/>
            <w:hideMark/>
          </w:tcPr>
          <w:p w14:paraId="52A2AB7B" w14:textId="77777777" w:rsidR="006641DB" w:rsidRPr="006641DB" w:rsidRDefault="006641DB" w:rsidP="006641DB">
            <w:pPr>
              <w:spacing w:after="0" w:line="240" w:lineRule="auto"/>
              <w:jc w:val="center"/>
              <w:rPr>
                <w:rFonts w:cs="Arial"/>
                <w:color w:val="000000"/>
                <w:szCs w:val="21"/>
                <w:lang w:eastAsia="en-AU"/>
              </w:rPr>
            </w:pPr>
            <w:r w:rsidRPr="006641DB">
              <w:rPr>
                <w:rFonts w:cs="Arial"/>
                <w:color w:val="000000"/>
                <w:szCs w:val="21"/>
                <w:lang w:eastAsia="en-AU"/>
              </w:rPr>
              <w:t>4</w:t>
            </w:r>
          </w:p>
        </w:tc>
        <w:tc>
          <w:tcPr>
            <w:tcW w:w="3393" w:type="dxa"/>
            <w:noWrap/>
            <w:vAlign w:val="bottom"/>
            <w:hideMark/>
          </w:tcPr>
          <w:p w14:paraId="4599716A"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Eastern Health - Angliss Hospital</w:t>
            </w:r>
          </w:p>
        </w:tc>
        <w:tc>
          <w:tcPr>
            <w:tcW w:w="3599" w:type="dxa"/>
            <w:noWrap/>
            <w:vAlign w:val="bottom"/>
            <w:hideMark/>
          </w:tcPr>
          <w:p w14:paraId="2AA0C048"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Angliss Hospital</w:t>
            </w:r>
          </w:p>
        </w:tc>
      </w:tr>
      <w:tr w:rsidR="006641DB" w:rsidRPr="006641DB" w14:paraId="233C18B9" w14:textId="77777777" w:rsidTr="00C85ECD">
        <w:trPr>
          <w:trHeight w:val="299"/>
          <w:tblHeader/>
        </w:trPr>
        <w:tc>
          <w:tcPr>
            <w:tcW w:w="2166" w:type="dxa"/>
            <w:noWrap/>
            <w:vAlign w:val="bottom"/>
            <w:hideMark/>
          </w:tcPr>
          <w:p w14:paraId="59D84BFB" w14:textId="77777777" w:rsidR="006641DB" w:rsidRPr="006641DB" w:rsidRDefault="006641DB" w:rsidP="006641DB">
            <w:pPr>
              <w:spacing w:after="0" w:line="240" w:lineRule="auto"/>
              <w:jc w:val="center"/>
              <w:rPr>
                <w:rFonts w:cs="Arial"/>
                <w:color w:val="000000"/>
                <w:szCs w:val="21"/>
                <w:lang w:eastAsia="en-AU"/>
              </w:rPr>
            </w:pPr>
            <w:r w:rsidRPr="006641DB">
              <w:rPr>
                <w:rFonts w:cs="Arial"/>
                <w:color w:val="000000"/>
                <w:szCs w:val="21"/>
                <w:lang w:eastAsia="en-AU"/>
              </w:rPr>
              <w:t>4</w:t>
            </w:r>
          </w:p>
        </w:tc>
        <w:tc>
          <w:tcPr>
            <w:tcW w:w="3393" w:type="dxa"/>
            <w:noWrap/>
            <w:vAlign w:val="bottom"/>
            <w:hideMark/>
          </w:tcPr>
          <w:p w14:paraId="59E7C9CD"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Mercy Werribee Hospital</w:t>
            </w:r>
          </w:p>
        </w:tc>
        <w:tc>
          <w:tcPr>
            <w:tcW w:w="3599" w:type="dxa"/>
            <w:noWrap/>
            <w:vAlign w:val="bottom"/>
            <w:hideMark/>
          </w:tcPr>
          <w:p w14:paraId="2C35B3B6"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Werribee Mercy Hospital</w:t>
            </w:r>
          </w:p>
        </w:tc>
      </w:tr>
      <w:tr w:rsidR="006641DB" w:rsidRPr="006641DB" w14:paraId="7DDCD79B" w14:textId="77777777" w:rsidTr="00C85ECD">
        <w:trPr>
          <w:trHeight w:val="299"/>
          <w:tblHeader/>
        </w:trPr>
        <w:tc>
          <w:tcPr>
            <w:tcW w:w="2166" w:type="dxa"/>
            <w:noWrap/>
            <w:vAlign w:val="bottom"/>
            <w:hideMark/>
          </w:tcPr>
          <w:p w14:paraId="538D2F3F" w14:textId="77777777" w:rsidR="006641DB" w:rsidRPr="006641DB" w:rsidRDefault="006641DB" w:rsidP="006641DB">
            <w:pPr>
              <w:spacing w:after="0" w:line="240" w:lineRule="auto"/>
              <w:jc w:val="center"/>
              <w:rPr>
                <w:rFonts w:cs="Arial"/>
                <w:color w:val="000000"/>
                <w:szCs w:val="21"/>
                <w:lang w:eastAsia="en-AU"/>
              </w:rPr>
            </w:pPr>
            <w:r w:rsidRPr="006641DB">
              <w:rPr>
                <w:rFonts w:cs="Arial"/>
                <w:color w:val="000000"/>
                <w:szCs w:val="21"/>
                <w:lang w:eastAsia="en-AU"/>
              </w:rPr>
              <w:t>4</w:t>
            </w:r>
          </w:p>
        </w:tc>
        <w:tc>
          <w:tcPr>
            <w:tcW w:w="3393" w:type="dxa"/>
            <w:noWrap/>
            <w:vAlign w:val="bottom"/>
            <w:hideMark/>
          </w:tcPr>
          <w:p w14:paraId="6A5A6D02"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Monash Health - Casey Hospital</w:t>
            </w:r>
          </w:p>
        </w:tc>
        <w:tc>
          <w:tcPr>
            <w:tcW w:w="3599" w:type="dxa"/>
            <w:noWrap/>
            <w:vAlign w:val="bottom"/>
            <w:hideMark/>
          </w:tcPr>
          <w:p w14:paraId="2A14DFDD"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Casey Hospital</w:t>
            </w:r>
          </w:p>
        </w:tc>
      </w:tr>
      <w:tr w:rsidR="006641DB" w:rsidRPr="006641DB" w14:paraId="78F86EEA" w14:textId="77777777" w:rsidTr="00C85ECD">
        <w:trPr>
          <w:trHeight w:val="284"/>
          <w:tblHeader/>
        </w:trPr>
        <w:tc>
          <w:tcPr>
            <w:tcW w:w="2166" w:type="dxa"/>
            <w:noWrap/>
            <w:vAlign w:val="bottom"/>
            <w:hideMark/>
          </w:tcPr>
          <w:p w14:paraId="1C48499A" w14:textId="77777777" w:rsidR="006641DB" w:rsidRPr="006641DB" w:rsidRDefault="006641DB" w:rsidP="006641DB">
            <w:pPr>
              <w:spacing w:after="0" w:line="240" w:lineRule="auto"/>
              <w:jc w:val="center"/>
              <w:rPr>
                <w:rFonts w:cs="Arial"/>
                <w:color w:val="000000"/>
                <w:szCs w:val="21"/>
                <w:lang w:eastAsia="en-AU"/>
              </w:rPr>
            </w:pPr>
            <w:r w:rsidRPr="006641DB">
              <w:rPr>
                <w:rFonts w:cs="Arial"/>
                <w:color w:val="000000"/>
                <w:szCs w:val="21"/>
                <w:lang w:eastAsia="en-AU"/>
              </w:rPr>
              <w:t>4</w:t>
            </w:r>
          </w:p>
        </w:tc>
        <w:tc>
          <w:tcPr>
            <w:tcW w:w="3393" w:type="dxa"/>
            <w:noWrap/>
            <w:vAlign w:val="bottom"/>
            <w:hideMark/>
          </w:tcPr>
          <w:p w14:paraId="1C3C48D4"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Monash Health - Dandenong Hospital</w:t>
            </w:r>
          </w:p>
        </w:tc>
        <w:tc>
          <w:tcPr>
            <w:tcW w:w="3599" w:type="dxa"/>
            <w:noWrap/>
            <w:vAlign w:val="bottom"/>
            <w:hideMark/>
          </w:tcPr>
          <w:p w14:paraId="4FC2A31D"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Dandenong Hospital</w:t>
            </w:r>
          </w:p>
        </w:tc>
      </w:tr>
      <w:tr w:rsidR="006641DB" w:rsidRPr="006641DB" w14:paraId="1C091740" w14:textId="77777777" w:rsidTr="00C85ECD">
        <w:trPr>
          <w:trHeight w:val="284"/>
          <w:tblHeader/>
        </w:trPr>
        <w:tc>
          <w:tcPr>
            <w:tcW w:w="2166" w:type="dxa"/>
            <w:noWrap/>
            <w:vAlign w:val="bottom"/>
            <w:hideMark/>
          </w:tcPr>
          <w:p w14:paraId="6DC40FF9" w14:textId="77777777" w:rsidR="006641DB" w:rsidRPr="006641DB" w:rsidRDefault="006641DB" w:rsidP="006641DB">
            <w:pPr>
              <w:spacing w:after="0" w:line="240" w:lineRule="auto"/>
              <w:jc w:val="center"/>
              <w:rPr>
                <w:rFonts w:cs="Arial"/>
                <w:color w:val="000000"/>
                <w:szCs w:val="21"/>
                <w:lang w:eastAsia="en-AU"/>
              </w:rPr>
            </w:pPr>
            <w:r w:rsidRPr="006641DB">
              <w:rPr>
                <w:rFonts w:cs="Arial"/>
                <w:color w:val="000000"/>
                <w:szCs w:val="21"/>
                <w:lang w:eastAsia="en-AU"/>
              </w:rPr>
              <w:t>4</w:t>
            </w:r>
          </w:p>
        </w:tc>
        <w:tc>
          <w:tcPr>
            <w:tcW w:w="3393" w:type="dxa"/>
            <w:noWrap/>
            <w:vAlign w:val="bottom"/>
            <w:hideMark/>
          </w:tcPr>
          <w:p w14:paraId="15A5C529" w14:textId="587DE705"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 xml:space="preserve">Monash Health Women’s </w:t>
            </w:r>
            <w:r w:rsidR="00E6270C">
              <w:rPr>
                <w:rFonts w:cs="Arial"/>
                <w:color w:val="000000"/>
                <w:szCs w:val="21"/>
                <w:lang w:eastAsia="en-AU"/>
              </w:rPr>
              <w:t>–</w:t>
            </w:r>
            <w:r w:rsidRPr="006641DB">
              <w:rPr>
                <w:rFonts w:cs="Arial"/>
                <w:color w:val="000000"/>
                <w:szCs w:val="21"/>
                <w:lang w:eastAsia="en-AU"/>
              </w:rPr>
              <w:t xml:space="preserve"> Sandringham</w:t>
            </w:r>
          </w:p>
        </w:tc>
        <w:tc>
          <w:tcPr>
            <w:tcW w:w="3599" w:type="dxa"/>
            <w:noWrap/>
            <w:vAlign w:val="bottom"/>
            <w:hideMark/>
          </w:tcPr>
          <w:p w14:paraId="1389798F"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Sandringham Hospital</w:t>
            </w:r>
          </w:p>
        </w:tc>
      </w:tr>
      <w:tr w:rsidR="006641DB" w:rsidRPr="006641DB" w14:paraId="4590B6C0" w14:textId="77777777" w:rsidTr="00C85ECD">
        <w:trPr>
          <w:trHeight w:val="299"/>
          <w:tblHeader/>
        </w:trPr>
        <w:tc>
          <w:tcPr>
            <w:tcW w:w="2166" w:type="dxa"/>
            <w:noWrap/>
            <w:vAlign w:val="bottom"/>
            <w:hideMark/>
          </w:tcPr>
          <w:p w14:paraId="05B8A3E4" w14:textId="77777777" w:rsidR="006641DB" w:rsidRPr="006641DB" w:rsidRDefault="006641DB" w:rsidP="006641DB">
            <w:pPr>
              <w:spacing w:after="0" w:line="240" w:lineRule="auto"/>
              <w:jc w:val="center"/>
              <w:rPr>
                <w:rFonts w:cs="Arial"/>
                <w:color w:val="000000"/>
                <w:szCs w:val="21"/>
                <w:lang w:eastAsia="en-AU"/>
              </w:rPr>
            </w:pPr>
            <w:r w:rsidRPr="006641DB">
              <w:rPr>
                <w:rFonts w:cs="Arial"/>
                <w:color w:val="000000"/>
                <w:szCs w:val="21"/>
                <w:lang w:eastAsia="en-AU"/>
              </w:rPr>
              <w:t>5</w:t>
            </w:r>
          </w:p>
        </w:tc>
        <w:tc>
          <w:tcPr>
            <w:tcW w:w="3393" w:type="dxa"/>
            <w:noWrap/>
            <w:vAlign w:val="bottom"/>
            <w:hideMark/>
          </w:tcPr>
          <w:p w14:paraId="17740A98"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Albury Wodonga Health</w:t>
            </w:r>
          </w:p>
        </w:tc>
        <w:tc>
          <w:tcPr>
            <w:tcW w:w="3599" w:type="dxa"/>
            <w:noWrap/>
            <w:vAlign w:val="bottom"/>
            <w:hideMark/>
          </w:tcPr>
          <w:p w14:paraId="59C71580"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Albury Wodonga Health (Wodonga campus)</w:t>
            </w:r>
          </w:p>
        </w:tc>
      </w:tr>
      <w:tr w:rsidR="006641DB" w:rsidRPr="006641DB" w14:paraId="406726C7" w14:textId="77777777" w:rsidTr="00C85ECD">
        <w:trPr>
          <w:trHeight w:val="299"/>
          <w:tblHeader/>
        </w:trPr>
        <w:tc>
          <w:tcPr>
            <w:tcW w:w="2166" w:type="dxa"/>
            <w:noWrap/>
            <w:vAlign w:val="bottom"/>
            <w:hideMark/>
          </w:tcPr>
          <w:p w14:paraId="5BBFC920" w14:textId="77777777" w:rsidR="006641DB" w:rsidRPr="006641DB" w:rsidRDefault="006641DB" w:rsidP="006641DB">
            <w:pPr>
              <w:spacing w:after="0" w:line="240" w:lineRule="auto"/>
              <w:jc w:val="center"/>
              <w:rPr>
                <w:rFonts w:cs="Arial"/>
                <w:color w:val="000000"/>
                <w:szCs w:val="21"/>
                <w:lang w:eastAsia="en-AU"/>
              </w:rPr>
            </w:pPr>
            <w:r w:rsidRPr="006641DB">
              <w:rPr>
                <w:rFonts w:cs="Arial"/>
                <w:color w:val="000000"/>
                <w:szCs w:val="21"/>
                <w:lang w:eastAsia="en-AU"/>
              </w:rPr>
              <w:t>5</w:t>
            </w:r>
          </w:p>
        </w:tc>
        <w:tc>
          <w:tcPr>
            <w:tcW w:w="3393" w:type="dxa"/>
            <w:noWrap/>
            <w:vAlign w:val="bottom"/>
            <w:hideMark/>
          </w:tcPr>
          <w:p w14:paraId="6793C79C"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University Hospital Geelong</w:t>
            </w:r>
          </w:p>
        </w:tc>
        <w:tc>
          <w:tcPr>
            <w:tcW w:w="3599" w:type="dxa"/>
            <w:noWrap/>
            <w:vAlign w:val="bottom"/>
            <w:hideMark/>
          </w:tcPr>
          <w:p w14:paraId="2B5D9699"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University Hospital Geelong</w:t>
            </w:r>
          </w:p>
        </w:tc>
      </w:tr>
      <w:tr w:rsidR="006641DB" w:rsidRPr="006641DB" w14:paraId="2E1A59F4" w14:textId="77777777" w:rsidTr="00C85ECD">
        <w:trPr>
          <w:trHeight w:val="284"/>
          <w:tblHeader/>
        </w:trPr>
        <w:tc>
          <w:tcPr>
            <w:tcW w:w="2166" w:type="dxa"/>
            <w:noWrap/>
            <w:vAlign w:val="bottom"/>
            <w:hideMark/>
          </w:tcPr>
          <w:p w14:paraId="504766CD" w14:textId="77777777" w:rsidR="006641DB" w:rsidRPr="006641DB" w:rsidRDefault="006641DB" w:rsidP="006641DB">
            <w:pPr>
              <w:spacing w:after="0" w:line="240" w:lineRule="auto"/>
              <w:jc w:val="center"/>
              <w:rPr>
                <w:rFonts w:cs="Arial"/>
                <w:color w:val="000000"/>
                <w:szCs w:val="21"/>
                <w:lang w:eastAsia="en-AU"/>
              </w:rPr>
            </w:pPr>
            <w:r w:rsidRPr="006641DB">
              <w:rPr>
                <w:rFonts w:cs="Arial"/>
                <w:color w:val="000000"/>
                <w:szCs w:val="21"/>
                <w:lang w:eastAsia="en-AU"/>
              </w:rPr>
              <w:t>5</w:t>
            </w:r>
          </w:p>
        </w:tc>
        <w:tc>
          <w:tcPr>
            <w:tcW w:w="3393" w:type="dxa"/>
            <w:noWrap/>
            <w:vAlign w:val="bottom"/>
            <w:hideMark/>
          </w:tcPr>
          <w:p w14:paraId="5E3F9D63"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Bendigo Health</w:t>
            </w:r>
          </w:p>
        </w:tc>
        <w:tc>
          <w:tcPr>
            <w:tcW w:w="3599" w:type="dxa"/>
            <w:noWrap/>
            <w:vAlign w:val="bottom"/>
            <w:hideMark/>
          </w:tcPr>
          <w:p w14:paraId="4985D3C7"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Bendigo Hospital</w:t>
            </w:r>
          </w:p>
        </w:tc>
      </w:tr>
      <w:tr w:rsidR="006641DB" w:rsidRPr="006641DB" w14:paraId="5BB16A08" w14:textId="77777777" w:rsidTr="00C85ECD">
        <w:trPr>
          <w:trHeight w:val="284"/>
          <w:tblHeader/>
        </w:trPr>
        <w:tc>
          <w:tcPr>
            <w:tcW w:w="2166" w:type="dxa"/>
            <w:noWrap/>
            <w:vAlign w:val="bottom"/>
            <w:hideMark/>
          </w:tcPr>
          <w:p w14:paraId="43F9A541" w14:textId="77777777" w:rsidR="006641DB" w:rsidRPr="006641DB" w:rsidRDefault="006641DB" w:rsidP="006641DB">
            <w:pPr>
              <w:spacing w:after="0" w:line="240" w:lineRule="auto"/>
              <w:jc w:val="center"/>
              <w:rPr>
                <w:rFonts w:cs="Arial"/>
                <w:color w:val="000000"/>
                <w:szCs w:val="21"/>
                <w:lang w:eastAsia="en-AU"/>
              </w:rPr>
            </w:pPr>
            <w:r w:rsidRPr="006641DB">
              <w:rPr>
                <w:rFonts w:cs="Arial"/>
                <w:color w:val="000000"/>
                <w:szCs w:val="21"/>
                <w:lang w:eastAsia="en-AU"/>
              </w:rPr>
              <w:t>5</w:t>
            </w:r>
          </w:p>
        </w:tc>
        <w:tc>
          <w:tcPr>
            <w:tcW w:w="3393" w:type="dxa"/>
            <w:noWrap/>
            <w:vAlign w:val="bottom"/>
            <w:hideMark/>
          </w:tcPr>
          <w:p w14:paraId="5B45909E"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Eastern Health - Box Hill Hospital</w:t>
            </w:r>
          </w:p>
        </w:tc>
        <w:tc>
          <w:tcPr>
            <w:tcW w:w="3599" w:type="dxa"/>
            <w:noWrap/>
            <w:vAlign w:val="bottom"/>
            <w:hideMark/>
          </w:tcPr>
          <w:p w14:paraId="16C9EDB8"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Box Hill Hospital</w:t>
            </w:r>
          </w:p>
        </w:tc>
      </w:tr>
      <w:tr w:rsidR="006641DB" w:rsidRPr="006641DB" w14:paraId="50956C69" w14:textId="77777777" w:rsidTr="00C85ECD">
        <w:trPr>
          <w:trHeight w:val="299"/>
          <w:tblHeader/>
        </w:trPr>
        <w:tc>
          <w:tcPr>
            <w:tcW w:w="2166" w:type="dxa"/>
            <w:noWrap/>
            <w:vAlign w:val="bottom"/>
            <w:hideMark/>
          </w:tcPr>
          <w:p w14:paraId="403DABF8" w14:textId="77777777" w:rsidR="006641DB" w:rsidRPr="006641DB" w:rsidRDefault="006641DB" w:rsidP="006641DB">
            <w:pPr>
              <w:spacing w:after="0" w:line="240" w:lineRule="auto"/>
              <w:jc w:val="center"/>
              <w:rPr>
                <w:rFonts w:cs="Arial"/>
                <w:color w:val="000000"/>
                <w:szCs w:val="21"/>
                <w:lang w:eastAsia="en-AU"/>
              </w:rPr>
            </w:pPr>
            <w:r w:rsidRPr="006641DB">
              <w:rPr>
                <w:rFonts w:cs="Arial"/>
                <w:color w:val="000000"/>
                <w:szCs w:val="21"/>
                <w:lang w:eastAsia="en-AU"/>
              </w:rPr>
              <w:t>5</w:t>
            </w:r>
          </w:p>
        </w:tc>
        <w:tc>
          <w:tcPr>
            <w:tcW w:w="3393" w:type="dxa"/>
            <w:noWrap/>
            <w:vAlign w:val="bottom"/>
            <w:hideMark/>
          </w:tcPr>
          <w:p w14:paraId="18FB14A0"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Goulburn Valley Health</w:t>
            </w:r>
          </w:p>
        </w:tc>
        <w:tc>
          <w:tcPr>
            <w:tcW w:w="3599" w:type="dxa"/>
            <w:noWrap/>
            <w:vAlign w:val="bottom"/>
            <w:hideMark/>
          </w:tcPr>
          <w:p w14:paraId="7352F532"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Goulburn Valley Health (Shepparton campus)</w:t>
            </w:r>
          </w:p>
        </w:tc>
      </w:tr>
      <w:tr w:rsidR="006641DB" w:rsidRPr="006641DB" w14:paraId="7503E47D" w14:textId="77777777" w:rsidTr="00C85ECD">
        <w:trPr>
          <w:trHeight w:val="284"/>
          <w:tblHeader/>
        </w:trPr>
        <w:tc>
          <w:tcPr>
            <w:tcW w:w="2166" w:type="dxa"/>
            <w:noWrap/>
            <w:vAlign w:val="bottom"/>
            <w:hideMark/>
          </w:tcPr>
          <w:p w14:paraId="0F6CCBB1" w14:textId="77777777" w:rsidR="006641DB" w:rsidRPr="006641DB" w:rsidRDefault="006641DB" w:rsidP="006641DB">
            <w:pPr>
              <w:spacing w:after="0" w:line="240" w:lineRule="auto"/>
              <w:jc w:val="center"/>
              <w:rPr>
                <w:rFonts w:cs="Arial"/>
                <w:color w:val="000000"/>
                <w:szCs w:val="21"/>
                <w:lang w:eastAsia="en-AU"/>
              </w:rPr>
            </w:pPr>
            <w:r w:rsidRPr="006641DB">
              <w:rPr>
                <w:rFonts w:cs="Arial"/>
                <w:color w:val="000000"/>
                <w:szCs w:val="21"/>
                <w:lang w:eastAsia="en-AU"/>
              </w:rPr>
              <w:t>5</w:t>
            </w:r>
          </w:p>
        </w:tc>
        <w:tc>
          <w:tcPr>
            <w:tcW w:w="3393" w:type="dxa"/>
            <w:noWrap/>
            <w:vAlign w:val="bottom"/>
            <w:hideMark/>
          </w:tcPr>
          <w:p w14:paraId="5BCF0D15"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Grampians Health - Ballarat Base Hospital</w:t>
            </w:r>
          </w:p>
        </w:tc>
        <w:tc>
          <w:tcPr>
            <w:tcW w:w="3599" w:type="dxa"/>
            <w:noWrap/>
            <w:vAlign w:val="bottom"/>
            <w:hideMark/>
          </w:tcPr>
          <w:p w14:paraId="3135B8EB"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Ballarat Base Hospital</w:t>
            </w:r>
          </w:p>
        </w:tc>
      </w:tr>
      <w:tr w:rsidR="006641DB" w:rsidRPr="006641DB" w14:paraId="59CBD76E" w14:textId="77777777" w:rsidTr="00C85ECD">
        <w:trPr>
          <w:trHeight w:val="284"/>
          <w:tblHeader/>
        </w:trPr>
        <w:tc>
          <w:tcPr>
            <w:tcW w:w="2166" w:type="dxa"/>
            <w:noWrap/>
            <w:vAlign w:val="bottom"/>
            <w:hideMark/>
          </w:tcPr>
          <w:p w14:paraId="31617670" w14:textId="77777777" w:rsidR="006641DB" w:rsidRPr="006641DB" w:rsidRDefault="006641DB" w:rsidP="006641DB">
            <w:pPr>
              <w:spacing w:after="0" w:line="240" w:lineRule="auto"/>
              <w:jc w:val="center"/>
              <w:rPr>
                <w:rFonts w:cs="Arial"/>
                <w:color w:val="000000"/>
                <w:szCs w:val="21"/>
                <w:lang w:eastAsia="en-AU"/>
              </w:rPr>
            </w:pPr>
            <w:r w:rsidRPr="006641DB">
              <w:rPr>
                <w:rFonts w:cs="Arial"/>
                <w:color w:val="000000"/>
                <w:szCs w:val="21"/>
                <w:lang w:eastAsia="en-AU"/>
              </w:rPr>
              <w:t>5</w:t>
            </w:r>
          </w:p>
        </w:tc>
        <w:tc>
          <w:tcPr>
            <w:tcW w:w="3393" w:type="dxa"/>
            <w:noWrap/>
            <w:vAlign w:val="bottom"/>
            <w:hideMark/>
          </w:tcPr>
          <w:p w14:paraId="0309773D"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Latrobe Regional Hospital</w:t>
            </w:r>
          </w:p>
        </w:tc>
        <w:tc>
          <w:tcPr>
            <w:tcW w:w="3599" w:type="dxa"/>
            <w:noWrap/>
            <w:vAlign w:val="bottom"/>
            <w:hideMark/>
          </w:tcPr>
          <w:p w14:paraId="1D301CC1"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Latrobe Regional Hospital</w:t>
            </w:r>
          </w:p>
        </w:tc>
      </w:tr>
      <w:tr w:rsidR="006641DB" w:rsidRPr="006641DB" w14:paraId="60CE2044" w14:textId="77777777" w:rsidTr="00C85ECD">
        <w:trPr>
          <w:trHeight w:val="284"/>
          <w:tblHeader/>
        </w:trPr>
        <w:tc>
          <w:tcPr>
            <w:tcW w:w="2166" w:type="dxa"/>
            <w:noWrap/>
            <w:vAlign w:val="bottom"/>
            <w:hideMark/>
          </w:tcPr>
          <w:p w14:paraId="7C147418" w14:textId="77777777" w:rsidR="006641DB" w:rsidRPr="006641DB" w:rsidRDefault="006641DB" w:rsidP="006641DB">
            <w:pPr>
              <w:spacing w:after="0" w:line="240" w:lineRule="auto"/>
              <w:jc w:val="center"/>
              <w:rPr>
                <w:rFonts w:cs="Arial"/>
                <w:color w:val="000000"/>
                <w:szCs w:val="21"/>
                <w:lang w:eastAsia="en-AU"/>
              </w:rPr>
            </w:pPr>
            <w:r w:rsidRPr="006641DB">
              <w:rPr>
                <w:rFonts w:cs="Arial"/>
                <w:color w:val="000000"/>
                <w:szCs w:val="21"/>
                <w:lang w:eastAsia="en-AU"/>
              </w:rPr>
              <w:t>5</w:t>
            </w:r>
          </w:p>
        </w:tc>
        <w:tc>
          <w:tcPr>
            <w:tcW w:w="3393" w:type="dxa"/>
            <w:noWrap/>
            <w:vAlign w:val="bottom"/>
            <w:hideMark/>
          </w:tcPr>
          <w:p w14:paraId="37B6B474"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Northern Health - The Northern Hospital</w:t>
            </w:r>
          </w:p>
        </w:tc>
        <w:tc>
          <w:tcPr>
            <w:tcW w:w="3599" w:type="dxa"/>
            <w:noWrap/>
            <w:vAlign w:val="bottom"/>
            <w:hideMark/>
          </w:tcPr>
          <w:p w14:paraId="7735AA2B"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Northern Hospital</w:t>
            </w:r>
          </w:p>
        </w:tc>
      </w:tr>
      <w:tr w:rsidR="006641DB" w:rsidRPr="006641DB" w14:paraId="10039023" w14:textId="77777777" w:rsidTr="00C85ECD">
        <w:trPr>
          <w:trHeight w:val="299"/>
          <w:tblHeader/>
        </w:trPr>
        <w:tc>
          <w:tcPr>
            <w:tcW w:w="2166" w:type="dxa"/>
            <w:noWrap/>
            <w:vAlign w:val="bottom"/>
            <w:hideMark/>
          </w:tcPr>
          <w:p w14:paraId="5EB8B93A" w14:textId="77777777" w:rsidR="006641DB" w:rsidRPr="006641DB" w:rsidRDefault="006641DB" w:rsidP="006641DB">
            <w:pPr>
              <w:spacing w:after="0" w:line="240" w:lineRule="auto"/>
              <w:jc w:val="center"/>
              <w:rPr>
                <w:rFonts w:cs="Arial"/>
                <w:color w:val="000000"/>
                <w:szCs w:val="21"/>
                <w:lang w:eastAsia="en-AU"/>
              </w:rPr>
            </w:pPr>
            <w:r w:rsidRPr="006641DB">
              <w:rPr>
                <w:rFonts w:cs="Arial"/>
                <w:color w:val="000000"/>
                <w:szCs w:val="21"/>
                <w:lang w:eastAsia="en-AU"/>
              </w:rPr>
              <w:t>5</w:t>
            </w:r>
          </w:p>
        </w:tc>
        <w:tc>
          <w:tcPr>
            <w:tcW w:w="3393" w:type="dxa"/>
            <w:noWrap/>
            <w:vAlign w:val="bottom"/>
            <w:hideMark/>
          </w:tcPr>
          <w:p w14:paraId="6FA6CED1"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Peninsula Health - Frankston Hospital</w:t>
            </w:r>
          </w:p>
        </w:tc>
        <w:tc>
          <w:tcPr>
            <w:tcW w:w="3599" w:type="dxa"/>
            <w:noWrap/>
            <w:vAlign w:val="bottom"/>
            <w:hideMark/>
          </w:tcPr>
          <w:p w14:paraId="6D592594"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Frankston Hospital</w:t>
            </w:r>
          </w:p>
        </w:tc>
      </w:tr>
      <w:tr w:rsidR="006641DB" w:rsidRPr="006641DB" w14:paraId="26249C4F" w14:textId="77777777" w:rsidTr="00C85ECD">
        <w:trPr>
          <w:trHeight w:val="299"/>
          <w:tblHeader/>
        </w:trPr>
        <w:tc>
          <w:tcPr>
            <w:tcW w:w="2166" w:type="dxa"/>
            <w:noWrap/>
            <w:vAlign w:val="bottom"/>
            <w:hideMark/>
          </w:tcPr>
          <w:p w14:paraId="73BD3B72" w14:textId="77777777" w:rsidR="006641DB" w:rsidRPr="006641DB" w:rsidRDefault="006641DB" w:rsidP="006641DB">
            <w:pPr>
              <w:spacing w:after="0" w:line="240" w:lineRule="auto"/>
              <w:jc w:val="center"/>
              <w:rPr>
                <w:rFonts w:cs="Arial"/>
                <w:color w:val="000000"/>
                <w:szCs w:val="21"/>
                <w:lang w:eastAsia="en-AU"/>
              </w:rPr>
            </w:pPr>
            <w:r w:rsidRPr="006641DB">
              <w:rPr>
                <w:rFonts w:cs="Arial"/>
                <w:color w:val="000000"/>
                <w:szCs w:val="21"/>
                <w:lang w:eastAsia="en-AU"/>
              </w:rPr>
              <w:t>6</w:t>
            </w:r>
          </w:p>
        </w:tc>
        <w:tc>
          <w:tcPr>
            <w:tcW w:w="3393" w:type="dxa"/>
            <w:noWrap/>
            <w:vAlign w:val="bottom"/>
            <w:hideMark/>
          </w:tcPr>
          <w:p w14:paraId="3D9E6F1D"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Mercy Hospital for Women</w:t>
            </w:r>
          </w:p>
        </w:tc>
        <w:tc>
          <w:tcPr>
            <w:tcW w:w="3599" w:type="dxa"/>
            <w:noWrap/>
            <w:vAlign w:val="bottom"/>
            <w:hideMark/>
          </w:tcPr>
          <w:p w14:paraId="02197831"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Mercy Hospital for Women</w:t>
            </w:r>
          </w:p>
        </w:tc>
      </w:tr>
      <w:tr w:rsidR="006641DB" w:rsidRPr="006641DB" w14:paraId="0C51EBEF" w14:textId="77777777" w:rsidTr="00C85ECD">
        <w:trPr>
          <w:trHeight w:val="299"/>
          <w:tblHeader/>
        </w:trPr>
        <w:tc>
          <w:tcPr>
            <w:tcW w:w="2166" w:type="dxa"/>
            <w:noWrap/>
            <w:vAlign w:val="bottom"/>
            <w:hideMark/>
          </w:tcPr>
          <w:p w14:paraId="658D587E" w14:textId="77777777" w:rsidR="006641DB" w:rsidRPr="006641DB" w:rsidRDefault="006641DB" w:rsidP="006641DB">
            <w:pPr>
              <w:spacing w:after="0" w:line="240" w:lineRule="auto"/>
              <w:jc w:val="center"/>
              <w:rPr>
                <w:rFonts w:cs="Arial"/>
                <w:color w:val="000000"/>
                <w:szCs w:val="21"/>
                <w:lang w:eastAsia="en-AU"/>
              </w:rPr>
            </w:pPr>
            <w:r w:rsidRPr="006641DB">
              <w:rPr>
                <w:rFonts w:cs="Arial"/>
                <w:color w:val="000000"/>
                <w:szCs w:val="21"/>
                <w:lang w:eastAsia="en-AU"/>
              </w:rPr>
              <w:t>6</w:t>
            </w:r>
          </w:p>
        </w:tc>
        <w:tc>
          <w:tcPr>
            <w:tcW w:w="3393" w:type="dxa"/>
            <w:noWrap/>
            <w:vAlign w:val="bottom"/>
            <w:hideMark/>
          </w:tcPr>
          <w:p w14:paraId="7A88C9CA"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Monash Medical Centre Clayton</w:t>
            </w:r>
          </w:p>
        </w:tc>
        <w:tc>
          <w:tcPr>
            <w:tcW w:w="3599" w:type="dxa"/>
            <w:noWrap/>
            <w:vAlign w:val="bottom"/>
            <w:hideMark/>
          </w:tcPr>
          <w:p w14:paraId="6CB2396D"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Monash Medical Centre (Clayton)</w:t>
            </w:r>
          </w:p>
        </w:tc>
      </w:tr>
      <w:tr w:rsidR="006641DB" w:rsidRPr="006641DB" w14:paraId="02394F3E" w14:textId="77777777" w:rsidTr="00C85ECD">
        <w:trPr>
          <w:trHeight w:val="284"/>
          <w:tblHeader/>
        </w:trPr>
        <w:tc>
          <w:tcPr>
            <w:tcW w:w="2166" w:type="dxa"/>
            <w:noWrap/>
            <w:vAlign w:val="bottom"/>
            <w:hideMark/>
          </w:tcPr>
          <w:p w14:paraId="3DD4E181" w14:textId="77777777" w:rsidR="006641DB" w:rsidRPr="006641DB" w:rsidRDefault="006641DB" w:rsidP="006641DB">
            <w:pPr>
              <w:spacing w:after="0" w:line="240" w:lineRule="auto"/>
              <w:jc w:val="center"/>
              <w:rPr>
                <w:rFonts w:cs="Arial"/>
                <w:color w:val="000000"/>
                <w:szCs w:val="21"/>
                <w:lang w:eastAsia="en-AU"/>
              </w:rPr>
            </w:pPr>
            <w:r w:rsidRPr="006641DB">
              <w:rPr>
                <w:rFonts w:cs="Arial"/>
                <w:color w:val="000000"/>
                <w:szCs w:val="21"/>
                <w:lang w:eastAsia="en-AU"/>
              </w:rPr>
              <w:t>6</w:t>
            </w:r>
          </w:p>
        </w:tc>
        <w:tc>
          <w:tcPr>
            <w:tcW w:w="3393" w:type="dxa"/>
            <w:noWrap/>
            <w:vAlign w:val="bottom"/>
            <w:hideMark/>
          </w:tcPr>
          <w:p w14:paraId="2ADBD5C0" w14:textId="3F53C31D"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 xml:space="preserve">The Royal Women's Hospital </w:t>
            </w:r>
            <w:r w:rsidR="00E6270C">
              <w:rPr>
                <w:rFonts w:cs="Arial"/>
                <w:color w:val="000000"/>
                <w:szCs w:val="21"/>
                <w:lang w:eastAsia="en-AU"/>
              </w:rPr>
              <w:t>–</w:t>
            </w:r>
            <w:r w:rsidRPr="006641DB">
              <w:rPr>
                <w:rFonts w:cs="Arial"/>
                <w:color w:val="000000"/>
                <w:szCs w:val="21"/>
                <w:lang w:eastAsia="en-AU"/>
              </w:rPr>
              <w:t xml:space="preserve"> Parkville</w:t>
            </w:r>
          </w:p>
        </w:tc>
        <w:tc>
          <w:tcPr>
            <w:tcW w:w="3599" w:type="dxa"/>
            <w:noWrap/>
            <w:vAlign w:val="bottom"/>
            <w:hideMark/>
          </w:tcPr>
          <w:p w14:paraId="4EA3EFF4"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 xml:space="preserve">The Royal Women’s Hospital </w:t>
            </w:r>
          </w:p>
        </w:tc>
      </w:tr>
      <w:tr w:rsidR="006641DB" w:rsidRPr="006641DB" w14:paraId="1408B7BD" w14:textId="77777777" w:rsidTr="00C85ECD">
        <w:trPr>
          <w:trHeight w:val="284"/>
          <w:tblHeader/>
        </w:trPr>
        <w:tc>
          <w:tcPr>
            <w:tcW w:w="2166" w:type="dxa"/>
            <w:noWrap/>
            <w:vAlign w:val="bottom"/>
            <w:hideMark/>
          </w:tcPr>
          <w:p w14:paraId="6BA1AAB4" w14:textId="77777777" w:rsidR="006641DB" w:rsidRPr="006641DB" w:rsidRDefault="006641DB" w:rsidP="006641DB">
            <w:pPr>
              <w:spacing w:after="0" w:line="240" w:lineRule="auto"/>
              <w:jc w:val="center"/>
              <w:rPr>
                <w:rFonts w:cs="Arial"/>
                <w:color w:val="000000"/>
                <w:szCs w:val="21"/>
                <w:lang w:eastAsia="en-AU"/>
              </w:rPr>
            </w:pPr>
            <w:r w:rsidRPr="006641DB">
              <w:rPr>
                <w:rFonts w:cs="Arial"/>
                <w:color w:val="000000"/>
                <w:szCs w:val="21"/>
                <w:lang w:eastAsia="en-AU"/>
              </w:rPr>
              <w:t>6</w:t>
            </w:r>
          </w:p>
        </w:tc>
        <w:tc>
          <w:tcPr>
            <w:tcW w:w="3393" w:type="dxa"/>
            <w:noWrap/>
            <w:vAlign w:val="bottom"/>
            <w:hideMark/>
          </w:tcPr>
          <w:p w14:paraId="341EA98A"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Western Health - Sunshine Hospital</w:t>
            </w:r>
          </w:p>
        </w:tc>
        <w:tc>
          <w:tcPr>
            <w:tcW w:w="3599" w:type="dxa"/>
            <w:noWrap/>
            <w:vAlign w:val="bottom"/>
            <w:hideMark/>
          </w:tcPr>
          <w:p w14:paraId="175ADE24" w14:textId="77777777" w:rsidR="006641DB" w:rsidRPr="006641DB" w:rsidRDefault="006641DB" w:rsidP="006641DB">
            <w:pPr>
              <w:spacing w:after="0" w:line="240" w:lineRule="auto"/>
              <w:rPr>
                <w:rFonts w:cs="Arial"/>
                <w:color w:val="000000"/>
                <w:szCs w:val="21"/>
                <w:lang w:eastAsia="en-AU"/>
              </w:rPr>
            </w:pPr>
            <w:r w:rsidRPr="006641DB">
              <w:rPr>
                <w:rFonts w:cs="Arial"/>
                <w:color w:val="000000"/>
                <w:szCs w:val="21"/>
                <w:lang w:eastAsia="en-AU"/>
              </w:rPr>
              <w:t>Sunshine Hospital</w:t>
            </w:r>
          </w:p>
        </w:tc>
      </w:tr>
    </w:tbl>
    <w:p w14:paraId="5BFB2DCA" w14:textId="3345B003" w:rsidR="00AC5964" w:rsidRDefault="00AC5964" w:rsidP="00AC5964">
      <w:pPr>
        <w:pStyle w:val="Body"/>
        <w:rPr>
          <w:i/>
          <w:iCs/>
          <w:sz w:val="16"/>
          <w:szCs w:val="16"/>
        </w:rPr>
      </w:pPr>
      <w:r w:rsidRPr="00AC5964">
        <w:rPr>
          <w:i/>
          <w:iCs/>
          <w:sz w:val="16"/>
          <w:szCs w:val="16"/>
        </w:rPr>
        <w:t xml:space="preserve">*Refer to </w:t>
      </w:r>
      <w:hyperlink w:anchor="_Appendix_B_-" w:history="1">
        <w:r w:rsidRPr="00902436">
          <w:rPr>
            <w:rStyle w:val="Hyperlink"/>
            <w:i/>
            <w:iCs/>
            <w:sz w:val="16"/>
            <w:szCs w:val="16"/>
          </w:rPr>
          <w:t>Appendix</w:t>
        </w:r>
        <w:r w:rsidR="00902436" w:rsidRPr="00902436">
          <w:rPr>
            <w:rStyle w:val="Hyperlink"/>
            <w:i/>
            <w:iCs/>
            <w:sz w:val="16"/>
            <w:szCs w:val="16"/>
          </w:rPr>
          <w:t xml:space="preserve"> B</w:t>
        </w:r>
      </w:hyperlink>
      <w:r w:rsidRPr="00AC5964">
        <w:rPr>
          <w:i/>
          <w:iCs/>
          <w:sz w:val="16"/>
          <w:szCs w:val="16"/>
        </w:rPr>
        <w:t xml:space="preserve"> - Hospital names updated in the Schedules for updated names. </w:t>
      </w:r>
    </w:p>
    <w:p w14:paraId="0741E339" w14:textId="77777777" w:rsidR="005C5B6D" w:rsidRDefault="005C5B6D">
      <w:pPr>
        <w:spacing w:after="0" w:line="240" w:lineRule="auto"/>
        <w:rPr>
          <w:b/>
          <w:color w:val="53565A"/>
          <w:sz w:val="32"/>
          <w:szCs w:val="28"/>
        </w:rPr>
      </w:pPr>
      <w:r>
        <w:br w:type="page"/>
      </w:r>
    </w:p>
    <w:p w14:paraId="4636FF83" w14:textId="70980017" w:rsidR="005C5B6D" w:rsidRDefault="005C5B6D" w:rsidP="005C5B6D">
      <w:pPr>
        <w:pStyle w:val="Heading2"/>
      </w:pPr>
      <w:bookmarkStart w:id="22" w:name="_Toc194310952"/>
      <w:r>
        <w:lastRenderedPageBreak/>
        <w:t xml:space="preserve">Standalone </w:t>
      </w:r>
      <w:r w:rsidRPr="00F87551">
        <w:t>High Dependency Units and Coronary Care Unit</w:t>
      </w:r>
      <w:r>
        <w:t xml:space="preserve"> ratios</w:t>
      </w:r>
      <w:bookmarkEnd w:id="22"/>
    </w:p>
    <w:p w14:paraId="46F51F07" w14:textId="6E0F6A42" w:rsidR="005C5B6D" w:rsidRDefault="005C5B6D" w:rsidP="005C5B6D">
      <w:pPr>
        <w:pStyle w:val="Body"/>
      </w:pPr>
      <w:r>
        <w:t xml:space="preserve">Includes all existing standalone level 1 hospital HDUs and CCUs </w:t>
      </w:r>
      <w:r w:rsidRPr="00385D2F">
        <w:t>across metropolitan Melbourne and regional Victoria</w:t>
      </w:r>
      <w:r>
        <w:t>.</w:t>
      </w:r>
    </w:p>
    <w:p w14:paraId="3796E73E" w14:textId="13C9D4DC" w:rsidR="007A1D60" w:rsidRDefault="009B7B3C" w:rsidP="005C5B6D">
      <w:pPr>
        <w:pStyle w:val="Heading3"/>
      </w:pPr>
      <w:r>
        <w:t xml:space="preserve">Standalone </w:t>
      </w:r>
      <w:r w:rsidR="007A1D60">
        <w:t>High dependency unit ratios</w:t>
      </w:r>
    </w:p>
    <w:p w14:paraId="0A87B4F4" w14:textId="4B840DA5" w:rsidR="006A07F0" w:rsidRDefault="00BF3543" w:rsidP="00812101">
      <w:pPr>
        <w:pStyle w:val="Body"/>
      </w:pPr>
      <w:r>
        <w:t>The phase 3 nurse in charge on night shift ratio in standalone HDUs</w:t>
      </w:r>
      <w:r w:rsidR="00722DDE">
        <w:t xml:space="preserve"> will apply in </w:t>
      </w:r>
      <w:r w:rsidR="00493E7F">
        <w:t xml:space="preserve">all </w:t>
      </w:r>
      <w:r w:rsidR="00722DDE" w:rsidRPr="00641B6C">
        <w:t xml:space="preserve">Level </w:t>
      </w:r>
      <w:r w:rsidR="00493E7F">
        <w:t xml:space="preserve">1 </w:t>
      </w:r>
      <w:r w:rsidR="00722DDE" w:rsidRPr="00641B6C">
        <w:t xml:space="preserve">hospitals </w:t>
      </w:r>
      <w:r w:rsidR="00722DDE">
        <w:t xml:space="preserve">specified in </w:t>
      </w:r>
      <w:r w:rsidR="00722DDE" w:rsidRPr="00641B6C">
        <w:t xml:space="preserve">Schedule 1 to the </w:t>
      </w:r>
      <w:r w:rsidR="007627AF">
        <w:t xml:space="preserve">Principal </w:t>
      </w:r>
      <w:r w:rsidR="00722DDE" w:rsidRPr="00641B6C">
        <w:t>Act w</w:t>
      </w:r>
      <w:r w:rsidR="00722DDE">
        <w:t>here there is a</w:t>
      </w:r>
      <w:r w:rsidR="00493E7F">
        <w:t xml:space="preserve"> </w:t>
      </w:r>
      <w:r w:rsidR="009B5246" w:rsidRPr="00B87271">
        <w:t>standalone</w:t>
      </w:r>
      <w:r w:rsidR="00493E7F" w:rsidRPr="00B87271">
        <w:t xml:space="preserve"> HDU</w:t>
      </w:r>
      <w:r w:rsidR="00722DDE">
        <w:t xml:space="preserve">. </w:t>
      </w:r>
      <w:r w:rsidR="00B87271">
        <w:t>Schedule 1</w:t>
      </w:r>
      <w:r w:rsidR="00722DDE">
        <w:t xml:space="preserve"> encompasses </w:t>
      </w:r>
      <w:r w:rsidR="00812101">
        <w:t xml:space="preserve">15 </w:t>
      </w:r>
      <w:r w:rsidR="00722DDE" w:rsidRPr="00641B6C">
        <w:t>hospitals across metropolitan Melbourne</w:t>
      </w:r>
      <w:r w:rsidR="002A31E7">
        <w:t>. It is</w:t>
      </w:r>
      <w:r w:rsidR="007B52BC">
        <w:t xml:space="preserve"> noted that </w:t>
      </w:r>
      <w:r w:rsidR="00BD256C">
        <w:t>not all services listed have a standalone HDU</w:t>
      </w:r>
      <w:r w:rsidR="00722DDE">
        <w:t xml:space="preserve">. </w:t>
      </w:r>
    </w:p>
    <w:tbl>
      <w:tblPr>
        <w:tblW w:w="5829" w:type="dxa"/>
        <w:tblCellMar>
          <w:top w:w="15" w:type="dxa"/>
          <w:bottom w:w="15" w:type="dxa"/>
        </w:tblCellMar>
        <w:tblLook w:val="04A0" w:firstRow="1" w:lastRow="0" w:firstColumn="1" w:lastColumn="0" w:noHBand="0" w:noVBand="1"/>
      </w:tblPr>
      <w:tblGrid>
        <w:gridCol w:w="2342"/>
        <w:gridCol w:w="3487"/>
      </w:tblGrid>
      <w:tr w:rsidR="007A1D60" w:rsidRPr="005C31ED" w14:paraId="59DCF09C" w14:textId="77777777">
        <w:trPr>
          <w:trHeight w:val="595"/>
          <w:tblHeader/>
        </w:trPr>
        <w:tc>
          <w:tcPr>
            <w:tcW w:w="2342"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70E3563D" w14:textId="35D5B9F4" w:rsidR="007A1D60" w:rsidRPr="005C31ED" w:rsidRDefault="007A1D60">
            <w:pPr>
              <w:spacing w:after="0" w:line="240" w:lineRule="auto"/>
              <w:jc w:val="center"/>
              <w:rPr>
                <w:rFonts w:cs="Arial"/>
                <w:b/>
                <w:bCs/>
                <w:color w:val="FFFFFF" w:themeColor="background1"/>
                <w:szCs w:val="21"/>
                <w:lang w:eastAsia="en-AU"/>
              </w:rPr>
            </w:pPr>
            <w:r w:rsidRPr="005C31ED">
              <w:rPr>
                <w:rFonts w:cs="Arial"/>
                <w:b/>
                <w:bCs/>
                <w:color w:val="FFFFFF" w:themeColor="background1"/>
                <w:szCs w:val="21"/>
                <w:lang w:eastAsia="en-AU"/>
              </w:rPr>
              <w:t>Hospital Level (Current Schedule 1)</w:t>
            </w:r>
          </w:p>
        </w:tc>
        <w:tc>
          <w:tcPr>
            <w:tcW w:w="3487"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5C704391" w14:textId="232AA3AC" w:rsidR="007A1D60" w:rsidRPr="005C31ED" w:rsidRDefault="007A1D60">
            <w:pPr>
              <w:spacing w:after="0" w:line="240" w:lineRule="auto"/>
              <w:jc w:val="center"/>
              <w:rPr>
                <w:rFonts w:cs="Arial"/>
                <w:b/>
                <w:bCs/>
                <w:color w:val="FFFFFF" w:themeColor="background1"/>
                <w:szCs w:val="21"/>
                <w:lang w:eastAsia="en-AU"/>
              </w:rPr>
            </w:pPr>
            <w:r w:rsidRPr="005C31ED">
              <w:rPr>
                <w:rFonts w:cs="Arial"/>
                <w:b/>
                <w:bCs/>
                <w:color w:val="FFFFFF" w:themeColor="background1"/>
                <w:szCs w:val="21"/>
                <w:lang w:eastAsia="en-AU"/>
              </w:rPr>
              <w:t xml:space="preserve">Hospital Name as listed in the </w:t>
            </w:r>
            <w:r w:rsidR="007627AF">
              <w:rPr>
                <w:rFonts w:cs="Arial"/>
                <w:b/>
                <w:bCs/>
                <w:color w:val="FFFFFF" w:themeColor="background1"/>
                <w:szCs w:val="21"/>
                <w:lang w:eastAsia="en-AU"/>
              </w:rPr>
              <w:t xml:space="preserve">Principal </w:t>
            </w:r>
            <w:r w:rsidRPr="005C31ED">
              <w:rPr>
                <w:rFonts w:cs="Arial"/>
                <w:b/>
                <w:bCs/>
                <w:color w:val="FFFFFF" w:themeColor="background1"/>
                <w:szCs w:val="21"/>
                <w:lang w:eastAsia="en-AU"/>
              </w:rPr>
              <w:t>Act</w:t>
            </w:r>
            <w:r w:rsidRPr="00BC7F08">
              <w:rPr>
                <w:rFonts w:cs="Arial"/>
                <w:b/>
                <w:bCs/>
                <w:color w:val="FFFFFF" w:themeColor="background1"/>
                <w:szCs w:val="21"/>
                <w:lang w:eastAsia="en-AU"/>
              </w:rPr>
              <w:t xml:space="preserve"> </w:t>
            </w:r>
          </w:p>
        </w:tc>
      </w:tr>
      <w:tr w:rsidR="007A1D60" w:rsidRPr="005C31ED" w14:paraId="5D8E42F7" w14:textId="77777777">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0C076FD6" w14:textId="64CDBEE6" w:rsidR="007A1D60" w:rsidRPr="005C31ED" w:rsidRDefault="007A1D60">
            <w:pPr>
              <w:spacing w:after="0" w:line="240" w:lineRule="auto"/>
              <w:rPr>
                <w:rFonts w:cs="Arial"/>
                <w:color w:val="000000"/>
                <w:szCs w:val="21"/>
                <w:lang w:eastAsia="en-AU"/>
              </w:rPr>
            </w:pPr>
            <w:r w:rsidRPr="005C31ED">
              <w:rPr>
                <w:rFonts w:cs="Arial"/>
                <w:color w:val="000000"/>
                <w:szCs w:val="21"/>
                <w:lang w:eastAsia="en-AU"/>
              </w:rPr>
              <w:t>Level 1 hospitals</w:t>
            </w:r>
          </w:p>
        </w:tc>
        <w:tc>
          <w:tcPr>
            <w:tcW w:w="3487" w:type="dxa"/>
            <w:tcBorders>
              <w:top w:val="single" w:sz="4" w:space="0" w:color="auto"/>
              <w:left w:val="single" w:sz="4" w:space="0" w:color="auto"/>
              <w:bottom w:val="single" w:sz="4" w:space="0" w:color="auto"/>
              <w:right w:val="single" w:sz="4" w:space="0" w:color="auto"/>
            </w:tcBorders>
            <w:noWrap/>
            <w:vAlign w:val="bottom"/>
            <w:hideMark/>
          </w:tcPr>
          <w:p w14:paraId="145A0C15" w14:textId="634B8F85" w:rsidR="007A1D60" w:rsidRPr="005C31ED" w:rsidRDefault="007A1D60">
            <w:pPr>
              <w:spacing w:after="0" w:line="240" w:lineRule="auto"/>
              <w:rPr>
                <w:rFonts w:cs="Arial"/>
                <w:color w:val="000000"/>
                <w:szCs w:val="21"/>
                <w:lang w:eastAsia="en-AU"/>
              </w:rPr>
            </w:pPr>
            <w:r w:rsidRPr="005C31ED">
              <w:rPr>
                <w:rFonts w:cs="Arial"/>
                <w:color w:val="000000"/>
                <w:szCs w:val="21"/>
                <w:lang w:eastAsia="en-AU"/>
              </w:rPr>
              <w:t>Alfred Hospital</w:t>
            </w:r>
          </w:p>
        </w:tc>
      </w:tr>
      <w:tr w:rsidR="007A1D60" w:rsidRPr="005C31ED" w14:paraId="2ED852A4" w14:textId="77777777">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35ABE68E" w14:textId="5321B5D0" w:rsidR="007A1D60" w:rsidRPr="005C31ED" w:rsidRDefault="007A1D60">
            <w:pPr>
              <w:spacing w:after="0" w:line="240" w:lineRule="auto"/>
              <w:rPr>
                <w:rFonts w:cs="Arial"/>
                <w:color w:val="000000"/>
                <w:szCs w:val="21"/>
                <w:lang w:eastAsia="en-AU"/>
              </w:rPr>
            </w:pPr>
            <w:r w:rsidRPr="005C31ED">
              <w:rPr>
                <w:rFonts w:cs="Arial"/>
                <w:color w:val="000000"/>
                <w:szCs w:val="21"/>
                <w:lang w:eastAsia="en-AU"/>
              </w:rPr>
              <w:t>Level 1 hospitals</w:t>
            </w:r>
          </w:p>
        </w:tc>
        <w:tc>
          <w:tcPr>
            <w:tcW w:w="3487" w:type="dxa"/>
            <w:tcBorders>
              <w:top w:val="single" w:sz="4" w:space="0" w:color="auto"/>
              <w:left w:val="single" w:sz="4" w:space="0" w:color="auto"/>
              <w:bottom w:val="single" w:sz="4" w:space="0" w:color="auto"/>
              <w:right w:val="single" w:sz="4" w:space="0" w:color="auto"/>
            </w:tcBorders>
            <w:noWrap/>
            <w:vAlign w:val="bottom"/>
            <w:hideMark/>
          </w:tcPr>
          <w:p w14:paraId="1EB8B3D9" w14:textId="442178BD" w:rsidR="007A1D60" w:rsidRPr="005C31ED" w:rsidRDefault="007A1D60">
            <w:pPr>
              <w:spacing w:after="0" w:line="240" w:lineRule="auto"/>
              <w:rPr>
                <w:rFonts w:cs="Arial"/>
                <w:color w:val="000000"/>
                <w:szCs w:val="21"/>
                <w:lang w:eastAsia="en-AU"/>
              </w:rPr>
            </w:pPr>
            <w:r w:rsidRPr="005C31ED">
              <w:rPr>
                <w:rFonts w:cs="Arial"/>
                <w:color w:val="000000"/>
                <w:szCs w:val="21"/>
                <w:lang w:eastAsia="en-AU"/>
              </w:rPr>
              <w:t>Austin Hospital</w:t>
            </w:r>
          </w:p>
        </w:tc>
      </w:tr>
      <w:tr w:rsidR="007A1D60" w:rsidRPr="005C31ED" w14:paraId="66E20474" w14:textId="77777777">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3BE72A01" w14:textId="466CAA5C" w:rsidR="007A1D60" w:rsidRPr="005C31ED" w:rsidRDefault="007A1D60">
            <w:pPr>
              <w:spacing w:after="0" w:line="240" w:lineRule="auto"/>
              <w:rPr>
                <w:rFonts w:cs="Arial"/>
                <w:color w:val="000000"/>
                <w:szCs w:val="21"/>
                <w:lang w:eastAsia="en-AU"/>
              </w:rPr>
            </w:pPr>
            <w:r w:rsidRPr="005C31ED">
              <w:rPr>
                <w:rFonts w:cs="Arial"/>
                <w:color w:val="000000"/>
                <w:szCs w:val="21"/>
                <w:lang w:eastAsia="en-AU"/>
              </w:rPr>
              <w:t>Level 1 hospitals</w:t>
            </w:r>
          </w:p>
        </w:tc>
        <w:tc>
          <w:tcPr>
            <w:tcW w:w="3487" w:type="dxa"/>
            <w:tcBorders>
              <w:top w:val="single" w:sz="4" w:space="0" w:color="auto"/>
              <w:left w:val="single" w:sz="4" w:space="0" w:color="auto"/>
              <w:bottom w:val="single" w:sz="4" w:space="0" w:color="auto"/>
              <w:right w:val="single" w:sz="4" w:space="0" w:color="auto"/>
            </w:tcBorders>
            <w:noWrap/>
            <w:vAlign w:val="bottom"/>
            <w:hideMark/>
          </w:tcPr>
          <w:p w14:paraId="2E434CB2" w14:textId="370142CE" w:rsidR="007A1D60" w:rsidRPr="005C31ED" w:rsidRDefault="007A1D60">
            <w:pPr>
              <w:spacing w:after="0" w:line="240" w:lineRule="auto"/>
              <w:rPr>
                <w:rFonts w:cs="Arial"/>
                <w:color w:val="000000"/>
                <w:szCs w:val="21"/>
                <w:lang w:eastAsia="en-AU"/>
              </w:rPr>
            </w:pPr>
            <w:r w:rsidRPr="005C31ED">
              <w:rPr>
                <w:rFonts w:cs="Arial"/>
                <w:color w:val="000000"/>
                <w:szCs w:val="21"/>
                <w:lang w:eastAsia="en-AU"/>
              </w:rPr>
              <w:t>Box Hill Hospital</w:t>
            </w:r>
          </w:p>
        </w:tc>
      </w:tr>
      <w:tr w:rsidR="007A1D60" w:rsidRPr="005C31ED" w14:paraId="55560ECF" w14:textId="77777777">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07D1D466" w14:textId="40A1A5D8" w:rsidR="007A1D60" w:rsidRPr="005C31ED" w:rsidRDefault="007A1D60">
            <w:pPr>
              <w:spacing w:after="0" w:line="240" w:lineRule="auto"/>
              <w:rPr>
                <w:rFonts w:cs="Arial"/>
                <w:color w:val="000000"/>
                <w:szCs w:val="21"/>
                <w:lang w:eastAsia="en-AU"/>
              </w:rPr>
            </w:pPr>
            <w:r w:rsidRPr="005C31ED">
              <w:rPr>
                <w:rFonts w:cs="Arial"/>
                <w:color w:val="000000"/>
                <w:szCs w:val="21"/>
                <w:lang w:eastAsia="en-AU"/>
              </w:rPr>
              <w:t>Level 1 hospitals</w:t>
            </w:r>
          </w:p>
        </w:tc>
        <w:tc>
          <w:tcPr>
            <w:tcW w:w="3487" w:type="dxa"/>
            <w:tcBorders>
              <w:top w:val="single" w:sz="4" w:space="0" w:color="auto"/>
              <w:left w:val="single" w:sz="4" w:space="0" w:color="auto"/>
              <w:bottom w:val="single" w:sz="4" w:space="0" w:color="auto"/>
              <w:right w:val="single" w:sz="4" w:space="0" w:color="auto"/>
            </w:tcBorders>
            <w:noWrap/>
            <w:vAlign w:val="bottom"/>
            <w:hideMark/>
          </w:tcPr>
          <w:p w14:paraId="17CE0301" w14:textId="51D056E0" w:rsidR="007A1D60" w:rsidRPr="005C31ED" w:rsidRDefault="007A1D60">
            <w:pPr>
              <w:spacing w:after="0" w:line="240" w:lineRule="auto"/>
              <w:rPr>
                <w:rFonts w:cs="Arial"/>
                <w:color w:val="000000"/>
                <w:szCs w:val="21"/>
                <w:lang w:eastAsia="en-AU"/>
              </w:rPr>
            </w:pPr>
            <w:r w:rsidRPr="005C31ED">
              <w:rPr>
                <w:rFonts w:cs="Arial"/>
                <w:color w:val="000000"/>
                <w:szCs w:val="21"/>
                <w:lang w:eastAsia="en-AU"/>
              </w:rPr>
              <w:t>Casey Hospital</w:t>
            </w:r>
          </w:p>
        </w:tc>
      </w:tr>
      <w:tr w:rsidR="007A1D60" w:rsidRPr="005C31ED" w14:paraId="617538E7" w14:textId="77777777">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6183060C" w14:textId="5F5866FA" w:rsidR="007A1D60" w:rsidRPr="005C31ED" w:rsidRDefault="007A1D60">
            <w:pPr>
              <w:spacing w:after="0" w:line="240" w:lineRule="auto"/>
              <w:rPr>
                <w:rFonts w:cs="Arial"/>
                <w:color w:val="000000"/>
                <w:szCs w:val="21"/>
                <w:lang w:eastAsia="en-AU"/>
              </w:rPr>
            </w:pPr>
            <w:r w:rsidRPr="005C31ED">
              <w:rPr>
                <w:rFonts w:cs="Arial"/>
                <w:color w:val="000000"/>
                <w:szCs w:val="21"/>
                <w:lang w:eastAsia="en-AU"/>
              </w:rPr>
              <w:t>Level 1 hospitals</w:t>
            </w:r>
          </w:p>
        </w:tc>
        <w:tc>
          <w:tcPr>
            <w:tcW w:w="3487" w:type="dxa"/>
            <w:tcBorders>
              <w:top w:val="single" w:sz="4" w:space="0" w:color="auto"/>
              <w:left w:val="single" w:sz="4" w:space="0" w:color="auto"/>
              <w:bottom w:val="single" w:sz="4" w:space="0" w:color="auto"/>
              <w:right w:val="single" w:sz="4" w:space="0" w:color="auto"/>
            </w:tcBorders>
            <w:noWrap/>
            <w:vAlign w:val="bottom"/>
            <w:hideMark/>
          </w:tcPr>
          <w:p w14:paraId="7A8BD4F2" w14:textId="14641A7A" w:rsidR="007A1D60" w:rsidRPr="005C31ED" w:rsidRDefault="007A1D60">
            <w:pPr>
              <w:spacing w:after="0" w:line="240" w:lineRule="auto"/>
              <w:rPr>
                <w:rFonts w:cs="Arial"/>
                <w:color w:val="000000"/>
                <w:szCs w:val="21"/>
                <w:lang w:eastAsia="en-AU"/>
              </w:rPr>
            </w:pPr>
            <w:r w:rsidRPr="005C31ED">
              <w:rPr>
                <w:rFonts w:cs="Arial"/>
                <w:color w:val="000000"/>
                <w:szCs w:val="21"/>
                <w:lang w:eastAsia="en-AU"/>
              </w:rPr>
              <w:t>Dandenong Hospital</w:t>
            </w:r>
          </w:p>
        </w:tc>
      </w:tr>
      <w:tr w:rsidR="007A1D60" w:rsidRPr="005C31ED" w14:paraId="19057B07" w14:textId="77777777">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6914F2D2" w14:textId="2F7EB9FF" w:rsidR="007A1D60" w:rsidRPr="005C31ED" w:rsidRDefault="007A1D60">
            <w:pPr>
              <w:spacing w:after="0" w:line="240" w:lineRule="auto"/>
              <w:rPr>
                <w:rFonts w:cs="Arial"/>
                <w:color w:val="000000"/>
                <w:szCs w:val="21"/>
                <w:lang w:eastAsia="en-AU"/>
              </w:rPr>
            </w:pPr>
            <w:r w:rsidRPr="005C31ED">
              <w:rPr>
                <w:rFonts w:cs="Arial"/>
                <w:color w:val="000000"/>
                <w:szCs w:val="21"/>
                <w:lang w:eastAsia="en-AU"/>
              </w:rPr>
              <w:t>Level 1 hospitals</w:t>
            </w:r>
          </w:p>
        </w:tc>
        <w:tc>
          <w:tcPr>
            <w:tcW w:w="3487" w:type="dxa"/>
            <w:tcBorders>
              <w:top w:val="single" w:sz="4" w:space="0" w:color="auto"/>
              <w:left w:val="single" w:sz="4" w:space="0" w:color="auto"/>
              <w:bottom w:val="single" w:sz="4" w:space="0" w:color="auto"/>
              <w:right w:val="single" w:sz="4" w:space="0" w:color="auto"/>
            </w:tcBorders>
            <w:noWrap/>
            <w:vAlign w:val="bottom"/>
            <w:hideMark/>
          </w:tcPr>
          <w:p w14:paraId="63B45A9F" w14:textId="5D73688C" w:rsidR="007A1D60" w:rsidRPr="005C31ED" w:rsidRDefault="007A1D60">
            <w:pPr>
              <w:spacing w:after="0" w:line="240" w:lineRule="auto"/>
              <w:rPr>
                <w:rFonts w:cs="Arial"/>
                <w:color w:val="000000"/>
                <w:szCs w:val="21"/>
                <w:lang w:eastAsia="en-AU"/>
              </w:rPr>
            </w:pPr>
            <w:r w:rsidRPr="005C31ED">
              <w:rPr>
                <w:rFonts w:cs="Arial"/>
                <w:color w:val="000000"/>
                <w:szCs w:val="21"/>
                <w:lang w:eastAsia="en-AU"/>
              </w:rPr>
              <w:t>Footscray Hospital</w:t>
            </w:r>
          </w:p>
        </w:tc>
      </w:tr>
      <w:tr w:rsidR="007A1D60" w:rsidRPr="005C31ED" w14:paraId="410113D3" w14:textId="77777777">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024D794A" w14:textId="700677AA" w:rsidR="007A1D60" w:rsidRPr="005C31ED" w:rsidRDefault="007A1D60">
            <w:pPr>
              <w:spacing w:after="0" w:line="240" w:lineRule="auto"/>
              <w:rPr>
                <w:rFonts w:cs="Arial"/>
                <w:color w:val="000000"/>
                <w:szCs w:val="21"/>
                <w:lang w:eastAsia="en-AU"/>
              </w:rPr>
            </w:pPr>
            <w:r w:rsidRPr="005C31ED">
              <w:rPr>
                <w:rFonts w:cs="Arial"/>
                <w:color w:val="000000"/>
                <w:szCs w:val="21"/>
                <w:lang w:eastAsia="en-AU"/>
              </w:rPr>
              <w:t>Level 1 hospitals</w:t>
            </w:r>
          </w:p>
        </w:tc>
        <w:tc>
          <w:tcPr>
            <w:tcW w:w="3487" w:type="dxa"/>
            <w:tcBorders>
              <w:top w:val="single" w:sz="4" w:space="0" w:color="auto"/>
              <w:left w:val="single" w:sz="4" w:space="0" w:color="auto"/>
              <w:bottom w:val="single" w:sz="4" w:space="0" w:color="auto"/>
              <w:right w:val="single" w:sz="4" w:space="0" w:color="auto"/>
            </w:tcBorders>
            <w:noWrap/>
            <w:vAlign w:val="bottom"/>
            <w:hideMark/>
          </w:tcPr>
          <w:p w14:paraId="7132B2C5" w14:textId="2BB23E22" w:rsidR="007A1D60" w:rsidRPr="005C31ED" w:rsidRDefault="007A1D60">
            <w:pPr>
              <w:spacing w:after="0" w:line="240" w:lineRule="auto"/>
              <w:rPr>
                <w:rFonts w:cs="Arial"/>
                <w:color w:val="000000"/>
                <w:szCs w:val="21"/>
                <w:lang w:eastAsia="en-AU"/>
              </w:rPr>
            </w:pPr>
            <w:r w:rsidRPr="005C31ED">
              <w:rPr>
                <w:rFonts w:cs="Arial"/>
                <w:color w:val="000000"/>
                <w:szCs w:val="21"/>
                <w:lang w:eastAsia="en-AU"/>
              </w:rPr>
              <w:t>Frankston Hospital</w:t>
            </w:r>
          </w:p>
        </w:tc>
      </w:tr>
      <w:tr w:rsidR="007A1D60" w:rsidRPr="005C31ED" w14:paraId="026A9D25" w14:textId="77777777">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6162518E" w14:textId="2F473330" w:rsidR="007A1D60" w:rsidRPr="005C31ED" w:rsidRDefault="007A1D60">
            <w:pPr>
              <w:spacing w:after="0" w:line="240" w:lineRule="auto"/>
              <w:rPr>
                <w:rFonts w:cs="Arial"/>
                <w:color w:val="000000"/>
                <w:szCs w:val="21"/>
                <w:lang w:eastAsia="en-AU"/>
              </w:rPr>
            </w:pPr>
            <w:r w:rsidRPr="005C31ED">
              <w:rPr>
                <w:rFonts w:cs="Arial"/>
                <w:color w:val="000000"/>
                <w:szCs w:val="21"/>
                <w:lang w:eastAsia="en-AU"/>
              </w:rPr>
              <w:t>Level 1 hospitals</w:t>
            </w:r>
          </w:p>
        </w:tc>
        <w:tc>
          <w:tcPr>
            <w:tcW w:w="3487" w:type="dxa"/>
            <w:tcBorders>
              <w:top w:val="single" w:sz="4" w:space="0" w:color="auto"/>
              <w:left w:val="single" w:sz="4" w:space="0" w:color="auto"/>
              <w:bottom w:val="single" w:sz="4" w:space="0" w:color="auto"/>
              <w:right w:val="single" w:sz="4" w:space="0" w:color="auto"/>
            </w:tcBorders>
            <w:noWrap/>
            <w:vAlign w:val="bottom"/>
            <w:hideMark/>
          </w:tcPr>
          <w:p w14:paraId="13DF8E81" w14:textId="4329A261" w:rsidR="007A1D60" w:rsidRPr="005C31ED" w:rsidRDefault="007A1D60">
            <w:pPr>
              <w:spacing w:after="0" w:line="240" w:lineRule="auto"/>
              <w:rPr>
                <w:rFonts w:cs="Arial"/>
                <w:color w:val="000000"/>
                <w:szCs w:val="21"/>
                <w:lang w:eastAsia="en-AU"/>
              </w:rPr>
            </w:pPr>
            <w:r w:rsidRPr="005C31ED">
              <w:rPr>
                <w:rFonts w:cs="Arial"/>
                <w:color w:val="000000"/>
                <w:szCs w:val="21"/>
                <w:lang w:eastAsia="en-AU"/>
              </w:rPr>
              <w:t>Monash Children's Hospital</w:t>
            </w:r>
          </w:p>
        </w:tc>
      </w:tr>
      <w:tr w:rsidR="007A1D60" w:rsidRPr="005C31ED" w14:paraId="0EE65F10" w14:textId="77777777">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4F1B4359" w14:textId="7E6BB239" w:rsidR="007A1D60" w:rsidRPr="005C31ED" w:rsidRDefault="007A1D60">
            <w:pPr>
              <w:spacing w:after="0" w:line="240" w:lineRule="auto"/>
              <w:rPr>
                <w:rFonts w:cs="Arial"/>
                <w:color w:val="000000"/>
                <w:szCs w:val="21"/>
                <w:lang w:eastAsia="en-AU"/>
              </w:rPr>
            </w:pPr>
            <w:r w:rsidRPr="005C31ED">
              <w:rPr>
                <w:rFonts w:cs="Arial"/>
                <w:color w:val="000000"/>
                <w:szCs w:val="21"/>
                <w:lang w:eastAsia="en-AU"/>
              </w:rPr>
              <w:t>Level 1 hospitals</w:t>
            </w:r>
          </w:p>
        </w:tc>
        <w:tc>
          <w:tcPr>
            <w:tcW w:w="3487" w:type="dxa"/>
            <w:tcBorders>
              <w:top w:val="single" w:sz="4" w:space="0" w:color="auto"/>
              <w:left w:val="single" w:sz="4" w:space="0" w:color="auto"/>
              <w:bottom w:val="single" w:sz="4" w:space="0" w:color="auto"/>
              <w:right w:val="single" w:sz="4" w:space="0" w:color="auto"/>
            </w:tcBorders>
            <w:noWrap/>
            <w:vAlign w:val="bottom"/>
            <w:hideMark/>
          </w:tcPr>
          <w:p w14:paraId="63F37BEF" w14:textId="2678AC03" w:rsidR="007A1D60" w:rsidRPr="005C31ED" w:rsidRDefault="007A1D60">
            <w:pPr>
              <w:spacing w:after="0" w:line="240" w:lineRule="auto"/>
              <w:rPr>
                <w:rFonts w:cs="Arial"/>
                <w:color w:val="000000"/>
                <w:szCs w:val="21"/>
                <w:lang w:eastAsia="en-AU"/>
              </w:rPr>
            </w:pPr>
            <w:r w:rsidRPr="005C31ED">
              <w:rPr>
                <w:rFonts w:cs="Arial"/>
                <w:color w:val="000000"/>
                <w:szCs w:val="21"/>
                <w:lang w:eastAsia="en-AU"/>
              </w:rPr>
              <w:t>Monash Medical Centre (Clayton)</w:t>
            </w:r>
          </w:p>
        </w:tc>
      </w:tr>
      <w:tr w:rsidR="007A1D60" w:rsidRPr="005C31ED" w14:paraId="634E5A85" w14:textId="77777777">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36D9971E" w14:textId="3607B0F2" w:rsidR="007A1D60" w:rsidRPr="005C31ED" w:rsidRDefault="007A1D60">
            <w:pPr>
              <w:spacing w:after="0" w:line="240" w:lineRule="auto"/>
              <w:rPr>
                <w:rFonts w:cs="Arial"/>
                <w:color w:val="000000"/>
                <w:szCs w:val="21"/>
                <w:lang w:eastAsia="en-AU"/>
              </w:rPr>
            </w:pPr>
            <w:r w:rsidRPr="005C31ED">
              <w:rPr>
                <w:rFonts w:cs="Arial"/>
                <w:color w:val="000000"/>
                <w:szCs w:val="21"/>
                <w:lang w:eastAsia="en-AU"/>
              </w:rPr>
              <w:t>Level 1 hospitals</w:t>
            </w:r>
          </w:p>
        </w:tc>
        <w:tc>
          <w:tcPr>
            <w:tcW w:w="3487" w:type="dxa"/>
            <w:tcBorders>
              <w:top w:val="single" w:sz="4" w:space="0" w:color="auto"/>
              <w:left w:val="single" w:sz="4" w:space="0" w:color="auto"/>
              <w:bottom w:val="single" w:sz="4" w:space="0" w:color="auto"/>
              <w:right w:val="single" w:sz="4" w:space="0" w:color="auto"/>
            </w:tcBorders>
            <w:noWrap/>
            <w:vAlign w:val="bottom"/>
            <w:hideMark/>
          </w:tcPr>
          <w:p w14:paraId="54873D7A" w14:textId="04A12B53" w:rsidR="007A1D60" w:rsidRPr="005C31ED" w:rsidRDefault="007A1D60">
            <w:pPr>
              <w:spacing w:after="0" w:line="240" w:lineRule="auto"/>
              <w:rPr>
                <w:rFonts w:cs="Arial"/>
                <w:color w:val="000000"/>
                <w:szCs w:val="21"/>
                <w:lang w:eastAsia="en-AU"/>
              </w:rPr>
            </w:pPr>
            <w:r w:rsidRPr="005C31ED">
              <w:rPr>
                <w:rFonts w:cs="Arial"/>
                <w:color w:val="000000"/>
                <w:szCs w:val="21"/>
                <w:lang w:eastAsia="en-AU"/>
              </w:rPr>
              <w:t>Northern Hospital</w:t>
            </w:r>
          </w:p>
        </w:tc>
      </w:tr>
      <w:tr w:rsidR="007A1D60" w:rsidRPr="005C31ED" w14:paraId="7453F4F7" w14:textId="77777777">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4FF37B0E" w14:textId="2ED29C17" w:rsidR="007A1D60" w:rsidRPr="005C31ED" w:rsidRDefault="007A1D60">
            <w:pPr>
              <w:spacing w:after="0" w:line="240" w:lineRule="auto"/>
              <w:rPr>
                <w:rFonts w:cs="Arial"/>
                <w:color w:val="000000"/>
                <w:szCs w:val="21"/>
                <w:lang w:eastAsia="en-AU"/>
              </w:rPr>
            </w:pPr>
            <w:r w:rsidRPr="005C31ED">
              <w:rPr>
                <w:rFonts w:cs="Arial"/>
                <w:color w:val="000000"/>
                <w:szCs w:val="21"/>
                <w:lang w:eastAsia="en-AU"/>
              </w:rPr>
              <w:t>Level 1 hospitals</w:t>
            </w:r>
          </w:p>
        </w:tc>
        <w:tc>
          <w:tcPr>
            <w:tcW w:w="3487" w:type="dxa"/>
            <w:tcBorders>
              <w:top w:val="single" w:sz="4" w:space="0" w:color="auto"/>
              <w:left w:val="single" w:sz="4" w:space="0" w:color="auto"/>
              <w:bottom w:val="single" w:sz="4" w:space="0" w:color="auto"/>
              <w:right w:val="single" w:sz="4" w:space="0" w:color="auto"/>
            </w:tcBorders>
            <w:noWrap/>
            <w:vAlign w:val="bottom"/>
            <w:hideMark/>
          </w:tcPr>
          <w:p w14:paraId="4AC4A0A7" w14:textId="601C0AAE" w:rsidR="007A1D60" w:rsidRPr="005C31ED" w:rsidRDefault="007A1D60">
            <w:pPr>
              <w:spacing w:after="0" w:line="240" w:lineRule="auto"/>
              <w:rPr>
                <w:rFonts w:cs="Arial"/>
                <w:color w:val="000000"/>
                <w:szCs w:val="21"/>
                <w:lang w:eastAsia="en-AU"/>
              </w:rPr>
            </w:pPr>
            <w:r w:rsidRPr="005C31ED">
              <w:rPr>
                <w:rFonts w:cs="Arial"/>
                <w:color w:val="000000"/>
                <w:szCs w:val="21"/>
                <w:lang w:eastAsia="en-AU"/>
              </w:rPr>
              <w:t>St Vincent's Hospital</w:t>
            </w:r>
          </w:p>
        </w:tc>
      </w:tr>
      <w:tr w:rsidR="007A1D60" w:rsidRPr="005C31ED" w14:paraId="43748EEA" w14:textId="77777777">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53E9A0D0" w14:textId="7C52700E" w:rsidR="007A1D60" w:rsidRPr="005C31ED" w:rsidRDefault="007A1D60">
            <w:pPr>
              <w:spacing w:after="0" w:line="240" w:lineRule="auto"/>
              <w:rPr>
                <w:rFonts w:cs="Arial"/>
                <w:color w:val="000000"/>
                <w:szCs w:val="21"/>
                <w:lang w:eastAsia="en-AU"/>
              </w:rPr>
            </w:pPr>
            <w:r w:rsidRPr="005C31ED">
              <w:rPr>
                <w:rFonts w:cs="Arial"/>
                <w:color w:val="000000"/>
                <w:szCs w:val="21"/>
                <w:lang w:eastAsia="en-AU"/>
              </w:rPr>
              <w:t>Level 1 hospitals</w:t>
            </w:r>
          </w:p>
        </w:tc>
        <w:tc>
          <w:tcPr>
            <w:tcW w:w="3487" w:type="dxa"/>
            <w:tcBorders>
              <w:top w:val="single" w:sz="4" w:space="0" w:color="auto"/>
              <w:left w:val="single" w:sz="4" w:space="0" w:color="auto"/>
              <w:bottom w:val="single" w:sz="4" w:space="0" w:color="auto"/>
              <w:right w:val="single" w:sz="4" w:space="0" w:color="auto"/>
            </w:tcBorders>
            <w:noWrap/>
            <w:vAlign w:val="bottom"/>
            <w:hideMark/>
          </w:tcPr>
          <w:p w14:paraId="44CB39C8" w14:textId="60BAE0E4" w:rsidR="007A1D60" w:rsidRPr="005C31ED" w:rsidRDefault="007A1D60">
            <w:pPr>
              <w:spacing w:after="0" w:line="240" w:lineRule="auto"/>
              <w:rPr>
                <w:rFonts w:cs="Arial"/>
                <w:color w:val="000000"/>
                <w:szCs w:val="21"/>
                <w:lang w:eastAsia="en-AU"/>
              </w:rPr>
            </w:pPr>
            <w:r w:rsidRPr="005C31ED">
              <w:rPr>
                <w:rFonts w:cs="Arial"/>
                <w:color w:val="000000"/>
                <w:szCs w:val="21"/>
                <w:lang w:eastAsia="en-AU"/>
              </w:rPr>
              <w:t>Sunshine Hospital</w:t>
            </w:r>
          </w:p>
        </w:tc>
      </w:tr>
      <w:tr w:rsidR="007A1D60" w:rsidRPr="005C31ED" w14:paraId="197F1D28" w14:textId="77777777">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699B7801" w14:textId="333BB5AB" w:rsidR="007A1D60" w:rsidRPr="005C31ED" w:rsidRDefault="007A1D60" w:rsidP="00D41BA1">
            <w:pPr>
              <w:pStyle w:val="Body"/>
              <w:rPr>
                <w:rFonts w:cs="Arial"/>
                <w:color w:val="000000"/>
                <w:szCs w:val="21"/>
                <w:lang w:eastAsia="en-AU"/>
              </w:rPr>
            </w:pPr>
            <w:r w:rsidRPr="005C31ED">
              <w:rPr>
                <w:rFonts w:cs="Arial"/>
                <w:color w:val="000000"/>
                <w:szCs w:val="21"/>
                <w:lang w:eastAsia="en-AU"/>
              </w:rPr>
              <w:t>Level 1 hospitals</w:t>
            </w:r>
          </w:p>
        </w:tc>
        <w:tc>
          <w:tcPr>
            <w:tcW w:w="3487" w:type="dxa"/>
            <w:tcBorders>
              <w:top w:val="single" w:sz="4" w:space="0" w:color="auto"/>
              <w:left w:val="single" w:sz="4" w:space="0" w:color="auto"/>
              <w:bottom w:val="single" w:sz="4" w:space="0" w:color="auto"/>
              <w:right w:val="single" w:sz="4" w:space="0" w:color="auto"/>
            </w:tcBorders>
            <w:noWrap/>
            <w:vAlign w:val="bottom"/>
            <w:hideMark/>
          </w:tcPr>
          <w:p w14:paraId="0C57A5C5" w14:textId="01A1B224" w:rsidR="007A1D60" w:rsidRPr="005C31ED" w:rsidRDefault="007A1D60" w:rsidP="00D41BA1">
            <w:pPr>
              <w:pStyle w:val="Body"/>
              <w:rPr>
                <w:rFonts w:cs="Arial"/>
                <w:color w:val="000000"/>
                <w:szCs w:val="21"/>
                <w:lang w:eastAsia="en-AU"/>
              </w:rPr>
            </w:pPr>
            <w:r w:rsidRPr="005C31ED">
              <w:rPr>
                <w:rFonts w:cs="Arial"/>
                <w:color w:val="000000"/>
                <w:szCs w:val="21"/>
                <w:lang w:eastAsia="en-AU"/>
              </w:rPr>
              <w:t>The Royal Children's Hospital</w:t>
            </w:r>
          </w:p>
        </w:tc>
      </w:tr>
      <w:tr w:rsidR="007A1D60" w:rsidRPr="005C31ED" w14:paraId="224CC2F1" w14:textId="77777777">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3C8E4FEA" w14:textId="05060AAD" w:rsidR="007A1D60" w:rsidRPr="005C31ED" w:rsidRDefault="007A1D60" w:rsidP="00D41BA1">
            <w:pPr>
              <w:pStyle w:val="Body"/>
              <w:rPr>
                <w:rFonts w:cs="Arial"/>
                <w:color w:val="000000"/>
                <w:szCs w:val="21"/>
                <w:lang w:eastAsia="en-AU"/>
              </w:rPr>
            </w:pPr>
            <w:r w:rsidRPr="005C31ED">
              <w:rPr>
                <w:rFonts w:cs="Arial"/>
                <w:color w:val="000000"/>
                <w:szCs w:val="21"/>
                <w:lang w:eastAsia="en-AU"/>
              </w:rPr>
              <w:t>Level 1 hospitals</w:t>
            </w:r>
          </w:p>
        </w:tc>
        <w:tc>
          <w:tcPr>
            <w:tcW w:w="3487" w:type="dxa"/>
            <w:tcBorders>
              <w:top w:val="single" w:sz="4" w:space="0" w:color="auto"/>
              <w:left w:val="single" w:sz="4" w:space="0" w:color="auto"/>
              <w:bottom w:val="single" w:sz="4" w:space="0" w:color="auto"/>
              <w:right w:val="single" w:sz="4" w:space="0" w:color="auto"/>
            </w:tcBorders>
            <w:noWrap/>
            <w:vAlign w:val="bottom"/>
            <w:hideMark/>
          </w:tcPr>
          <w:p w14:paraId="3A9C8951" w14:textId="14B52982" w:rsidR="007A1D60" w:rsidRPr="005C31ED" w:rsidRDefault="007A1D60" w:rsidP="00D41BA1">
            <w:pPr>
              <w:pStyle w:val="Body"/>
              <w:rPr>
                <w:rFonts w:cs="Arial"/>
                <w:color w:val="000000"/>
                <w:szCs w:val="21"/>
                <w:lang w:eastAsia="en-AU"/>
              </w:rPr>
            </w:pPr>
            <w:r w:rsidRPr="005C31ED">
              <w:rPr>
                <w:rFonts w:cs="Arial"/>
                <w:color w:val="000000"/>
                <w:szCs w:val="21"/>
                <w:lang w:eastAsia="en-AU"/>
              </w:rPr>
              <w:t>The Royal Melbourne Hospital</w:t>
            </w:r>
          </w:p>
        </w:tc>
      </w:tr>
      <w:tr w:rsidR="007A1D60" w:rsidRPr="005C31ED" w14:paraId="652CF8E7" w14:textId="77777777">
        <w:trPr>
          <w:trHeight w:val="305"/>
          <w:tblHeader/>
        </w:trPr>
        <w:tc>
          <w:tcPr>
            <w:tcW w:w="2342" w:type="dxa"/>
            <w:tcBorders>
              <w:top w:val="single" w:sz="4" w:space="0" w:color="auto"/>
              <w:left w:val="single" w:sz="4" w:space="0" w:color="auto"/>
              <w:bottom w:val="single" w:sz="4" w:space="0" w:color="auto"/>
              <w:right w:val="single" w:sz="4" w:space="0" w:color="auto"/>
            </w:tcBorders>
            <w:noWrap/>
            <w:vAlign w:val="bottom"/>
            <w:hideMark/>
          </w:tcPr>
          <w:p w14:paraId="75DF5B35" w14:textId="3E03E09F" w:rsidR="007A1D60" w:rsidRPr="005C31ED" w:rsidRDefault="007A1D60" w:rsidP="00D41BA1">
            <w:pPr>
              <w:pStyle w:val="Body"/>
              <w:rPr>
                <w:rFonts w:cs="Arial"/>
                <w:color w:val="000000"/>
                <w:szCs w:val="21"/>
                <w:lang w:eastAsia="en-AU"/>
              </w:rPr>
            </w:pPr>
            <w:r w:rsidRPr="58876FB7">
              <w:rPr>
                <w:rFonts w:cs="Arial"/>
                <w:color w:val="000000" w:themeColor="text1"/>
                <w:lang w:eastAsia="en-AU"/>
              </w:rPr>
              <w:t>Level 1 hospitals</w:t>
            </w:r>
          </w:p>
        </w:tc>
        <w:tc>
          <w:tcPr>
            <w:tcW w:w="3487" w:type="dxa"/>
            <w:tcBorders>
              <w:top w:val="single" w:sz="4" w:space="0" w:color="auto"/>
              <w:left w:val="single" w:sz="4" w:space="0" w:color="auto"/>
              <w:bottom w:val="single" w:sz="4" w:space="0" w:color="auto"/>
              <w:right w:val="single" w:sz="4" w:space="0" w:color="auto"/>
            </w:tcBorders>
            <w:noWrap/>
            <w:vAlign w:val="bottom"/>
            <w:hideMark/>
          </w:tcPr>
          <w:p w14:paraId="14BB0149" w14:textId="5752608A" w:rsidR="007A1D60" w:rsidRPr="005C31ED" w:rsidRDefault="007A1D60" w:rsidP="00D41BA1">
            <w:pPr>
              <w:pStyle w:val="Body"/>
              <w:rPr>
                <w:rFonts w:cs="Arial"/>
                <w:color w:val="000000"/>
                <w:szCs w:val="21"/>
                <w:lang w:eastAsia="en-AU"/>
              </w:rPr>
            </w:pPr>
            <w:r w:rsidRPr="58876FB7">
              <w:rPr>
                <w:rFonts w:cs="Arial"/>
                <w:color w:val="000000" w:themeColor="text1"/>
                <w:lang w:eastAsia="en-AU"/>
              </w:rPr>
              <w:t>University Hospital Geelong</w:t>
            </w:r>
          </w:p>
        </w:tc>
      </w:tr>
    </w:tbl>
    <w:p w14:paraId="0A43524F" w14:textId="7235B5D9" w:rsidR="006A07F0" w:rsidRDefault="009753CA" w:rsidP="005C5B6D">
      <w:pPr>
        <w:pStyle w:val="Heading3"/>
      </w:pPr>
      <w:r>
        <w:t>Coronary Care Unit ratios</w:t>
      </w:r>
    </w:p>
    <w:p w14:paraId="5BAFC859" w14:textId="518EF0AD" w:rsidR="009753CA" w:rsidRPr="009753CA" w:rsidRDefault="00493E7F" w:rsidP="00A002E0">
      <w:pPr>
        <w:pStyle w:val="Body"/>
        <w:rPr>
          <w:i/>
          <w:iCs/>
          <w:sz w:val="16"/>
          <w:szCs w:val="16"/>
        </w:rPr>
      </w:pPr>
      <w:r>
        <w:t xml:space="preserve">The phase 3 nurse in charge on night shift ratio in CCUs will apply in all </w:t>
      </w:r>
      <w:r w:rsidRPr="00641B6C">
        <w:t xml:space="preserve">hospitals </w:t>
      </w:r>
      <w:r>
        <w:t xml:space="preserve">specified in </w:t>
      </w:r>
      <w:r w:rsidR="006C0265">
        <w:t xml:space="preserve">Principal </w:t>
      </w:r>
      <w:r w:rsidRPr="00641B6C">
        <w:t>Act w</w:t>
      </w:r>
      <w:r>
        <w:t xml:space="preserve">here there is </w:t>
      </w:r>
      <w:r w:rsidR="006B535D">
        <w:t>a CCU</w:t>
      </w:r>
      <w:r>
        <w:t>.</w:t>
      </w:r>
      <w:r w:rsidR="006B535D">
        <w:t xml:space="preserve"> </w:t>
      </w:r>
    </w:p>
    <w:p w14:paraId="09F89BD7" w14:textId="77777777" w:rsidR="006A07F0" w:rsidRDefault="006A07F0" w:rsidP="00275D2D">
      <w:pPr>
        <w:pStyle w:val="Body"/>
      </w:pPr>
    </w:p>
    <w:p w14:paraId="28649E66" w14:textId="6BF1004A" w:rsidR="006A07F0" w:rsidRDefault="006A07F0">
      <w:pPr>
        <w:spacing w:after="0" w:line="240" w:lineRule="auto"/>
        <w:rPr>
          <w:rFonts w:eastAsia="Times"/>
        </w:rPr>
      </w:pPr>
      <w:r>
        <w:br w:type="page"/>
      </w:r>
    </w:p>
    <w:p w14:paraId="5EDE3637" w14:textId="09CD7B6D" w:rsidR="006A07F0" w:rsidRDefault="006A07F0" w:rsidP="00902436">
      <w:pPr>
        <w:pStyle w:val="Heading1"/>
        <w:rPr>
          <w:rFonts w:asciiTheme="minorHAnsi" w:hAnsiTheme="minorHAnsi" w:cstheme="minorHAnsi"/>
          <w:sz w:val="24"/>
          <w:szCs w:val="24"/>
        </w:rPr>
      </w:pPr>
      <w:bookmarkStart w:id="23" w:name="_Appendix_B_-"/>
      <w:bookmarkStart w:id="24" w:name="_Toc194310953"/>
      <w:bookmarkEnd w:id="23"/>
      <w:r w:rsidRPr="00902436">
        <w:rPr>
          <w:rStyle w:val="Heading1Char"/>
        </w:rPr>
        <w:lastRenderedPageBreak/>
        <w:t xml:space="preserve">Appendix </w:t>
      </w:r>
      <w:r w:rsidR="00902436" w:rsidRPr="00902436">
        <w:rPr>
          <w:rStyle w:val="Heading1Char"/>
        </w:rPr>
        <w:t>B</w:t>
      </w:r>
      <w:r>
        <w:rPr>
          <w:rStyle w:val="Heading1Char"/>
        </w:rPr>
        <w:t xml:space="preserve"> - </w:t>
      </w:r>
      <w:r w:rsidRPr="006A07F0">
        <w:rPr>
          <w:rStyle w:val="Heading1Char"/>
        </w:rPr>
        <w:t xml:space="preserve">Hospital names </w:t>
      </w:r>
      <w:r>
        <w:rPr>
          <w:rStyle w:val="Heading1Char"/>
        </w:rPr>
        <w:t xml:space="preserve">updated </w:t>
      </w:r>
      <w:r w:rsidRPr="006A07F0">
        <w:rPr>
          <w:rStyle w:val="Heading1Char"/>
        </w:rPr>
        <w:t xml:space="preserve">in the </w:t>
      </w:r>
      <w:r w:rsidR="006C0265">
        <w:rPr>
          <w:rStyle w:val="Heading1Char"/>
        </w:rPr>
        <w:t xml:space="preserve">Principal </w:t>
      </w:r>
      <w:r w:rsidR="00267DB5">
        <w:rPr>
          <w:rStyle w:val="Heading1Char"/>
        </w:rPr>
        <w:t>Act</w:t>
      </w:r>
      <w:bookmarkEnd w:id="24"/>
      <w:r w:rsidRPr="0069491E">
        <w:rPr>
          <w:rFonts w:asciiTheme="minorHAnsi" w:hAnsiTheme="minorHAnsi" w:cstheme="minorHAnsi"/>
          <w:sz w:val="24"/>
          <w:szCs w:val="24"/>
        </w:rPr>
        <w:t xml:space="preserve"> </w:t>
      </w:r>
    </w:p>
    <w:p w14:paraId="15052F0D" w14:textId="00B69E78" w:rsidR="006A07F0" w:rsidRDefault="006A07F0" w:rsidP="00AF012D">
      <w:pPr>
        <w:pStyle w:val="Body"/>
      </w:pPr>
      <w:r>
        <w:t xml:space="preserve">The following hospital names have been updated in the applicable </w:t>
      </w:r>
      <w:r w:rsidR="00F449BE">
        <w:t xml:space="preserve">clauses and </w:t>
      </w:r>
      <w:r>
        <w:t xml:space="preserve">Schedules to the </w:t>
      </w:r>
      <w:r w:rsidR="00F968A8">
        <w:t xml:space="preserve">Principal </w:t>
      </w:r>
      <w:r>
        <w:t xml:space="preserve">Act </w:t>
      </w:r>
      <w:r w:rsidRPr="0069491E">
        <w:t>to ensure they reflect current nomenclature</w:t>
      </w:r>
      <w:r w:rsidR="00115181">
        <w:t>.</w:t>
      </w:r>
    </w:p>
    <w:p w14:paraId="2A7C0785" w14:textId="77777777" w:rsidR="00F449BE" w:rsidRDefault="00F449BE" w:rsidP="00957378">
      <w:pPr>
        <w:pStyle w:val="Heading2"/>
      </w:pPr>
      <w:bookmarkStart w:id="25" w:name="_Toc194310954"/>
      <w:r>
        <w:t>High dependency units</w:t>
      </w:r>
      <w:bookmarkEnd w:id="25"/>
    </w:p>
    <w:p w14:paraId="09F6C1CC" w14:textId="363C3F03" w:rsidR="00F449BE" w:rsidRPr="00F449BE" w:rsidRDefault="00BA72B0" w:rsidP="00B60204">
      <w:pPr>
        <w:pStyle w:val="Heading3"/>
      </w:pPr>
      <w:r>
        <w:t>Section</w:t>
      </w:r>
      <w:r w:rsidR="00B60204">
        <w:t xml:space="preserve"> 22(2)</w:t>
      </w:r>
      <w:r>
        <w:t xml:space="preserve"> of the Principal Act </w:t>
      </w:r>
    </w:p>
    <w:tbl>
      <w:tblPr>
        <w:tblStyle w:val="TableGrid"/>
        <w:tblW w:w="0" w:type="auto"/>
        <w:tblLook w:val="04A0" w:firstRow="1" w:lastRow="0" w:firstColumn="1" w:lastColumn="0" w:noHBand="0" w:noVBand="1"/>
      </w:tblPr>
      <w:tblGrid>
        <w:gridCol w:w="4644"/>
        <w:gridCol w:w="4644"/>
      </w:tblGrid>
      <w:tr w:rsidR="00F449BE" w14:paraId="65975EC6" w14:textId="77777777" w:rsidTr="00180F06">
        <w:tc>
          <w:tcPr>
            <w:tcW w:w="4644" w:type="dxa"/>
            <w:shd w:val="clear" w:color="auto" w:fill="002060"/>
          </w:tcPr>
          <w:p w14:paraId="629A7B67" w14:textId="77777777" w:rsidR="00F449BE" w:rsidRPr="00180F06" w:rsidRDefault="00F449BE">
            <w:pPr>
              <w:overflowPunct w:val="0"/>
              <w:autoSpaceDE w:val="0"/>
              <w:autoSpaceDN w:val="0"/>
              <w:adjustRightInd w:val="0"/>
              <w:spacing w:before="60" w:after="60" w:line="240" w:lineRule="auto"/>
              <w:jc w:val="both"/>
              <w:textAlignment w:val="baseline"/>
              <w:rPr>
                <w:rFonts w:cs="Arial"/>
                <w:b/>
                <w:bCs/>
                <w:color w:val="FFFFFF" w:themeColor="background1"/>
                <w:szCs w:val="21"/>
              </w:rPr>
            </w:pPr>
            <w:r w:rsidRPr="00180F06">
              <w:rPr>
                <w:rFonts w:cs="Arial"/>
                <w:b/>
                <w:bCs/>
                <w:color w:val="FFFFFF" w:themeColor="background1"/>
                <w:szCs w:val="21"/>
              </w:rPr>
              <w:t>Hospital name – pre update</w:t>
            </w:r>
          </w:p>
        </w:tc>
        <w:tc>
          <w:tcPr>
            <w:tcW w:w="4644" w:type="dxa"/>
            <w:shd w:val="clear" w:color="auto" w:fill="002060"/>
          </w:tcPr>
          <w:p w14:paraId="5B7D00DF" w14:textId="77777777" w:rsidR="00F449BE" w:rsidRPr="00180F06" w:rsidRDefault="00F449BE">
            <w:pPr>
              <w:overflowPunct w:val="0"/>
              <w:autoSpaceDE w:val="0"/>
              <w:autoSpaceDN w:val="0"/>
              <w:adjustRightInd w:val="0"/>
              <w:spacing w:before="60" w:after="60" w:line="240" w:lineRule="auto"/>
              <w:jc w:val="both"/>
              <w:textAlignment w:val="baseline"/>
              <w:rPr>
                <w:rFonts w:cs="Arial"/>
                <w:b/>
                <w:bCs/>
                <w:color w:val="FFFFFF" w:themeColor="background1"/>
                <w:szCs w:val="21"/>
              </w:rPr>
            </w:pPr>
            <w:r w:rsidRPr="00180F06">
              <w:rPr>
                <w:rFonts w:cs="Arial"/>
                <w:b/>
                <w:bCs/>
                <w:color w:val="FFFFFF" w:themeColor="background1"/>
                <w:szCs w:val="21"/>
              </w:rPr>
              <w:t>Hospital name – post update</w:t>
            </w:r>
          </w:p>
        </w:tc>
      </w:tr>
      <w:tr w:rsidR="00F449BE" w14:paraId="6CBE4A16" w14:textId="77777777">
        <w:tc>
          <w:tcPr>
            <w:tcW w:w="4644" w:type="dxa"/>
          </w:tcPr>
          <w:p w14:paraId="7B1BC41E" w14:textId="52CA2AD3" w:rsidR="00F449BE" w:rsidRPr="00115181" w:rsidRDefault="00B60204" w:rsidP="00B60204">
            <w:pPr>
              <w:pStyle w:val="Body"/>
            </w:pPr>
            <w:r w:rsidRPr="00B60204">
              <w:t>Wimmera Health Care Group Hospital (Horsham campus)</w:t>
            </w:r>
          </w:p>
        </w:tc>
        <w:tc>
          <w:tcPr>
            <w:tcW w:w="4644" w:type="dxa"/>
          </w:tcPr>
          <w:p w14:paraId="733FAC34" w14:textId="202BB23A" w:rsidR="00F449BE" w:rsidRPr="00115181" w:rsidRDefault="00A746C0">
            <w:pPr>
              <w:overflowPunct w:val="0"/>
              <w:autoSpaceDE w:val="0"/>
              <w:autoSpaceDN w:val="0"/>
              <w:adjustRightInd w:val="0"/>
              <w:spacing w:before="60" w:after="60" w:line="240" w:lineRule="auto"/>
              <w:jc w:val="both"/>
              <w:textAlignment w:val="baseline"/>
              <w:rPr>
                <w:rFonts w:cs="Arial"/>
                <w:szCs w:val="21"/>
              </w:rPr>
            </w:pPr>
            <w:r w:rsidRPr="00A746C0">
              <w:rPr>
                <w:rFonts w:cs="Arial"/>
                <w:szCs w:val="21"/>
              </w:rPr>
              <w:t>Grampians Health (Wimmera Base Hospital)</w:t>
            </w:r>
          </w:p>
        </w:tc>
      </w:tr>
    </w:tbl>
    <w:p w14:paraId="06EF7FAA" w14:textId="2305A447" w:rsidR="009A6DBC" w:rsidRPr="009A6DBC" w:rsidRDefault="009A6DBC" w:rsidP="00957378">
      <w:pPr>
        <w:pStyle w:val="Heading2"/>
      </w:pPr>
      <w:bookmarkStart w:id="26" w:name="_Toc194310955"/>
      <w:r w:rsidRPr="009A6DBC">
        <w:t>Schedule 1—Level 1, 2 and 3 hospitals</w:t>
      </w:r>
      <w:bookmarkEnd w:id="26"/>
      <w:r w:rsidRPr="009A6DBC">
        <w:t xml:space="preserve"> </w:t>
      </w:r>
    </w:p>
    <w:p w14:paraId="2D0157BA" w14:textId="69C8F0AC" w:rsidR="009A6DBC" w:rsidRDefault="009A6DBC" w:rsidP="00AF012D">
      <w:pPr>
        <w:pStyle w:val="Heading3"/>
      </w:pPr>
      <w:r w:rsidRPr="009A6DBC">
        <w:t xml:space="preserve">Part 2 of Schedule 1 to the Principal Act </w:t>
      </w:r>
    </w:p>
    <w:tbl>
      <w:tblPr>
        <w:tblStyle w:val="TableGrid"/>
        <w:tblW w:w="0" w:type="auto"/>
        <w:tblLook w:val="04A0" w:firstRow="1" w:lastRow="0" w:firstColumn="1" w:lastColumn="0" w:noHBand="0" w:noVBand="1"/>
      </w:tblPr>
      <w:tblGrid>
        <w:gridCol w:w="4644"/>
        <w:gridCol w:w="4644"/>
      </w:tblGrid>
      <w:tr w:rsidR="00B42665" w14:paraId="7D59A20B" w14:textId="77777777" w:rsidTr="00180F06">
        <w:tc>
          <w:tcPr>
            <w:tcW w:w="4644" w:type="dxa"/>
            <w:shd w:val="clear" w:color="auto" w:fill="002060"/>
          </w:tcPr>
          <w:p w14:paraId="1BDA286A" w14:textId="3728832F" w:rsidR="00B42665" w:rsidRPr="00180F06" w:rsidRDefault="000C5BF7" w:rsidP="009A6DBC">
            <w:pPr>
              <w:overflowPunct w:val="0"/>
              <w:autoSpaceDE w:val="0"/>
              <w:autoSpaceDN w:val="0"/>
              <w:adjustRightInd w:val="0"/>
              <w:spacing w:before="60" w:after="60" w:line="240" w:lineRule="auto"/>
              <w:jc w:val="both"/>
              <w:textAlignment w:val="baseline"/>
              <w:rPr>
                <w:rFonts w:cs="Arial"/>
                <w:b/>
                <w:bCs/>
                <w:color w:val="FFFFFF" w:themeColor="background1"/>
                <w:szCs w:val="21"/>
              </w:rPr>
            </w:pPr>
            <w:r w:rsidRPr="00180F06">
              <w:rPr>
                <w:rFonts w:cs="Arial"/>
                <w:b/>
                <w:bCs/>
                <w:color w:val="FFFFFF" w:themeColor="background1"/>
                <w:szCs w:val="21"/>
              </w:rPr>
              <w:t xml:space="preserve">Hospital name – pre </w:t>
            </w:r>
            <w:r w:rsidR="0082742B" w:rsidRPr="00180F06">
              <w:rPr>
                <w:rFonts w:cs="Arial"/>
                <w:b/>
                <w:bCs/>
                <w:color w:val="FFFFFF" w:themeColor="background1"/>
                <w:szCs w:val="21"/>
              </w:rPr>
              <w:t>update</w:t>
            </w:r>
          </w:p>
        </w:tc>
        <w:tc>
          <w:tcPr>
            <w:tcW w:w="4644" w:type="dxa"/>
            <w:shd w:val="clear" w:color="auto" w:fill="002060"/>
          </w:tcPr>
          <w:p w14:paraId="1B4D3E3E" w14:textId="69BF4494" w:rsidR="00B42665" w:rsidRPr="00180F06" w:rsidRDefault="000C5BF7" w:rsidP="0082742B">
            <w:pPr>
              <w:overflowPunct w:val="0"/>
              <w:autoSpaceDE w:val="0"/>
              <w:autoSpaceDN w:val="0"/>
              <w:adjustRightInd w:val="0"/>
              <w:spacing w:before="60" w:after="60" w:line="240" w:lineRule="auto"/>
              <w:jc w:val="both"/>
              <w:textAlignment w:val="baseline"/>
              <w:rPr>
                <w:rFonts w:cs="Arial"/>
                <w:b/>
                <w:bCs/>
                <w:color w:val="FFFFFF" w:themeColor="background1"/>
                <w:szCs w:val="21"/>
              </w:rPr>
            </w:pPr>
            <w:r w:rsidRPr="00180F06">
              <w:rPr>
                <w:rFonts w:cs="Arial"/>
                <w:b/>
                <w:bCs/>
                <w:color w:val="FFFFFF" w:themeColor="background1"/>
                <w:szCs w:val="21"/>
              </w:rPr>
              <w:t>Hospital name – post</w:t>
            </w:r>
            <w:r w:rsidR="0082742B" w:rsidRPr="00180F06">
              <w:rPr>
                <w:rFonts w:cs="Arial"/>
                <w:b/>
                <w:bCs/>
                <w:color w:val="FFFFFF" w:themeColor="background1"/>
                <w:szCs w:val="21"/>
              </w:rPr>
              <w:t xml:space="preserve"> update</w:t>
            </w:r>
          </w:p>
        </w:tc>
      </w:tr>
      <w:tr w:rsidR="00B42665" w14:paraId="2E9950DB" w14:textId="77777777" w:rsidTr="00B42665">
        <w:tc>
          <w:tcPr>
            <w:tcW w:w="4644" w:type="dxa"/>
          </w:tcPr>
          <w:p w14:paraId="72AA71CF" w14:textId="5A5B24C8" w:rsidR="00B42665" w:rsidRPr="00115181" w:rsidRDefault="0082742B" w:rsidP="00F531CF">
            <w:pPr>
              <w:pStyle w:val="Body"/>
            </w:pPr>
            <w:r w:rsidRPr="00115181">
              <w:t>Ballarat Base Hospital</w:t>
            </w:r>
          </w:p>
        </w:tc>
        <w:tc>
          <w:tcPr>
            <w:tcW w:w="4644" w:type="dxa"/>
          </w:tcPr>
          <w:p w14:paraId="0FDD0F1C" w14:textId="115B2F60" w:rsidR="00B42665" w:rsidRPr="00115181" w:rsidRDefault="0082742B" w:rsidP="00F531CF">
            <w:pPr>
              <w:pStyle w:val="Body"/>
            </w:pPr>
            <w:r w:rsidRPr="00115181">
              <w:t>Grampians Health (Ballarat Base Hospital)</w:t>
            </w:r>
          </w:p>
        </w:tc>
      </w:tr>
      <w:tr w:rsidR="00B42665" w14:paraId="0E3F11C2" w14:textId="77777777" w:rsidTr="00B42665">
        <w:tc>
          <w:tcPr>
            <w:tcW w:w="4644" w:type="dxa"/>
          </w:tcPr>
          <w:p w14:paraId="4ABFB76D" w14:textId="16783B49" w:rsidR="00B42665" w:rsidRPr="00115181" w:rsidRDefault="0082742B" w:rsidP="00F531CF">
            <w:pPr>
              <w:pStyle w:val="Body"/>
            </w:pPr>
            <w:r w:rsidRPr="00115181">
              <w:t>New Mildura Base Hospital</w:t>
            </w:r>
          </w:p>
        </w:tc>
        <w:tc>
          <w:tcPr>
            <w:tcW w:w="4644" w:type="dxa"/>
          </w:tcPr>
          <w:p w14:paraId="37ECB095" w14:textId="49521E20" w:rsidR="00B42665" w:rsidRPr="00115181" w:rsidRDefault="0082742B" w:rsidP="00F531CF">
            <w:pPr>
              <w:pStyle w:val="Body"/>
            </w:pPr>
            <w:r w:rsidRPr="00115181">
              <w:t>Mildura Base Public Hospital</w:t>
            </w:r>
          </w:p>
        </w:tc>
      </w:tr>
    </w:tbl>
    <w:p w14:paraId="71F34DA6" w14:textId="02E71898" w:rsidR="0082742B" w:rsidRPr="009A6DBC" w:rsidRDefault="009A6DBC" w:rsidP="00AF012D">
      <w:pPr>
        <w:pStyle w:val="Heading3"/>
      </w:pPr>
      <w:r w:rsidRPr="009A6DBC">
        <w:t>Part 3 of Schedule 1 to the Principal Act</w:t>
      </w:r>
    </w:p>
    <w:tbl>
      <w:tblPr>
        <w:tblStyle w:val="TableGrid"/>
        <w:tblW w:w="0" w:type="auto"/>
        <w:tblLook w:val="04A0" w:firstRow="1" w:lastRow="0" w:firstColumn="1" w:lastColumn="0" w:noHBand="0" w:noVBand="1"/>
      </w:tblPr>
      <w:tblGrid>
        <w:gridCol w:w="4644"/>
        <w:gridCol w:w="4644"/>
      </w:tblGrid>
      <w:tr w:rsidR="0082742B" w14:paraId="69C7DD23" w14:textId="77777777" w:rsidTr="00180F06">
        <w:tc>
          <w:tcPr>
            <w:tcW w:w="4644" w:type="dxa"/>
            <w:shd w:val="clear" w:color="auto" w:fill="002060"/>
          </w:tcPr>
          <w:p w14:paraId="1DF6C581" w14:textId="77777777" w:rsidR="0082742B" w:rsidRPr="00180F06" w:rsidRDefault="0082742B">
            <w:pPr>
              <w:overflowPunct w:val="0"/>
              <w:autoSpaceDE w:val="0"/>
              <w:autoSpaceDN w:val="0"/>
              <w:adjustRightInd w:val="0"/>
              <w:spacing w:before="60" w:after="60" w:line="240" w:lineRule="auto"/>
              <w:jc w:val="both"/>
              <w:textAlignment w:val="baseline"/>
              <w:rPr>
                <w:rFonts w:cs="Arial"/>
                <w:b/>
                <w:bCs/>
                <w:color w:val="FFFFFF" w:themeColor="background1"/>
                <w:szCs w:val="21"/>
              </w:rPr>
            </w:pPr>
            <w:r w:rsidRPr="00180F06">
              <w:rPr>
                <w:rFonts w:cs="Arial"/>
                <w:b/>
                <w:bCs/>
                <w:color w:val="FFFFFF" w:themeColor="background1"/>
                <w:szCs w:val="21"/>
              </w:rPr>
              <w:t>Hospital name – pre update</w:t>
            </w:r>
          </w:p>
        </w:tc>
        <w:tc>
          <w:tcPr>
            <w:tcW w:w="4644" w:type="dxa"/>
            <w:shd w:val="clear" w:color="auto" w:fill="002060"/>
          </w:tcPr>
          <w:p w14:paraId="1F03A46E" w14:textId="77777777" w:rsidR="0082742B" w:rsidRPr="00180F06" w:rsidRDefault="0082742B">
            <w:pPr>
              <w:overflowPunct w:val="0"/>
              <w:autoSpaceDE w:val="0"/>
              <w:autoSpaceDN w:val="0"/>
              <w:adjustRightInd w:val="0"/>
              <w:spacing w:before="60" w:after="60" w:line="240" w:lineRule="auto"/>
              <w:jc w:val="both"/>
              <w:textAlignment w:val="baseline"/>
              <w:rPr>
                <w:rFonts w:cs="Arial"/>
                <w:b/>
                <w:bCs/>
                <w:color w:val="FFFFFF" w:themeColor="background1"/>
                <w:szCs w:val="21"/>
              </w:rPr>
            </w:pPr>
            <w:r w:rsidRPr="00180F06">
              <w:rPr>
                <w:rFonts w:cs="Arial"/>
                <w:b/>
                <w:bCs/>
                <w:color w:val="FFFFFF" w:themeColor="background1"/>
                <w:szCs w:val="21"/>
              </w:rPr>
              <w:t>Hospital name – post update</w:t>
            </w:r>
          </w:p>
        </w:tc>
      </w:tr>
      <w:tr w:rsidR="0082742B" w14:paraId="38530256" w14:textId="77777777">
        <w:tc>
          <w:tcPr>
            <w:tcW w:w="4644" w:type="dxa"/>
          </w:tcPr>
          <w:p w14:paraId="337B6500" w14:textId="4F78724B" w:rsidR="0082742B" w:rsidRPr="00115181" w:rsidRDefault="0082742B" w:rsidP="00F531CF">
            <w:pPr>
              <w:pStyle w:val="Body"/>
            </w:pPr>
            <w:r w:rsidRPr="00115181">
              <w:t>Castlemaine Health</w:t>
            </w:r>
          </w:p>
        </w:tc>
        <w:tc>
          <w:tcPr>
            <w:tcW w:w="4644" w:type="dxa"/>
          </w:tcPr>
          <w:p w14:paraId="1FDE9050" w14:textId="710E0A53" w:rsidR="0082742B" w:rsidRPr="00115181" w:rsidRDefault="0082742B" w:rsidP="00F531CF">
            <w:pPr>
              <w:pStyle w:val="Body"/>
            </w:pPr>
            <w:r w:rsidRPr="00115181">
              <w:t>Dhelkaya Health (Castlemaine campus)</w:t>
            </w:r>
          </w:p>
        </w:tc>
      </w:tr>
      <w:tr w:rsidR="0082742B" w14:paraId="011D932A" w14:textId="77777777">
        <w:tc>
          <w:tcPr>
            <w:tcW w:w="4644" w:type="dxa"/>
          </w:tcPr>
          <w:p w14:paraId="638D7CB3" w14:textId="76A4D200" w:rsidR="0082742B" w:rsidRPr="00115181" w:rsidRDefault="0082742B" w:rsidP="00F531CF">
            <w:pPr>
              <w:pStyle w:val="Body"/>
            </w:pPr>
            <w:r w:rsidRPr="00115181">
              <w:t>Wimmera Health Care Group (Horsham campus)</w:t>
            </w:r>
          </w:p>
        </w:tc>
        <w:tc>
          <w:tcPr>
            <w:tcW w:w="4644" w:type="dxa"/>
          </w:tcPr>
          <w:p w14:paraId="45F5C89A" w14:textId="54D4FE9B" w:rsidR="0082742B" w:rsidRPr="00115181" w:rsidRDefault="0082742B" w:rsidP="00F531CF">
            <w:pPr>
              <w:pStyle w:val="Body"/>
            </w:pPr>
            <w:r w:rsidRPr="00115181">
              <w:t>Grampians Health (Wimmera Base Hospital)</w:t>
            </w:r>
          </w:p>
        </w:tc>
      </w:tr>
    </w:tbl>
    <w:p w14:paraId="5E373811" w14:textId="77777777" w:rsidR="00AB435F" w:rsidRPr="00AB435F" w:rsidRDefault="00AB435F" w:rsidP="00957378">
      <w:pPr>
        <w:pStyle w:val="Heading2"/>
      </w:pPr>
      <w:bookmarkStart w:id="27" w:name="_Toc194310956"/>
      <w:r w:rsidRPr="00AB435F">
        <w:t>Schedule 2—Hospitals not restricted in use of enrolled nurses</w:t>
      </w:r>
      <w:bookmarkEnd w:id="27"/>
      <w:r w:rsidRPr="00AB435F">
        <w:t xml:space="preserve"> </w:t>
      </w:r>
    </w:p>
    <w:p w14:paraId="076EC1EA" w14:textId="6D6BABEA" w:rsidR="00AB435F" w:rsidRDefault="00AB435F" w:rsidP="00AF012D">
      <w:pPr>
        <w:pStyle w:val="Heading3"/>
      </w:pPr>
      <w:r w:rsidRPr="00AB435F">
        <w:t xml:space="preserve">Schedule 2 to the Principal Act </w:t>
      </w:r>
    </w:p>
    <w:tbl>
      <w:tblPr>
        <w:tblStyle w:val="TableGrid"/>
        <w:tblW w:w="0" w:type="auto"/>
        <w:tblLook w:val="04A0" w:firstRow="1" w:lastRow="0" w:firstColumn="1" w:lastColumn="0" w:noHBand="0" w:noVBand="1"/>
      </w:tblPr>
      <w:tblGrid>
        <w:gridCol w:w="4644"/>
        <w:gridCol w:w="4644"/>
      </w:tblGrid>
      <w:tr w:rsidR="00B63C1D" w:rsidRPr="00AF012D" w14:paraId="27D7BAD7" w14:textId="77777777" w:rsidTr="00180F06">
        <w:tc>
          <w:tcPr>
            <w:tcW w:w="4644" w:type="dxa"/>
            <w:shd w:val="clear" w:color="auto" w:fill="002060"/>
          </w:tcPr>
          <w:p w14:paraId="71F84A24" w14:textId="6210CDFD" w:rsidR="00B63C1D" w:rsidRPr="00180F06" w:rsidRDefault="00B63C1D" w:rsidP="00B63C1D">
            <w:pPr>
              <w:overflowPunct w:val="0"/>
              <w:autoSpaceDE w:val="0"/>
              <w:autoSpaceDN w:val="0"/>
              <w:adjustRightInd w:val="0"/>
              <w:spacing w:before="60" w:after="60" w:line="240" w:lineRule="auto"/>
              <w:jc w:val="both"/>
              <w:textAlignment w:val="baseline"/>
              <w:rPr>
                <w:rFonts w:cs="Arial"/>
                <w:b/>
                <w:bCs/>
                <w:color w:val="FFFFFF" w:themeColor="background1"/>
                <w:szCs w:val="21"/>
              </w:rPr>
            </w:pPr>
            <w:r w:rsidRPr="00180F06">
              <w:rPr>
                <w:rFonts w:cs="Arial"/>
                <w:b/>
                <w:bCs/>
                <w:color w:val="FFFFFF" w:themeColor="background1"/>
                <w:szCs w:val="21"/>
              </w:rPr>
              <w:t>Hospital name – pre update</w:t>
            </w:r>
          </w:p>
        </w:tc>
        <w:tc>
          <w:tcPr>
            <w:tcW w:w="4644" w:type="dxa"/>
            <w:shd w:val="clear" w:color="auto" w:fill="002060"/>
          </w:tcPr>
          <w:p w14:paraId="5D41293C" w14:textId="39BB3C73" w:rsidR="00B63C1D" w:rsidRPr="00180F06" w:rsidRDefault="00B63C1D" w:rsidP="00B63C1D">
            <w:pPr>
              <w:overflowPunct w:val="0"/>
              <w:autoSpaceDE w:val="0"/>
              <w:autoSpaceDN w:val="0"/>
              <w:adjustRightInd w:val="0"/>
              <w:spacing w:before="60" w:after="60" w:line="240" w:lineRule="auto"/>
              <w:jc w:val="both"/>
              <w:textAlignment w:val="baseline"/>
              <w:rPr>
                <w:rFonts w:cs="Arial"/>
                <w:b/>
                <w:bCs/>
                <w:color w:val="FFFFFF" w:themeColor="background1"/>
                <w:szCs w:val="21"/>
              </w:rPr>
            </w:pPr>
            <w:r w:rsidRPr="00180F06">
              <w:rPr>
                <w:rFonts w:cs="Arial"/>
                <w:b/>
                <w:bCs/>
                <w:color w:val="FFFFFF" w:themeColor="background1"/>
                <w:szCs w:val="21"/>
              </w:rPr>
              <w:t>Hospital name – post update</w:t>
            </w:r>
          </w:p>
        </w:tc>
      </w:tr>
      <w:tr w:rsidR="00B63C1D" w:rsidRPr="00AF012D" w14:paraId="77F4BDEA" w14:textId="77777777" w:rsidTr="00B63C1D">
        <w:tc>
          <w:tcPr>
            <w:tcW w:w="4644" w:type="dxa"/>
          </w:tcPr>
          <w:p w14:paraId="1A278DFE" w14:textId="0846EA6C" w:rsidR="00B63C1D" w:rsidRPr="00180F06" w:rsidRDefault="00B63C1D" w:rsidP="00F531CF">
            <w:pPr>
              <w:pStyle w:val="Body"/>
              <w:rPr>
                <w:rFonts w:cs="Arial"/>
                <w:szCs w:val="21"/>
              </w:rPr>
            </w:pPr>
            <w:r w:rsidRPr="00180F06">
              <w:rPr>
                <w:rFonts w:cs="Arial"/>
                <w:szCs w:val="21"/>
              </w:rPr>
              <w:t>Castlemaine Health</w:t>
            </w:r>
          </w:p>
        </w:tc>
        <w:tc>
          <w:tcPr>
            <w:tcW w:w="4644" w:type="dxa"/>
          </w:tcPr>
          <w:p w14:paraId="7A7F127A" w14:textId="3EA2E7B8" w:rsidR="00B63C1D" w:rsidRPr="00180F06" w:rsidRDefault="00B63C1D" w:rsidP="00F531CF">
            <w:pPr>
              <w:pStyle w:val="Body"/>
              <w:rPr>
                <w:rFonts w:cs="Arial"/>
              </w:rPr>
            </w:pPr>
            <w:r w:rsidRPr="216FDCD5">
              <w:rPr>
                <w:rFonts w:cs="Arial"/>
              </w:rPr>
              <w:t>Dhelkaya Health (Castlemaine campus)</w:t>
            </w:r>
          </w:p>
        </w:tc>
      </w:tr>
      <w:tr w:rsidR="008C5BF0" w:rsidRPr="00AF012D" w14:paraId="33E8C055" w14:textId="77777777" w:rsidTr="00B63C1D">
        <w:tc>
          <w:tcPr>
            <w:tcW w:w="4644" w:type="dxa"/>
          </w:tcPr>
          <w:p w14:paraId="0326B3EC" w14:textId="7A5235C9" w:rsidR="008C5BF0" w:rsidRPr="00180F06" w:rsidRDefault="00A12E18" w:rsidP="00F531CF">
            <w:pPr>
              <w:pStyle w:val="Body"/>
              <w:rPr>
                <w:rFonts w:cs="Arial"/>
                <w:szCs w:val="21"/>
              </w:rPr>
            </w:pPr>
            <w:r w:rsidRPr="00180F06">
              <w:rPr>
                <w:rFonts w:cs="Arial"/>
                <w:szCs w:val="21"/>
              </w:rPr>
              <w:t>Hepburn Health Service (Creswick campus)</w:t>
            </w:r>
          </w:p>
        </w:tc>
        <w:tc>
          <w:tcPr>
            <w:tcW w:w="4644" w:type="dxa"/>
          </w:tcPr>
          <w:p w14:paraId="7ED10639" w14:textId="55813927" w:rsidR="008C5BF0" w:rsidRPr="00180F06" w:rsidRDefault="008C5BF0" w:rsidP="00F531CF">
            <w:pPr>
              <w:pStyle w:val="Body"/>
              <w:rPr>
                <w:rFonts w:cs="Arial"/>
                <w:szCs w:val="21"/>
              </w:rPr>
            </w:pPr>
            <w:r w:rsidRPr="00180F06">
              <w:rPr>
                <w:rFonts w:cs="Arial"/>
                <w:szCs w:val="21"/>
              </w:rPr>
              <w:t>Central Highlands Rural Health (Creswick campus)</w:t>
            </w:r>
          </w:p>
        </w:tc>
      </w:tr>
      <w:tr w:rsidR="008C5BF0" w:rsidRPr="00AF012D" w14:paraId="71744A8C" w14:textId="77777777" w:rsidTr="00B63C1D">
        <w:tc>
          <w:tcPr>
            <w:tcW w:w="4644" w:type="dxa"/>
          </w:tcPr>
          <w:p w14:paraId="03273E98" w14:textId="6C5AD504" w:rsidR="008C5BF0" w:rsidRPr="00180F06" w:rsidRDefault="00A12E18" w:rsidP="00F531CF">
            <w:pPr>
              <w:pStyle w:val="Body"/>
              <w:rPr>
                <w:rFonts w:cs="Arial"/>
                <w:szCs w:val="21"/>
              </w:rPr>
            </w:pPr>
            <w:r w:rsidRPr="00180F06">
              <w:rPr>
                <w:rFonts w:cs="Arial"/>
                <w:szCs w:val="21"/>
              </w:rPr>
              <w:t>Hepburn Health Service (Daylesford campus)</w:t>
            </w:r>
          </w:p>
        </w:tc>
        <w:tc>
          <w:tcPr>
            <w:tcW w:w="4644" w:type="dxa"/>
          </w:tcPr>
          <w:p w14:paraId="13990C29" w14:textId="597A7E89" w:rsidR="008C5BF0" w:rsidRPr="00180F06" w:rsidRDefault="008C5BF0" w:rsidP="00F531CF">
            <w:pPr>
              <w:pStyle w:val="Body"/>
              <w:rPr>
                <w:rFonts w:cs="Arial"/>
                <w:szCs w:val="21"/>
              </w:rPr>
            </w:pPr>
            <w:r w:rsidRPr="00180F06">
              <w:rPr>
                <w:rFonts w:cs="Arial"/>
                <w:szCs w:val="21"/>
              </w:rPr>
              <w:t>Central Highlands Rural Health (Daylesford campus)</w:t>
            </w:r>
          </w:p>
        </w:tc>
      </w:tr>
      <w:tr w:rsidR="008C5BF0" w:rsidRPr="00AF012D" w14:paraId="035A11C8" w14:textId="77777777" w:rsidTr="00B63C1D">
        <w:tc>
          <w:tcPr>
            <w:tcW w:w="4644" w:type="dxa"/>
          </w:tcPr>
          <w:p w14:paraId="155CE2E9" w14:textId="085DFA25" w:rsidR="008C5BF0" w:rsidRPr="00180F06" w:rsidRDefault="008C5BF0" w:rsidP="00F531CF">
            <w:pPr>
              <w:pStyle w:val="Body"/>
              <w:rPr>
                <w:rFonts w:cs="Arial"/>
                <w:szCs w:val="21"/>
              </w:rPr>
            </w:pPr>
            <w:r w:rsidRPr="00180F06">
              <w:rPr>
                <w:rFonts w:cs="Arial"/>
                <w:szCs w:val="21"/>
              </w:rPr>
              <w:t>Cobram District Health</w:t>
            </w:r>
          </w:p>
        </w:tc>
        <w:tc>
          <w:tcPr>
            <w:tcW w:w="4644" w:type="dxa"/>
          </w:tcPr>
          <w:p w14:paraId="2779B679" w14:textId="23EACA49" w:rsidR="008C5BF0" w:rsidRPr="00180F06" w:rsidRDefault="009D6990" w:rsidP="00F531CF">
            <w:pPr>
              <w:pStyle w:val="Body"/>
              <w:rPr>
                <w:rFonts w:eastAsia="Arial" w:cs="Arial"/>
                <w:szCs w:val="21"/>
              </w:rPr>
            </w:pPr>
            <w:r w:rsidRPr="00180F06">
              <w:rPr>
                <w:rFonts w:eastAsia="Arial" w:cs="Arial"/>
                <w:szCs w:val="21"/>
              </w:rPr>
              <w:t>NCN Health (Cobram campus)</w:t>
            </w:r>
          </w:p>
        </w:tc>
      </w:tr>
      <w:tr w:rsidR="008C5BF0" w:rsidRPr="00AF012D" w14:paraId="3D5596E4" w14:textId="77777777" w:rsidTr="00B63C1D">
        <w:tc>
          <w:tcPr>
            <w:tcW w:w="4644" w:type="dxa"/>
          </w:tcPr>
          <w:p w14:paraId="3168E69F" w14:textId="1DB52BAE" w:rsidR="008C5BF0" w:rsidRPr="00180F06" w:rsidRDefault="008C5BF0" w:rsidP="00F531CF">
            <w:pPr>
              <w:pStyle w:val="Body"/>
              <w:rPr>
                <w:rFonts w:cs="Arial"/>
              </w:rPr>
            </w:pPr>
            <w:r w:rsidRPr="216FDCD5">
              <w:rPr>
                <w:rFonts w:cs="Arial"/>
              </w:rPr>
              <w:lastRenderedPageBreak/>
              <w:t>Djerriwarrh Health Services</w:t>
            </w:r>
          </w:p>
        </w:tc>
        <w:tc>
          <w:tcPr>
            <w:tcW w:w="4644" w:type="dxa"/>
          </w:tcPr>
          <w:p w14:paraId="206427BF" w14:textId="4EE68872" w:rsidR="008C5BF0" w:rsidRPr="00180F06" w:rsidRDefault="00FD713E" w:rsidP="00F531CF">
            <w:pPr>
              <w:pStyle w:val="Body"/>
              <w:rPr>
                <w:rFonts w:cs="Arial"/>
                <w:szCs w:val="21"/>
              </w:rPr>
            </w:pPr>
            <w:r w:rsidRPr="00180F06">
              <w:rPr>
                <w:rFonts w:cs="Arial"/>
                <w:szCs w:val="21"/>
              </w:rPr>
              <w:t>Bacchus Marsh Hospital</w:t>
            </w:r>
          </w:p>
        </w:tc>
      </w:tr>
      <w:tr w:rsidR="008C5BF0" w:rsidRPr="00AF012D" w14:paraId="39E4FCA4" w14:textId="77777777" w:rsidTr="00B63C1D">
        <w:tc>
          <w:tcPr>
            <w:tcW w:w="4644" w:type="dxa"/>
          </w:tcPr>
          <w:p w14:paraId="178A6DC4" w14:textId="64E742CA" w:rsidR="008C5BF0" w:rsidRPr="00180F06" w:rsidRDefault="008E7DC9" w:rsidP="00F531CF">
            <w:pPr>
              <w:pStyle w:val="Body"/>
              <w:rPr>
                <w:rFonts w:cs="Arial"/>
                <w:szCs w:val="21"/>
              </w:rPr>
            </w:pPr>
            <w:r w:rsidRPr="00180F06">
              <w:rPr>
                <w:rFonts w:cs="Arial"/>
                <w:szCs w:val="21"/>
              </w:rPr>
              <w:t>Castlemaine Health</w:t>
            </w:r>
            <w:r w:rsidRPr="00180F06">
              <w:rPr>
                <w:rFonts w:cs="Arial"/>
                <w:szCs w:val="21"/>
              </w:rPr>
              <w:tab/>
            </w:r>
          </w:p>
        </w:tc>
        <w:tc>
          <w:tcPr>
            <w:tcW w:w="4644" w:type="dxa"/>
          </w:tcPr>
          <w:p w14:paraId="34A1AFE0" w14:textId="5913C41D" w:rsidR="008C5BF0" w:rsidRPr="00180F06" w:rsidRDefault="008C5BF0" w:rsidP="00F531CF">
            <w:pPr>
              <w:pStyle w:val="Body"/>
              <w:rPr>
                <w:rFonts w:cs="Arial"/>
              </w:rPr>
            </w:pPr>
            <w:r w:rsidRPr="216FDCD5">
              <w:rPr>
                <w:rFonts w:cs="Arial"/>
              </w:rPr>
              <w:t>Dhelkaya Health (Castlemaine campus)</w:t>
            </w:r>
          </w:p>
        </w:tc>
      </w:tr>
      <w:tr w:rsidR="008C5BF0" w:rsidRPr="00AF012D" w14:paraId="3453966B" w14:textId="77777777" w:rsidTr="00B63C1D">
        <w:tc>
          <w:tcPr>
            <w:tcW w:w="4644" w:type="dxa"/>
          </w:tcPr>
          <w:p w14:paraId="20BCF85F" w14:textId="48796A4D" w:rsidR="008C5BF0" w:rsidRPr="00180F06" w:rsidRDefault="00A12E18" w:rsidP="00F531CF">
            <w:pPr>
              <w:pStyle w:val="Body"/>
              <w:rPr>
                <w:rFonts w:cs="Arial"/>
                <w:szCs w:val="21"/>
              </w:rPr>
            </w:pPr>
            <w:r w:rsidRPr="00180F06">
              <w:rPr>
                <w:rFonts w:cs="Arial"/>
                <w:szCs w:val="21"/>
              </w:rPr>
              <w:t>Maldon Hospital</w:t>
            </w:r>
          </w:p>
        </w:tc>
        <w:tc>
          <w:tcPr>
            <w:tcW w:w="4644" w:type="dxa"/>
          </w:tcPr>
          <w:p w14:paraId="0C91115B" w14:textId="4F09BD57" w:rsidR="008C5BF0" w:rsidRPr="00180F06" w:rsidRDefault="008C5BF0" w:rsidP="00F531CF">
            <w:pPr>
              <w:pStyle w:val="Body"/>
              <w:rPr>
                <w:rFonts w:cs="Arial"/>
              </w:rPr>
            </w:pPr>
            <w:r w:rsidRPr="216FDCD5">
              <w:rPr>
                <w:rFonts w:cs="Arial"/>
              </w:rPr>
              <w:t>Dhelkaya Health (Maldon Hospital)</w:t>
            </w:r>
          </w:p>
        </w:tc>
      </w:tr>
      <w:tr w:rsidR="008C5BF0" w:rsidRPr="00AF012D" w14:paraId="04A1641B" w14:textId="77777777" w:rsidTr="00B63C1D">
        <w:tc>
          <w:tcPr>
            <w:tcW w:w="4644" w:type="dxa"/>
          </w:tcPr>
          <w:p w14:paraId="23AD9152" w14:textId="59F65698" w:rsidR="008C5BF0" w:rsidRPr="00180F06" w:rsidRDefault="0052229E" w:rsidP="00F531CF">
            <w:pPr>
              <w:pStyle w:val="Body"/>
              <w:rPr>
                <w:rFonts w:cs="Arial"/>
                <w:szCs w:val="21"/>
              </w:rPr>
            </w:pPr>
            <w:r w:rsidRPr="00180F06">
              <w:rPr>
                <w:rFonts w:cs="Arial"/>
                <w:szCs w:val="21"/>
              </w:rPr>
              <w:t>Edenhope and District Memorial Hospital</w:t>
            </w:r>
          </w:p>
        </w:tc>
        <w:tc>
          <w:tcPr>
            <w:tcW w:w="4644" w:type="dxa"/>
          </w:tcPr>
          <w:p w14:paraId="54ACCF81" w14:textId="381CC0DF" w:rsidR="008C5BF0" w:rsidRPr="00180F06" w:rsidRDefault="0052229E" w:rsidP="00F531CF">
            <w:pPr>
              <w:pStyle w:val="Body"/>
              <w:rPr>
                <w:rFonts w:cs="Arial"/>
                <w:szCs w:val="21"/>
              </w:rPr>
            </w:pPr>
            <w:r w:rsidRPr="00180F06">
              <w:rPr>
                <w:rFonts w:cs="Arial"/>
                <w:szCs w:val="21"/>
              </w:rPr>
              <w:t xml:space="preserve">Grampians Health (Edenhope and District Memorial Hospital) </w:t>
            </w:r>
          </w:p>
        </w:tc>
      </w:tr>
      <w:tr w:rsidR="008C5BF0" w:rsidRPr="00AF012D" w14:paraId="53A3F5A7" w14:textId="77777777" w:rsidTr="00B63C1D">
        <w:tc>
          <w:tcPr>
            <w:tcW w:w="4644" w:type="dxa"/>
          </w:tcPr>
          <w:p w14:paraId="628ECA9A" w14:textId="35A93FCD" w:rsidR="008C5BF0" w:rsidRPr="00180F06" w:rsidRDefault="00E3632C" w:rsidP="00F531CF">
            <w:pPr>
              <w:pStyle w:val="Body"/>
              <w:rPr>
                <w:rFonts w:cs="Arial"/>
                <w:szCs w:val="21"/>
              </w:rPr>
            </w:pPr>
            <w:r w:rsidRPr="00180F06">
              <w:rPr>
                <w:rFonts w:cs="Arial"/>
                <w:szCs w:val="21"/>
              </w:rPr>
              <w:t>Stawell Regional Health</w:t>
            </w:r>
          </w:p>
        </w:tc>
        <w:tc>
          <w:tcPr>
            <w:tcW w:w="4644" w:type="dxa"/>
          </w:tcPr>
          <w:p w14:paraId="14305C2E" w14:textId="77777777" w:rsidR="00B549ED" w:rsidRPr="00180F06" w:rsidRDefault="00B549ED" w:rsidP="00F531CF">
            <w:pPr>
              <w:pStyle w:val="Body"/>
              <w:rPr>
                <w:rFonts w:cs="Arial"/>
                <w:szCs w:val="21"/>
              </w:rPr>
            </w:pPr>
            <w:r w:rsidRPr="00180F06">
              <w:rPr>
                <w:rFonts w:cs="Arial"/>
                <w:szCs w:val="21"/>
              </w:rPr>
              <w:t xml:space="preserve">Grampians Health (Stawell Regional Health) </w:t>
            </w:r>
          </w:p>
          <w:p w14:paraId="1AFF6A76" w14:textId="77777777" w:rsidR="008C5BF0" w:rsidRPr="00180F06" w:rsidRDefault="008C5BF0" w:rsidP="00F531CF">
            <w:pPr>
              <w:pStyle w:val="Body"/>
              <w:rPr>
                <w:rFonts w:cs="Arial"/>
                <w:szCs w:val="21"/>
              </w:rPr>
            </w:pPr>
          </w:p>
        </w:tc>
      </w:tr>
      <w:tr w:rsidR="008C5BF0" w:rsidRPr="00AF012D" w14:paraId="07DD59DD" w14:textId="77777777" w:rsidTr="00B63C1D">
        <w:tc>
          <w:tcPr>
            <w:tcW w:w="4644" w:type="dxa"/>
          </w:tcPr>
          <w:p w14:paraId="5129D028" w14:textId="30B429A5" w:rsidR="008C5BF0" w:rsidRPr="00180F06" w:rsidRDefault="00A12E18" w:rsidP="00F531CF">
            <w:pPr>
              <w:pStyle w:val="Body"/>
              <w:rPr>
                <w:rFonts w:cs="Arial"/>
                <w:szCs w:val="21"/>
              </w:rPr>
            </w:pPr>
            <w:r w:rsidRPr="00180F06">
              <w:rPr>
                <w:rFonts w:cs="Arial"/>
                <w:szCs w:val="21"/>
              </w:rPr>
              <w:t>Lorne Community Hospital</w:t>
            </w:r>
          </w:p>
        </w:tc>
        <w:tc>
          <w:tcPr>
            <w:tcW w:w="4644" w:type="dxa"/>
          </w:tcPr>
          <w:p w14:paraId="4C2378C7" w14:textId="63F27241" w:rsidR="008C5BF0" w:rsidRPr="00180F06" w:rsidRDefault="00B549ED" w:rsidP="00F531CF">
            <w:pPr>
              <w:pStyle w:val="Body"/>
              <w:rPr>
                <w:rFonts w:cs="Arial"/>
                <w:szCs w:val="21"/>
              </w:rPr>
            </w:pPr>
            <w:r w:rsidRPr="00180F06">
              <w:rPr>
                <w:rFonts w:cs="Arial"/>
                <w:szCs w:val="21"/>
              </w:rPr>
              <w:t xml:space="preserve">Great Ocean Road Health (Lorne Community Hospital) </w:t>
            </w:r>
          </w:p>
        </w:tc>
      </w:tr>
      <w:tr w:rsidR="008C5BF0" w:rsidRPr="00AF012D" w14:paraId="5732FB11" w14:textId="77777777" w:rsidTr="00B63C1D">
        <w:tc>
          <w:tcPr>
            <w:tcW w:w="4644" w:type="dxa"/>
          </w:tcPr>
          <w:p w14:paraId="51CD3885" w14:textId="2F331333" w:rsidR="008C5BF0" w:rsidRPr="00180F06" w:rsidRDefault="00E3632C" w:rsidP="00F531CF">
            <w:pPr>
              <w:pStyle w:val="Body"/>
              <w:rPr>
                <w:rFonts w:cs="Arial"/>
                <w:szCs w:val="21"/>
              </w:rPr>
            </w:pPr>
            <w:r w:rsidRPr="00180F06">
              <w:rPr>
                <w:rFonts w:cs="Arial"/>
                <w:szCs w:val="21"/>
              </w:rPr>
              <w:t>Otway Health</w:t>
            </w:r>
          </w:p>
        </w:tc>
        <w:tc>
          <w:tcPr>
            <w:tcW w:w="4644" w:type="dxa"/>
          </w:tcPr>
          <w:p w14:paraId="48FE19DC" w14:textId="709688D2" w:rsidR="008C5BF0" w:rsidRPr="00180F06" w:rsidRDefault="00F07A44" w:rsidP="00F531CF">
            <w:pPr>
              <w:pStyle w:val="Body"/>
              <w:rPr>
                <w:rFonts w:cs="Arial"/>
                <w:szCs w:val="21"/>
              </w:rPr>
            </w:pPr>
            <w:r w:rsidRPr="00180F06">
              <w:rPr>
                <w:rFonts w:cs="Arial"/>
                <w:szCs w:val="21"/>
              </w:rPr>
              <w:t>Great Ocean Road Health (Otway campus)</w:t>
            </w:r>
          </w:p>
        </w:tc>
      </w:tr>
      <w:tr w:rsidR="008C5BF0" w:rsidRPr="00AF012D" w14:paraId="78BD9F2D" w14:textId="77777777" w:rsidTr="00B63C1D">
        <w:tc>
          <w:tcPr>
            <w:tcW w:w="4644" w:type="dxa"/>
          </w:tcPr>
          <w:p w14:paraId="22F5FC5C" w14:textId="6116425E" w:rsidR="008C5BF0" w:rsidRPr="00180F06" w:rsidRDefault="00E3632C" w:rsidP="00F531CF">
            <w:pPr>
              <w:pStyle w:val="Body"/>
              <w:rPr>
                <w:rFonts w:cs="Arial"/>
                <w:szCs w:val="21"/>
              </w:rPr>
            </w:pPr>
            <w:r w:rsidRPr="00180F06">
              <w:rPr>
                <w:rFonts w:cs="Arial"/>
                <w:szCs w:val="21"/>
              </w:rPr>
              <w:t>Nathalia District Hospital</w:t>
            </w:r>
          </w:p>
        </w:tc>
        <w:tc>
          <w:tcPr>
            <w:tcW w:w="4644" w:type="dxa"/>
          </w:tcPr>
          <w:p w14:paraId="51DF25E5" w14:textId="1B49CA95" w:rsidR="008C5BF0" w:rsidRPr="00180F06" w:rsidRDefault="00E3632C" w:rsidP="00F531CF">
            <w:pPr>
              <w:pStyle w:val="Body"/>
              <w:rPr>
                <w:rFonts w:cs="Arial"/>
                <w:szCs w:val="21"/>
              </w:rPr>
            </w:pPr>
            <w:r w:rsidRPr="00180F06">
              <w:rPr>
                <w:rFonts w:cs="Arial"/>
                <w:szCs w:val="21"/>
              </w:rPr>
              <w:t>NCN Health (Nathalia District Hospital)</w:t>
            </w:r>
          </w:p>
        </w:tc>
      </w:tr>
      <w:tr w:rsidR="008C5BF0" w:rsidRPr="00AF012D" w14:paraId="58E4B045" w14:textId="77777777" w:rsidTr="00B63C1D">
        <w:tc>
          <w:tcPr>
            <w:tcW w:w="4644" w:type="dxa"/>
          </w:tcPr>
          <w:p w14:paraId="1D906B26" w14:textId="3AD98F11" w:rsidR="008C5BF0" w:rsidRPr="00180F06" w:rsidRDefault="00E3632C" w:rsidP="00F531CF">
            <w:pPr>
              <w:pStyle w:val="Body"/>
              <w:rPr>
                <w:rFonts w:cs="Arial"/>
                <w:szCs w:val="21"/>
              </w:rPr>
            </w:pPr>
            <w:r w:rsidRPr="00180F06">
              <w:rPr>
                <w:rFonts w:cs="Arial"/>
                <w:szCs w:val="21"/>
              </w:rPr>
              <w:t>Numurkah and District Health Services</w:t>
            </w:r>
          </w:p>
        </w:tc>
        <w:tc>
          <w:tcPr>
            <w:tcW w:w="4644" w:type="dxa"/>
          </w:tcPr>
          <w:p w14:paraId="486B5690" w14:textId="09288F98" w:rsidR="008C5BF0" w:rsidRPr="00180F06" w:rsidRDefault="00B743F2" w:rsidP="00F531CF">
            <w:pPr>
              <w:pStyle w:val="Body"/>
              <w:rPr>
                <w:rFonts w:cs="Arial"/>
                <w:szCs w:val="21"/>
              </w:rPr>
            </w:pPr>
            <w:r w:rsidRPr="00180F06">
              <w:rPr>
                <w:rFonts w:cs="Arial"/>
                <w:szCs w:val="21"/>
              </w:rPr>
              <w:t>NCN Health (Numurkah campus)</w:t>
            </w:r>
          </w:p>
        </w:tc>
      </w:tr>
      <w:tr w:rsidR="00911285" w:rsidRPr="00AF012D" w14:paraId="3DE57EFD" w14:textId="77777777" w:rsidTr="00B63C1D">
        <w:tc>
          <w:tcPr>
            <w:tcW w:w="4644" w:type="dxa"/>
          </w:tcPr>
          <w:p w14:paraId="09601E79" w14:textId="58244AF5" w:rsidR="00911285" w:rsidRPr="00180F06" w:rsidRDefault="00147B23" w:rsidP="00F531CF">
            <w:pPr>
              <w:pStyle w:val="Body"/>
              <w:rPr>
                <w:rFonts w:cs="Arial"/>
                <w:szCs w:val="21"/>
              </w:rPr>
            </w:pPr>
            <w:r w:rsidRPr="00180F06">
              <w:rPr>
                <w:rFonts w:eastAsia="Arial" w:cs="Arial"/>
                <w:szCs w:val="21"/>
              </w:rPr>
              <w:t>Wimmera Health Care Group (Dimboola campus)</w:t>
            </w:r>
          </w:p>
        </w:tc>
        <w:tc>
          <w:tcPr>
            <w:tcW w:w="4644" w:type="dxa"/>
          </w:tcPr>
          <w:p w14:paraId="67BEB5F0" w14:textId="77777777" w:rsidR="0035212D" w:rsidRPr="00180F06" w:rsidRDefault="0035212D" w:rsidP="00F531CF">
            <w:pPr>
              <w:pStyle w:val="Body"/>
              <w:rPr>
                <w:rFonts w:eastAsia="Arial" w:cs="Arial"/>
                <w:szCs w:val="21"/>
              </w:rPr>
            </w:pPr>
            <w:r w:rsidRPr="00180F06">
              <w:rPr>
                <w:rFonts w:eastAsia="Arial" w:cs="Arial"/>
                <w:szCs w:val="21"/>
              </w:rPr>
              <w:t xml:space="preserve">Grampians Health (Dimboola District Hospital)   </w:t>
            </w:r>
          </w:p>
          <w:p w14:paraId="477DBDC1" w14:textId="77777777" w:rsidR="00911285" w:rsidRPr="00180F06" w:rsidRDefault="00911285" w:rsidP="00F531CF">
            <w:pPr>
              <w:pStyle w:val="Body"/>
              <w:rPr>
                <w:rFonts w:cs="Arial"/>
                <w:szCs w:val="21"/>
              </w:rPr>
            </w:pPr>
          </w:p>
        </w:tc>
      </w:tr>
      <w:tr w:rsidR="007E20AE" w:rsidRPr="00AF012D" w14:paraId="6CB2A545" w14:textId="77777777" w:rsidTr="00B63C1D">
        <w:tc>
          <w:tcPr>
            <w:tcW w:w="4644" w:type="dxa"/>
          </w:tcPr>
          <w:p w14:paraId="011B3AD9" w14:textId="1E34954D" w:rsidR="007E20AE" w:rsidRPr="00180F06" w:rsidRDefault="00A007DA" w:rsidP="00F531CF">
            <w:pPr>
              <w:pStyle w:val="Body"/>
              <w:rPr>
                <w:rFonts w:eastAsia="Arial" w:cs="Arial"/>
                <w:szCs w:val="21"/>
              </w:rPr>
            </w:pPr>
            <w:r w:rsidRPr="00180F06">
              <w:rPr>
                <w:rFonts w:eastAsia="Arial" w:cs="Arial"/>
                <w:szCs w:val="21"/>
              </w:rPr>
              <w:t>Wimmera Health Care Group (Horsham campus)</w:t>
            </w:r>
          </w:p>
        </w:tc>
        <w:tc>
          <w:tcPr>
            <w:tcW w:w="4644" w:type="dxa"/>
          </w:tcPr>
          <w:p w14:paraId="54BF28A8" w14:textId="77777777" w:rsidR="00750C69" w:rsidRPr="00180F06" w:rsidRDefault="00750C69" w:rsidP="00F531CF">
            <w:pPr>
              <w:pStyle w:val="Body"/>
              <w:rPr>
                <w:rFonts w:cs="Arial"/>
                <w:szCs w:val="21"/>
              </w:rPr>
            </w:pPr>
            <w:r w:rsidRPr="00180F06">
              <w:rPr>
                <w:rFonts w:cs="Arial"/>
                <w:szCs w:val="21"/>
              </w:rPr>
              <w:t>Grampians Health (Wimmera Base Hospital)</w:t>
            </w:r>
          </w:p>
          <w:p w14:paraId="0CAD3ABA" w14:textId="77777777" w:rsidR="007E20AE" w:rsidRPr="00180F06" w:rsidRDefault="007E20AE" w:rsidP="00F531CF">
            <w:pPr>
              <w:pStyle w:val="Body"/>
              <w:rPr>
                <w:rFonts w:eastAsia="Arial" w:cs="Arial"/>
                <w:szCs w:val="21"/>
              </w:rPr>
            </w:pPr>
          </w:p>
        </w:tc>
      </w:tr>
    </w:tbl>
    <w:p w14:paraId="1E5682C1" w14:textId="77777777" w:rsidR="00B63C1D" w:rsidRPr="00AF012D" w:rsidRDefault="00B63C1D" w:rsidP="00AB435F">
      <w:pPr>
        <w:overflowPunct w:val="0"/>
        <w:autoSpaceDE w:val="0"/>
        <w:autoSpaceDN w:val="0"/>
        <w:adjustRightInd w:val="0"/>
        <w:spacing w:before="60" w:after="60" w:line="240" w:lineRule="auto"/>
        <w:jc w:val="both"/>
        <w:textAlignment w:val="baseline"/>
        <w:rPr>
          <w:rFonts w:cs="Arial"/>
          <w:szCs w:val="21"/>
        </w:rPr>
      </w:pPr>
    </w:p>
    <w:p w14:paraId="5BC96C77" w14:textId="77777777" w:rsidR="00DA5F5B" w:rsidRPr="004C423A" w:rsidRDefault="00DA5F5B" w:rsidP="00DA5F5B">
      <w:pPr>
        <w:pStyle w:val="Heading2"/>
      </w:pPr>
      <w:bookmarkStart w:id="28" w:name="_Toc194310957"/>
      <w:r w:rsidRPr="004C423A">
        <w:rPr>
          <w:bCs/>
        </w:rPr>
        <w:t>Schedule 3—Categories of hospitals for emergency department ratios</w:t>
      </w:r>
      <w:bookmarkEnd w:id="28"/>
      <w:r w:rsidRPr="004C423A">
        <w:rPr>
          <w:bCs/>
        </w:rPr>
        <w:t xml:space="preserve"> </w:t>
      </w:r>
    </w:p>
    <w:p w14:paraId="40EC6C7D" w14:textId="27A2AA2D" w:rsidR="0028514C" w:rsidRPr="00162670" w:rsidRDefault="00D522BE" w:rsidP="00162670">
      <w:pPr>
        <w:pStyle w:val="Heading3"/>
      </w:pPr>
      <w:r>
        <w:t xml:space="preserve">Part 1 of </w:t>
      </w:r>
      <w:r w:rsidRPr="00AB435F">
        <w:t xml:space="preserve">Schedule </w:t>
      </w:r>
      <w:r>
        <w:t>3</w:t>
      </w:r>
      <w:r w:rsidRPr="00AB435F">
        <w:t xml:space="preserve"> to the Principal Act </w:t>
      </w:r>
    </w:p>
    <w:tbl>
      <w:tblPr>
        <w:tblStyle w:val="TableGrid"/>
        <w:tblW w:w="0" w:type="auto"/>
        <w:tblLook w:val="04A0" w:firstRow="1" w:lastRow="0" w:firstColumn="1" w:lastColumn="0" w:noHBand="0" w:noVBand="1"/>
      </w:tblPr>
      <w:tblGrid>
        <w:gridCol w:w="4644"/>
        <w:gridCol w:w="4644"/>
      </w:tblGrid>
      <w:tr w:rsidR="0028514C" w:rsidRPr="00AF012D" w14:paraId="57601A08" w14:textId="77777777" w:rsidTr="00180F06">
        <w:tc>
          <w:tcPr>
            <w:tcW w:w="4644" w:type="dxa"/>
            <w:shd w:val="clear" w:color="auto" w:fill="002060"/>
          </w:tcPr>
          <w:p w14:paraId="3FD027B8" w14:textId="77777777" w:rsidR="0028514C" w:rsidRPr="00180F06" w:rsidRDefault="0028514C">
            <w:pPr>
              <w:overflowPunct w:val="0"/>
              <w:autoSpaceDE w:val="0"/>
              <w:autoSpaceDN w:val="0"/>
              <w:adjustRightInd w:val="0"/>
              <w:spacing w:before="60" w:after="60" w:line="240" w:lineRule="auto"/>
              <w:jc w:val="both"/>
              <w:textAlignment w:val="baseline"/>
              <w:rPr>
                <w:rFonts w:cs="Arial"/>
                <w:b/>
                <w:bCs/>
                <w:color w:val="FFFFFF" w:themeColor="background1"/>
                <w:szCs w:val="21"/>
              </w:rPr>
            </w:pPr>
            <w:r w:rsidRPr="00180F06">
              <w:rPr>
                <w:rFonts w:cs="Arial"/>
                <w:b/>
                <w:bCs/>
                <w:color w:val="FFFFFF" w:themeColor="background1"/>
                <w:szCs w:val="21"/>
              </w:rPr>
              <w:t>Hospital name – pre update</w:t>
            </w:r>
          </w:p>
        </w:tc>
        <w:tc>
          <w:tcPr>
            <w:tcW w:w="4644" w:type="dxa"/>
            <w:shd w:val="clear" w:color="auto" w:fill="002060"/>
          </w:tcPr>
          <w:p w14:paraId="2F908C38" w14:textId="77777777" w:rsidR="0028514C" w:rsidRPr="00180F06" w:rsidRDefault="0028514C">
            <w:pPr>
              <w:overflowPunct w:val="0"/>
              <w:autoSpaceDE w:val="0"/>
              <w:autoSpaceDN w:val="0"/>
              <w:adjustRightInd w:val="0"/>
              <w:spacing w:before="60" w:after="60" w:line="240" w:lineRule="auto"/>
              <w:jc w:val="both"/>
              <w:textAlignment w:val="baseline"/>
              <w:rPr>
                <w:rFonts w:cs="Arial"/>
                <w:b/>
                <w:bCs/>
                <w:color w:val="FFFFFF" w:themeColor="background1"/>
                <w:szCs w:val="21"/>
              </w:rPr>
            </w:pPr>
            <w:r w:rsidRPr="00180F06">
              <w:rPr>
                <w:rFonts w:cs="Arial"/>
                <w:b/>
                <w:bCs/>
                <w:color w:val="FFFFFF" w:themeColor="background1"/>
                <w:szCs w:val="21"/>
              </w:rPr>
              <w:t>Hospital name – post update</w:t>
            </w:r>
          </w:p>
        </w:tc>
      </w:tr>
      <w:tr w:rsidR="0028514C" w:rsidRPr="00AF012D" w14:paraId="61A6D61C" w14:textId="77777777">
        <w:tc>
          <w:tcPr>
            <w:tcW w:w="4644" w:type="dxa"/>
          </w:tcPr>
          <w:p w14:paraId="1CD38F02" w14:textId="03939336" w:rsidR="0028514C" w:rsidRPr="00AF012D" w:rsidRDefault="00482797" w:rsidP="00F531CF">
            <w:pPr>
              <w:pStyle w:val="Body"/>
              <w:rPr>
                <w:rFonts w:cs="Arial"/>
                <w:szCs w:val="21"/>
              </w:rPr>
            </w:pPr>
            <w:r w:rsidRPr="004C423A">
              <w:t>Ballarat Base Hospital</w:t>
            </w:r>
          </w:p>
        </w:tc>
        <w:tc>
          <w:tcPr>
            <w:tcW w:w="4644" w:type="dxa"/>
          </w:tcPr>
          <w:p w14:paraId="7B21FAFE" w14:textId="68DFD062" w:rsidR="0028514C" w:rsidRPr="00AF012D" w:rsidRDefault="00482797" w:rsidP="00F531CF">
            <w:pPr>
              <w:pStyle w:val="Body"/>
              <w:rPr>
                <w:rFonts w:cs="Arial"/>
                <w:szCs w:val="21"/>
              </w:rPr>
            </w:pPr>
            <w:r w:rsidRPr="004C423A">
              <w:t>Grampians Health (Ballarat Base Hospital)</w:t>
            </w:r>
          </w:p>
        </w:tc>
      </w:tr>
      <w:tr w:rsidR="0028514C" w:rsidRPr="00AF012D" w14:paraId="3E4A1A4F" w14:textId="77777777">
        <w:tc>
          <w:tcPr>
            <w:tcW w:w="4644" w:type="dxa"/>
          </w:tcPr>
          <w:p w14:paraId="5870E97B" w14:textId="2C7A762F" w:rsidR="0028514C" w:rsidRPr="00AF012D" w:rsidRDefault="00482797" w:rsidP="00F531CF">
            <w:pPr>
              <w:pStyle w:val="Body"/>
              <w:rPr>
                <w:rFonts w:cs="Arial"/>
                <w:szCs w:val="21"/>
              </w:rPr>
            </w:pPr>
            <w:r w:rsidRPr="00482797">
              <w:rPr>
                <w:rFonts w:cs="Arial"/>
                <w:szCs w:val="21"/>
              </w:rPr>
              <w:t>New Mildura Base Hospital</w:t>
            </w:r>
          </w:p>
        </w:tc>
        <w:tc>
          <w:tcPr>
            <w:tcW w:w="4644" w:type="dxa"/>
          </w:tcPr>
          <w:p w14:paraId="7EB9F071" w14:textId="398EABFD" w:rsidR="0028514C" w:rsidRPr="00AF012D" w:rsidRDefault="00482797" w:rsidP="00F531CF">
            <w:pPr>
              <w:pStyle w:val="Body"/>
              <w:rPr>
                <w:rFonts w:cs="Arial"/>
                <w:szCs w:val="21"/>
              </w:rPr>
            </w:pPr>
            <w:r w:rsidRPr="00482797">
              <w:rPr>
                <w:rFonts w:cs="Arial"/>
                <w:szCs w:val="21"/>
              </w:rPr>
              <w:t>Mildura Base Public Hospital</w:t>
            </w:r>
          </w:p>
        </w:tc>
      </w:tr>
    </w:tbl>
    <w:p w14:paraId="17FAE3CB" w14:textId="256C68B7" w:rsidR="00D522BE" w:rsidRDefault="00D522BE" w:rsidP="00D522BE">
      <w:pPr>
        <w:pStyle w:val="Heading3"/>
      </w:pPr>
      <w:r>
        <w:t xml:space="preserve">Part 2 of </w:t>
      </w:r>
      <w:r w:rsidRPr="00AB435F">
        <w:t xml:space="preserve">Schedule </w:t>
      </w:r>
      <w:r>
        <w:t>3</w:t>
      </w:r>
      <w:r w:rsidRPr="00AB435F">
        <w:t xml:space="preserve"> to the Principal Act </w:t>
      </w:r>
    </w:p>
    <w:tbl>
      <w:tblPr>
        <w:tblStyle w:val="TableGrid"/>
        <w:tblW w:w="0" w:type="auto"/>
        <w:tblLook w:val="04A0" w:firstRow="1" w:lastRow="0" w:firstColumn="1" w:lastColumn="0" w:noHBand="0" w:noVBand="1"/>
      </w:tblPr>
      <w:tblGrid>
        <w:gridCol w:w="4644"/>
        <w:gridCol w:w="4644"/>
      </w:tblGrid>
      <w:tr w:rsidR="00D522BE" w:rsidRPr="00AF012D" w14:paraId="4049B9EC" w14:textId="77777777" w:rsidTr="00180F06">
        <w:tc>
          <w:tcPr>
            <w:tcW w:w="4644" w:type="dxa"/>
            <w:shd w:val="clear" w:color="auto" w:fill="002060"/>
          </w:tcPr>
          <w:p w14:paraId="6CD9F9FF" w14:textId="77777777" w:rsidR="00D522BE" w:rsidRPr="00180F06" w:rsidRDefault="00D522BE">
            <w:pPr>
              <w:overflowPunct w:val="0"/>
              <w:autoSpaceDE w:val="0"/>
              <w:autoSpaceDN w:val="0"/>
              <w:adjustRightInd w:val="0"/>
              <w:spacing w:before="60" w:after="60" w:line="240" w:lineRule="auto"/>
              <w:jc w:val="both"/>
              <w:textAlignment w:val="baseline"/>
              <w:rPr>
                <w:rFonts w:cs="Arial"/>
                <w:b/>
                <w:bCs/>
                <w:color w:val="FFFFFF" w:themeColor="background1"/>
                <w:szCs w:val="21"/>
              </w:rPr>
            </w:pPr>
            <w:r w:rsidRPr="00180F06">
              <w:rPr>
                <w:rFonts w:cs="Arial"/>
                <w:b/>
                <w:bCs/>
                <w:color w:val="FFFFFF" w:themeColor="background1"/>
                <w:szCs w:val="21"/>
              </w:rPr>
              <w:t>Hospital name – pre update</w:t>
            </w:r>
          </w:p>
        </w:tc>
        <w:tc>
          <w:tcPr>
            <w:tcW w:w="4644" w:type="dxa"/>
            <w:shd w:val="clear" w:color="auto" w:fill="002060"/>
          </w:tcPr>
          <w:p w14:paraId="0158A1F4" w14:textId="77777777" w:rsidR="00D522BE" w:rsidRPr="00180F06" w:rsidRDefault="00D522BE">
            <w:pPr>
              <w:overflowPunct w:val="0"/>
              <w:autoSpaceDE w:val="0"/>
              <w:autoSpaceDN w:val="0"/>
              <w:adjustRightInd w:val="0"/>
              <w:spacing w:before="60" w:after="60" w:line="240" w:lineRule="auto"/>
              <w:jc w:val="both"/>
              <w:textAlignment w:val="baseline"/>
              <w:rPr>
                <w:rFonts w:cs="Arial"/>
                <w:b/>
                <w:bCs/>
                <w:color w:val="FFFFFF" w:themeColor="background1"/>
                <w:szCs w:val="21"/>
              </w:rPr>
            </w:pPr>
            <w:r w:rsidRPr="00180F06">
              <w:rPr>
                <w:rFonts w:cs="Arial"/>
                <w:b/>
                <w:bCs/>
                <w:color w:val="FFFFFF" w:themeColor="background1"/>
                <w:szCs w:val="21"/>
              </w:rPr>
              <w:t>Hospital name – post update</w:t>
            </w:r>
          </w:p>
        </w:tc>
      </w:tr>
      <w:tr w:rsidR="00D522BE" w:rsidRPr="00AF012D" w14:paraId="0F5129F0" w14:textId="77777777">
        <w:tc>
          <w:tcPr>
            <w:tcW w:w="4644" w:type="dxa"/>
          </w:tcPr>
          <w:p w14:paraId="676E79FC" w14:textId="041883A5" w:rsidR="00D522BE" w:rsidRPr="00AF012D" w:rsidRDefault="00482797" w:rsidP="00F531CF">
            <w:pPr>
              <w:pStyle w:val="Body"/>
            </w:pPr>
            <w:r w:rsidRPr="00482797">
              <w:t>Wimmera</w:t>
            </w:r>
            <w:r w:rsidR="004440B2">
              <w:t xml:space="preserve"> </w:t>
            </w:r>
            <w:r w:rsidR="004440B2" w:rsidRPr="004440B2">
              <w:t>Base Hospital (Horsham campus)</w:t>
            </w:r>
          </w:p>
        </w:tc>
        <w:tc>
          <w:tcPr>
            <w:tcW w:w="4644" w:type="dxa"/>
          </w:tcPr>
          <w:p w14:paraId="144AA964" w14:textId="59B44888" w:rsidR="00D522BE" w:rsidRPr="00AF012D" w:rsidRDefault="00482797" w:rsidP="00F531CF">
            <w:pPr>
              <w:pStyle w:val="Body"/>
            </w:pPr>
            <w:r w:rsidRPr="00482797">
              <w:t>Grampians Health (Wimmera Base Hospital)</w:t>
            </w:r>
          </w:p>
        </w:tc>
      </w:tr>
    </w:tbl>
    <w:p w14:paraId="2F1DEAA9" w14:textId="32DE4B8D" w:rsidR="006A07F0" w:rsidRPr="00995927" w:rsidRDefault="006A07F0" w:rsidP="006A07F0">
      <w:pPr>
        <w:overflowPunct w:val="0"/>
        <w:autoSpaceDE w:val="0"/>
        <w:autoSpaceDN w:val="0"/>
        <w:adjustRightInd w:val="0"/>
        <w:spacing w:before="60" w:after="60" w:line="240" w:lineRule="auto"/>
        <w:jc w:val="both"/>
        <w:textAlignment w:val="baseline"/>
        <w:rPr>
          <w:rFonts w:asciiTheme="minorHAnsi" w:hAnsiTheme="minorHAnsi" w:cstheme="minorBidi"/>
          <w:sz w:val="24"/>
          <w:szCs w:val="24"/>
        </w:rPr>
      </w:pPr>
    </w:p>
    <w:p w14:paraId="17A4FA2A" w14:textId="5307283B" w:rsidR="007600AA" w:rsidRDefault="007600AA">
      <w:pPr>
        <w:spacing w:after="0" w:line="240" w:lineRule="auto"/>
        <w:rPr>
          <w:rFonts w:eastAsia="Times"/>
        </w:rPr>
      </w:pPr>
      <w:r>
        <w:br w:type="page"/>
      </w:r>
    </w:p>
    <w:p w14:paraId="2623DEDE" w14:textId="50FA2111" w:rsidR="007600AA" w:rsidRPr="007600AA" w:rsidRDefault="00292C85" w:rsidP="00483393">
      <w:pPr>
        <w:pStyle w:val="Heading1"/>
        <w:rPr>
          <w:lang w:eastAsia="en-AU"/>
        </w:rPr>
      </w:pPr>
      <w:bookmarkStart w:id="29" w:name="_Appendix_C_–"/>
      <w:bookmarkStart w:id="30" w:name="_Toc194310958"/>
      <w:bookmarkEnd w:id="29"/>
      <w:r>
        <w:lastRenderedPageBreak/>
        <w:t xml:space="preserve">Appendix C </w:t>
      </w:r>
      <w:r w:rsidR="001C6019">
        <w:t>–</w:t>
      </w:r>
      <w:r>
        <w:t xml:space="preserve"> </w:t>
      </w:r>
      <w:r w:rsidR="00BF1990">
        <w:t>Rostering e</w:t>
      </w:r>
      <w:r w:rsidR="00914458" w:rsidRPr="003A6F0E">
        <w:rPr>
          <w:bCs w:val="0"/>
          <w:lang w:eastAsia="en-AU"/>
        </w:rPr>
        <w:t>xample</w:t>
      </w:r>
      <w:r w:rsidR="007600AA" w:rsidRPr="007600AA">
        <w:rPr>
          <w:lang w:eastAsia="en-AU"/>
        </w:rPr>
        <w:t xml:space="preserve"> </w:t>
      </w:r>
      <w:r w:rsidR="00914458">
        <w:rPr>
          <w:lang w:eastAsia="en-AU"/>
        </w:rPr>
        <w:t>application of</w:t>
      </w:r>
      <w:r w:rsidR="007600AA" w:rsidRPr="007600AA">
        <w:rPr>
          <w:lang w:eastAsia="en-AU"/>
        </w:rPr>
        <w:t xml:space="preserve"> </w:t>
      </w:r>
      <w:r w:rsidR="00914458">
        <w:rPr>
          <w:lang w:eastAsia="en-AU"/>
        </w:rPr>
        <w:t>new</w:t>
      </w:r>
      <w:r w:rsidR="007600AA" w:rsidRPr="007600AA">
        <w:rPr>
          <w:lang w:eastAsia="en-AU"/>
        </w:rPr>
        <w:t xml:space="preserve"> nursing and midwifery </w:t>
      </w:r>
      <w:r w:rsidR="00914458">
        <w:rPr>
          <w:lang w:eastAsia="en-AU"/>
        </w:rPr>
        <w:t>ratio</w:t>
      </w:r>
      <w:bookmarkEnd w:id="30"/>
      <w:r w:rsidR="007600AA" w:rsidRPr="007600AA">
        <w:rPr>
          <w:lang w:eastAsia="en-AU"/>
        </w:rPr>
        <w:t xml:space="preserve"> </w:t>
      </w:r>
    </w:p>
    <w:p w14:paraId="04339F19" w14:textId="54B77D75" w:rsidR="00657698" w:rsidRPr="00BF1990" w:rsidRDefault="00657698" w:rsidP="00BF1990">
      <w:pPr>
        <w:pStyle w:val="Heading2"/>
      </w:pPr>
      <w:bookmarkStart w:id="31" w:name="_Toc190097097"/>
      <w:bookmarkStart w:id="32" w:name="_Toc194310959"/>
      <w:r w:rsidRPr="00BF1990">
        <w:t>1:1 staffing in Emergency Department (ED) resuscitation bays in Level 1 hospitals on morning shift</w:t>
      </w:r>
      <w:bookmarkEnd w:id="31"/>
      <w:r w:rsidR="00366A92" w:rsidRPr="00BF1990">
        <w:t xml:space="preserve"> (25% implementation)</w:t>
      </w:r>
      <w:bookmarkEnd w:id="32"/>
    </w:p>
    <w:p w14:paraId="2BC50ADD" w14:textId="77777777" w:rsidR="00657698" w:rsidRPr="002F5E07" w:rsidRDefault="00657698" w:rsidP="00657698">
      <w:pPr>
        <w:pStyle w:val="Heading3"/>
        <w:shd w:val="clear" w:color="auto" w:fill="F2DBDB" w:themeFill="accent2" w:themeFillTint="33"/>
        <w:rPr>
          <w:b/>
          <w:bCs w:val="0"/>
        </w:rPr>
      </w:pPr>
      <w:r w:rsidRPr="002F5E07">
        <w:rPr>
          <w:b/>
          <w:bCs w:val="0"/>
        </w:rPr>
        <w:t>Calculation</w:t>
      </w:r>
    </w:p>
    <w:p w14:paraId="413E7A48" w14:textId="77777777" w:rsidR="00657698" w:rsidRPr="007A2E22" w:rsidRDefault="00657698" w:rsidP="00CC3C81">
      <w:pPr>
        <w:pStyle w:val="Body"/>
        <w:shd w:val="clear" w:color="auto" w:fill="F2DBDB" w:themeFill="accent2" w:themeFillTint="33"/>
      </w:pPr>
      <w:r>
        <w:t>Number of ED resuscitation bays = number of nurses required on morning shift to meet 1:1 ratio</w:t>
      </w:r>
    </w:p>
    <w:p w14:paraId="14E5E643" w14:textId="77777777" w:rsidR="00657698" w:rsidRDefault="00657698" w:rsidP="00CC3C81">
      <w:pPr>
        <w:pStyle w:val="Body"/>
        <w:shd w:val="clear" w:color="auto" w:fill="F2DBDB" w:themeFill="accent2" w:themeFillTint="33"/>
      </w:pPr>
      <w:r>
        <w:t>Number of nurses required on AM shifts in a 4-week period x shift length (e.g., 8 hours) = number of overall morning shift roster hours to meet 1:1 ration in a 4-week period</w:t>
      </w:r>
    </w:p>
    <w:p w14:paraId="6AED903F" w14:textId="06A7AF2D" w:rsidR="00F97A90" w:rsidRDefault="00657698" w:rsidP="00CC3C81">
      <w:pPr>
        <w:pStyle w:val="Body"/>
        <w:shd w:val="clear" w:color="auto" w:fill="F2DBDB" w:themeFill="accent2" w:themeFillTint="33"/>
      </w:pPr>
      <w:r>
        <w:t xml:space="preserve">Number of overall morning shift roster hours to meet 1:1 ratio in a 4-week period x percentage increase divided by 100 = number of hours in the period that must have the 1:1 ratio on AM shift. </w:t>
      </w:r>
    </w:p>
    <w:p w14:paraId="488EFB4D" w14:textId="07306615" w:rsidR="00FC1E50" w:rsidRPr="002F5E07" w:rsidRDefault="00FC1E50" w:rsidP="00064D54">
      <w:pPr>
        <w:pStyle w:val="Heading3"/>
        <w:shd w:val="clear" w:color="auto" w:fill="D6E3BC" w:themeFill="accent3" w:themeFillTint="66"/>
        <w:rPr>
          <w:b/>
          <w:bCs w:val="0"/>
        </w:rPr>
      </w:pPr>
      <w:r w:rsidRPr="002F5E07">
        <w:rPr>
          <w:b/>
          <w:bCs w:val="0"/>
        </w:rPr>
        <w:t>Example</w:t>
      </w:r>
    </w:p>
    <w:p w14:paraId="304B828E" w14:textId="77777777" w:rsidR="00FC1E50" w:rsidRDefault="00FC1E50" w:rsidP="00064D54">
      <w:pPr>
        <w:pStyle w:val="Body"/>
        <w:shd w:val="clear" w:color="auto" w:fill="D6E3BC" w:themeFill="accent3" w:themeFillTint="66"/>
      </w:pPr>
      <w:r>
        <w:t>3 (ED resuscitation bays) x 28 (AM shifts in 4 weeks) = 84 shifts required to meet the 1:1 ratio</w:t>
      </w:r>
    </w:p>
    <w:p w14:paraId="5BDC434C" w14:textId="77777777" w:rsidR="00FC1E50" w:rsidRDefault="00FC1E50" w:rsidP="00064D54">
      <w:pPr>
        <w:pStyle w:val="Body"/>
        <w:shd w:val="clear" w:color="auto" w:fill="D6E3BC" w:themeFill="accent3" w:themeFillTint="66"/>
      </w:pPr>
      <w:r>
        <w:t xml:space="preserve">84 (shifts required to meet the 1:1 ratio) x 8 (shift </w:t>
      </w:r>
      <w:r w:rsidRPr="00054A73">
        <w:t>length in hours) = 672 hours</w:t>
      </w:r>
    </w:p>
    <w:p w14:paraId="5D35D8FC" w14:textId="77777777" w:rsidR="00CC3C81" w:rsidRDefault="00FC1E50" w:rsidP="00064D54">
      <w:pPr>
        <w:pStyle w:val="Body"/>
        <w:shd w:val="clear" w:color="auto" w:fill="D6E3BC" w:themeFill="accent3" w:themeFillTint="66"/>
      </w:pPr>
      <w:r>
        <w:t>672 (Number of overall AM shift hours to be rostered in 4-week period to meet 1:1 ratio) x 25 / 100 = 168 hours.</w:t>
      </w:r>
    </w:p>
    <w:p w14:paraId="78B8A56D" w14:textId="75AE10FD" w:rsidR="00CC3C81" w:rsidRPr="002F5E07" w:rsidRDefault="00CC3C81" w:rsidP="00064D54">
      <w:pPr>
        <w:pStyle w:val="Heading3"/>
        <w:shd w:val="clear" w:color="auto" w:fill="D6E3BC" w:themeFill="accent3" w:themeFillTint="66"/>
        <w:rPr>
          <w:b/>
          <w:bCs w:val="0"/>
        </w:rPr>
      </w:pPr>
      <w:r>
        <w:rPr>
          <w:b/>
          <w:bCs w:val="0"/>
        </w:rPr>
        <w:t>Outcome</w:t>
      </w:r>
    </w:p>
    <w:p w14:paraId="2E56050A" w14:textId="58C87270" w:rsidR="00FC1E50" w:rsidRDefault="00FC1E50" w:rsidP="00064D54">
      <w:pPr>
        <w:pStyle w:val="Body"/>
        <w:shd w:val="clear" w:color="auto" w:fill="D6E3BC" w:themeFill="accent3" w:themeFillTint="66"/>
      </w:pPr>
      <w:r w:rsidRPr="002B72F0">
        <w:t>Using the above example</w:t>
      </w:r>
      <w:r>
        <w:t>, to meet the 25% requirement, 168 hours (or 21 shifts of 8 hours in duration) on the AM shift in every 4-week period must have a 1:1 nurse to resuscitation bay ratio.</w:t>
      </w:r>
    </w:p>
    <w:p w14:paraId="1E9B5941" w14:textId="77777777" w:rsidR="00064D54" w:rsidRDefault="00064D54" w:rsidP="00064D54">
      <w:pPr>
        <w:pStyle w:val="Body"/>
        <w:shd w:val="clear" w:color="auto" w:fill="D6E3BC" w:themeFill="accent3" w:themeFillTint="66"/>
      </w:pPr>
    </w:p>
    <w:p w14:paraId="2383F57B" w14:textId="6E1909A6" w:rsidR="00366A92" w:rsidRDefault="167E3100">
      <w:pPr>
        <w:spacing w:after="0" w:line="240" w:lineRule="auto"/>
        <w:rPr>
          <w:i/>
        </w:rPr>
      </w:pPr>
      <w:r w:rsidRPr="216FDCD5">
        <w:rPr>
          <w:i/>
          <w:iCs/>
        </w:rPr>
        <w:t>Please note this is an example only to demonstrate the application of 25% implementation. It is acknowledged that health services m</w:t>
      </w:r>
      <w:r w:rsidR="7EBF61D8" w:rsidRPr="216FDCD5">
        <w:rPr>
          <w:i/>
          <w:iCs/>
        </w:rPr>
        <w:t xml:space="preserve">ay differ in their rostering approaches. </w:t>
      </w:r>
    </w:p>
    <w:p w14:paraId="14F9786B" w14:textId="77777777" w:rsidR="00FC1E50" w:rsidRDefault="00FC1E50">
      <w:pPr>
        <w:spacing w:after="0" w:line="240" w:lineRule="auto"/>
      </w:pPr>
    </w:p>
    <w:p w14:paraId="30FC5621" w14:textId="77777777" w:rsidR="00914458" w:rsidRDefault="00914458">
      <w:pPr>
        <w:spacing w:after="0" w:line="240" w:lineRule="auto"/>
        <w:rPr>
          <w:rFonts w:eastAsia="Times"/>
        </w:rPr>
      </w:pPr>
    </w:p>
    <w:p w14:paraId="6A0C0DC3" w14:textId="77777777" w:rsidR="002F5E07" w:rsidRDefault="002F5E07">
      <w:pPr>
        <w:spacing w:after="0" w:line="240" w:lineRule="auto"/>
        <w:rPr>
          <w:rFonts w:eastAsia="Times"/>
        </w:rPr>
      </w:pPr>
    </w:p>
    <w:p w14:paraId="4E3CF98C" w14:textId="77777777" w:rsidR="00CC3C81" w:rsidRDefault="00CC3C81">
      <w:pPr>
        <w:spacing w:after="0" w:line="240" w:lineRule="auto"/>
        <w:rPr>
          <w:rFonts w:eastAsia="Times"/>
        </w:rPr>
      </w:pPr>
    </w:p>
    <w:p w14:paraId="26474185" w14:textId="77777777" w:rsidR="00CC3C81" w:rsidRDefault="00CC3C81">
      <w:pPr>
        <w:spacing w:after="0" w:line="240" w:lineRule="auto"/>
        <w:rPr>
          <w:rFonts w:eastAsia="Times"/>
        </w:rPr>
      </w:pPr>
    </w:p>
    <w:p w14:paraId="18F04CEC" w14:textId="64CDAD6F" w:rsidR="002F5E07" w:rsidRDefault="002F5E07">
      <w:pPr>
        <w:spacing w:after="0" w:line="240" w:lineRule="auto"/>
        <w:rPr>
          <w:rFonts w:eastAsia="Times"/>
        </w:rPr>
      </w:pPr>
    </w:p>
    <w:p w14:paraId="7D578D61" w14:textId="77777777" w:rsidR="00196A93" w:rsidRDefault="00196A93">
      <w:pPr>
        <w:spacing w:after="0" w:line="240" w:lineRule="auto"/>
        <w:rPr>
          <w:rFonts w:eastAsia="Times"/>
        </w:rPr>
      </w:pPr>
    </w:p>
    <w:p w14:paraId="49FD9E37" w14:textId="77777777" w:rsidR="00196A93" w:rsidRDefault="00196A93">
      <w:pPr>
        <w:spacing w:after="0" w:line="240" w:lineRule="auto"/>
        <w:rPr>
          <w:rFonts w:eastAsia="Times"/>
        </w:rPr>
      </w:pPr>
    </w:p>
    <w:p w14:paraId="7665911B" w14:textId="77777777" w:rsidR="00196A93" w:rsidRDefault="00196A93">
      <w:pPr>
        <w:spacing w:after="0" w:line="240" w:lineRule="auto"/>
        <w:rPr>
          <w:rFonts w:eastAsia="Times"/>
        </w:rPr>
      </w:pPr>
    </w:p>
    <w:p w14:paraId="00713D53" w14:textId="77777777" w:rsidR="00196A93" w:rsidRDefault="00196A93">
      <w:pPr>
        <w:spacing w:after="0" w:line="240" w:lineRule="auto"/>
        <w:rPr>
          <w:rFonts w:eastAsia="Times"/>
        </w:rPr>
      </w:pPr>
    </w:p>
    <w:p w14:paraId="40B45BA9" w14:textId="77777777" w:rsidR="00196A93" w:rsidRDefault="00196A93">
      <w:pPr>
        <w:spacing w:after="0" w:line="240" w:lineRule="auto"/>
        <w:rPr>
          <w:rFonts w:eastAsia="Times"/>
        </w:rPr>
      </w:pPr>
    </w:p>
    <w:p w14:paraId="551272D8" w14:textId="77777777" w:rsidR="00196A93" w:rsidRDefault="00196A93">
      <w:pPr>
        <w:spacing w:after="0" w:line="240" w:lineRule="auto"/>
        <w:rPr>
          <w:rFonts w:eastAsia="Times"/>
        </w:rPr>
      </w:pPr>
    </w:p>
    <w:p w14:paraId="1744D2C3" w14:textId="15CCBD77" w:rsidR="005D7B72" w:rsidRDefault="005D7B72" w:rsidP="00311511">
      <w:pPr>
        <w:pStyle w:val="Heading1"/>
      </w:pPr>
      <w:bookmarkStart w:id="33" w:name="_Toc194310960"/>
      <w:r>
        <w:lastRenderedPageBreak/>
        <w:t>Appendix D –</w:t>
      </w:r>
      <w:r w:rsidR="00085C5C">
        <w:t xml:space="preserve">Overview of </w:t>
      </w:r>
      <w:r w:rsidR="000E4E53">
        <w:t xml:space="preserve">clauses in the </w:t>
      </w:r>
      <w:r w:rsidR="00564F22">
        <w:t xml:space="preserve">Amendment </w:t>
      </w:r>
      <w:r w:rsidR="00FC0688">
        <w:t>Bill</w:t>
      </w:r>
      <w:r w:rsidR="00564F22">
        <w:t xml:space="preserve"> 2025</w:t>
      </w:r>
      <w:bookmarkEnd w:id="33"/>
    </w:p>
    <w:p w14:paraId="6229F055" w14:textId="548488F6" w:rsidR="00D61D87" w:rsidRPr="00D61D87" w:rsidRDefault="00D61D87" w:rsidP="00D61D87">
      <w:pPr>
        <w:pStyle w:val="Body"/>
      </w:pPr>
      <w:r w:rsidRPr="00D61D87">
        <w:rPr>
          <w:b/>
          <w:bCs/>
        </w:rPr>
        <w:t>Clause 1:</w:t>
      </w:r>
      <w:r w:rsidR="00842A36">
        <w:t xml:space="preserve"> </w:t>
      </w:r>
      <w:r w:rsidRPr="00D61D87">
        <w:t>sets out the main purposes of the Bill which are</w:t>
      </w:r>
      <w:r w:rsidRPr="00D61D87">
        <w:rPr>
          <w:lang w:val="en-GB"/>
        </w:rPr>
        <w:t>—</w:t>
      </w:r>
      <w:r w:rsidRPr="00D61D87">
        <w:t> </w:t>
      </w:r>
    </w:p>
    <w:p w14:paraId="7DF5CC1C" w14:textId="77777777" w:rsidR="00D61D87" w:rsidRPr="00D61D87" w:rsidRDefault="00D61D87" w:rsidP="001478CB">
      <w:pPr>
        <w:pStyle w:val="Body"/>
        <w:numPr>
          <w:ilvl w:val="0"/>
          <w:numId w:val="12"/>
        </w:numPr>
      </w:pPr>
      <w:r w:rsidRPr="00D61D87">
        <w:rPr>
          <w:lang w:val="en-GB"/>
        </w:rPr>
        <w:t xml:space="preserve">to amend the </w:t>
      </w:r>
      <w:r w:rsidRPr="00D61D87">
        <w:rPr>
          <w:b/>
          <w:bCs/>
          <w:lang w:val="en-GB"/>
        </w:rPr>
        <w:t>Safe Patient Care (Nurse to Patient and Midwife to Patient Ratios) Act 2015</w:t>
      </w:r>
      <w:r w:rsidRPr="00D61D87">
        <w:rPr>
          <w:lang w:val="en-GB"/>
        </w:rPr>
        <w:t xml:space="preserve"> (the Act)</w:t>
      </w:r>
      <w:r w:rsidRPr="00D61D87">
        <w:t>— </w:t>
      </w:r>
    </w:p>
    <w:p w14:paraId="59A44934" w14:textId="77777777" w:rsidR="00D61D87" w:rsidRPr="00D61D87" w:rsidRDefault="00D61D87" w:rsidP="001478CB">
      <w:pPr>
        <w:pStyle w:val="Body"/>
        <w:numPr>
          <w:ilvl w:val="0"/>
          <w:numId w:val="13"/>
        </w:numPr>
      </w:pPr>
      <w:r w:rsidRPr="00D61D87">
        <w:rPr>
          <w:lang w:val="en-GB"/>
        </w:rPr>
        <w:t>to</w:t>
      </w:r>
      <w:r w:rsidRPr="00D61D87">
        <w:t xml:space="preserve"> </w:t>
      </w:r>
      <w:r w:rsidRPr="00D61D87">
        <w:rPr>
          <w:lang w:val="en-GB"/>
        </w:rPr>
        <w:t>amend</w:t>
      </w:r>
      <w:r w:rsidRPr="00D61D87">
        <w:t xml:space="preserve"> </w:t>
      </w:r>
      <w:r w:rsidRPr="00D61D87">
        <w:rPr>
          <w:lang w:val="en-GB"/>
        </w:rPr>
        <w:t>the rounding</w:t>
      </w:r>
      <w:r w:rsidRPr="00D61D87">
        <w:t xml:space="preserve"> </w:t>
      </w:r>
      <w:r w:rsidRPr="00D61D87">
        <w:rPr>
          <w:lang w:val="en-GB"/>
        </w:rPr>
        <w:t>method used when determining staffing</w:t>
      </w:r>
      <w:r w:rsidRPr="00D61D87">
        <w:t xml:space="preserve"> </w:t>
      </w:r>
      <w:r w:rsidRPr="00D61D87">
        <w:rPr>
          <w:lang w:val="en-GB"/>
        </w:rPr>
        <w:t>requirements</w:t>
      </w:r>
      <w:r w:rsidRPr="00D61D87">
        <w:t xml:space="preserve"> </w:t>
      </w:r>
      <w:r w:rsidRPr="00D61D87">
        <w:rPr>
          <w:lang w:val="en-GB"/>
        </w:rPr>
        <w:t>in intensive care units in level 1 hospitals and level 2 hospitals; and</w:t>
      </w:r>
      <w:r w:rsidRPr="00D61D87">
        <w:t> </w:t>
      </w:r>
    </w:p>
    <w:p w14:paraId="0E9933A0" w14:textId="77777777" w:rsidR="00D61D87" w:rsidRPr="00D61D87" w:rsidRDefault="00D61D87" w:rsidP="001478CB">
      <w:pPr>
        <w:pStyle w:val="Body"/>
        <w:numPr>
          <w:ilvl w:val="0"/>
          <w:numId w:val="14"/>
        </w:numPr>
      </w:pPr>
      <w:r w:rsidRPr="00D61D87">
        <w:rPr>
          <w:lang w:val="en-GB"/>
        </w:rPr>
        <w:t>to amend the ratios applying to coronary care units, emergency departments and high dependency units; and</w:t>
      </w:r>
      <w:r w:rsidRPr="00D61D87">
        <w:t> </w:t>
      </w:r>
    </w:p>
    <w:p w14:paraId="265E2B89" w14:textId="77777777" w:rsidR="00D61D87" w:rsidRPr="00D61D87" w:rsidRDefault="00D61D87" w:rsidP="001478CB">
      <w:pPr>
        <w:pStyle w:val="Body"/>
        <w:numPr>
          <w:ilvl w:val="0"/>
          <w:numId w:val="15"/>
        </w:numPr>
      </w:pPr>
      <w:r w:rsidRPr="00D61D87">
        <w:rPr>
          <w:lang w:val="en-GB"/>
        </w:rPr>
        <w:t>to provide for a ratio in relation to night shifts in postnatal wards in prescribed hospitals and night shifts in antenatal wards in prescribed hospitals; and</w:t>
      </w:r>
      <w:r w:rsidRPr="00D61D87">
        <w:t> </w:t>
      </w:r>
    </w:p>
    <w:p w14:paraId="05B8F945" w14:textId="77777777" w:rsidR="00D61D87" w:rsidRPr="00D61D87" w:rsidRDefault="00D61D87" w:rsidP="001478CB">
      <w:pPr>
        <w:pStyle w:val="Body"/>
        <w:numPr>
          <w:ilvl w:val="0"/>
          <w:numId w:val="16"/>
        </w:numPr>
      </w:pPr>
      <w:r w:rsidRPr="00D61D87">
        <w:t>to provide for a ratio in relation to intensive care units in level 1 hospitals and level 2 hospitals; and </w:t>
      </w:r>
    </w:p>
    <w:p w14:paraId="243F7F05" w14:textId="77777777" w:rsidR="00D61D87" w:rsidRPr="00D61D87" w:rsidRDefault="00D61D87" w:rsidP="001478CB">
      <w:pPr>
        <w:pStyle w:val="Body"/>
        <w:numPr>
          <w:ilvl w:val="0"/>
          <w:numId w:val="17"/>
        </w:numPr>
      </w:pPr>
      <w:r w:rsidRPr="00D61D87">
        <w:t>to update the names of hospitals specified in Schedules 1, 2 and 3 to that Act. </w:t>
      </w:r>
    </w:p>
    <w:p w14:paraId="32F8AA13" w14:textId="2DF8D25A" w:rsidR="00D61D87" w:rsidRPr="00D61D87" w:rsidRDefault="00D61D87" w:rsidP="00D61D87">
      <w:pPr>
        <w:pStyle w:val="Body"/>
      </w:pPr>
      <w:r w:rsidRPr="00D61D87">
        <w:rPr>
          <w:b/>
          <w:bCs/>
        </w:rPr>
        <w:t>Clause 2:</w:t>
      </w:r>
      <w:r w:rsidR="00842A36">
        <w:t xml:space="preserve"> </w:t>
      </w:r>
      <w:r w:rsidRPr="00D61D87">
        <w:t>is the commencement provision which provides for the Bill to come into operation on the day after the day on which the Bill receives the Royal Assent.   </w:t>
      </w:r>
    </w:p>
    <w:p w14:paraId="08A16AC8" w14:textId="226A8AE8" w:rsidR="00D61D87" w:rsidRPr="00D61D87" w:rsidRDefault="00D61D87" w:rsidP="00D61D87">
      <w:pPr>
        <w:pStyle w:val="Body"/>
      </w:pPr>
      <w:r w:rsidRPr="00D61D87">
        <w:rPr>
          <w:b/>
          <w:bCs/>
        </w:rPr>
        <w:t>Clause 3:</w:t>
      </w:r>
      <w:r w:rsidR="00842A36">
        <w:t xml:space="preserve"> </w:t>
      </w:r>
      <w:r w:rsidRPr="00D61D87">
        <w:t xml:space="preserve">provides that in the Bill the </w:t>
      </w:r>
      <w:r w:rsidRPr="00D61D87">
        <w:rPr>
          <w:b/>
          <w:bCs/>
          <w:lang w:val="en-GB"/>
        </w:rPr>
        <w:t>Safe Patient Care (Nurse to Patient and Midwife to Patient Ratios) Act 2015</w:t>
      </w:r>
      <w:r w:rsidRPr="00D61D87">
        <w:rPr>
          <w:lang w:val="en-GB"/>
        </w:rPr>
        <w:t xml:space="preserve"> is called the Principal Act.</w:t>
      </w:r>
      <w:r w:rsidRPr="00D61D87">
        <w:t> </w:t>
      </w:r>
    </w:p>
    <w:p w14:paraId="338A1FE6" w14:textId="77777777" w:rsidR="00D61D87" w:rsidRPr="00D61D87" w:rsidRDefault="00D61D87" w:rsidP="00D61D87">
      <w:pPr>
        <w:pStyle w:val="Body"/>
        <w:rPr>
          <w:b/>
          <w:bCs/>
        </w:rPr>
      </w:pPr>
      <w:r w:rsidRPr="00D61D87">
        <w:rPr>
          <w:b/>
          <w:bCs/>
          <w:lang w:val="en-GB"/>
        </w:rPr>
        <w:t>Part 2—Amendment of Safe Patient Care (Nurse to Patient and Midwife to Patient Ratios) Act 2015</w:t>
      </w:r>
      <w:r w:rsidRPr="00D61D87">
        <w:rPr>
          <w:b/>
          <w:bCs/>
        </w:rPr>
        <w:t> </w:t>
      </w:r>
    </w:p>
    <w:p w14:paraId="54F67898" w14:textId="0FB9F275" w:rsidR="00D61D87" w:rsidRPr="00D61D87" w:rsidRDefault="00D61D87" w:rsidP="00D61D87">
      <w:pPr>
        <w:pStyle w:val="Body"/>
      </w:pPr>
      <w:r w:rsidRPr="00D61D87">
        <w:rPr>
          <w:b/>
          <w:bCs/>
        </w:rPr>
        <w:t>Clause 4:</w:t>
      </w:r>
      <w:r w:rsidR="00842A36">
        <w:t xml:space="preserve"> </w:t>
      </w:r>
      <w:r w:rsidRPr="00D61D87">
        <w:t xml:space="preserve">amends section 3 of the Act to insert a new </w:t>
      </w:r>
      <w:r w:rsidRPr="00D61D87">
        <w:rPr>
          <w:u w:val="single"/>
        </w:rPr>
        <w:t>definition of an intensive care unit</w:t>
      </w:r>
      <w:r w:rsidRPr="00D61D87">
        <w:t xml:space="preserve"> which is defined as:  </w:t>
      </w:r>
    </w:p>
    <w:p w14:paraId="0E7D4859" w14:textId="77777777" w:rsidR="00D61D87" w:rsidRPr="00D61D87" w:rsidRDefault="00D61D87" w:rsidP="00D61D87">
      <w:pPr>
        <w:pStyle w:val="Body"/>
      </w:pPr>
      <w:r w:rsidRPr="00D61D87">
        <w:rPr>
          <w:i/>
          <w:iCs/>
        </w:rPr>
        <w:t>“a unit (other than a neonatal intensive care unit), or part of such a unit, dedicated to the identification, monitoring and treatment of patients who are critically ill through the initial and sustained support of vital organ functions”.</w:t>
      </w:r>
      <w:r w:rsidRPr="00D61D87">
        <w:t> </w:t>
      </w:r>
    </w:p>
    <w:p w14:paraId="774D2BBC" w14:textId="08F00D8C" w:rsidR="00D61D87" w:rsidRPr="00D61D87" w:rsidRDefault="00D61D87" w:rsidP="00D61D87">
      <w:pPr>
        <w:pStyle w:val="Body"/>
      </w:pPr>
      <w:r w:rsidRPr="00D61D87">
        <w:rPr>
          <w:b/>
          <w:bCs/>
        </w:rPr>
        <w:t>Clause 5:</w:t>
      </w:r>
      <w:r w:rsidR="00842A36">
        <w:t xml:space="preserve"> </w:t>
      </w:r>
      <w:r w:rsidRPr="00D61D87">
        <w:t xml:space="preserve">amends section 12 of the Act to </w:t>
      </w:r>
      <w:r w:rsidRPr="00D61D87">
        <w:rPr>
          <w:u w:val="single"/>
        </w:rPr>
        <w:t>apply the rounding method</w:t>
      </w:r>
      <w:r w:rsidRPr="00D61D87">
        <w:t xml:space="preserve"> when determining staffing requirements in intensive care units. The rounding method already applies, in the Act, to EDs, postnatal/antenatal wards and HDUs/CCUs. </w:t>
      </w:r>
    </w:p>
    <w:p w14:paraId="6693CE58" w14:textId="675F9E5C" w:rsidR="00D61D87" w:rsidRPr="00D61D87" w:rsidRDefault="00D61D87" w:rsidP="00D61D87">
      <w:pPr>
        <w:pStyle w:val="Body"/>
      </w:pPr>
      <w:r w:rsidRPr="00D61D87">
        <w:rPr>
          <w:b/>
          <w:bCs/>
        </w:rPr>
        <w:t>Clause 6:</w:t>
      </w:r>
      <w:r w:rsidR="00842A36">
        <w:t xml:space="preserve"> </w:t>
      </w:r>
      <w:r w:rsidRPr="00D61D87">
        <w:t xml:space="preserve">amends section 20 of the Act and inserts a new section 20(2) which sets out the </w:t>
      </w:r>
      <w:r w:rsidRPr="00D61D87">
        <w:rPr>
          <w:u w:val="single"/>
        </w:rPr>
        <w:t>new ratio for emergency departments </w:t>
      </w:r>
      <w:r w:rsidRPr="00D61D87">
        <w:t> </w:t>
      </w:r>
    </w:p>
    <w:p w14:paraId="4F5FFA55" w14:textId="77777777" w:rsidR="00D61D87" w:rsidRPr="00D61D87" w:rsidRDefault="00D61D87" w:rsidP="00D61D87">
      <w:pPr>
        <w:pStyle w:val="Body"/>
      </w:pPr>
      <w:r w:rsidRPr="00D61D87">
        <w:rPr>
          <w:lang w:val="en-GB"/>
        </w:rPr>
        <w:t>This new ratio comprises one nurse for each resuscitation bed in emergency departments on the morning shift.  This ensures consistency across the daily roster for resuscitation beds as ratio requirements for the morning shift are brought in line with the afternoon and night shifts.  </w:t>
      </w:r>
      <w:r w:rsidRPr="00D61D87">
        <w:t> </w:t>
      </w:r>
    </w:p>
    <w:p w14:paraId="30136C17" w14:textId="77777777" w:rsidR="00D61D87" w:rsidRPr="00D61D87" w:rsidRDefault="00D61D87" w:rsidP="00D61D87">
      <w:pPr>
        <w:pStyle w:val="Body"/>
      </w:pPr>
      <w:r w:rsidRPr="00D61D87">
        <w:rPr>
          <w:lang w:val="en-GB"/>
        </w:rPr>
        <w:t>To avoid the inefficient use of scarce resources, a nurse allocated to a resuscitation bed may be redeployed to assist elsewhere in the emergency department to enable them to respond to a critical incident. This new section also sets out the phased implementation (25%, 75% and then 100%) for this new ratio.</w:t>
      </w:r>
      <w:r w:rsidRPr="00D61D87">
        <w:t> </w:t>
      </w:r>
    </w:p>
    <w:p w14:paraId="742686B1" w14:textId="77777777" w:rsidR="00D61D87" w:rsidRPr="00D61D87" w:rsidRDefault="00D61D87" w:rsidP="00D61D87">
      <w:pPr>
        <w:pStyle w:val="Body"/>
      </w:pPr>
      <w:r w:rsidRPr="00D61D87">
        <w:t> </w:t>
      </w:r>
    </w:p>
    <w:p w14:paraId="74702077" w14:textId="706A3897" w:rsidR="00D61D87" w:rsidRPr="00D61D87" w:rsidRDefault="00D61D87" w:rsidP="00D61D87">
      <w:pPr>
        <w:pStyle w:val="Body"/>
      </w:pPr>
      <w:r w:rsidRPr="00D61D87">
        <w:rPr>
          <w:b/>
          <w:bCs/>
        </w:rPr>
        <w:t>Clause 7:</w:t>
      </w:r>
      <w:r w:rsidR="004B11AC">
        <w:t xml:space="preserve"> </w:t>
      </w:r>
      <w:r w:rsidRPr="00D61D87">
        <w:t xml:space="preserve">inserts new sections 20A and 20B into the Act which set out the </w:t>
      </w:r>
      <w:r w:rsidRPr="00D61D87">
        <w:rPr>
          <w:u w:val="single"/>
        </w:rPr>
        <w:t>new ICU ratios for level 1 and level 2 hospitals </w:t>
      </w:r>
      <w:r w:rsidRPr="00D61D87">
        <w:t> </w:t>
      </w:r>
    </w:p>
    <w:p w14:paraId="0C9A7044" w14:textId="77777777" w:rsidR="00D61D87" w:rsidRPr="00D61D87" w:rsidRDefault="00D61D87" w:rsidP="00D61D87">
      <w:pPr>
        <w:pStyle w:val="Body"/>
      </w:pPr>
      <w:r w:rsidRPr="00D61D87">
        <w:lastRenderedPageBreak/>
        <w:t>New section 20A(1) sets out the new ICU ratios for level one hospitals. These new ratios are: </w:t>
      </w:r>
    </w:p>
    <w:p w14:paraId="1BD19E12" w14:textId="77777777" w:rsidR="00D61D87" w:rsidRPr="00D61D87" w:rsidRDefault="00D61D87" w:rsidP="00D61D87">
      <w:pPr>
        <w:pStyle w:val="Body"/>
      </w:pPr>
      <w:r w:rsidRPr="00D61D87">
        <w:t>On the morning shift: </w:t>
      </w:r>
    </w:p>
    <w:p w14:paraId="53A9E950" w14:textId="77777777" w:rsidR="00D61D87" w:rsidRPr="00D61D87" w:rsidRDefault="00D61D87" w:rsidP="001478CB">
      <w:pPr>
        <w:pStyle w:val="Body"/>
        <w:numPr>
          <w:ilvl w:val="0"/>
          <w:numId w:val="18"/>
        </w:numPr>
      </w:pPr>
      <w:r w:rsidRPr="00D61D87">
        <w:t>(i) one ICU liaison nurse for every 15 occupied beds; and  </w:t>
      </w:r>
    </w:p>
    <w:p w14:paraId="3868748F" w14:textId="77777777" w:rsidR="00D61D87" w:rsidRPr="00D61D87" w:rsidRDefault="00D61D87" w:rsidP="001478CB">
      <w:pPr>
        <w:pStyle w:val="Body"/>
        <w:numPr>
          <w:ilvl w:val="0"/>
          <w:numId w:val="19"/>
        </w:numPr>
      </w:pPr>
      <w:r w:rsidRPr="00D61D87">
        <w:t>(ii) one team leader for every 10 occupied beds; and  </w:t>
      </w:r>
    </w:p>
    <w:p w14:paraId="1A4C6B44" w14:textId="77777777" w:rsidR="00D61D87" w:rsidRPr="00D61D87" w:rsidRDefault="00D61D87" w:rsidP="001478CB">
      <w:pPr>
        <w:pStyle w:val="Body"/>
        <w:numPr>
          <w:ilvl w:val="0"/>
          <w:numId w:val="20"/>
        </w:numPr>
      </w:pPr>
      <w:r w:rsidRPr="00D61D87">
        <w:t>(iii) one nurse for each occupied bed; and </w:t>
      </w:r>
    </w:p>
    <w:p w14:paraId="00BBD6F7" w14:textId="77777777" w:rsidR="00D61D87" w:rsidRPr="00D61D87" w:rsidRDefault="00D61D87" w:rsidP="001478CB">
      <w:pPr>
        <w:pStyle w:val="Body"/>
        <w:numPr>
          <w:ilvl w:val="0"/>
          <w:numId w:val="21"/>
        </w:numPr>
      </w:pPr>
      <w:r w:rsidRPr="00D61D87">
        <w:t>(iv) one nurse in charge; </w:t>
      </w:r>
    </w:p>
    <w:p w14:paraId="41326B3E" w14:textId="77777777" w:rsidR="00D61D87" w:rsidRPr="00D61D87" w:rsidRDefault="00D61D87" w:rsidP="00D61D87">
      <w:pPr>
        <w:pStyle w:val="Body"/>
      </w:pPr>
      <w:r w:rsidRPr="00D61D87">
        <w:t>On the afternoon shift: </w:t>
      </w:r>
    </w:p>
    <w:p w14:paraId="4648F521" w14:textId="77777777" w:rsidR="00D61D87" w:rsidRPr="00D61D87" w:rsidRDefault="00D61D87" w:rsidP="001478CB">
      <w:pPr>
        <w:pStyle w:val="Body"/>
        <w:numPr>
          <w:ilvl w:val="0"/>
          <w:numId w:val="22"/>
        </w:numPr>
      </w:pPr>
      <w:r w:rsidRPr="00D61D87">
        <w:t>one ICU liaison nurse for every 15 occupied beds; and  </w:t>
      </w:r>
    </w:p>
    <w:p w14:paraId="77F0BC7D" w14:textId="77777777" w:rsidR="00D61D87" w:rsidRPr="00D61D87" w:rsidRDefault="00D61D87" w:rsidP="001478CB">
      <w:pPr>
        <w:pStyle w:val="Body"/>
        <w:numPr>
          <w:ilvl w:val="0"/>
          <w:numId w:val="23"/>
        </w:numPr>
      </w:pPr>
      <w:r w:rsidRPr="00D61D87">
        <w:t>(ii) one team leader for every 5 10 occupied beds; and  </w:t>
      </w:r>
    </w:p>
    <w:p w14:paraId="697C0EE1" w14:textId="77777777" w:rsidR="00D61D87" w:rsidRPr="00D61D87" w:rsidRDefault="00D61D87" w:rsidP="001478CB">
      <w:pPr>
        <w:pStyle w:val="Body"/>
        <w:numPr>
          <w:ilvl w:val="0"/>
          <w:numId w:val="24"/>
        </w:numPr>
      </w:pPr>
      <w:r w:rsidRPr="00D61D87">
        <w:t>(iii) one nurse for each occupied bed; and  </w:t>
      </w:r>
    </w:p>
    <w:p w14:paraId="5753B729" w14:textId="77777777" w:rsidR="00D61D87" w:rsidRPr="00D61D87" w:rsidRDefault="00D61D87" w:rsidP="001478CB">
      <w:pPr>
        <w:pStyle w:val="Body"/>
        <w:numPr>
          <w:ilvl w:val="0"/>
          <w:numId w:val="25"/>
        </w:numPr>
      </w:pPr>
      <w:r w:rsidRPr="00D61D87">
        <w:t>(iv) one nurse in charge; </w:t>
      </w:r>
    </w:p>
    <w:p w14:paraId="41A68F8A" w14:textId="77777777" w:rsidR="00D61D87" w:rsidRPr="00D61D87" w:rsidRDefault="00D61D87" w:rsidP="00D61D87">
      <w:pPr>
        <w:pStyle w:val="Body"/>
      </w:pPr>
      <w:r w:rsidRPr="00D61D87">
        <w:t xml:space="preserve">           </w:t>
      </w:r>
      <w:r w:rsidRPr="00D61D87">
        <w:tab/>
      </w:r>
      <w:r w:rsidRPr="00D61D87">
        <w:tab/>
        <w:t>On the night shift: </w:t>
      </w:r>
    </w:p>
    <w:p w14:paraId="2DDD6D56" w14:textId="77777777" w:rsidR="00D61D87" w:rsidRPr="00D61D87" w:rsidRDefault="00D61D87" w:rsidP="001478CB">
      <w:pPr>
        <w:pStyle w:val="Body"/>
        <w:numPr>
          <w:ilvl w:val="0"/>
          <w:numId w:val="26"/>
        </w:numPr>
      </w:pPr>
      <w:r w:rsidRPr="00D61D87">
        <w:t>(i) one ICU liaison nurse for every 30 occupied beds; and  </w:t>
      </w:r>
    </w:p>
    <w:p w14:paraId="22B84BAB" w14:textId="77777777" w:rsidR="00D61D87" w:rsidRPr="00D61D87" w:rsidRDefault="00D61D87" w:rsidP="001478CB">
      <w:pPr>
        <w:pStyle w:val="Body"/>
        <w:numPr>
          <w:ilvl w:val="0"/>
          <w:numId w:val="27"/>
        </w:numPr>
      </w:pPr>
      <w:r w:rsidRPr="00D61D87">
        <w:t>(ii) one team leader for every 10 occupied beds; and  </w:t>
      </w:r>
    </w:p>
    <w:p w14:paraId="133BA748" w14:textId="77777777" w:rsidR="00D61D87" w:rsidRPr="00D61D87" w:rsidRDefault="00D61D87" w:rsidP="001478CB">
      <w:pPr>
        <w:pStyle w:val="Body"/>
        <w:numPr>
          <w:ilvl w:val="0"/>
          <w:numId w:val="28"/>
        </w:numPr>
      </w:pPr>
      <w:r w:rsidRPr="00D61D87">
        <w:t>(iii) one nurse for each occupied bed; 15 and  </w:t>
      </w:r>
    </w:p>
    <w:p w14:paraId="2BE6C5D4" w14:textId="3B12D158" w:rsidR="00D61D87" w:rsidRPr="00D61D87" w:rsidRDefault="00D61D87" w:rsidP="00D61D87">
      <w:pPr>
        <w:pStyle w:val="Body"/>
        <w:numPr>
          <w:ilvl w:val="0"/>
          <w:numId w:val="29"/>
        </w:numPr>
      </w:pPr>
      <w:r w:rsidRPr="00D61D87">
        <w:t>(iv) one nurse in charge </w:t>
      </w:r>
    </w:p>
    <w:p w14:paraId="68FD9E52" w14:textId="52557ABD" w:rsidR="00D61D87" w:rsidRPr="00D61D87" w:rsidRDefault="00D61D87" w:rsidP="00D61D87">
      <w:pPr>
        <w:pStyle w:val="Body"/>
      </w:pPr>
      <w:r w:rsidRPr="00D61D87">
        <w:t>New section 20A(2) provides for flexibility in relation to the application of the new ICU ratios, so that a nurse may be assigned up to 2 patients where specific short-term circumstances apply such that the patients have been determined to no longer require a high level of care.  These short-term circumstances are either that the patient is not critically ill or where a patient does not require the sustained support of vital organ functions. </w:t>
      </w:r>
    </w:p>
    <w:p w14:paraId="64AF94B7" w14:textId="77777777" w:rsidR="00D61D87" w:rsidRPr="00D61D87" w:rsidRDefault="00D61D87" w:rsidP="00D61D87">
      <w:pPr>
        <w:pStyle w:val="Body"/>
      </w:pPr>
      <w:r w:rsidRPr="00D61D87">
        <w:t xml:space="preserve">New section 20A(3) provides for the new ICU ratios to be </w:t>
      </w:r>
      <w:r w:rsidRPr="00D61D87">
        <w:rPr>
          <w:lang w:val="en-GB"/>
        </w:rPr>
        <w:t>progressively phased into operation commencing on the day on which the Bill comes into operation so that the operator of a level 1 hospital will have sufficient time to implement the changes – namely: </w:t>
      </w:r>
      <w:r w:rsidRPr="00D61D87">
        <w:t> </w:t>
      </w:r>
    </w:p>
    <w:p w14:paraId="3EE92405" w14:textId="77777777" w:rsidR="00D61D87" w:rsidRPr="00D61D87" w:rsidRDefault="00D61D87" w:rsidP="001478CB">
      <w:pPr>
        <w:pStyle w:val="Body"/>
        <w:numPr>
          <w:ilvl w:val="0"/>
          <w:numId w:val="30"/>
        </w:numPr>
      </w:pPr>
      <w:r w:rsidRPr="00D61D87">
        <w:rPr>
          <w:lang w:val="en-GB"/>
        </w:rPr>
        <w:t>25% from the day after Royal Assent</w:t>
      </w:r>
      <w:r w:rsidRPr="00D61D87">
        <w:t> </w:t>
      </w:r>
    </w:p>
    <w:p w14:paraId="1117B11B" w14:textId="77777777" w:rsidR="00D61D87" w:rsidRPr="00D61D87" w:rsidRDefault="00D61D87" w:rsidP="001478CB">
      <w:pPr>
        <w:pStyle w:val="Body"/>
        <w:numPr>
          <w:ilvl w:val="0"/>
          <w:numId w:val="31"/>
        </w:numPr>
      </w:pPr>
      <w:r w:rsidRPr="00D61D87">
        <w:rPr>
          <w:lang w:val="en-GB"/>
        </w:rPr>
        <w:t>75% from 1 July 2025</w:t>
      </w:r>
      <w:r w:rsidRPr="00D61D87">
        <w:t> </w:t>
      </w:r>
    </w:p>
    <w:p w14:paraId="54F211C1" w14:textId="654F87DA" w:rsidR="00D61D87" w:rsidRPr="00D61D87" w:rsidRDefault="00D61D87" w:rsidP="001478CB">
      <w:pPr>
        <w:pStyle w:val="Body"/>
        <w:numPr>
          <w:ilvl w:val="0"/>
          <w:numId w:val="32"/>
        </w:numPr>
      </w:pPr>
      <w:r w:rsidRPr="00D61D87">
        <w:rPr>
          <w:lang w:val="en-GB"/>
        </w:rPr>
        <w:t>100% from 1 July 2026</w:t>
      </w:r>
      <w:r w:rsidR="00842A36">
        <w:rPr>
          <w:lang w:val="en-GB"/>
        </w:rPr>
        <w:t>.</w:t>
      </w:r>
      <w:r w:rsidRPr="00D61D87">
        <w:t> </w:t>
      </w:r>
    </w:p>
    <w:p w14:paraId="447D4935" w14:textId="74E3E184" w:rsidR="00D61D87" w:rsidRPr="00D61D87" w:rsidRDefault="00D61D87" w:rsidP="00D61D87">
      <w:pPr>
        <w:pStyle w:val="Body"/>
      </w:pPr>
      <w:r w:rsidRPr="00D61D87">
        <w:t> </w:t>
      </w:r>
      <w:r w:rsidRPr="00D61D87">
        <w:rPr>
          <w:lang w:val="en-GB"/>
        </w:rPr>
        <w:t>New section 20B(1) sets out the new ICU ratios for level two hospitals. These new ratios are:</w:t>
      </w:r>
      <w:r w:rsidRPr="00D61D87">
        <w:t> </w:t>
      </w:r>
    </w:p>
    <w:p w14:paraId="465F1F3B" w14:textId="0FB33AB3" w:rsidR="00D61D87" w:rsidRPr="00D61D87" w:rsidRDefault="00D61D87" w:rsidP="00D61D87">
      <w:pPr>
        <w:pStyle w:val="Body"/>
      </w:pPr>
      <w:r w:rsidRPr="00D61D87">
        <w:t> </w:t>
      </w:r>
      <w:r w:rsidRPr="00D61D87">
        <w:rPr>
          <w:lang w:val="en-GB"/>
        </w:rPr>
        <w:t>On the morning shift:</w:t>
      </w:r>
      <w:r w:rsidRPr="00D61D87">
        <w:t> </w:t>
      </w:r>
    </w:p>
    <w:p w14:paraId="4A3E04C2" w14:textId="77777777" w:rsidR="00D61D87" w:rsidRPr="00D61D87" w:rsidRDefault="00D61D87" w:rsidP="001478CB">
      <w:pPr>
        <w:pStyle w:val="Body"/>
        <w:numPr>
          <w:ilvl w:val="0"/>
          <w:numId w:val="33"/>
        </w:numPr>
      </w:pPr>
      <w:r w:rsidRPr="00D61D87">
        <w:t>(i) one ICU liaison nurse; and  </w:t>
      </w:r>
    </w:p>
    <w:p w14:paraId="484956A6" w14:textId="77777777" w:rsidR="00D61D87" w:rsidRPr="00D61D87" w:rsidRDefault="00D61D87" w:rsidP="001478CB">
      <w:pPr>
        <w:pStyle w:val="Body"/>
        <w:numPr>
          <w:ilvl w:val="0"/>
          <w:numId w:val="34"/>
        </w:numPr>
      </w:pPr>
      <w:r w:rsidRPr="00D61D87">
        <w:t>15 (ii) one team leader for every 12 occupied beds; and  </w:t>
      </w:r>
    </w:p>
    <w:p w14:paraId="408E05C8" w14:textId="77777777" w:rsidR="00D61D87" w:rsidRPr="00D61D87" w:rsidRDefault="00D61D87" w:rsidP="001478CB">
      <w:pPr>
        <w:pStyle w:val="Body"/>
        <w:numPr>
          <w:ilvl w:val="0"/>
          <w:numId w:val="35"/>
        </w:numPr>
      </w:pPr>
      <w:r w:rsidRPr="00D61D87">
        <w:t>(iii) one nurse for each occupied bed; and  </w:t>
      </w:r>
    </w:p>
    <w:p w14:paraId="1829FB07" w14:textId="31D325F5" w:rsidR="00D61D87" w:rsidRPr="00D61D87" w:rsidRDefault="00D61D87" w:rsidP="00D61D87">
      <w:pPr>
        <w:pStyle w:val="Body"/>
        <w:numPr>
          <w:ilvl w:val="0"/>
          <w:numId w:val="36"/>
        </w:numPr>
      </w:pPr>
      <w:r w:rsidRPr="00D61D87">
        <w:t>(iv) one nurse in charge; </w:t>
      </w:r>
    </w:p>
    <w:p w14:paraId="1D90013B" w14:textId="77777777" w:rsidR="00D61D87" w:rsidRPr="00D61D87" w:rsidRDefault="00D61D87" w:rsidP="00D61D87">
      <w:pPr>
        <w:pStyle w:val="Body"/>
      </w:pPr>
      <w:r w:rsidRPr="00D61D87">
        <w:rPr>
          <w:lang w:val="en-GB"/>
        </w:rPr>
        <w:t>On the afternoon shift:</w:t>
      </w:r>
      <w:r w:rsidRPr="00D61D87">
        <w:t> </w:t>
      </w:r>
    </w:p>
    <w:p w14:paraId="388BE510" w14:textId="77777777" w:rsidR="00D61D87" w:rsidRPr="00D61D87" w:rsidRDefault="00D61D87" w:rsidP="001478CB">
      <w:pPr>
        <w:pStyle w:val="Body"/>
        <w:numPr>
          <w:ilvl w:val="0"/>
          <w:numId w:val="37"/>
        </w:numPr>
      </w:pPr>
      <w:r w:rsidRPr="00D61D87">
        <w:t>one ICU liaison nurse; and  </w:t>
      </w:r>
    </w:p>
    <w:p w14:paraId="69DF6C3B" w14:textId="77777777" w:rsidR="00D61D87" w:rsidRPr="00D61D87" w:rsidRDefault="00D61D87" w:rsidP="001478CB">
      <w:pPr>
        <w:pStyle w:val="Body"/>
        <w:numPr>
          <w:ilvl w:val="0"/>
          <w:numId w:val="38"/>
        </w:numPr>
      </w:pPr>
      <w:r w:rsidRPr="00D61D87">
        <w:t>(ii) one team leader for every 12 occupied beds; and  </w:t>
      </w:r>
    </w:p>
    <w:p w14:paraId="3B47EFF8" w14:textId="77777777" w:rsidR="00D61D87" w:rsidRPr="00D61D87" w:rsidRDefault="00D61D87" w:rsidP="001478CB">
      <w:pPr>
        <w:pStyle w:val="Body"/>
        <w:numPr>
          <w:ilvl w:val="0"/>
          <w:numId w:val="39"/>
        </w:numPr>
      </w:pPr>
      <w:r w:rsidRPr="00D61D87">
        <w:t>(iii) one nurse for each occupied bed; and  </w:t>
      </w:r>
    </w:p>
    <w:p w14:paraId="629B6AE6" w14:textId="6A1BA968" w:rsidR="00D61D87" w:rsidRPr="00D61D87" w:rsidRDefault="00D61D87" w:rsidP="00D61D87">
      <w:pPr>
        <w:pStyle w:val="Body"/>
        <w:numPr>
          <w:ilvl w:val="0"/>
          <w:numId w:val="40"/>
        </w:numPr>
      </w:pPr>
      <w:r w:rsidRPr="00D61D87">
        <w:lastRenderedPageBreak/>
        <w:t>(iv) one nurse in charge; </w:t>
      </w:r>
    </w:p>
    <w:p w14:paraId="7F60D543" w14:textId="77777777" w:rsidR="00D61D87" w:rsidRPr="00D61D87" w:rsidRDefault="00D61D87" w:rsidP="00D61D87">
      <w:pPr>
        <w:pStyle w:val="Body"/>
      </w:pPr>
      <w:r w:rsidRPr="00D61D87">
        <w:rPr>
          <w:lang w:val="en-GB"/>
        </w:rPr>
        <w:t>On the night shift:</w:t>
      </w:r>
      <w:r w:rsidRPr="00D61D87">
        <w:t> </w:t>
      </w:r>
    </w:p>
    <w:p w14:paraId="40E27821" w14:textId="77777777" w:rsidR="00D61D87" w:rsidRPr="00D61D87" w:rsidRDefault="00D61D87" w:rsidP="001478CB">
      <w:pPr>
        <w:pStyle w:val="Body"/>
        <w:numPr>
          <w:ilvl w:val="0"/>
          <w:numId w:val="41"/>
        </w:numPr>
      </w:pPr>
      <w:r w:rsidRPr="00D61D87">
        <w:t>one team leader; and  </w:t>
      </w:r>
    </w:p>
    <w:p w14:paraId="4B276F84" w14:textId="77777777" w:rsidR="00D61D87" w:rsidRPr="00D61D87" w:rsidRDefault="00D61D87" w:rsidP="001478CB">
      <w:pPr>
        <w:pStyle w:val="Body"/>
        <w:numPr>
          <w:ilvl w:val="0"/>
          <w:numId w:val="42"/>
        </w:numPr>
      </w:pPr>
      <w:r w:rsidRPr="00D61D87">
        <w:t>(ii) one nurse for each occupied bed; and  </w:t>
      </w:r>
    </w:p>
    <w:p w14:paraId="42EDF983" w14:textId="77777777" w:rsidR="00D61D87" w:rsidRPr="00D61D87" w:rsidRDefault="00D61D87" w:rsidP="001478CB">
      <w:pPr>
        <w:pStyle w:val="Body"/>
        <w:numPr>
          <w:ilvl w:val="0"/>
          <w:numId w:val="43"/>
        </w:numPr>
      </w:pPr>
      <w:r w:rsidRPr="00D61D87">
        <w:t>(iii) one nurse in charge. </w:t>
      </w:r>
    </w:p>
    <w:p w14:paraId="2A8BD5AD" w14:textId="0C63F78B" w:rsidR="00D61D87" w:rsidRPr="00D61D87" w:rsidRDefault="00D61D87" w:rsidP="00D61D87">
      <w:pPr>
        <w:pStyle w:val="Body"/>
      </w:pPr>
      <w:r w:rsidRPr="00D61D87">
        <w:rPr>
          <w:lang w:val="en-GB"/>
        </w:rPr>
        <w:t xml:space="preserve">New section 20B(2) replicates new section 20A(2) and </w:t>
      </w:r>
      <w:r w:rsidRPr="00D61D87">
        <w:t>provides for flexibility in relation to the application of the new ICU ratios, so that a nurse may be assigned up to 2 patients where specific short-term circumstances apply such that the patients have been determined to no longer require a high level of care.   </w:t>
      </w:r>
    </w:p>
    <w:p w14:paraId="5191200B" w14:textId="77777777" w:rsidR="00D61D87" w:rsidRPr="00D61D87" w:rsidRDefault="00D61D87" w:rsidP="00D61D87">
      <w:pPr>
        <w:pStyle w:val="Body"/>
      </w:pPr>
      <w:r w:rsidRPr="00D61D87">
        <w:t xml:space="preserve">New section 20B(3) provides for the new ICU ratios to be </w:t>
      </w:r>
      <w:r w:rsidRPr="00D61D87">
        <w:rPr>
          <w:lang w:val="en-GB"/>
        </w:rPr>
        <w:t>progressively phased into operation commencing on the day on which the Bill comes into operation – namely: </w:t>
      </w:r>
      <w:r w:rsidRPr="00D61D87">
        <w:t> </w:t>
      </w:r>
    </w:p>
    <w:p w14:paraId="478729CD" w14:textId="77777777" w:rsidR="00D61D87" w:rsidRPr="00D61D87" w:rsidRDefault="00D61D87" w:rsidP="001478CB">
      <w:pPr>
        <w:pStyle w:val="Body"/>
        <w:numPr>
          <w:ilvl w:val="0"/>
          <w:numId w:val="44"/>
        </w:numPr>
      </w:pPr>
      <w:r w:rsidRPr="00D61D87">
        <w:rPr>
          <w:lang w:val="en-GB"/>
        </w:rPr>
        <w:t>25% from the day after Royal Assent</w:t>
      </w:r>
      <w:r w:rsidRPr="00D61D87">
        <w:t> </w:t>
      </w:r>
    </w:p>
    <w:p w14:paraId="275B7537" w14:textId="01C4BFED" w:rsidR="00D61D87" w:rsidRPr="00D61D87" w:rsidRDefault="00D61D87" w:rsidP="001478CB">
      <w:pPr>
        <w:pStyle w:val="Body"/>
        <w:numPr>
          <w:ilvl w:val="0"/>
          <w:numId w:val="45"/>
        </w:numPr>
      </w:pPr>
      <w:r w:rsidRPr="00D61D87">
        <w:rPr>
          <w:lang w:val="en-GB"/>
        </w:rPr>
        <w:t xml:space="preserve">75% from 1 </w:t>
      </w:r>
      <w:r w:rsidR="00396174">
        <w:rPr>
          <w:lang w:val="en-GB"/>
        </w:rPr>
        <w:t xml:space="preserve">December </w:t>
      </w:r>
      <w:r w:rsidRPr="00D61D87">
        <w:rPr>
          <w:lang w:val="en-GB"/>
        </w:rPr>
        <w:t>2025</w:t>
      </w:r>
      <w:r w:rsidRPr="00D61D87">
        <w:t> </w:t>
      </w:r>
    </w:p>
    <w:p w14:paraId="48B7B5BF" w14:textId="379A2673" w:rsidR="00D61D87" w:rsidRPr="00D61D87" w:rsidRDefault="00D61D87" w:rsidP="00D61D87">
      <w:pPr>
        <w:pStyle w:val="Body"/>
        <w:numPr>
          <w:ilvl w:val="0"/>
          <w:numId w:val="46"/>
        </w:numPr>
      </w:pPr>
      <w:r w:rsidRPr="00D61D87">
        <w:rPr>
          <w:lang w:val="en-GB"/>
        </w:rPr>
        <w:t>100% from 1 July 2026</w:t>
      </w:r>
      <w:r w:rsidRPr="00D61D87">
        <w:t> </w:t>
      </w:r>
    </w:p>
    <w:p w14:paraId="4AC44A8F" w14:textId="4577D847" w:rsidR="00D61D87" w:rsidRPr="00D61D87" w:rsidRDefault="00D61D87" w:rsidP="00D61D87">
      <w:pPr>
        <w:pStyle w:val="Body"/>
      </w:pPr>
      <w:r w:rsidRPr="00D61D87">
        <w:rPr>
          <w:b/>
          <w:bCs/>
        </w:rPr>
        <w:t>Clause 8:</w:t>
      </w:r>
      <w:r w:rsidR="00842A36">
        <w:t xml:space="preserve"> </w:t>
      </w:r>
      <w:r w:rsidRPr="00D61D87">
        <w:rPr>
          <w:lang w:val="en-GB"/>
        </w:rPr>
        <w:t>provides that the operator</w:t>
      </w:r>
      <w:r w:rsidRPr="00D61D87">
        <w:t xml:space="preserve"> of a hospital must staff a </w:t>
      </w:r>
      <w:r w:rsidRPr="00D61D87">
        <w:rPr>
          <w:u w:val="single"/>
        </w:rPr>
        <w:t>coronary care unit with a nurse in charge on the night shift</w:t>
      </w:r>
      <w:r w:rsidRPr="00D61D87">
        <w:t>. This is in addition to the existing ratio of one nurse for every 3 patients </w:t>
      </w:r>
    </w:p>
    <w:p w14:paraId="676D388C" w14:textId="77777777" w:rsidR="00D61D87" w:rsidRPr="00D61D87" w:rsidRDefault="00D61D87" w:rsidP="00D61D87">
      <w:pPr>
        <w:pStyle w:val="Body"/>
      </w:pPr>
      <w:r w:rsidRPr="00D61D87">
        <w:t>Subclause (2) provides for the phased implementation of this new ratio – namely:  </w:t>
      </w:r>
    </w:p>
    <w:p w14:paraId="641F4293" w14:textId="77777777" w:rsidR="00D61D87" w:rsidRPr="00D61D87" w:rsidRDefault="00D61D87" w:rsidP="001478CB">
      <w:pPr>
        <w:pStyle w:val="Body"/>
        <w:numPr>
          <w:ilvl w:val="0"/>
          <w:numId w:val="47"/>
        </w:numPr>
      </w:pPr>
      <w:r w:rsidRPr="00D61D87">
        <w:rPr>
          <w:lang w:val="en-GB"/>
        </w:rPr>
        <w:t>25% from the day after Royal Assent</w:t>
      </w:r>
      <w:r w:rsidRPr="00D61D87">
        <w:t> </w:t>
      </w:r>
    </w:p>
    <w:p w14:paraId="1E49FAF0" w14:textId="6C23CD49" w:rsidR="00D61D87" w:rsidRPr="00D61D87" w:rsidRDefault="00D61D87" w:rsidP="001478CB">
      <w:pPr>
        <w:pStyle w:val="Body"/>
        <w:numPr>
          <w:ilvl w:val="0"/>
          <w:numId w:val="48"/>
        </w:numPr>
      </w:pPr>
      <w:r w:rsidRPr="00D61D87">
        <w:rPr>
          <w:lang w:val="en-GB"/>
        </w:rPr>
        <w:t xml:space="preserve">75% from 1 </w:t>
      </w:r>
      <w:r w:rsidR="00144BD2">
        <w:rPr>
          <w:lang w:val="en-GB"/>
        </w:rPr>
        <w:t xml:space="preserve">December </w:t>
      </w:r>
      <w:r w:rsidRPr="00D61D87">
        <w:rPr>
          <w:lang w:val="en-GB"/>
        </w:rPr>
        <w:t>2025</w:t>
      </w:r>
      <w:r w:rsidRPr="00D61D87">
        <w:t> </w:t>
      </w:r>
    </w:p>
    <w:p w14:paraId="172C947E" w14:textId="77777777" w:rsidR="00D61D87" w:rsidRPr="00D61D87" w:rsidRDefault="00D61D87" w:rsidP="001478CB">
      <w:pPr>
        <w:pStyle w:val="Body"/>
        <w:numPr>
          <w:ilvl w:val="0"/>
          <w:numId w:val="49"/>
        </w:numPr>
      </w:pPr>
      <w:r w:rsidRPr="00D61D87">
        <w:rPr>
          <w:lang w:val="en-GB"/>
        </w:rPr>
        <w:t>100% from 1 July 2026</w:t>
      </w:r>
      <w:r w:rsidRPr="00D61D87">
        <w:t> </w:t>
      </w:r>
    </w:p>
    <w:p w14:paraId="24496E4E" w14:textId="1EE0BA5A" w:rsidR="00D61D87" w:rsidRPr="00D61D87" w:rsidRDefault="00D61D87" w:rsidP="00D61D87">
      <w:pPr>
        <w:pStyle w:val="Body"/>
      </w:pPr>
      <w:r w:rsidRPr="00D61D87">
        <w:rPr>
          <w:b/>
          <w:bCs/>
        </w:rPr>
        <w:t>Clause 9:</w:t>
      </w:r>
      <w:r w:rsidR="00842A36">
        <w:t xml:space="preserve"> </w:t>
      </w:r>
      <w:r w:rsidRPr="00D61D87">
        <w:t xml:space="preserve">provides that the operator of a level 1 hospital must staff a </w:t>
      </w:r>
      <w:r w:rsidRPr="00D61D87">
        <w:rPr>
          <w:u w:val="single"/>
        </w:rPr>
        <w:t xml:space="preserve">standalone HDU with a nurse in charge on the night shift </w:t>
      </w:r>
      <w:r w:rsidRPr="00D61D87">
        <w:t>unless the unit is co-located with an intensive care unit.   </w:t>
      </w:r>
    </w:p>
    <w:p w14:paraId="30197995" w14:textId="77777777" w:rsidR="00D61D87" w:rsidRPr="00D61D87" w:rsidRDefault="00D61D87" w:rsidP="00D61D87">
      <w:pPr>
        <w:pStyle w:val="Body"/>
      </w:pPr>
      <w:r w:rsidRPr="00D61D87">
        <w:t>Subclause (2) provides for the phased implementation of this new ratio – namely:  </w:t>
      </w:r>
    </w:p>
    <w:p w14:paraId="5C5A1B66" w14:textId="77777777" w:rsidR="00D61D87" w:rsidRPr="00D61D87" w:rsidRDefault="00D61D87" w:rsidP="001478CB">
      <w:pPr>
        <w:pStyle w:val="Body"/>
        <w:numPr>
          <w:ilvl w:val="0"/>
          <w:numId w:val="50"/>
        </w:numPr>
      </w:pPr>
      <w:r w:rsidRPr="00D61D87">
        <w:rPr>
          <w:lang w:val="en-GB"/>
        </w:rPr>
        <w:t>25% from the day after Royal Assent</w:t>
      </w:r>
      <w:r w:rsidRPr="00D61D87">
        <w:t> </w:t>
      </w:r>
    </w:p>
    <w:p w14:paraId="07DA02D5" w14:textId="0CF88DC1" w:rsidR="00D61D87" w:rsidRPr="00D61D87" w:rsidRDefault="00D61D87" w:rsidP="001478CB">
      <w:pPr>
        <w:pStyle w:val="Body"/>
        <w:numPr>
          <w:ilvl w:val="0"/>
          <w:numId w:val="51"/>
        </w:numPr>
      </w:pPr>
      <w:r w:rsidRPr="00D61D87">
        <w:rPr>
          <w:lang w:val="en-GB"/>
        </w:rPr>
        <w:t xml:space="preserve">75% from 1 </w:t>
      </w:r>
      <w:r w:rsidR="00396174">
        <w:rPr>
          <w:lang w:val="en-GB"/>
        </w:rPr>
        <w:t>December</w:t>
      </w:r>
      <w:r w:rsidRPr="00D61D87">
        <w:rPr>
          <w:lang w:val="en-GB"/>
        </w:rPr>
        <w:t xml:space="preserve"> 2025</w:t>
      </w:r>
      <w:r w:rsidRPr="00D61D87">
        <w:t> </w:t>
      </w:r>
    </w:p>
    <w:p w14:paraId="348E05F7" w14:textId="32A65E98" w:rsidR="00D61D87" w:rsidRPr="00D61D87" w:rsidRDefault="00D61D87" w:rsidP="00D61D87">
      <w:pPr>
        <w:pStyle w:val="Body"/>
        <w:numPr>
          <w:ilvl w:val="0"/>
          <w:numId w:val="52"/>
        </w:numPr>
      </w:pPr>
      <w:r w:rsidRPr="00D61D87">
        <w:rPr>
          <w:lang w:val="en-GB"/>
        </w:rPr>
        <w:t>100% from 1 July 2026</w:t>
      </w:r>
      <w:r w:rsidR="00842A36">
        <w:rPr>
          <w:lang w:val="en-GB"/>
        </w:rPr>
        <w:t>.</w:t>
      </w:r>
      <w:r w:rsidRPr="00D61D87">
        <w:t> </w:t>
      </w:r>
    </w:p>
    <w:p w14:paraId="4787AAE6" w14:textId="77777777" w:rsidR="00D61D87" w:rsidRPr="00D61D87" w:rsidRDefault="00D61D87" w:rsidP="00D61D87">
      <w:pPr>
        <w:pStyle w:val="Body"/>
      </w:pPr>
      <w:r w:rsidRPr="00D61D87">
        <w:rPr>
          <w:b/>
          <w:bCs/>
        </w:rPr>
        <w:t>Clause 10:</w:t>
      </w:r>
      <w:r w:rsidRPr="00D61D87">
        <w:t xml:space="preserve"> creates a new section 30A in the Act for the new antenatal ward ratio </w:t>
      </w:r>
    </w:p>
    <w:p w14:paraId="3AB40F0C" w14:textId="77777777" w:rsidR="00D61D87" w:rsidRPr="00D61D87" w:rsidRDefault="00D61D87" w:rsidP="00D61D87">
      <w:pPr>
        <w:pStyle w:val="Body"/>
      </w:pPr>
      <w:r w:rsidRPr="00D61D87">
        <w:rPr>
          <w:b/>
          <w:bCs/>
        </w:rPr>
        <w:t>Clause 11:</w:t>
      </w:r>
      <w:r w:rsidRPr="00D61D87">
        <w:t xml:space="preserve"> provides that the operator of a hospital must staff </w:t>
      </w:r>
      <w:r w:rsidRPr="00D61D87">
        <w:rPr>
          <w:u w:val="single"/>
        </w:rPr>
        <w:t xml:space="preserve">antenatal wards </w:t>
      </w:r>
      <w:r w:rsidRPr="00D61D87">
        <w:t>in relation to the night shift as 1 midwife for every 4 patients. </w:t>
      </w:r>
    </w:p>
    <w:p w14:paraId="28B222DE" w14:textId="77777777" w:rsidR="00D61D87" w:rsidRPr="00D61D87" w:rsidRDefault="00D61D87" w:rsidP="00D61D87">
      <w:pPr>
        <w:pStyle w:val="Body"/>
      </w:pPr>
      <w:r w:rsidRPr="00D61D87">
        <w:t>Subclause (2) provides for the phased implementation of this new ratio – namely:  </w:t>
      </w:r>
    </w:p>
    <w:p w14:paraId="54F05A84" w14:textId="77777777" w:rsidR="00D61D87" w:rsidRPr="00D61D87" w:rsidRDefault="00D61D87" w:rsidP="001478CB">
      <w:pPr>
        <w:pStyle w:val="Body"/>
        <w:numPr>
          <w:ilvl w:val="0"/>
          <w:numId w:val="53"/>
        </w:numPr>
      </w:pPr>
      <w:r w:rsidRPr="00D61D87">
        <w:rPr>
          <w:lang w:val="en-GB"/>
        </w:rPr>
        <w:t>25% from the day after Royal Assent</w:t>
      </w:r>
      <w:r w:rsidRPr="00D61D87">
        <w:t> </w:t>
      </w:r>
    </w:p>
    <w:p w14:paraId="23CD58D0" w14:textId="18AF6231" w:rsidR="00D61D87" w:rsidRPr="00D61D87" w:rsidRDefault="00D61D87" w:rsidP="001478CB">
      <w:pPr>
        <w:pStyle w:val="Body"/>
        <w:numPr>
          <w:ilvl w:val="0"/>
          <w:numId w:val="54"/>
        </w:numPr>
      </w:pPr>
      <w:r w:rsidRPr="00D61D87">
        <w:rPr>
          <w:lang w:val="en-GB"/>
        </w:rPr>
        <w:t xml:space="preserve">75% from 1 </w:t>
      </w:r>
      <w:r w:rsidR="00396174">
        <w:rPr>
          <w:lang w:val="en-GB"/>
        </w:rPr>
        <w:t>December</w:t>
      </w:r>
      <w:r w:rsidRPr="00D61D87">
        <w:rPr>
          <w:lang w:val="en-GB"/>
        </w:rPr>
        <w:t xml:space="preserve"> 2025</w:t>
      </w:r>
      <w:r w:rsidRPr="00D61D87">
        <w:t> </w:t>
      </w:r>
    </w:p>
    <w:p w14:paraId="60CAECEF" w14:textId="69A31C13" w:rsidR="00D61D87" w:rsidRPr="00D61D87" w:rsidRDefault="00D61D87" w:rsidP="00D61D87">
      <w:pPr>
        <w:pStyle w:val="Body"/>
        <w:numPr>
          <w:ilvl w:val="0"/>
          <w:numId w:val="55"/>
        </w:numPr>
      </w:pPr>
      <w:r w:rsidRPr="00D61D87">
        <w:rPr>
          <w:lang w:val="en-GB"/>
        </w:rPr>
        <w:t>100% from 1 July 2026</w:t>
      </w:r>
      <w:r w:rsidR="00842A36">
        <w:t>.</w:t>
      </w:r>
    </w:p>
    <w:p w14:paraId="63F07426" w14:textId="77777777" w:rsidR="00D61D87" w:rsidRPr="00D61D87" w:rsidRDefault="00D61D87" w:rsidP="00D61D87">
      <w:pPr>
        <w:pStyle w:val="Body"/>
      </w:pPr>
      <w:r w:rsidRPr="00D61D87">
        <w:rPr>
          <w:b/>
          <w:bCs/>
        </w:rPr>
        <w:t>Clause 12:</w:t>
      </w:r>
      <w:r w:rsidRPr="00D61D87">
        <w:t xml:space="preserve"> clarifies that the </w:t>
      </w:r>
      <w:r w:rsidRPr="00D61D87">
        <w:rPr>
          <w:lang w:val="en-GB"/>
        </w:rPr>
        <w:t>staffing requirements that apply to a postnatal ward in relation to the night shift are subject to the additional staffing requirements for postnatal wards imposed by new section 31B.</w:t>
      </w:r>
      <w:r w:rsidRPr="00D61D87">
        <w:t> </w:t>
      </w:r>
    </w:p>
    <w:p w14:paraId="1AA4C227" w14:textId="77777777" w:rsidR="00D61D87" w:rsidRPr="00D61D87" w:rsidRDefault="00D61D87" w:rsidP="00D61D87">
      <w:pPr>
        <w:pStyle w:val="Body"/>
      </w:pPr>
      <w:r w:rsidRPr="00D61D87">
        <w:rPr>
          <w:b/>
          <w:bCs/>
        </w:rPr>
        <w:t>Clause 13:</w:t>
      </w:r>
      <w:r w:rsidRPr="00D61D87">
        <w:t xml:space="preserve"> provides that the operator of a hospital must staff </w:t>
      </w:r>
      <w:r w:rsidRPr="00D61D87">
        <w:rPr>
          <w:u w:val="single"/>
        </w:rPr>
        <w:t xml:space="preserve">postnatal wards </w:t>
      </w:r>
      <w:r w:rsidRPr="00D61D87">
        <w:t>in relation to the night shift as 1 midwife for every 4 patients. </w:t>
      </w:r>
    </w:p>
    <w:p w14:paraId="3DB91EAC" w14:textId="77777777" w:rsidR="00D61D87" w:rsidRPr="00D61D87" w:rsidRDefault="00D61D87" w:rsidP="00D61D87">
      <w:pPr>
        <w:pStyle w:val="Body"/>
      </w:pPr>
      <w:r w:rsidRPr="00D61D87">
        <w:lastRenderedPageBreak/>
        <w:t>Subclause (2) provides for the phased implementation of this new ratio – namely:  </w:t>
      </w:r>
    </w:p>
    <w:p w14:paraId="01DA716C" w14:textId="77777777" w:rsidR="00D61D87" w:rsidRPr="00D61D87" w:rsidRDefault="00D61D87" w:rsidP="001478CB">
      <w:pPr>
        <w:pStyle w:val="Body"/>
        <w:numPr>
          <w:ilvl w:val="0"/>
          <w:numId w:val="56"/>
        </w:numPr>
      </w:pPr>
      <w:r w:rsidRPr="00D61D87">
        <w:rPr>
          <w:lang w:val="en-GB"/>
        </w:rPr>
        <w:t>25% from the day after Royal Assent</w:t>
      </w:r>
      <w:r w:rsidRPr="00D61D87">
        <w:t> </w:t>
      </w:r>
    </w:p>
    <w:p w14:paraId="343DF3E8" w14:textId="2FFA8BB5" w:rsidR="00D61D87" w:rsidRPr="00D61D87" w:rsidRDefault="00D61D87" w:rsidP="001478CB">
      <w:pPr>
        <w:pStyle w:val="Body"/>
        <w:numPr>
          <w:ilvl w:val="0"/>
          <w:numId w:val="57"/>
        </w:numPr>
      </w:pPr>
      <w:r w:rsidRPr="00D61D87">
        <w:rPr>
          <w:lang w:val="en-GB"/>
        </w:rPr>
        <w:t xml:space="preserve">75% from 1 </w:t>
      </w:r>
      <w:r w:rsidR="00396174">
        <w:rPr>
          <w:lang w:val="en-GB"/>
        </w:rPr>
        <w:t>December</w:t>
      </w:r>
      <w:r w:rsidRPr="00D61D87">
        <w:rPr>
          <w:lang w:val="en-GB"/>
        </w:rPr>
        <w:t xml:space="preserve"> 2025</w:t>
      </w:r>
      <w:r w:rsidRPr="00D61D87">
        <w:t> </w:t>
      </w:r>
    </w:p>
    <w:p w14:paraId="1AA061A8" w14:textId="4434B27A" w:rsidR="00D61D87" w:rsidRPr="00D61D87" w:rsidRDefault="00D61D87" w:rsidP="00D61D87">
      <w:pPr>
        <w:pStyle w:val="Body"/>
        <w:numPr>
          <w:ilvl w:val="0"/>
          <w:numId w:val="58"/>
        </w:numPr>
      </w:pPr>
      <w:r w:rsidRPr="00D61D87">
        <w:rPr>
          <w:lang w:val="en-GB"/>
        </w:rPr>
        <w:t>100% from 1 July 2026</w:t>
      </w:r>
      <w:r w:rsidR="00842A36">
        <w:t>.</w:t>
      </w:r>
    </w:p>
    <w:p w14:paraId="15CF1DCF" w14:textId="77777777" w:rsidR="00D61D87" w:rsidRPr="00D61D87" w:rsidRDefault="00D61D87" w:rsidP="00D61D87">
      <w:pPr>
        <w:pStyle w:val="Body"/>
      </w:pPr>
      <w:r w:rsidRPr="00D61D87">
        <w:rPr>
          <w:b/>
          <w:bCs/>
        </w:rPr>
        <w:t>Clause 14:</w:t>
      </w:r>
      <w:r w:rsidRPr="00D61D87">
        <w:t xml:space="preserve"> provides that the </w:t>
      </w:r>
      <w:r w:rsidRPr="00D61D87">
        <w:rPr>
          <w:u w:val="single"/>
          <w:lang w:val="en-GB"/>
        </w:rPr>
        <w:t>local dispute resolution process</w:t>
      </w:r>
      <w:r w:rsidRPr="00D61D87">
        <w:rPr>
          <w:lang w:val="en-GB"/>
        </w:rPr>
        <w:t xml:space="preserve"> does not apply during the no dispute periods, ensuring that the operators of hospitals have sufficient time to recruit additional nurses and midwives to meet the new staffing requirements.  </w:t>
      </w:r>
      <w:r w:rsidRPr="00D61D87">
        <w:t> </w:t>
      </w:r>
    </w:p>
    <w:p w14:paraId="45B75562" w14:textId="77777777" w:rsidR="00D61D87" w:rsidRPr="00D61D87" w:rsidRDefault="00D61D87" w:rsidP="00D61D87">
      <w:pPr>
        <w:pStyle w:val="Body"/>
      </w:pPr>
      <w:r w:rsidRPr="00D61D87">
        <w:rPr>
          <w:b/>
          <w:bCs/>
          <w:lang w:val="en-GB"/>
        </w:rPr>
        <w:t xml:space="preserve">Part 3 - </w:t>
      </w:r>
      <w:r w:rsidRPr="00D61D87">
        <w:rPr>
          <w:b/>
          <w:bCs/>
        </w:rPr>
        <w:t>Further amendment of Safe Patient Care (Nurse to Patient and Midwife to Patient Ratios) Act 2015</w:t>
      </w:r>
      <w:r w:rsidRPr="00D61D87">
        <w:t> </w:t>
      </w:r>
    </w:p>
    <w:p w14:paraId="25535982" w14:textId="77777777" w:rsidR="00D61D87" w:rsidRPr="00D61D87" w:rsidRDefault="00D61D87" w:rsidP="00D61D87">
      <w:pPr>
        <w:pStyle w:val="Body"/>
      </w:pPr>
      <w:r w:rsidRPr="00D61D87">
        <w:rPr>
          <w:b/>
          <w:bCs/>
        </w:rPr>
        <w:t>Clause 15:</w:t>
      </w:r>
      <w:r w:rsidRPr="00D61D87">
        <w:t xml:space="preserve"> amends the definition of </w:t>
      </w:r>
      <w:r w:rsidRPr="00D61D87">
        <w:rPr>
          <w:b/>
          <w:bCs/>
          <w:i/>
          <w:iCs/>
        </w:rPr>
        <w:t>Department</w:t>
      </w:r>
      <w:r w:rsidRPr="00D61D87">
        <w:t xml:space="preserve"> to omit "and Human Services" so that it reflects the correct name of the responsible Department in accordance with machinery of government changes. </w:t>
      </w:r>
    </w:p>
    <w:p w14:paraId="099D9FF4" w14:textId="77777777" w:rsidR="00D61D87" w:rsidRPr="00D61D87" w:rsidRDefault="00D61D87" w:rsidP="00D61D87">
      <w:pPr>
        <w:pStyle w:val="Body"/>
      </w:pPr>
      <w:r w:rsidRPr="00D61D87">
        <w:rPr>
          <w:b/>
          <w:bCs/>
        </w:rPr>
        <w:t>Clause 16:</w:t>
      </w:r>
      <w:r w:rsidRPr="00D61D87">
        <w:t xml:space="preserve"> </w:t>
      </w:r>
      <w:r w:rsidRPr="00D61D87">
        <w:rPr>
          <w:lang w:val="en-GB"/>
        </w:rPr>
        <w:t>substitutes “Wimmera Health Care Group Hospital (Horsham Campus)” for “Grampians Health (Wimmera Base Hospital)” to reflect the name change of the hospital following the establishment of Grampians Health.</w:t>
      </w:r>
      <w:r w:rsidRPr="00D61D87">
        <w:t> </w:t>
      </w:r>
    </w:p>
    <w:p w14:paraId="7F0E114E" w14:textId="77777777" w:rsidR="00D61D87" w:rsidRPr="00D61D87" w:rsidRDefault="00D61D87" w:rsidP="00D61D87">
      <w:pPr>
        <w:pStyle w:val="Body"/>
      </w:pPr>
      <w:r w:rsidRPr="00D61D87">
        <w:rPr>
          <w:b/>
          <w:bCs/>
        </w:rPr>
        <w:t>Clause 17:</w:t>
      </w:r>
      <w:r w:rsidRPr="00D61D87">
        <w:t xml:space="preserve"> </w:t>
      </w:r>
      <w:r w:rsidRPr="00D61D87">
        <w:rPr>
          <w:lang w:val="en-GB"/>
        </w:rPr>
        <w:t>updates the names of specified hospitals following name changes or amalgamations. There is no change to the classification or level of these hospitals.</w:t>
      </w:r>
      <w:r w:rsidRPr="00D61D87">
        <w:t> </w:t>
      </w:r>
    </w:p>
    <w:p w14:paraId="59BAC9FB" w14:textId="7C12C3F5" w:rsidR="00D61D87" w:rsidRPr="00D61D87" w:rsidRDefault="00D61D87" w:rsidP="00D61D87">
      <w:pPr>
        <w:pStyle w:val="Body"/>
      </w:pPr>
      <w:r w:rsidRPr="00D61D87">
        <w:rPr>
          <w:b/>
          <w:bCs/>
        </w:rPr>
        <w:t>Clause 18</w:t>
      </w:r>
      <w:r w:rsidR="00842A36" w:rsidRPr="004B11AC">
        <w:rPr>
          <w:b/>
          <w:bCs/>
        </w:rPr>
        <w:t>:</w:t>
      </w:r>
      <w:r w:rsidR="00842A36">
        <w:t xml:space="preserve"> </w:t>
      </w:r>
      <w:r w:rsidRPr="00D61D87">
        <w:t>updates the names of specified hospitals following name changes or amalgamations. There is no change to the classification or level of these hospitals. </w:t>
      </w:r>
    </w:p>
    <w:p w14:paraId="6DE38AB5" w14:textId="77777777" w:rsidR="00D61D87" w:rsidRPr="00D61D87" w:rsidRDefault="00D61D87" w:rsidP="00D61D87">
      <w:pPr>
        <w:pStyle w:val="Body"/>
      </w:pPr>
      <w:r w:rsidRPr="00D61D87">
        <w:rPr>
          <w:b/>
          <w:bCs/>
        </w:rPr>
        <w:t>Clause 19:</w:t>
      </w:r>
      <w:r w:rsidRPr="00D61D87">
        <w:t xml:space="preserve"> </w:t>
      </w:r>
      <w:r w:rsidRPr="00D61D87">
        <w:rPr>
          <w:lang w:val="en-GB"/>
        </w:rPr>
        <w:t>Similar to the amendments in clauses 17 and 18, clause 19 amends Schedule 3 to the Act to update the names of specified hospitals.  There is no change to the classification or level of these hospitals.</w:t>
      </w:r>
      <w:r w:rsidRPr="00D61D87">
        <w:t> </w:t>
      </w:r>
    </w:p>
    <w:p w14:paraId="4D4D2A81" w14:textId="77777777" w:rsidR="00D61D87" w:rsidRPr="00D61D87" w:rsidRDefault="00D61D87" w:rsidP="00D61D87">
      <w:pPr>
        <w:pStyle w:val="Body"/>
      </w:pPr>
      <w:r w:rsidRPr="00D61D87">
        <w:rPr>
          <w:b/>
          <w:bCs/>
        </w:rPr>
        <w:t>Clause 20:</w:t>
      </w:r>
      <w:r w:rsidRPr="00D61D87">
        <w:t xml:space="preserve"> provides for the automatic repeal of the Bill on the first anniversary of the day on which the Bill receives the Royal Assent.  </w:t>
      </w:r>
    </w:p>
    <w:p w14:paraId="01D0AF6F" w14:textId="77777777" w:rsidR="000E4E53" w:rsidRPr="000E4E53" w:rsidRDefault="000E4E53" w:rsidP="000E4E53">
      <w:pPr>
        <w:pStyle w:val="Body"/>
      </w:pPr>
    </w:p>
    <w:p w14:paraId="5E21A60A" w14:textId="425ACEED" w:rsidR="005D7B72" w:rsidRDefault="005D7B72">
      <w:pPr>
        <w:spacing w:after="0" w:line="240" w:lineRule="auto"/>
        <w:rPr>
          <w:rFonts w:eastAsia="MS Gothic" w:cs="Arial"/>
          <w:bCs/>
          <w:color w:val="201547"/>
          <w:kern w:val="32"/>
          <w:sz w:val="44"/>
          <w:szCs w:val="44"/>
        </w:rPr>
      </w:pPr>
      <w:r>
        <w:br w:type="page"/>
      </w:r>
    </w:p>
    <w:p w14:paraId="4CAA6AD4" w14:textId="098C1581" w:rsidR="007600AA" w:rsidRDefault="00311511" w:rsidP="00311511">
      <w:pPr>
        <w:pStyle w:val="Heading1"/>
      </w:pPr>
      <w:bookmarkStart w:id="34" w:name="_Toc194310961"/>
      <w:r>
        <w:lastRenderedPageBreak/>
        <w:t xml:space="preserve">Appendix </w:t>
      </w:r>
      <w:r w:rsidR="00ED00EE">
        <w:t>D</w:t>
      </w:r>
      <w:r>
        <w:t xml:space="preserve"> </w:t>
      </w:r>
      <w:r w:rsidR="004B0C91">
        <w:t>–</w:t>
      </w:r>
      <w:r>
        <w:t xml:space="preserve"> </w:t>
      </w:r>
      <w:r w:rsidR="004B0C91">
        <w:t>Previous version of the ‘</w:t>
      </w:r>
      <w:r w:rsidR="004B0C91" w:rsidRPr="00F8509D">
        <w:rPr>
          <w:i/>
          <w:iCs/>
        </w:rPr>
        <w:t>Guide to implementation of amendments to the Safe Patient Care (Nurse to Patient Ratios) Act 2015</w:t>
      </w:r>
      <w:r w:rsidR="004B0C91">
        <w:t>’</w:t>
      </w:r>
      <w:bookmarkEnd w:id="34"/>
    </w:p>
    <w:p w14:paraId="44FA62C6" w14:textId="2C783304" w:rsidR="004943C0" w:rsidRDefault="004943C0" w:rsidP="004943C0">
      <w:pPr>
        <w:pStyle w:val="Body"/>
      </w:pPr>
      <w:r>
        <w:t xml:space="preserve">Accessible </w:t>
      </w:r>
      <w:r w:rsidR="008F01F0">
        <w:t xml:space="preserve">at </w:t>
      </w:r>
      <w:hyperlink r:id="rId34" w:history="1">
        <w:r w:rsidR="008F01F0" w:rsidRPr="008F01F0">
          <w:rPr>
            <w:rStyle w:val="Hyperlink"/>
          </w:rPr>
          <w:t>Nursing and midwifery - legislation and regulation</w:t>
        </w:r>
      </w:hyperlink>
      <w:r w:rsidR="008F01F0">
        <w:t xml:space="preserve"> &lt;</w:t>
      </w:r>
      <w:hyperlink r:id="rId35" w:history="1">
        <w:r w:rsidR="00C56907" w:rsidRPr="008F01F0">
          <w:t>https://www.health.vic.gov.au/nursing-and-midwifery/nursing-and-midwifery-legislation-and-regulation</w:t>
        </w:r>
      </w:hyperlink>
      <w:r w:rsidR="008F01F0">
        <w:t>&gt;</w:t>
      </w:r>
    </w:p>
    <w:p w14:paraId="076B78C6" w14:textId="77777777" w:rsidR="00C56907" w:rsidRDefault="00C56907" w:rsidP="00C56907">
      <w:pPr>
        <w:pStyle w:val="Body"/>
      </w:pPr>
    </w:p>
    <w:p w14:paraId="69F9CD68" w14:textId="77777777" w:rsidR="004943C0" w:rsidRPr="004943C0" w:rsidRDefault="004943C0" w:rsidP="002F1601">
      <w:pPr>
        <w:pStyle w:val="Body"/>
      </w:pPr>
    </w:p>
    <w:p w14:paraId="1DC5BBCE" w14:textId="77777777" w:rsidR="00740B31" w:rsidDel="004943C0" w:rsidRDefault="00740B31" w:rsidP="00CD6E6A"/>
    <w:p w14:paraId="6C1489AC" w14:textId="5B136D59" w:rsidR="00F8509D" w:rsidRPr="004B0C91" w:rsidRDefault="00F8509D" w:rsidP="00F8509D"/>
    <w:sectPr w:rsidR="00F8509D" w:rsidRPr="004B0C91" w:rsidSect="00653082">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544CF" w14:textId="77777777" w:rsidR="00446EDD" w:rsidRDefault="00446EDD">
      <w:r>
        <w:separator/>
      </w:r>
    </w:p>
    <w:p w14:paraId="04DD9C42" w14:textId="77777777" w:rsidR="00446EDD" w:rsidRDefault="00446EDD"/>
  </w:endnote>
  <w:endnote w:type="continuationSeparator" w:id="0">
    <w:p w14:paraId="1FA64247" w14:textId="77777777" w:rsidR="00446EDD" w:rsidRDefault="00446EDD">
      <w:r>
        <w:continuationSeparator/>
      </w:r>
    </w:p>
    <w:p w14:paraId="484973BC" w14:textId="77777777" w:rsidR="00446EDD" w:rsidRDefault="00446EDD"/>
  </w:endnote>
  <w:endnote w:type="continuationNotice" w:id="1">
    <w:p w14:paraId="5A6692C1" w14:textId="77777777" w:rsidR="00446EDD" w:rsidRDefault="00446E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4D4CA" w14:textId="77777777" w:rsidR="00EB4BC7" w:rsidRDefault="00EB4BC7">
    <w:pPr>
      <w:pStyle w:val="Footer"/>
    </w:pPr>
    <w:r>
      <w:rPr>
        <w:noProof/>
      </w:rPr>
      <mc:AlternateContent>
        <mc:Choice Requires="wps">
          <w:drawing>
            <wp:anchor distT="0" distB="0" distL="114300" distR="114300" simplePos="0" relativeHeight="251656192" behindDoc="0" locked="0" layoutInCell="0" allowOverlap="1" wp14:anchorId="6B397589" wp14:editId="165EF4D2">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C826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397589" id="_x0000_t202" coordsize="21600,21600" o:spt="202" path="m,l,21600r21600,l21600,xe">
              <v:stroke joinstyle="miter"/>
              <v:path gradientshapeok="t" o:connecttype="rect"/>
            </v:shapetype>
            <v:shape id="MSIPCM9dd54572b391b968e538fedc" o:spid="_x0000_s1031"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9BC826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45E57" w14:textId="77777777" w:rsidR="005218FA" w:rsidRDefault="00521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F2741" w14:textId="77777777" w:rsidR="00EB4BC7" w:rsidRDefault="00EB4BC7">
    <w:pPr>
      <w:pStyle w:val="Footer"/>
    </w:pPr>
    <w:r>
      <w:rPr>
        <w:noProof/>
      </w:rPr>
      <mc:AlternateContent>
        <mc:Choice Requires="wps">
          <w:drawing>
            <wp:anchor distT="0" distB="0" distL="114300" distR="114300" simplePos="0" relativeHeight="251655168" behindDoc="0" locked="0" layoutInCell="0" allowOverlap="1" wp14:anchorId="7BA27DB2" wp14:editId="23BD2321">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7AD6A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A27DB2" id="_x0000_t202" coordsize="21600,21600" o:spt="202" path="m,l,21600r21600,l21600,xe">
              <v:stroke joinstyle="miter"/>
              <v:path gradientshapeok="t" o:connecttype="rect"/>
            </v:shapetype>
            <v:shape id="MSIPCMf6504bf684e4519137a7274a" o:spid="_x0000_s1032"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057AD6A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0020D" w14:textId="77777777" w:rsidR="00D63636" w:rsidRDefault="002C5B7C">
    <w:pPr>
      <w:pStyle w:val="Footer"/>
    </w:pPr>
    <w:r>
      <w:rPr>
        <w:noProof/>
        <w:lang w:eastAsia="en-AU"/>
      </w:rPr>
      <mc:AlternateContent>
        <mc:Choice Requires="wps">
          <w:drawing>
            <wp:anchor distT="0" distB="0" distL="114300" distR="114300" simplePos="0" relativeHeight="251657216" behindDoc="0" locked="0" layoutInCell="0" allowOverlap="1" wp14:anchorId="29F9806E" wp14:editId="63C0D4D3">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E1FAE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F9806E" id="_x0000_t202" coordsize="21600,21600" o:spt="202" path="m,l,21600r21600,l21600,xe">
              <v:stroke joinstyle="miter"/>
              <v:path gradientshapeok="t" o:connecttype="rect"/>
            </v:shapetype>
            <v:shape id="MSIPCMd3f54469bd0204c6fb2f3fa8" o:spid="_x0000_s1033"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6E1FAE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50FFF" w14:textId="56BD2016" w:rsidR="00DB5B60" w:rsidRDefault="00315E22">
    <w:pPr>
      <w:pStyle w:val="Footer"/>
    </w:pPr>
    <w:r>
      <w:fldChar w:fldCharType="begin"/>
    </w:r>
    <w:r>
      <w:instrText xml:space="preserve"> PAGE   \* MERGEFORMAT </w:instrText>
    </w:r>
    <w:r>
      <w:fldChar w:fldCharType="separate"/>
    </w:r>
    <w:r>
      <w:rPr>
        <w:noProof/>
      </w:rPr>
      <w:t>1</w:t>
    </w:r>
    <w:r>
      <w:rPr>
        <w:noProof/>
      </w:rPr>
      <w:fldChar w:fldCharType="end"/>
    </w:r>
    <w:r w:rsidR="00B42378">
      <w:rPr>
        <w:noProof/>
        <w:lang w:eastAsia="en-AU"/>
      </w:rPr>
      <mc:AlternateContent>
        <mc:Choice Requires="wps">
          <w:drawing>
            <wp:anchor distT="0" distB="0" distL="114300" distR="114300" simplePos="0" relativeHeight="251659264" behindDoc="0" locked="0" layoutInCell="0" allowOverlap="1" wp14:anchorId="653CFBB9" wp14:editId="41350E37">
              <wp:simplePos x="0" y="0"/>
              <wp:positionH relativeFrom="page">
                <wp:posOffset>56515</wp:posOffset>
              </wp:positionH>
              <wp:positionV relativeFrom="page">
                <wp:posOffset>10263505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F9155B" w14:textId="77777777" w:rsidR="00B42378" w:rsidRPr="00B21F90" w:rsidRDefault="00B42378" w:rsidP="00B42378">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3CFBB9" id="_x0000_t202" coordsize="21600,21600" o:spt="202" path="m,l,21600r21600,l21600,xe">
              <v:stroke joinstyle="miter"/>
              <v:path gradientshapeok="t" o:connecttype="rect"/>
            </v:shapetype>
            <v:shape id="MSIPCMc3054336811d08b680b9289e" o:spid="_x0000_s1034" type="#_x0000_t202" alt="{&quot;HashCode&quot;:904758361,&quot;Height&quot;:841.0,&quot;Width&quot;:595.0,&quot;Placement&quot;:&quot;Footer&quot;,&quot;Index&quot;:&quot;Primary&quot;,&quot;Section&quot;:1,&quot;Top&quot;:0.0,&quot;Left&quot;:0.0}" style="position:absolute;left:0;text-align:left;margin-left:4.45pt;margin-top:808.1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" o:allowincell="f" filled="f" stroked="f" strokeweight=".5pt">
              <v:textbox inset=",0,,0">
                <w:txbxContent>
                  <w:p w14:paraId="3EF9155B" w14:textId="77777777" w:rsidR="00B42378" w:rsidRPr="00B21F90" w:rsidRDefault="00B42378" w:rsidP="00B42378">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2C101" w14:textId="3FEEE7BD" w:rsidR="00996CAE" w:rsidRDefault="00996CAE">
    <w:pPr>
      <w:pStyle w:val="Footer"/>
    </w:pPr>
    <w:r>
      <w:rPr>
        <w:noProof/>
      </w:rPr>
      <mc:AlternateContent>
        <mc:Choice Requires="wps">
          <w:drawing>
            <wp:anchor distT="0" distB="0" distL="114300" distR="114300" simplePos="0" relativeHeight="251658240" behindDoc="0" locked="0" layoutInCell="0" allowOverlap="1" wp14:anchorId="4D732991" wp14:editId="4B3D1720">
              <wp:simplePos x="0" y="0"/>
              <wp:positionH relativeFrom="page">
                <wp:posOffset>0</wp:posOffset>
              </wp:positionH>
              <wp:positionV relativeFrom="page">
                <wp:posOffset>10189845</wp:posOffset>
              </wp:positionV>
              <wp:extent cx="7560310" cy="311785"/>
              <wp:effectExtent l="0" t="0" r="0" b="12065"/>
              <wp:wrapNone/>
              <wp:docPr id="554642164"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A31753" w14:textId="77777777" w:rsidR="00996CAE" w:rsidRPr="00EB4BC7" w:rsidRDefault="00996CAE"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732991" id="_x0000_t202" coordsize="21600,21600" o:spt="202" path="m,l,21600r21600,l21600,xe">
              <v:stroke joinstyle="miter"/>
              <v:path gradientshapeok="t" o:connecttype="rect"/>
            </v:shapetype>
            <v:shape id="_x0000_s1035"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64A31753" w14:textId="77777777" w:rsidR="00996CAE" w:rsidRPr="00EB4BC7" w:rsidRDefault="00996CAE"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315E22">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7F33F" w14:textId="77777777" w:rsidR="00446EDD" w:rsidRDefault="00446EDD" w:rsidP="00207717">
      <w:pPr>
        <w:spacing w:before="120"/>
      </w:pPr>
      <w:r>
        <w:separator/>
      </w:r>
    </w:p>
  </w:footnote>
  <w:footnote w:type="continuationSeparator" w:id="0">
    <w:p w14:paraId="33B133D3" w14:textId="77777777" w:rsidR="00446EDD" w:rsidRDefault="00446EDD">
      <w:r>
        <w:continuationSeparator/>
      </w:r>
    </w:p>
    <w:p w14:paraId="301DF634" w14:textId="77777777" w:rsidR="00446EDD" w:rsidRDefault="00446EDD"/>
  </w:footnote>
  <w:footnote w:type="continuationNotice" w:id="1">
    <w:p w14:paraId="6DE8E25C" w14:textId="77777777" w:rsidR="00446EDD" w:rsidRDefault="00446E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F645C" w14:textId="30C81688" w:rsidR="00A72393" w:rsidRDefault="00A72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2ACCC" w14:textId="7294F192" w:rsidR="00A72393" w:rsidRDefault="00A723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127EE" w14:textId="628F5BF8" w:rsidR="00A72393" w:rsidRDefault="00A723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A00B2" w14:textId="062C5C01"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6EA43" w14:textId="30905BA8" w:rsidR="00562811" w:rsidRPr="0051568D" w:rsidRDefault="00840F25" w:rsidP="0017674D">
    <w:pPr>
      <w:pStyle w:val="Header"/>
    </w:pPr>
    <w:r w:rsidRPr="00840F25">
      <w:t xml:space="preserve"> </w:t>
    </w:r>
    <w:r w:rsidRPr="00840F25">
      <w:rPr>
        <w:noProof/>
      </w:rPr>
      <w:t xml:space="preserve">Guide to implementation of the </w:t>
    </w:r>
    <w:r w:rsidRPr="0066224D">
      <w:rPr>
        <w:i/>
        <w:iCs/>
        <w:noProof/>
      </w:rPr>
      <w:t xml:space="preserve">Safe Patient Care (Nurse to Patient and Midwife to Patient Ratios) Amendment </w:t>
    </w:r>
    <w:r w:rsidR="00FC0688">
      <w:rPr>
        <w:i/>
        <w:iCs/>
        <w:noProof/>
      </w:rPr>
      <w:t>Bill</w:t>
    </w:r>
    <w:r w:rsidR="00FC0688" w:rsidRPr="0066224D">
      <w:rPr>
        <w:i/>
        <w:iCs/>
        <w:noProof/>
      </w:rPr>
      <w:t xml:space="preserve"> </w:t>
    </w:r>
    <w:r w:rsidRPr="0066224D">
      <w:rPr>
        <w:i/>
        <w:iCs/>
        <w:noProof/>
      </w:rPr>
      <w:t>2025</w:t>
    </w:r>
    <w:r w:rsidR="00562811">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EB7CC" w14:textId="0531927F" w:rsidR="00A72393" w:rsidRDefault="00850D0A">
    <w:pPr>
      <w:pStyle w:val="Header"/>
    </w:pPr>
    <w:r>
      <w:t xml:space="preserve">Guide to implementation of amendments to the </w:t>
    </w:r>
    <w:r w:rsidRPr="00480B1B">
      <w:rPr>
        <w:i/>
        <w:iCs/>
      </w:rPr>
      <w:t>Safe Patient Care (Nurse to Patient and Midwife to Patient Ratios) Act 20</w:t>
    </w:r>
    <w:r>
      <w:rPr>
        <w:i/>
        <w:iCs/>
      </w:rPr>
      <w:t>1</w:t>
    </w:r>
    <w:r w:rsidRPr="00480B1B">
      <w:rPr>
        <w:i/>
        <w:i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6FD0"/>
    <w:multiLevelType w:val="multilevel"/>
    <w:tmpl w:val="86E6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C6EF6"/>
    <w:multiLevelType w:val="hybridMultilevel"/>
    <w:tmpl w:val="5524D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513145"/>
    <w:multiLevelType w:val="multilevel"/>
    <w:tmpl w:val="BDEA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A3A6E"/>
    <w:multiLevelType w:val="multilevel"/>
    <w:tmpl w:val="806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E0D2B3B"/>
    <w:multiLevelType w:val="multilevel"/>
    <w:tmpl w:val="7240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B144C2"/>
    <w:multiLevelType w:val="multilevel"/>
    <w:tmpl w:val="022464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8D7117"/>
    <w:multiLevelType w:val="hybridMultilevel"/>
    <w:tmpl w:val="92DC8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FD5D01"/>
    <w:multiLevelType w:val="multilevel"/>
    <w:tmpl w:val="52A6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FE4013"/>
    <w:multiLevelType w:val="multilevel"/>
    <w:tmpl w:val="9080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9A2EBF"/>
    <w:multiLevelType w:val="multilevel"/>
    <w:tmpl w:val="11DA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BE105B"/>
    <w:multiLevelType w:val="multilevel"/>
    <w:tmpl w:val="57E214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FE84A42"/>
    <w:multiLevelType w:val="multilevel"/>
    <w:tmpl w:val="2A4E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785518"/>
    <w:multiLevelType w:val="multilevel"/>
    <w:tmpl w:val="84AA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C53F5C"/>
    <w:multiLevelType w:val="hybridMultilevel"/>
    <w:tmpl w:val="EBF60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E33A91"/>
    <w:multiLevelType w:val="multilevel"/>
    <w:tmpl w:val="3DC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61742F"/>
    <w:multiLevelType w:val="multilevel"/>
    <w:tmpl w:val="168C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C01954"/>
    <w:multiLevelType w:val="hybridMultilevel"/>
    <w:tmpl w:val="BDB45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1D7CA3"/>
    <w:multiLevelType w:val="multilevel"/>
    <w:tmpl w:val="BFE0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8B730B"/>
    <w:multiLevelType w:val="multilevel"/>
    <w:tmpl w:val="8DDC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7B3089"/>
    <w:multiLevelType w:val="multilevel"/>
    <w:tmpl w:val="664C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1665B5"/>
    <w:multiLevelType w:val="multilevel"/>
    <w:tmpl w:val="2120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8445FC"/>
    <w:multiLevelType w:val="multilevel"/>
    <w:tmpl w:val="556E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B21C8B"/>
    <w:multiLevelType w:val="multilevel"/>
    <w:tmpl w:val="8A00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A419BF"/>
    <w:multiLevelType w:val="multilevel"/>
    <w:tmpl w:val="C4DE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41BE4AAE"/>
    <w:multiLevelType w:val="multilevel"/>
    <w:tmpl w:val="72E0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F467ED"/>
    <w:multiLevelType w:val="multilevel"/>
    <w:tmpl w:val="6A00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491071"/>
    <w:multiLevelType w:val="multilevel"/>
    <w:tmpl w:val="F62E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342496"/>
    <w:multiLevelType w:val="multilevel"/>
    <w:tmpl w:val="A266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53331F"/>
    <w:multiLevelType w:val="multilevel"/>
    <w:tmpl w:val="F7C6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A71EE9"/>
    <w:multiLevelType w:val="multilevel"/>
    <w:tmpl w:val="0694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F855738"/>
    <w:multiLevelType w:val="multilevel"/>
    <w:tmpl w:val="AFC6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31D3E53"/>
    <w:multiLevelType w:val="multilevel"/>
    <w:tmpl w:val="6E0E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54546FAD"/>
    <w:multiLevelType w:val="multilevel"/>
    <w:tmpl w:val="0E46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54E65653"/>
    <w:multiLevelType w:val="multilevel"/>
    <w:tmpl w:val="C776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4EF2C22"/>
    <w:multiLevelType w:val="multilevel"/>
    <w:tmpl w:val="A262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5380DF0"/>
    <w:multiLevelType w:val="multilevel"/>
    <w:tmpl w:val="AD1C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B575128"/>
    <w:multiLevelType w:val="multilevel"/>
    <w:tmpl w:val="4DBE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B7200E4"/>
    <w:multiLevelType w:val="hybridMultilevel"/>
    <w:tmpl w:val="D00C0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C7D6387"/>
    <w:multiLevelType w:val="multilevel"/>
    <w:tmpl w:val="F2E0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CFF5A4F"/>
    <w:multiLevelType w:val="multilevel"/>
    <w:tmpl w:val="7E04E3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5DF830B7"/>
    <w:multiLevelType w:val="multilevel"/>
    <w:tmpl w:val="1E96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056020F"/>
    <w:multiLevelType w:val="multilevel"/>
    <w:tmpl w:val="745A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0946B13"/>
    <w:multiLevelType w:val="multilevel"/>
    <w:tmpl w:val="FF7E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0EB54E5"/>
    <w:multiLevelType w:val="multilevel"/>
    <w:tmpl w:val="5978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1110904"/>
    <w:multiLevelType w:val="multilevel"/>
    <w:tmpl w:val="F8AC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1C175E8"/>
    <w:multiLevelType w:val="multilevel"/>
    <w:tmpl w:val="40B4B5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62837AC2"/>
    <w:multiLevelType w:val="multilevel"/>
    <w:tmpl w:val="E29AF08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3" w15:restartNumberingAfterBreak="0">
    <w:nsid w:val="63A90F5E"/>
    <w:multiLevelType w:val="multilevel"/>
    <w:tmpl w:val="97CAC5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66CA1FA1"/>
    <w:multiLevelType w:val="hybridMultilevel"/>
    <w:tmpl w:val="3DBA5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9176901"/>
    <w:multiLevelType w:val="multilevel"/>
    <w:tmpl w:val="40D4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BA14AC0"/>
    <w:multiLevelType w:val="hybridMultilevel"/>
    <w:tmpl w:val="FA30C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1AB08C9"/>
    <w:multiLevelType w:val="multilevel"/>
    <w:tmpl w:val="7D4C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57A1F96"/>
    <w:multiLevelType w:val="multilevel"/>
    <w:tmpl w:val="D4D4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6420B99"/>
    <w:multiLevelType w:val="multilevel"/>
    <w:tmpl w:val="391A25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76642E06"/>
    <w:multiLevelType w:val="multilevel"/>
    <w:tmpl w:val="A6CC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A8C1AF2"/>
    <w:multiLevelType w:val="multilevel"/>
    <w:tmpl w:val="BFF2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B9C6AE8"/>
    <w:multiLevelType w:val="multilevel"/>
    <w:tmpl w:val="4604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D5C1217"/>
    <w:multiLevelType w:val="multilevel"/>
    <w:tmpl w:val="5210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F1F2ED4"/>
    <w:multiLevelType w:val="multilevel"/>
    <w:tmpl w:val="5BCC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F5C40E6"/>
    <w:multiLevelType w:val="multilevel"/>
    <w:tmpl w:val="17DE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F7D2C84"/>
    <w:multiLevelType w:val="multilevel"/>
    <w:tmpl w:val="F362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2947913">
    <w:abstractNumId w:val="25"/>
  </w:num>
  <w:num w:numId="2" w16cid:durableId="1161895876">
    <w:abstractNumId w:val="37"/>
  </w:num>
  <w:num w:numId="3" w16cid:durableId="1661034607">
    <w:abstractNumId w:val="35"/>
  </w:num>
  <w:num w:numId="4" w16cid:durableId="418333088">
    <w:abstractNumId w:val="52"/>
  </w:num>
  <w:num w:numId="5" w16cid:durableId="664478614">
    <w:abstractNumId w:val="26"/>
  </w:num>
  <w:num w:numId="6" w16cid:durableId="1735856423">
    <w:abstractNumId w:val="4"/>
  </w:num>
  <w:num w:numId="7" w16cid:durableId="450049509">
    <w:abstractNumId w:val="6"/>
  </w:num>
  <w:num w:numId="8" w16cid:durableId="1237008808">
    <w:abstractNumId w:val="7"/>
  </w:num>
  <w:num w:numId="9" w16cid:durableId="223419535">
    <w:abstractNumId w:val="62"/>
  </w:num>
  <w:num w:numId="10" w16cid:durableId="1477188541">
    <w:abstractNumId w:val="51"/>
  </w:num>
  <w:num w:numId="11" w16cid:durableId="1427261710">
    <w:abstractNumId w:val="47"/>
  </w:num>
  <w:num w:numId="12" w16cid:durableId="1663118458">
    <w:abstractNumId w:val="66"/>
  </w:num>
  <w:num w:numId="13" w16cid:durableId="1530490188">
    <w:abstractNumId w:val="11"/>
  </w:num>
  <w:num w:numId="14" w16cid:durableId="771514929">
    <w:abstractNumId w:val="50"/>
  </w:num>
  <w:num w:numId="15" w16cid:durableId="887910136">
    <w:abstractNumId w:val="59"/>
  </w:num>
  <w:num w:numId="16" w16cid:durableId="204489262">
    <w:abstractNumId w:val="44"/>
  </w:num>
  <w:num w:numId="17" w16cid:durableId="684207387">
    <w:abstractNumId w:val="53"/>
  </w:num>
  <w:num w:numId="18" w16cid:durableId="1729568561">
    <w:abstractNumId w:val="0"/>
  </w:num>
  <w:num w:numId="19" w16cid:durableId="729810686">
    <w:abstractNumId w:val="55"/>
  </w:num>
  <w:num w:numId="20" w16cid:durableId="596596420">
    <w:abstractNumId w:val="41"/>
  </w:num>
  <w:num w:numId="21" w16cid:durableId="1081216645">
    <w:abstractNumId w:val="15"/>
  </w:num>
  <w:num w:numId="22" w16cid:durableId="671446695">
    <w:abstractNumId w:val="33"/>
  </w:num>
  <w:num w:numId="23" w16cid:durableId="1471630030">
    <w:abstractNumId w:val="18"/>
  </w:num>
  <w:num w:numId="24" w16cid:durableId="1257207178">
    <w:abstractNumId w:val="58"/>
  </w:num>
  <w:num w:numId="25" w16cid:durableId="1704357024">
    <w:abstractNumId w:val="12"/>
  </w:num>
  <w:num w:numId="26" w16cid:durableId="1932423391">
    <w:abstractNumId w:val="38"/>
  </w:num>
  <w:num w:numId="27" w16cid:durableId="162354687">
    <w:abstractNumId w:val="9"/>
  </w:num>
  <w:num w:numId="28" w16cid:durableId="1546217868">
    <w:abstractNumId w:val="40"/>
  </w:num>
  <w:num w:numId="29" w16cid:durableId="80565868">
    <w:abstractNumId w:val="28"/>
  </w:num>
  <w:num w:numId="30" w16cid:durableId="1446339636">
    <w:abstractNumId w:val="61"/>
  </w:num>
  <w:num w:numId="31" w16cid:durableId="1742948182">
    <w:abstractNumId w:val="29"/>
  </w:num>
  <w:num w:numId="32" w16cid:durableId="132336076">
    <w:abstractNumId w:val="21"/>
  </w:num>
  <w:num w:numId="33" w16cid:durableId="1026325280">
    <w:abstractNumId w:val="24"/>
  </w:num>
  <w:num w:numId="34" w16cid:durableId="1508330815">
    <w:abstractNumId w:val="46"/>
  </w:num>
  <w:num w:numId="35" w16cid:durableId="381366461">
    <w:abstractNumId w:val="23"/>
  </w:num>
  <w:num w:numId="36" w16cid:durableId="1758987422">
    <w:abstractNumId w:val="48"/>
  </w:num>
  <w:num w:numId="37" w16cid:durableId="815492137">
    <w:abstractNumId w:val="27"/>
  </w:num>
  <w:num w:numId="38" w16cid:durableId="1119110382">
    <w:abstractNumId w:val="2"/>
  </w:num>
  <w:num w:numId="39" w16cid:durableId="438647631">
    <w:abstractNumId w:val="39"/>
  </w:num>
  <w:num w:numId="40" w16cid:durableId="91706647">
    <w:abstractNumId w:val="36"/>
  </w:num>
  <w:num w:numId="41" w16cid:durableId="1017973827">
    <w:abstractNumId w:val="63"/>
  </w:num>
  <w:num w:numId="42" w16cid:durableId="2013482884">
    <w:abstractNumId w:val="19"/>
  </w:num>
  <w:num w:numId="43" w16cid:durableId="1655640670">
    <w:abstractNumId w:val="8"/>
  </w:num>
  <w:num w:numId="44" w16cid:durableId="1015958888">
    <w:abstractNumId w:val="5"/>
  </w:num>
  <w:num w:numId="45" w16cid:durableId="2089881984">
    <w:abstractNumId w:val="60"/>
  </w:num>
  <w:num w:numId="46" w16cid:durableId="1993019911">
    <w:abstractNumId w:val="65"/>
  </w:num>
  <w:num w:numId="47" w16cid:durableId="1277445357">
    <w:abstractNumId w:val="20"/>
  </w:num>
  <w:num w:numId="48" w16cid:durableId="753552410">
    <w:abstractNumId w:val="34"/>
  </w:num>
  <w:num w:numId="49" w16cid:durableId="52894613">
    <w:abstractNumId w:val="31"/>
  </w:num>
  <w:num w:numId="50" w16cid:durableId="99573122">
    <w:abstractNumId w:val="32"/>
  </w:num>
  <w:num w:numId="51" w16cid:durableId="1497258342">
    <w:abstractNumId w:val="22"/>
  </w:num>
  <w:num w:numId="52" w16cid:durableId="2098794082">
    <w:abstractNumId w:val="10"/>
  </w:num>
  <w:num w:numId="53" w16cid:durableId="866793985">
    <w:abstractNumId w:val="30"/>
  </w:num>
  <w:num w:numId="54" w16cid:durableId="41758618">
    <w:abstractNumId w:val="45"/>
  </w:num>
  <w:num w:numId="55" w16cid:durableId="62023826">
    <w:abstractNumId w:val="16"/>
  </w:num>
  <w:num w:numId="56" w16cid:durableId="1679304421">
    <w:abstractNumId w:val="43"/>
  </w:num>
  <w:num w:numId="57" w16cid:durableId="392850223">
    <w:abstractNumId w:val="49"/>
  </w:num>
  <w:num w:numId="58" w16cid:durableId="1065034611">
    <w:abstractNumId w:val="64"/>
  </w:num>
  <w:num w:numId="59" w16cid:durableId="1248533729">
    <w:abstractNumId w:val="17"/>
  </w:num>
  <w:num w:numId="60" w16cid:durableId="173227521">
    <w:abstractNumId w:val="42"/>
  </w:num>
  <w:num w:numId="61" w16cid:durableId="1535266795">
    <w:abstractNumId w:val="14"/>
  </w:num>
  <w:num w:numId="62" w16cid:durableId="61757474">
    <w:abstractNumId w:val="54"/>
  </w:num>
  <w:num w:numId="63" w16cid:durableId="1650210312">
    <w:abstractNumId w:val="57"/>
  </w:num>
  <w:num w:numId="64" w16cid:durableId="647782803">
    <w:abstractNumId w:val="13"/>
  </w:num>
  <w:num w:numId="65" w16cid:durableId="1759863375">
    <w:abstractNumId w:val="3"/>
  </w:num>
  <w:num w:numId="66" w16cid:durableId="1409959105">
    <w:abstractNumId w:val="56"/>
  </w:num>
  <w:num w:numId="67" w16cid:durableId="1769538986">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B0"/>
    <w:rsid w:val="000000AF"/>
    <w:rsid w:val="000006B7"/>
    <w:rsid w:val="00000719"/>
    <w:rsid w:val="00000CCF"/>
    <w:rsid w:val="0000108E"/>
    <w:rsid w:val="00001B6A"/>
    <w:rsid w:val="00002D68"/>
    <w:rsid w:val="00003220"/>
    <w:rsid w:val="000033F7"/>
    <w:rsid w:val="00003403"/>
    <w:rsid w:val="00004712"/>
    <w:rsid w:val="00004779"/>
    <w:rsid w:val="00004A6F"/>
    <w:rsid w:val="00005347"/>
    <w:rsid w:val="00005597"/>
    <w:rsid w:val="00006A72"/>
    <w:rsid w:val="000072B6"/>
    <w:rsid w:val="000078CA"/>
    <w:rsid w:val="00007B56"/>
    <w:rsid w:val="00010029"/>
    <w:rsid w:val="000100ED"/>
    <w:rsid w:val="0001021B"/>
    <w:rsid w:val="0001141A"/>
    <w:rsid w:val="0001168B"/>
    <w:rsid w:val="0001189A"/>
    <w:rsid w:val="00011D89"/>
    <w:rsid w:val="00012550"/>
    <w:rsid w:val="0001393F"/>
    <w:rsid w:val="00013F2E"/>
    <w:rsid w:val="0001407E"/>
    <w:rsid w:val="000144A8"/>
    <w:rsid w:val="00014D7B"/>
    <w:rsid w:val="00014D95"/>
    <w:rsid w:val="000154FD"/>
    <w:rsid w:val="00015974"/>
    <w:rsid w:val="00016CCC"/>
    <w:rsid w:val="00021947"/>
    <w:rsid w:val="00022271"/>
    <w:rsid w:val="00022693"/>
    <w:rsid w:val="00022D10"/>
    <w:rsid w:val="000235E8"/>
    <w:rsid w:val="00024485"/>
    <w:rsid w:val="0002458F"/>
    <w:rsid w:val="00024D01"/>
    <w:rsid w:val="00024D89"/>
    <w:rsid w:val="00024ECC"/>
    <w:rsid w:val="000250B6"/>
    <w:rsid w:val="0002551E"/>
    <w:rsid w:val="00025A87"/>
    <w:rsid w:val="00026540"/>
    <w:rsid w:val="00027000"/>
    <w:rsid w:val="00027BFA"/>
    <w:rsid w:val="00030CDD"/>
    <w:rsid w:val="00030E9C"/>
    <w:rsid w:val="000315B1"/>
    <w:rsid w:val="00031903"/>
    <w:rsid w:val="00032118"/>
    <w:rsid w:val="000321D9"/>
    <w:rsid w:val="0003281A"/>
    <w:rsid w:val="000332A6"/>
    <w:rsid w:val="0003389C"/>
    <w:rsid w:val="00033AA2"/>
    <w:rsid w:val="00033D81"/>
    <w:rsid w:val="00033DC9"/>
    <w:rsid w:val="00035295"/>
    <w:rsid w:val="0003561F"/>
    <w:rsid w:val="00036E7A"/>
    <w:rsid w:val="00037366"/>
    <w:rsid w:val="00037465"/>
    <w:rsid w:val="00037F65"/>
    <w:rsid w:val="00040A75"/>
    <w:rsid w:val="00040A9A"/>
    <w:rsid w:val="00041472"/>
    <w:rsid w:val="00041795"/>
    <w:rsid w:val="000417C0"/>
    <w:rsid w:val="00041BF0"/>
    <w:rsid w:val="00042C8A"/>
    <w:rsid w:val="00042D60"/>
    <w:rsid w:val="00042E19"/>
    <w:rsid w:val="00043844"/>
    <w:rsid w:val="00044776"/>
    <w:rsid w:val="00044888"/>
    <w:rsid w:val="0004536B"/>
    <w:rsid w:val="00045406"/>
    <w:rsid w:val="00045612"/>
    <w:rsid w:val="00045BD5"/>
    <w:rsid w:val="000461BD"/>
    <w:rsid w:val="00046B68"/>
    <w:rsid w:val="00046D0F"/>
    <w:rsid w:val="00047502"/>
    <w:rsid w:val="000513F5"/>
    <w:rsid w:val="00052776"/>
    <w:rsid w:val="000527DD"/>
    <w:rsid w:val="0005545B"/>
    <w:rsid w:val="000561FA"/>
    <w:rsid w:val="00056821"/>
    <w:rsid w:val="00056A76"/>
    <w:rsid w:val="00056EC4"/>
    <w:rsid w:val="000578B2"/>
    <w:rsid w:val="00060888"/>
    <w:rsid w:val="00060959"/>
    <w:rsid w:val="00060A58"/>
    <w:rsid w:val="00060C8F"/>
    <w:rsid w:val="00061681"/>
    <w:rsid w:val="00061A63"/>
    <w:rsid w:val="00061E93"/>
    <w:rsid w:val="000621FF"/>
    <w:rsid w:val="0006224B"/>
    <w:rsid w:val="000622C5"/>
    <w:rsid w:val="000628CB"/>
    <w:rsid w:val="0006298A"/>
    <w:rsid w:val="00062A9C"/>
    <w:rsid w:val="00063AB9"/>
    <w:rsid w:val="0006459F"/>
    <w:rsid w:val="00064D54"/>
    <w:rsid w:val="00064EBD"/>
    <w:rsid w:val="00065E93"/>
    <w:rsid w:val="000663CD"/>
    <w:rsid w:val="00066476"/>
    <w:rsid w:val="00066B24"/>
    <w:rsid w:val="00066F83"/>
    <w:rsid w:val="00070ABC"/>
    <w:rsid w:val="00070C61"/>
    <w:rsid w:val="00071092"/>
    <w:rsid w:val="0007122B"/>
    <w:rsid w:val="00071ED3"/>
    <w:rsid w:val="000725D5"/>
    <w:rsid w:val="00072751"/>
    <w:rsid w:val="00072B35"/>
    <w:rsid w:val="00072EF4"/>
    <w:rsid w:val="000733FE"/>
    <w:rsid w:val="00074219"/>
    <w:rsid w:val="00074ED5"/>
    <w:rsid w:val="000765C7"/>
    <w:rsid w:val="00076F8B"/>
    <w:rsid w:val="0007722D"/>
    <w:rsid w:val="000805A3"/>
    <w:rsid w:val="00080F09"/>
    <w:rsid w:val="000816A1"/>
    <w:rsid w:val="00081B4F"/>
    <w:rsid w:val="0008204A"/>
    <w:rsid w:val="00084044"/>
    <w:rsid w:val="00084894"/>
    <w:rsid w:val="00084FD9"/>
    <w:rsid w:val="0008508E"/>
    <w:rsid w:val="00085C5C"/>
    <w:rsid w:val="000865DC"/>
    <w:rsid w:val="00087951"/>
    <w:rsid w:val="00087B9A"/>
    <w:rsid w:val="0009113B"/>
    <w:rsid w:val="000930E5"/>
    <w:rsid w:val="00093402"/>
    <w:rsid w:val="00094DA3"/>
    <w:rsid w:val="00096CD1"/>
    <w:rsid w:val="00096D54"/>
    <w:rsid w:val="00096E3A"/>
    <w:rsid w:val="000A012C"/>
    <w:rsid w:val="000A03CE"/>
    <w:rsid w:val="000A08BC"/>
    <w:rsid w:val="000A0EB9"/>
    <w:rsid w:val="000A186C"/>
    <w:rsid w:val="000A1DC1"/>
    <w:rsid w:val="000A1EA4"/>
    <w:rsid w:val="000A2476"/>
    <w:rsid w:val="000A25D4"/>
    <w:rsid w:val="000A26DC"/>
    <w:rsid w:val="000A2777"/>
    <w:rsid w:val="000A2A5D"/>
    <w:rsid w:val="000A3E11"/>
    <w:rsid w:val="000A501A"/>
    <w:rsid w:val="000A57FC"/>
    <w:rsid w:val="000A589C"/>
    <w:rsid w:val="000A5D50"/>
    <w:rsid w:val="000A5E61"/>
    <w:rsid w:val="000A602A"/>
    <w:rsid w:val="000A641A"/>
    <w:rsid w:val="000A7AED"/>
    <w:rsid w:val="000A7F5A"/>
    <w:rsid w:val="000B176B"/>
    <w:rsid w:val="000B28B1"/>
    <w:rsid w:val="000B3134"/>
    <w:rsid w:val="000B3EDB"/>
    <w:rsid w:val="000B4069"/>
    <w:rsid w:val="000B4C68"/>
    <w:rsid w:val="000B5016"/>
    <w:rsid w:val="000B543D"/>
    <w:rsid w:val="000B55F9"/>
    <w:rsid w:val="000B5AF0"/>
    <w:rsid w:val="000B5BF7"/>
    <w:rsid w:val="000B63EE"/>
    <w:rsid w:val="000B6BC8"/>
    <w:rsid w:val="000B744E"/>
    <w:rsid w:val="000B7485"/>
    <w:rsid w:val="000B7932"/>
    <w:rsid w:val="000C0303"/>
    <w:rsid w:val="000C1214"/>
    <w:rsid w:val="000C2162"/>
    <w:rsid w:val="000C23DD"/>
    <w:rsid w:val="000C3265"/>
    <w:rsid w:val="000C3323"/>
    <w:rsid w:val="000C37FD"/>
    <w:rsid w:val="000C42EA"/>
    <w:rsid w:val="000C4546"/>
    <w:rsid w:val="000C4C3E"/>
    <w:rsid w:val="000C5BF7"/>
    <w:rsid w:val="000C6099"/>
    <w:rsid w:val="000C61AE"/>
    <w:rsid w:val="000C6204"/>
    <w:rsid w:val="000D0EAB"/>
    <w:rsid w:val="000D1242"/>
    <w:rsid w:val="000D1431"/>
    <w:rsid w:val="000D1857"/>
    <w:rsid w:val="000D2ABA"/>
    <w:rsid w:val="000D35F7"/>
    <w:rsid w:val="000D4365"/>
    <w:rsid w:val="000D48F7"/>
    <w:rsid w:val="000D4D5B"/>
    <w:rsid w:val="000D4D9D"/>
    <w:rsid w:val="000D4DB2"/>
    <w:rsid w:val="000D5D5F"/>
    <w:rsid w:val="000D6573"/>
    <w:rsid w:val="000E0480"/>
    <w:rsid w:val="000E0970"/>
    <w:rsid w:val="000E14B5"/>
    <w:rsid w:val="000E1F15"/>
    <w:rsid w:val="000E3CC7"/>
    <w:rsid w:val="000E44F1"/>
    <w:rsid w:val="000E4953"/>
    <w:rsid w:val="000E4E53"/>
    <w:rsid w:val="000E6BD4"/>
    <w:rsid w:val="000E6D6D"/>
    <w:rsid w:val="000E7FBF"/>
    <w:rsid w:val="000F0D29"/>
    <w:rsid w:val="000F1F1E"/>
    <w:rsid w:val="000F2259"/>
    <w:rsid w:val="000F2DDA"/>
    <w:rsid w:val="000F2EA0"/>
    <w:rsid w:val="000F2EFA"/>
    <w:rsid w:val="000F2F02"/>
    <w:rsid w:val="000F4880"/>
    <w:rsid w:val="000F5213"/>
    <w:rsid w:val="000F6E19"/>
    <w:rsid w:val="000F70B3"/>
    <w:rsid w:val="000F71F7"/>
    <w:rsid w:val="000F76EF"/>
    <w:rsid w:val="00100164"/>
    <w:rsid w:val="00100416"/>
    <w:rsid w:val="00101001"/>
    <w:rsid w:val="001013AC"/>
    <w:rsid w:val="00101978"/>
    <w:rsid w:val="001027FD"/>
    <w:rsid w:val="00102BAB"/>
    <w:rsid w:val="00103276"/>
    <w:rsid w:val="00103787"/>
    <w:rsid w:val="0010385F"/>
    <w:rsid w:val="0010392D"/>
    <w:rsid w:val="0010447F"/>
    <w:rsid w:val="00104DE3"/>
    <w:rsid w:val="00104FE3"/>
    <w:rsid w:val="00105001"/>
    <w:rsid w:val="0010532E"/>
    <w:rsid w:val="00105BC1"/>
    <w:rsid w:val="00105CD0"/>
    <w:rsid w:val="00105FE3"/>
    <w:rsid w:val="001066F0"/>
    <w:rsid w:val="0010714F"/>
    <w:rsid w:val="001074D1"/>
    <w:rsid w:val="0010794C"/>
    <w:rsid w:val="001105D7"/>
    <w:rsid w:val="00110A8C"/>
    <w:rsid w:val="00111AA2"/>
    <w:rsid w:val="00111C87"/>
    <w:rsid w:val="00111EEA"/>
    <w:rsid w:val="001120C5"/>
    <w:rsid w:val="00112B7F"/>
    <w:rsid w:val="00113466"/>
    <w:rsid w:val="0011387A"/>
    <w:rsid w:val="00113A73"/>
    <w:rsid w:val="00113FDD"/>
    <w:rsid w:val="001144BE"/>
    <w:rsid w:val="00115156"/>
    <w:rsid w:val="00115181"/>
    <w:rsid w:val="001167DB"/>
    <w:rsid w:val="00116CDD"/>
    <w:rsid w:val="00116E0F"/>
    <w:rsid w:val="00116F4A"/>
    <w:rsid w:val="00117381"/>
    <w:rsid w:val="00117C42"/>
    <w:rsid w:val="00117EAB"/>
    <w:rsid w:val="001208DC"/>
    <w:rsid w:val="00120BD3"/>
    <w:rsid w:val="00122904"/>
    <w:rsid w:val="00122FEA"/>
    <w:rsid w:val="001232BD"/>
    <w:rsid w:val="001236DC"/>
    <w:rsid w:val="00124ED5"/>
    <w:rsid w:val="00126B17"/>
    <w:rsid w:val="001276FA"/>
    <w:rsid w:val="00130133"/>
    <w:rsid w:val="00131CD2"/>
    <w:rsid w:val="00131D1B"/>
    <w:rsid w:val="00132BE7"/>
    <w:rsid w:val="00132C37"/>
    <w:rsid w:val="001334F2"/>
    <w:rsid w:val="00134195"/>
    <w:rsid w:val="001341AB"/>
    <w:rsid w:val="001343CD"/>
    <w:rsid w:val="00134402"/>
    <w:rsid w:val="00134779"/>
    <w:rsid w:val="00137004"/>
    <w:rsid w:val="0013712B"/>
    <w:rsid w:val="00140BAF"/>
    <w:rsid w:val="00141671"/>
    <w:rsid w:val="00142023"/>
    <w:rsid w:val="00142428"/>
    <w:rsid w:val="00143BC8"/>
    <w:rsid w:val="0014404A"/>
    <w:rsid w:val="00144119"/>
    <w:rsid w:val="001447B3"/>
    <w:rsid w:val="001447F0"/>
    <w:rsid w:val="00144BD2"/>
    <w:rsid w:val="00144D94"/>
    <w:rsid w:val="001471AD"/>
    <w:rsid w:val="001478CB"/>
    <w:rsid w:val="00147B23"/>
    <w:rsid w:val="0015092F"/>
    <w:rsid w:val="00151091"/>
    <w:rsid w:val="001513EC"/>
    <w:rsid w:val="00152073"/>
    <w:rsid w:val="00152329"/>
    <w:rsid w:val="00152A9D"/>
    <w:rsid w:val="00153A65"/>
    <w:rsid w:val="001540BD"/>
    <w:rsid w:val="00156419"/>
    <w:rsid w:val="00156598"/>
    <w:rsid w:val="00157A81"/>
    <w:rsid w:val="00157DAC"/>
    <w:rsid w:val="00157E7D"/>
    <w:rsid w:val="001611B3"/>
    <w:rsid w:val="001613BD"/>
    <w:rsid w:val="00161939"/>
    <w:rsid w:val="00161AA0"/>
    <w:rsid w:val="00161BC7"/>
    <w:rsid w:val="00161D2E"/>
    <w:rsid w:val="00161F3E"/>
    <w:rsid w:val="00162093"/>
    <w:rsid w:val="00162670"/>
    <w:rsid w:val="00162944"/>
    <w:rsid w:val="00162CA9"/>
    <w:rsid w:val="00163812"/>
    <w:rsid w:val="00164AD5"/>
    <w:rsid w:val="00165459"/>
    <w:rsid w:val="00165780"/>
    <w:rsid w:val="001657AF"/>
    <w:rsid w:val="00165A57"/>
    <w:rsid w:val="00165C6C"/>
    <w:rsid w:val="00170560"/>
    <w:rsid w:val="00170B9C"/>
    <w:rsid w:val="00170BE5"/>
    <w:rsid w:val="001712C2"/>
    <w:rsid w:val="0017216E"/>
    <w:rsid w:val="00172BAF"/>
    <w:rsid w:val="00172D00"/>
    <w:rsid w:val="0017365C"/>
    <w:rsid w:val="001737B1"/>
    <w:rsid w:val="00174517"/>
    <w:rsid w:val="00174681"/>
    <w:rsid w:val="00175563"/>
    <w:rsid w:val="00175FF7"/>
    <w:rsid w:val="0017674D"/>
    <w:rsid w:val="001771DD"/>
    <w:rsid w:val="00177995"/>
    <w:rsid w:val="00177A8C"/>
    <w:rsid w:val="00180F06"/>
    <w:rsid w:val="00181D99"/>
    <w:rsid w:val="0018244E"/>
    <w:rsid w:val="00182FBC"/>
    <w:rsid w:val="00184B24"/>
    <w:rsid w:val="00184DD3"/>
    <w:rsid w:val="001853C4"/>
    <w:rsid w:val="00185B67"/>
    <w:rsid w:val="00186B33"/>
    <w:rsid w:val="00187867"/>
    <w:rsid w:val="001916DC"/>
    <w:rsid w:val="00191E64"/>
    <w:rsid w:val="00192741"/>
    <w:rsid w:val="00192F9D"/>
    <w:rsid w:val="00193CF4"/>
    <w:rsid w:val="001949DE"/>
    <w:rsid w:val="0019509E"/>
    <w:rsid w:val="001957D2"/>
    <w:rsid w:val="0019596A"/>
    <w:rsid w:val="0019624E"/>
    <w:rsid w:val="00196A4E"/>
    <w:rsid w:val="00196A93"/>
    <w:rsid w:val="00196EB8"/>
    <w:rsid w:val="00196EFB"/>
    <w:rsid w:val="001979FF"/>
    <w:rsid w:val="00197B17"/>
    <w:rsid w:val="001A007D"/>
    <w:rsid w:val="001A1950"/>
    <w:rsid w:val="001A1C54"/>
    <w:rsid w:val="001A201F"/>
    <w:rsid w:val="001A20FF"/>
    <w:rsid w:val="001A23C7"/>
    <w:rsid w:val="001A2409"/>
    <w:rsid w:val="001A2700"/>
    <w:rsid w:val="001A3ACE"/>
    <w:rsid w:val="001A52EB"/>
    <w:rsid w:val="001A5954"/>
    <w:rsid w:val="001A6272"/>
    <w:rsid w:val="001A6CA7"/>
    <w:rsid w:val="001A70BD"/>
    <w:rsid w:val="001A73B9"/>
    <w:rsid w:val="001A742D"/>
    <w:rsid w:val="001B058F"/>
    <w:rsid w:val="001B05DC"/>
    <w:rsid w:val="001B0C88"/>
    <w:rsid w:val="001B1360"/>
    <w:rsid w:val="001B1967"/>
    <w:rsid w:val="001B1BEA"/>
    <w:rsid w:val="001B1E5A"/>
    <w:rsid w:val="001B20C2"/>
    <w:rsid w:val="001B3184"/>
    <w:rsid w:val="001B3F75"/>
    <w:rsid w:val="001B4636"/>
    <w:rsid w:val="001B473F"/>
    <w:rsid w:val="001B522C"/>
    <w:rsid w:val="001B5447"/>
    <w:rsid w:val="001B5BCD"/>
    <w:rsid w:val="001B625F"/>
    <w:rsid w:val="001B64C0"/>
    <w:rsid w:val="001B657B"/>
    <w:rsid w:val="001B6748"/>
    <w:rsid w:val="001B6B96"/>
    <w:rsid w:val="001B738B"/>
    <w:rsid w:val="001C09DB"/>
    <w:rsid w:val="001C1748"/>
    <w:rsid w:val="001C277E"/>
    <w:rsid w:val="001C2795"/>
    <w:rsid w:val="001C2A72"/>
    <w:rsid w:val="001C2CCA"/>
    <w:rsid w:val="001C31B7"/>
    <w:rsid w:val="001C4645"/>
    <w:rsid w:val="001C4C21"/>
    <w:rsid w:val="001C4FBE"/>
    <w:rsid w:val="001C6019"/>
    <w:rsid w:val="001C6B5C"/>
    <w:rsid w:val="001D0B75"/>
    <w:rsid w:val="001D12D6"/>
    <w:rsid w:val="001D272E"/>
    <w:rsid w:val="001D2887"/>
    <w:rsid w:val="001D39A5"/>
    <w:rsid w:val="001D3C09"/>
    <w:rsid w:val="001D44E8"/>
    <w:rsid w:val="001D505E"/>
    <w:rsid w:val="001D505F"/>
    <w:rsid w:val="001D5341"/>
    <w:rsid w:val="001D60EC"/>
    <w:rsid w:val="001D6F59"/>
    <w:rsid w:val="001D7376"/>
    <w:rsid w:val="001D7EF2"/>
    <w:rsid w:val="001E04DC"/>
    <w:rsid w:val="001E18C9"/>
    <w:rsid w:val="001E18EE"/>
    <w:rsid w:val="001E33EE"/>
    <w:rsid w:val="001E3563"/>
    <w:rsid w:val="001E42A4"/>
    <w:rsid w:val="001E44DF"/>
    <w:rsid w:val="001E4A56"/>
    <w:rsid w:val="001E50EC"/>
    <w:rsid w:val="001E5600"/>
    <w:rsid w:val="001E5DEF"/>
    <w:rsid w:val="001E61D3"/>
    <w:rsid w:val="001E6697"/>
    <w:rsid w:val="001E67BA"/>
    <w:rsid w:val="001E68A5"/>
    <w:rsid w:val="001E6BB0"/>
    <w:rsid w:val="001E7282"/>
    <w:rsid w:val="001F04F1"/>
    <w:rsid w:val="001F0C9B"/>
    <w:rsid w:val="001F0EB9"/>
    <w:rsid w:val="001F15B5"/>
    <w:rsid w:val="001F1E5B"/>
    <w:rsid w:val="001F2344"/>
    <w:rsid w:val="001F24BF"/>
    <w:rsid w:val="001F2C27"/>
    <w:rsid w:val="001F3186"/>
    <w:rsid w:val="001F3826"/>
    <w:rsid w:val="001F3AE2"/>
    <w:rsid w:val="001F4FDD"/>
    <w:rsid w:val="001F5069"/>
    <w:rsid w:val="001F59BB"/>
    <w:rsid w:val="001F5D94"/>
    <w:rsid w:val="001F698A"/>
    <w:rsid w:val="001F6E46"/>
    <w:rsid w:val="001F76D6"/>
    <w:rsid w:val="001F7700"/>
    <w:rsid w:val="001F7C91"/>
    <w:rsid w:val="002008CF"/>
    <w:rsid w:val="00200960"/>
    <w:rsid w:val="00200DF7"/>
    <w:rsid w:val="00201509"/>
    <w:rsid w:val="00202C81"/>
    <w:rsid w:val="002033B7"/>
    <w:rsid w:val="00204930"/>
    <w:rsid w:val="00204B27"/>
    <w:rsid w:val="00204D3C"/>
    <w:rsid w:val="00204F25"/>
    <w:rsid w:val="002056DA"/>
    <w:rsid w:val="00205CE8"/>
    <w:rsid w:val="00206463"/>
    <w:rsid w:val="00206F2F"/>
    <w:rsid w:val="00207717"/>
    <w:rsid w:val="00207A57"/>
    <w:rsid w:val="00207E33"/>
    <w:rsid w:val="00210093"/>
    <w:rsid w:val="00210397"/>
    <w:rsid w:val="0021053D"/>
    <w:rsid w:val="00210A92"/>
    <w:rsid w:val="00211BD7"/>
    <w:rsid w:val="00211D75"/>
    <w:rsid w:val="00212B95"/>
    <w:rsid w:val="00213243"/>
    <w:rsid w:val="0021445E"/>
    <w:rsid w:val="00215CC8"/>
    <w:rsid w:val="00216C03"/>
    <w:rsid w:val="002170C5"/>
    <w:rsid w:val="002172E5"/>
    <w:rsid w:val="00217625"/>
    <w:rsid w:val="00220A1A"/>
    <w:rsid w:val="00220C04"/>
    <w:rsid w:val="00221CE7"/>
    <w:rsid w:val="00222466"/>
    <w:rsid w:val="0022269A"/>
    <w:rsid w:val="0022278D"/>
    <w:rsid w:val="00222F08"/>
    <w:rsid w:val="00223E11"/>
    <w:rsid w:val="002240A6"/>
    <w:rsid w:val="00224B23"/>
    <w:rsid w:val="00226354"/>
    <w:rsid w:val="00226450"/>
    <w:rsid w:val="0022701F"/>
    <w:rsid w:val="0022782C"/>
    <w:rsid w:val="00227ACA"/>
    <w:rsid w:val="00227C68"/>
    <w:rsid w:val="00227E2B"/>
    <w:rsid w:val="00230996"/>
    <w:rsid w:val="00230A71"/>
    <w:rsid w:val="00232447"/>
    <w:rsid w:val="0023325B"/>
    <w:rsid w:val="002333F5"/>
    <w:rsid w:val="00233724"/>
    <w:rsid w:val="0023470F"/>
    <w:rsid w:val="00234DDF"/>
    <w:rsid w:val="002357C2"/>
    <w:rsid w:val="002362F0"/>
    <w:rsid w:val="002365B4"/>
    <w:rsid w:val="00236607"/>
    <w:rsid w:val="00236EA6"/>
    <w:rsid w:val="002370A9"/>
    <w:rsid w:val="002375E1"/>
    <w:rsid w:val="002376DA"/>
    <w:rsid w:val="00240532"/>
    <w:rsid w:val="002405C7"/>
    <w:rsid w:val="00242002"/>
    <w:rsid w:val="0024203C"/>
    <w:rsid w:val="0024267E"/>
    <w:rsid w:val="002432E1"/>
    <w:rsid w:val="00243579"/>
    <w:rsid w:val="00244042"/>
    <w:rsid w:val="0024585D"/>
    <w:rsid w:val="00245B09"/>
    <w:rsid w:val="00246207"/>
    <w:rsid w:val="0024624C"/>
    <w:rsid w:val="00246638"/>
    <w:rsid w:val="00246BAF"/>
    <w:rsid w:val="00246C5E"/>
    <w:rsid w:val="002479CD"/>
    <w:rsid w:val="00250960"/>
    <w:rsid w:val="00250A30"/>
    <w:rsid w:val="00250C46"/>
    <w:rsid w:val="00250E80"/>
    <w:rsid w:val="00251343"/>
    <w:rsid w:val="002525D1"/>
    <w:rsid w:val="0025274D"/>
    <w:rsid w:val="002533EE"/>
    <w:rsid w:val="002536A4"/>
    <w:rsid w:val="00253C79"/>
    <w:rsid w:val="00253DBB"/>
    <w:rsid w:val="00253DD2"/>
    <w:rsid w:val="002543F8"/>
    <w:rsid w:val="00254A93"/>
    <w:rsid w:val="00254BBE"/>
    <w:rsid w:val="00254BFA"/>
    <w:rsid w:val="00254F58"/>
    <w:rsid w:val="0025577B"/>
    <w:rsid w:val="00255A02"/>
    <w:rsid w:val="00255AD0"/>
    <w:rsid w:val="00255D96"/>
    <w:rsid w:val="002567B0"/>
    <w:rsid w:val="00257364"/>
    <w:rsid w:val="002608CA"/>
    <w:rsid w:val="002620BC"/>
    <w:rsid w:val="00262468"/>
    <w:rsid w:val="00262802"/>
    <w:rsid w:val="00262A7B"/>
    <w:rsid w:val="00263472"/>
    <w:rsid w:val="00263A90"/>
    <w:rsid w:val="0026408B"/>
    <w:rsid w:val="0026430E"/>
    <w:rsid w:val="00264AEA"/>
    <w:rsid w:val="00264C37"/>
    <w:rsid w:val="00267C3E"/>
    <w:rsid w:val="00267DB5"/>
    <w:rsid w:val="002709BB"/>
    <w:rsid w:val="00270C98"/>
    <w:rsid w:val="00270CB7"/>
    <w:rsid w:val="0027131C"/>
    <w:rsid w:val="00272CA0"/>
    <w:rsid w:val="00273890"/>
    <w:rsid w:val="00273BAC"/>
    <w:rsid w:val="00274AEB"/>
    <w:rsid w:val="00275D2D"/>
    <w:rsid w:val="002763B3"/>
    <w:rsid w:val="00276686"/>
    <w:rsid w:val="002772A5"/>
    <w:rsid w:val="00277406"/>
    <w:rsid w:val="00277A6E"/>
    <w:rsid w:val="002802E3"/>
    <w:rsid w:val="00280494"/>
    <w:rsid w:val="00280706"/>
    <w:rsid w:val="00280DBB"/>
    <w:rsid w:val="00281929"/>
    <w:rsid w:val="0028213D"/>
    <w:rsid w:val="0028345A"/>
    <w:rsid w:val="002841F1"/>
    <w:rsid w:val="00284B2B"/>
    <w:rsid w:val="00285100"/>
    <w:rsid w:val="0028514C"/>
    <w:rsid w:val="002851C5"/>
    <w:rsid w:val="00285CFB"/>
    <w:rsid w:val="00285D41"/>
    <w:rsid w:val="002862F1"/>
    <w:rsid w:val="00286415"/>
    <w:rsid w:val="00287A07"/>
    <w:rsid w:val="002906E7"/>
    <w:rsid w:val="00290CD3"/>
    <w:rsid w:val="00290F5B"/>
    <w:rsid w:val="00291373"/>
    <w:rsid w:val="00291CA5"/>
    <w:rsid w:val="00292C85"/>
    <w:rsid w:val="00292D39"/>
    <w:rsid w:val="00293BBE"/>
    <w:rsid w:val="002949F5"/>
    <w:rsid w:val="00295593"/>
    <w:rsid w:val="002957E6"/>
    <w:rsid w:val="0029597D"/>
    <w:rsid w:val="00295F0E"/>
    <w:rsid w:val="002962C3"/>
    <w:rsid w:val="002969AC"/>
    <w:rsid w:val="00296BC0"/>
    <w:rsid w:val="0029752B"/>
    <w:rsid w:val="0029760F"/>
    <w:rsid w:val="00297E6C"/>
    <w:rsid w:val="002A0A9C"/>
    <w:rsid w:val="002A0BF2"/>
    <w:rsid w:val="002A1A6E"/>
    <w:rsid w:val="002A25A3"/>
    <w:rsid w:val="002A25D6"/>
    <w:rsid w:val="002A2E24"/>
    <w:rsid w:val="002A31E7"/>
    <w:rsid w:val="002A32A6"/>
    <w:rsid w:val="002A3DCD"/>
    <w:rsid w:val="002A483C"/>
    <w:rsid w:val="002A4CA7"/>
    <w:rsid w:val="002A4CC1"/>
    <w:rsid w:val="002A7893"/>
    <w:rsid w:val="002B0265"/>
    <w:rsid w:val="002B0C7C"/>
    <w:rsid w:val="002B0EE7"/>
    <w:rsid w:val="002B1729"/>
    <w:rsid w:val="002B2A59"/>
    <w:rsid w:val="002B30AF"/>
    <w:rsid w:val="002B36C7"/>
    <w:rsid w:val="002B3890"/>
    <w:rsid w:val="002B3932"/>
    <w:rsid w:val="002B3D56"/>
    <w:rsid w:val="002B4DD4"/>
    <w:rsid w:val="002B5277"/>
    <w:rsid w:val="002B5375"/>
    <w:rsid w:val="002B7070"/>
    <w:rsid w:val="002B77C1"/>
    <w:rsid w:val="002B78B1"/>
    <w:rsid w:val="002B7DC5"/>
    <w:rsid w:val="002C056C"/>
    <w:rsid w:val="002C0C00"/>
    <w:rsid w:val="002C0ED7"/>
    <w:rsid w:val="002C0F9E"/>
    <w:rsid w:val="002C1290"/>
    <w:rsid w:val="002C1B63"/>
    <w:rsid w:val="002C1E54"/>
    <w:rsid w:val="002C1E62"/>
    <w:rsid w:val="002C2728"/>
    <w:rsid w:val="002C2D96"/>
    <w:rsid w:val="002C2F4C"/>
    <w:rsid w:val="002C3102"/>
    <w:rsid w:val="002C3572"/>
    <w:rsid w:val="002C35FC"/>
    <w:rsid w:val="002C47C9"/>
    <w:rsid w:val="002C52C9"/>
    <w:rsid w:val="002C550A"/>
    <w:rsid w:val="002C5B7C"/>
    <w:rsid w:val="002C6133"/>
    <w:rsid w:val="002D0E99"/>
    <w:rsid w:val="002D0F1D"/>
    <w:rsid w:val="002D1236"/>
    <w:rsid w:val="002D183B"/>
    <w:rsid w:val="002D1E0D"/>
    <w:rsid w:val="002D377F"/>
    <w:rsid w:val="002D4A71"/>
    <w:rsid w:val="002D5006"/>
    <w:rsid w:val="002D7C61"/>
    <w:rsid w:val="002E01D0"/>
    <w:rsid w:val="002E0294"/>
    <w:rsid w:val="002E161D"/>
    <w:rsid w:val="002E28A2"/>
    <w:rsid w:val="002E2EB0"/>
    <w:rsid w:val="002E3100"/>
    <w:rsid w:val="002E3978"/>
    <w:rsid w:val="002E39F3"/>
    <w:rsid w:val="002E3C04"/>
    <w:rsid w:val="002E51FA"/>
    <w:rsid w:val="002E6426"/>
    <w:rsid w:val="002E6C95"/>
    <w:rsid w:val="002E7C36"/>
    <w:rsid w:val="002F06C1"/>
    <w:rsid w:val="002F0E76"/>
    <w:rsid w:val="002F1601"/>
    <w:rsid w:val="002F1FF6"/>
    <w:rsid w:val="002F2C65"/>
    <w:rsid w:val="002F37B0"/>
    <w:rsid w:val="002F3D32"/>
    <w:rsid w:val="002F42C7"/>
    <w:rsid w:val="002F4C6E"/>
    <w:rsid w:val="002F5E07"/>
    <w:rsid w:val="002F5F31"/>
    <w:rsid w:val="002F5F46"/>
    <w:rsid w:val="002F6118"/>
    <w:rsid w:val="002F6621"/>
    <w:rsid w:val="002F6919"/>
    <w:rsid w:val="002F6A9F"/>
    <w:rsid w:val="002F6DA5"/>
    <w:rsid w:val="002F6E75"/>
    <w:rsid w:val="00301540"/>
    <w:rsid w:val="00302216"/>
    <w:rsid w:val="0030320B"/>
    <w:rsid w:val="00303E53"/>
    <w:rsid w:val="00304E41"/>
    <w:rsid w:val="003052B3"/>
    <w:rsid w:val="003053E8"/>
    <w:rsid w:val="00305CC1"/>
    <w:rsid w:val="00306D39"/>
    <w:rsid w:val="00306E5F"/>
    <w:rsid w:val="00307E14"/>
    <w:rsid w:val="00310778"/>
    <w:rsid w:val="00310CB4"/>
    <w:rsid w:val="003114BC"/>
    <w:rsid w:val="00311511"/>
    <w:rsid w:val="00311A6B"/>
    <w:rsid w:val="00313B55"/>
    <w:rsid w:val="00314054"/>
    <w:rsid w:val="0031497F"/>
    <w:rsid w:val="00314DFA"/>
    <w:rsid w:val="00315E22"/>
    <w:rsid w:val="0031683F"/>
    <w:rsid w:val="00316AE8"/>
    <w:rsid w:val="00316F27"/>
    <w:rsid w:val="00320163"/>
    <w:rsid w:val="00320E8C"/>
    <w:rsid w:val="003214F1"/>
    <w:rsid w:val="00321AE3"/>
    <w:rsid w:val="00321DA3"/>
    <w:rsid w:val="003224D8"/>
    <w:rsid w:val="00322DF7"/>
    <w:rsid w:val="00322E4B"/>
    <w:rsid w:val="00322F97"/>
    <w:rsid w:val="00324F3B"/>
    <w:rsid w:val="00325DCB"/>
    <w:rsid w:val="00326D63"/>
    <w:rsid w:val="003272D8"/>
    <w:rsid w:val="00327870"/>
    <w:rsid w:val="00327C97"/>
    <w:rsid w:val="00330110"/>
    <w:rsid w:val="00331746"/>
    <w:rsid w:val="0033177F"/>
    <w:rsid w:val="00331E63"/>
    <w:rsid w:val="0033259D"/>
    <w:rsid w:val="00333374"/>
    <w:rsid w:val="003333D2"/>
    <w:rsid w:val="003334A5"/>
    <w:rsid w:val="00333B2B"/>
    <w:rsid w:val="00334686"/>
    <w:rsid w:val="0033487D"/>
    <w:rsid w:val="00334B8E"/>
    <w:rsid w:val="00334ED4"/>
    <w:rsid w:val="00335830"/>
    <w:rsid w:val="00336F77"/>
    <w:rsid w:val="00337339"/>
    <w:rsid w:val="00340345"/>
    <w:rsid w:val="003406C6"/>
    <w:rsid w:val="00341512"/>
    <w:rsid w:val="003418CC"/>
    <w:rsid w:val="00341B0E"/>
    <w:rsid w:val="00342F41"/>
    <w:rsid w:val="003434EE"/>
    <w:rsid w:val="00343BF7"/>
    <w:rsid w:val="00343FE8"/>
    <w:rsid w:val="00345829"/>
    <w:rsid w:val="003459BD"/>
    <w:rsid w:val="00345CB7"/>
    <w:rsid w:val="00345F8B"/>
    <w:rsid w:val="00350D38"/>
    <w:rsid w:val="00351B36"/>
    <w:rsid w:val="00351EE8"/>
    <w:rsid w:val="0035212D"/>
    <w:rsid w:val="00352445"/>
    <w:rsid w:val="003524F7"/>
    <w:rsid w:val="00352DDA"/>
    <w:rsid w:val="00355B4B"/>
    <w:rsid w:val="00355EF1"/>
    <w:rsid w:val="003573B6"/>
    <w:rsid w:val="00357B4E"/>
    <w:rsid w:val="00360352"/>
    <w:rsid w:val="00361B97"/>
    <w:rsid w:val="0036268F"/>
    <w:rsid w:val="00362B7A"/>
    <w:rsid w:val="003642E0"/>
    <w:rsid w:val="00364C9B"/>
    <w:rsid w:val="00364CF2"/>
    <w:rsid w:val="0036516C"/>
    <w:rsid w:val="00365588"/>
    <w:rsid w:val="00365A67"/>
    <w:rsid w:val="00366A92"/>
    <w:rsid w:val="00366CE0"/>
    <w:rsid w:val="00366DBF"/>
    <w:rsid w:val="00367EB5"/>
    <w:rsid w:val="003705EC"/>
    <w:rsid w:val="00370DC3"/>
    <w:rsid w:val="003716FD"/>
    <w:rsid w:val="003718E7"/>
    <w:rsid w:val="0037197C"/>
    <w:rsid w:val="0037204B"/>
    <w:rsid w:val="00373656"/>
    <w:rsid w:val="003737BC"/>
    <w:rsid w:val="00373AA8"/>
    <w:rsid w:val="003744CF"/>
    <w:rsid w:val="00374717"/>
    <w:rsid w:val="0037676C"/>
    <w:rsid w:val="00376A2E"/>
    <w:rsid w:val="00376C16"/>
    <w:rsid w:val="00381043"/>
    <w:rsid w:val="0038134F"/>
    <w:rsid w:val="0038242D"/>
    <w:rsid w:val="00382747"/>
    <w:rsid w:val="003829E5"/>
    <w:rsid w:val="00382F48"/>
    <w:rsid w:val="00383F77"/>
    <w:rsid w:val="00385D2F"/>
    <w:rsid w:val="00385EBC"/>
    <w:rsid w:val="00386014"/>
    <w:rsid w:val="00386109"/>
    <w:rsid w:val="003862EC"/>
    <w:rsid w:val="00386944"/>
    <w:rsid w:val="00387353"/>
    <w:rsid w:val="00387731"/>
    <w:rsid w:val="003910CD"/>
    <w:rsid w:val="00392310"/>
    <w:rsid w:val="00392D4B"/>
    <w:rsid w:val="00394BD0"/>
    <w:rsid w:val="003956CC"/>
    <w:rsid w:val="00395C9A"/>
    <w:rsid w:val="00396174"/>
    <w:rsid w:val="0039697D"/>
    <w:rsid w:val="003A0853"/>
    <w:rsid w:val="003A12C0"/>
    <w:rsid w:val="003A2B3C"/>
    <w:rsid w:val="003A3B70"/>
    <w:rsid w:val="003A3F36"/>
    <w:rsid w:val="003A4342"/>
    <w:rsid w:val="003A4722"/>
    <w:rsid w:val="003A641E"/>
    <w:rsid w:val="003A6B67"/>
    <w:rsid w:val="003A6D12"/>
    <w:rsid w:val="003A6F0E"/>
    <w:rsid w:val="003A6F82"/>
    <w:rsid w:val="003A7A8B"/>
    <w:rsid w:val="003B0411"/>
    <w:rsid w:val="003B0563"/>
    <w:rsid w:val="003B13B6"/>
    <w:rsid w:val="003B14C3"/>
    <w:rsid w:val="003B15E6"/>
    <w:rsid w:val="003B1CB1"/>
    <w:rsid w:val="003B22EF"/>
    <w:rsid w:val="003B313C"/>
    <w:rsid w:val="003B408A"/>
    <w:rsid w:val="003B4A9B"/>
    <w:rsid w:val="003B5BEB"/>
    <w:rsid w:val="003B5D34"/>
    <w:rsid w:val="003B6826"/>
    <w:rsid w:val="003B75CA"/>
    <w:rsid w:val="003C08A2"/>
    <w:rsid w:val="003C1BA8"/>
    <w:rsid w:val="003C2045"/>
    <w:rsid w:val="003C2851"/>
    <w:rsid w:val="003C42A2"/>
    <w:rsid w:val="003C43A1"/>
    <w:rsid w:val="003C450F"/>
    <w:rsid w:val="003C4CD8"/>
    <w:rsid w:val="003C4FC0"/>
    <w:rsid w:val="003C5043"/>
    <w:rsid w:val="003C50BF"/>
    <w:rsid w:val="003C54D4"/>
    <w:rsid w:val="003C55F4"/>
    <w:rsid w:val="003C5926"/>
    <w:rsid w:val="003C6702"/>
    <w:rsid w:val="003C7897"/>
    <w:rsid w:val="003C7A3F"/>
    <w:rsid w:val="003D0CED"/>
    <w:rsid w:val="003D103F"/>
    <w:rsid w:val="003D1517"/>
    <w:rsid w:val="003D2530"/>
    <w:rsid w:val="003D25F9"/>
    <w:rsid w:val="003D2766"/>
    <w:rsid w:val="003D2A74"/>
    <w:rsid w:val="003D3D22"/>
    <w:rsid w:val="003D3D88"/>
    <w:rsid w:val="003D3E8F"/>
    <w:rsid w:val="003D480C"/>
    <w:rsid w:val="003D516E"/>
    <w:rsid w:val="003D6475"/>
    <w:rsid w:val="003D6643"/>
    <w:rsid w:val="003D6EE6"/>
    <w:rsid w:val="003D7FA6"/>
    <w:rsid w:val="003E051E"/>
    <w:rsid w:val="003E08EF"/>
    <w:rsid w:val="003E20B5"/>
    <w:rsid w:val="003E296D"/>
    <w:rsid w:val="003E2DC8"/>
    <w:rsid w:val="003E2EE3"/>
    <w:rsid w:val="003E375C"/>
    <w:rsid w:val="003E3AEE"/>
    <w:rsid w:val="003E4086"/>
    <w:rsid w:val="003E44F2"/>
    <w:rsid w:val="003E48A9"/>
    <w:rsid w:val="003E639E"/>
    <w:rsid w:val="003E65B7"/>
    <w:rsid w:val="003E65DC"/>
    <w:rsid w:val="003E71E5"/>
    <w:rsid w:val="003F0445"/>
    <w:rsid w:val="003F0CF0"/>
    <w:rsid w:val="003F14B1"/>
    <w:rsid w:val="003F2B20"/>
    <w:rsid w:val="003F3289"/>
    <w:rsid w:val="003F3A20"/>
    <w:rsid w:val="003F3C62"/>
    <w:rsid w:val="003F47D0"/>
    <w:rsid w:val="003F5CB9"/>
    <w:rsid w:val="003F9814"/>
    <w:rsid w:val="0040051A"/>
    <w:rsid w:val="00400A52"/>
    <w:rsid w:val="00400D76"/>
    <w:rsid w:val="004013C7"/>
    <w:rsid w:val="00401919"/>
    <w:rsid w:val="00401FCF"/>
    <w:rsid w:val="00403596"/>
    <w:rsid w:val="00404251"/>
    <w:rsid w:val="00404FBF"/>
    <w:rsid w:val="0040625A"/>
    <w:rsid w:val="00406285"/>
    <w:rsid w:val="00406509"/>
    <w:rsid w:val="00406B11"/>
    <w:rsid w:val="0041062D"/>
    <w:rsid w:val="00410A29"/>
    <w:rsid w:val="00410A42"/>
    <w:rsid w:val="004115A2"/>
    <w:rsid w:val="004125B9"/>
    <w:rsid w:val="00412AED"/>
    <w:rsid w:val="004148F9"/>
    <w:rsid w:val="00414D3C"/>
    <w:rsid w:val="00415597"/>
    <w:rsid w:val="00415C70"/>
    <w:rsid w:val="00415F97"/>
    <w:rsid w:val="00416446"/>
    <w:rsid w:val="00416566"/>
    <w:rsid w:val="004170B2"/>
    <w:rsid w:val="004205F6"/>
    <w:rsid w:val="0042084E"/>
    <w:rsid w:val="00421EEF"/>
    <w:rsid w:val="00424D65"/>
    <w:rsid w:val="00424FCB"/>
    <w:rsid w:val="004255D8"/>
    <w:rsid w:val="004258B1"/>
    <w:rsid w:val="00425C93"/>
    <w:rsid w:val="004274BA"/>
    <w:rsid w:val="00430393"/>
    <w:rsid w:val="004305A8"/>
    <w:rsid w:val="00430951"/>
    <w:rsid w:val="00430C50"/>
    <w:rsid w:val="00431016"/>
    <w:rsid w:val="00431806"/>
    <w:rsid w:val="00431A70"/>
    <w:rsid w:val="00431F42"/>
    <w:rsid w:val="00432999"/>
    <w:rsid w:val="00432F0F"/>
    <w:rsid w:val="00433A09"/>
    <w:rsid w:val="00434234"/>
    <w:rsid w:val="00434274"/>
    <w:rsid w:val="00434F0D"/>
    <w:rsid w:val="004352C8"/>
    <w:rsid w:val="00435575"/>
    <w:rsid w:val="004364B0"/>
    <w:rsid w:val="004375DB"/>
    <w:rsid w:val="00437BDD"/>
    <w:rsid w:val="004403D6"/>
    <w:rsid w:val="00440404"/>
    <w:rsid w:val="004408C5"/>
    <w:rsid w:val="00440C41"/>
    <w:rsid w:val="004416AD"/>
    <w:rsid w:val="00442C6C"/>
    <w:rsid w:val="00442ECC"/>
    <w:rsid w:val="00443A81"/>
    <w:rsid w:val="00443C74"/>
    <w:rsid w:val="00443CBE"/>
    <w:rsid w:val="00443E8A"/>
    <w:rsid w:val="004440B2"/>
    <w:rsid w:val="004441BC"/>
    <w:rsid w:val="00444883"/>
    <w:rsid w:val="00444C30"/>
    <w:rsid w:val="004451DC"/>
    <w:rsid w:val="00445593"/>
    <w:rsid w:val="00445A31"/>
    <w:rsid w:val="00445CC0"/>
    <w:rsid w:val="00446298"/>
    <w:rsid w:val="004468B4"/>
    <w:rsid w:val="00446D86"/>
    <w:rsid w:val="00446EDD"/>
    <w:rsid w:val="004476D4"/>
    <w:rsid w:val="00447D77"/>
    <w:rsid w:val="00447DF2"/>
    <w:rsid w:val="0045230A"/>
    <w:rsid w:val="00452F55"/>
    <w:rsid w:val="0045398E"/>
    <w:rsid w:val="00453AA6"/>
    <w:rsid w:val="00454A0C"/>
    <w:rsid w:val="00454A7D"/>
    <w:rsid w:val="00454AD0"/>
    <w:rsid w:val="00454B72"/>
    <w:rsid w:val="004554CF"/>
    <w:rsid w:val="0045588B"/>
    <w:rsid w:val="00456862"/>
    <w:rsid w:val="00456EBD"/>
    <w:rsid w:val="00457337"/>
    <w:rsid w:val="004575CB"/>
    <w:rsid w:val="00457FF9"/>
    <w:rsid w:val="004617FA"/>
    <w:rsid w:val="00461C3A"/>
    <w:rsid w:val="00461CEC"/>
    <w:rsid w:val="00461CED"/>
    <w:rsid w:val="004628A2"/>
    <w:rsid w:val="00462E3D"/>
    <w:rsid w:val="0046351F"/>
    <w:rsid w:val="00463B9C"/>
    <w:rsid w:val="00465A90"/>
    <w:rsid w:val="00466E79"/>
    <w:rsid w:val="0046749B"/>
    <w:rsid w:val="00470D7D"/>
    <w:rsid w:val="0047154B"/>
    <w:rsid w:val="0047372D"/>
    <w:rsid w:val="00473937"/>
    <w:rsid w:val="00473BA3"/>
    <w:rsid w:val="004743DD"/>
    <w:rsid w:val="00474CEA"/>
    <w:rsid w:val="00474FC3"/>
    <w:rsid w:val="00474FD5"/>
    <w:rsid w:val="004753DD"/>
    <w:rsid w:val="004758A9"/>
    <w:rsid w:val="00475B0B"/>
    <w:rsid w:val="00475C22"/>
    <w:rsid w:val="00476989"/>
    <w:rsid w:val="00480758"/>
    <w:rsid w:val="00480951"/>
    <w:rsid w:val="00480B1B"/>
    <w:rsid w:val="00481065"/>
    <w:rsid w:val="00481BB6"/>
    <w:rsid w:val="00481D36"/>
    <w:rsid w:val="00481E1B"/>
    <w:rsid w:val="00482781"/>
    <w:rsid w:val="00482797"/>
    <w:rsid w:val="00483361"/>
    <w:rsid w:val="00483393"/>
    <w:rsid w:val="00483968"/>
    <w:rsid w:val="00483DBF"/>
    <w:rsid w:val="004841BE"/>
    <w:rsid w:val="00484902"/>
    <w:rsid w:val="00484AF9"/>
    <w:rsid w:val="00484C44"/>
    <w:rsid w:val="00484F86"/>
    <w:rsid w:val="00485B00"/>
    <w:rsid w:val="00485C81"/>
    <w:rsid w:val="00485F71"/>
    <w:rsid w:val="00486354"/>
    <w:rsid w:val="00486B2A"/>
    <w:rsid w:val="00490746"/>
    <w:rsid w:val="00490852"/>
    <w:rsid w:val="00490CA7"/>
    <w:rsid w:val="00491C9C"/>
    <w:rsid w:val="00492680"/>
    <w:rsid w:val="00492E46"/>
    <w:rsid w:val="00492F30"/>
    <w:rsid w:val="00493010"/>
    <w:rsid w:val="00493097"/>
    <w:rsid w:val="00493E7F"/>
    <w:rsid w:val="004943C0"/>
    <w:rsid w:val="004946F4"/>
    <w:rsid w:val="0049487E"/>
    <w:rsid w:val="00496CEF"/>
    <w:rsid w:val="00496FB7"/>
    <w:rsid w:val="00497D38"/>
    <w:rsid w:val="004A0717"/>
    <w:rsid w:val="004A0944"/>
    <w:rsid w:val="004A0BA8"/>
    <w:rsid w:val="004A1549"/>
    <w:rsid w:val="004A160D"/>
    <w:rsid w:val="004A1F48"/>
    <w:rsid w:val="004A2CF5"/>
    <w:rsid w:val="004A3D3C"/>
    <w:rsid w:val="004A3E81"/>
    <w:rsid w:val="004A4195"/>
    <w:rsid w:val="004A4DE5"/>
    <w:rsid w:val="004A4F2C"/>
    <w:rsid w:val="004A596A"/>
    <w:rsid w:val="004A5C62"/>
    <w:rsid w:val="004A5CE5"/>
    <w:rsid w:val="004A6BFD"/>
    <w:rsid w:val="004A707D"/>
    <w:rsid w:val="004A7EF8"/>
    <w:rsid w:val="004B04BE"/>
    <w:rsid w:val="004B0974"/>
    <w:rsid w:val="004B0C91"/>
    <w:rsid w:val="004B11AC"/>
    <w:rsid w:val="004B2D0C"/>
    <w:rsid w:val="004B342F"/>
    <w:rsid w:val="004B3879"/>
    <w:rsid w:val="004B4185"/>
    <w:rsid w:val="004B41FC"/>
    <w:rsid w:val="004B4D75"/>
    <w:rsid w:val="004B4EB0"/>
    <w:rsid w:val="004B5323"/>
    <w:rsid w:val="004B5B46"/>
    <w:rsid w:val="004B5E78"/>
    <w:rsid w:val="004B680A"/>
    <w:rsid w:val="004B6A5D"/>
    <w:rsid w:val="004B6E5E"/>
    <w:rsid w:val="004B7C0D"/>
    <w:rsid w:val="004C14F5"/>
    <w:rsid w:val="004C15D2"/>
    <w:rsid w:val="004C1765"/>
    <w:rsid w:val="004C2D09"/>
    <w:rsid w:val="004C2DAB"/>
    <w:rsid w:val="004C3B87"/>
    <w:rsid w:val="004C4187"/>
    <w:rsid w:val="004C423A"/>
    <w:rsid w:val="004C4FB8"/>
    <w:rsid w:val="004C5541"/>
    <w:rsid w:val="004C5707"/>
    <w:rsid w:val="004C5D26"/>
    <w:rsid w:val="004C5FC3"/>
    <w:rsid w:val="004C6B33"/>
    <w:rsid w:val="004C6EEE"/>
    <w:rsid w:val="004C702B"/>
    <w:rsid w:val="004C78EF"/>
    <w:rsid w:val="004D0033"/>
    <w:rsid w:val="004D016B"/>
    <w:rsid w:val="004D137F"/>
    <w:rsid w:val="004D1B22"/>
    <w:rsid w:val="004D1CE0"/>
    <w:rsid w:val="004D2070"/>
    <w:rsid w:val="004D2110"/>
    <w:rsid w:val="004D23CC"/>
    <w:rsid w:val="004D2CF3"/>
    <w:rsid w:val="004D36F2"/>
    <w:rsid w:val="004D44CC"/>
    <w:rsid w:val="004D48B5"/>
    <w:rsid w:val="004D49A6"/>
    <w:rsid w:val="004D6740"/>
    <w:rsid w:val="004D68BC"/>
    <w:rsid w:val="004D7337"/>
    <w:rsid w:val="004D73E6"/>
    <w:rsid w:val="004D7538"/>
    <w:rsid w:val="004D7B94"/>
    <w:rsid w:val="004D7C9D"/>
    <w:rsid w:val="004E058C"/>
    <w:rsid w:val="004E06A2"/>
    <w:rsid w:val="004E0C88"/>
    <w:rsid w:val="004E0EF6"/>
    <w:rsid w:val="004E1106"/>
    <w:rsid w:val="004E138F"/>
    <w:rsid w:val="004E42F3"/>
    <w:rsid w:val="004E4369"/>
    <w:rsid w:val="004E4649"/>
    <w:rsid w:val="004E48B8"/>
    <w:rsid w:val="004E5C2B"/>
    <w:rsid w:val="004E67BE"/>
    <w:rsid w:val="004E6CD0"/>
    <w:rsid w:val="004E714A"/>
    <w:rsid w:val="004F00DD"/>
    <w:rsid w:val="004F0DFC"/>
    <w:rsid w:val="004F13CB"/>
    <w:rsid w:val="004F19F2"/>
    <w:rsid w:val="004F1BA1"/>
    <w:rsid w:val="004F2133"/>
    <w:rsid w:val="004F28D7"/>
    <w:rsid w:val="004F2A81"/>
    <w:rsid w:val="004F3393"/>
    <w:rsid w:val="004F3403"/>
    <w:rsid w:val="004F49E8"/>
    <w:rsid w:val="004F5398"/>
    <w:rsid w:val="004F5400"/>
    <w:rsid w:val="004F55F1"/>
    <w:rsid w:val="004F5ACD"/>
    <w:rsid w:val="004F5C1B"/>
    <w:rsid w:val="004F5E55"/>
    <w:rsid w:val="004F6936"/>
    <w:rsid w:val="004F7383"/>
    <w:rsid w:val="00500E46"/>
    <w:rsid w:val="00501F92"/>
    <w:rsid w:val="00502101"/>
    <w:rsid w:val="0050344A"/>
    <w:rsid w:val="00503DC6"/>
    <w:rsid w:val="0050414F"/>
    <w:rsid w:val="00504F81"/>
    <w:rsid w:val="00505131"/>
    <w:rsid w:val="00505C46"/>
    <w:rsid w:val="00505C95"/>
    <w:rsid w:val="00506D6A"/>
    <w:rsid w:val="00506EAF"/>
    <w:rsid w:val="00506F5D"/>
    <w:rsid w:val="00506FFB"/>
    <w:rsid w:val="005071C8"/>
    <w:rsid w:val="005073F2"/>
    <w:rsid w:val="0050750A"/>
    <w:rsid w:val="00507B1D"/>
    <w:rsid w:val="00510244"/>
    <w:rsid w:val="00510C37"/>
    <w:rsid w:val="005126D0"/>
    <w:rsid w:val="00512FB0"/>
    <w:rsid w:val="005131C9"/>
    <w:rsid w:val="00513958"/>
    <w:rsid w:val="00513D8A"/>
    <w:rsid w:val="00514555"/>
    <w:rsid w:val="00514667"/>
    <w:rsid w:val="00514EB9"/>
    <w:rsid w:val="0051503C"/>
    <w:rsid w:val="0051568D"/>
    <w:rsid w:val="00515856"/>
    <w:rsid w:val="00515916"/>
    <w:rsid w:val="00516043"/>
    <w:rsid w:val="00516239"/>
    <w:rsid w:val="00517194"/>
    <w:rsid w:val="005201DF"/>
    <w:rsid w:val="005207C8"/>
    <w:rsid w:val="00520852"/>
    <w:rsid w:val="005216AA"/>
    <w:rsid w:val="005218FA"/>
    <w:rsid w:val="00521AE0"/>
    <w:rsid w:val="0052229E"/>
    <w:rsid w:val="005228A3"/>
    <w:rsid w:val="00523D9C"/>
    <w:rsid w:val="00525451"/>
    <w:rsid w:val="005259E6"/>
    <w:rsid w:val="00526853"/>
    <w:rsid w:val="00526AC7"/>
    <w:rsid w:val="00526C15"/>
    <w:rsid w:val="00527A6B"/>
    <w:rsid w:val="00527FCA"/>
    <w:rsid w:val="005317FC"/>
    <w:rsid w:val="00531C7D"/>
    <w:rsid w:val="00532C74"/>
    <w:rsid w:val="00536499"/>
    <w:rsid w:val="00540D92"/>
    <w:rsid w:val="0054181C"/>
    <w:rsid w:val="00542970"/>
    <w:rsid w:val="00542A03"/>
    <w:rsid w:val="0054327E"/>
    <w:rsid w:val="00543460"/>
    <w:rsid w:val="00543903"/>
    <w:rsid w:val="005439EF"/>
    <w:rsid w:val="00543BCC"/>
    <w:rsid w:val="00543F11"/>
    <w:rsid w:val="00544135"/>
    <w:rsid w:val="00544CA9"/>
    <w:rsid w:val="00546200"/>
    <w:rsid w:val="00546305"/>
    <w:rsid w:val="00546745"/>
    <w:rsid w:val="0054754B"/>
    <w:rsid w:val="00547A95"/>
    <w:rsid w:val="00550FA8"/>
    <w:rsid w:val="0055119B"/>
    <w:rsid w:val="00551357"/>
    <w:rsid w:val="00551528"/>
    <w:rsid w:val="00552723"/>
    <w:rsid w:val="00552748"/>
    <w:rsid w:val="005534CB"/>
    <w:rsid w:val="00553C43"/>
    <w:rsid w:val="005563D9"/>
    <w:rsid w:val="005564E5"/>
    <w:rsid w:val="0055770B"/>
    <w:rsid w:val="00557A30"/>
    <w:rsid w:val="00560785"/>
    <w:rsid w:val="00560E8E"/>
    <w:rsid w:val="00561202"/>
    <w:rsid w:val="0056136C"/>
    <w:rsid w:val="00561FB2"/>
    <w:rsid w:val="00562507"/>
    <w:rsid w:val="0056257E"/>
    <w:rsid w:val="00562811"/>
    <w:rsid w:val="0056291C"/>
    <w:rsid w:val="005632F6"/>
    <w:rsid w:val="00563491"/>
    <w:rsid w:val="00563BD3"/>
    <w:rsid w:val="00563C97"/>
    <w:rsid w:val="00564F22"/>
    <w:rsid w:val="00565747"/>
    <w:rsid w:val="00565F1B"/>
    <w:rsid w:val="0056697F"/>
    <w:rsid w:val="005676E6"/>
    <w:rsid w:val="00567DE3"/>
    <w:rsid w:val="005701AB"/>
    <w:rsid w:val="00571EFE"/>
    <w:rsid w:val="00572031"/>
    <w:rsid w:val="00572282"/>
    <w:rsid w:val="00573C2B"/>
    <w:rsid w:val="00573CE3"/>
    <w:rsid w:val="0057404B"/>
    <w:rsid w:val="00576E84"/>
    <w:rsid w:val="00577794"/>
    <w:rsid w:val="00580394"/>
    <w:rsid w:val="005809CD"/>
    <w:rsid w:val="00581675"/>
    <w:rsid w:val="005817E5"/>
    <w:rsid w:val="00582897"/>
    <w:rsid w:val="00582AB1"/>
    <w:rsid w:val="00582B8C"/>
    <w:rsid w:val="005835C3"/>
    <w:rsid w:val="00583D5B"/>
    <w:rsid w:val="005841D7"/>
    <w:rsid w:val="00584618"/>
    <w:rsid w:val="00584B20"/>
    <w:rsid w:val="00585060"/>
    <w:rsid w:val="00585299"/>
    <w:rsid w:val="005852F6"/>
    <w:rsid w:val="00586622"/>
    <w:rsid w:val="00586A22"/>
    <w:rsid w:val="0058757E"/>
    <w:rsid w:val="005903BD"/>
    <w:rsid w:val="00590D92"/>
    <w:rsid w:val="005937D9"/>
    <w:rsid w:val="00594373"/>
    <w:rsid w:val="00594A18"/>
    <w:rsid w:val="00596920"/>
    <w:rsid w:val="00596A4B"/>
    <w:rsid w:val="0059714F"/>
    <w:rsid w:val="00597507"/>
    <w:rsid w:val="005A0A5C"/>
    <w:rsid w:val="005A1866"/>
    <w:rsid w:val="005A1973"/>
    <w:rsid w:val="005A1A75"/>
    <w:rsid w:val="005A2450"/>
    <w:rsid w:val="005A2C56"/>
    <w:rsid w:val="005A33FA"/>
    <w:rsid w:val="005A4007"/>
    <w:rsid w:val="005A479D"/>
    <w:rsid w:val="005A49B3"/>
    <w:rsid w:val="005A4EBA"/>
    <w:rsid w:val="005A5B70"/>
    <w:rsid w:val="005A5E0E"/>
    <w:rsid w:val="005A6D8F"/>
    <w:rsid w:val="005A7766"/>
    <w:rsid w:val="005A7A49"/>
    <w:rsid w:val="005B01D3"/>
    <w:rsid w:val="005B12F8"/>
    <w:rsid w:val="005B1B62"/>
    <w:rsid w:val="005B1C6D"/>
    <w:rsid w:val="005B21B6"/>
    <w:rsid w:val="005B3A08"/>
    <w:rsid w:val="005B6292"/>
    <w:rsid w:val="005B6480"/>
    <w:rsid w:val="005B67B7"/>
    <w:rsid w:val="005B6928"/>
    <w:rsid w:val="005B717F"/>
    <w:rsid w:val="005B7A63"/>
    <w:rsid w:val="005B7DCD"/>
    <w:rsid w:val="005C0955"/>
    <w:rsid w:val="005C10BD"/>
    <w:rsid w:val="005C1322"/>
    <w:rsid w:val="005C1485"/>
    <w:rsid w:val="005C31ED"/>
    <w:rsid w:val="005C3383"/>
    <w:rsid w:val="005C4108"/>
    <w:rsid w:val="005C49DA"/>
    <w:rsid w:val="005C50F3"/>
    <w:rsid w:val="005C5499"/>
    <w:rsid w:val="005C54B5"/>
    <w:rsid w:val="005C570B"/>
    <w:rsid w:val="005C5B6D"/>
    <w:rsid w:val="005C5D80"/>
    <w:rsid w:val="005C5D91"/>
    <w:rsid w:val="005C60ED"/>
    <w:rsid w:val="005C62A7"/>
    <w:rsid w:val="005C6AA4"/>
    <w:rsid w:val="005C715F"/>
    <w:rsid w:val="005D07B8"/>
    <w:rsid w:val="005D104D"/>
    <w:rsid w:val="005D1B7D"/>
    <w:rsid w:val="005D1B95"/>
    <w:rsid w:val="005D2E16"/>
    <w:rsid w:val="005D3695"/>
    <w:rsid w:val="005D3AB7"/>
    <w:rsid w:val="005D3F8E"/>
    <w:rsid w:val="005D41EB"/>
    <w:rsid w:val="005D46AE"/>
    <w:rsid w:val="005D4868"/>
    <w:rsid w:val="005D4E60"/>
    <w:rsid w:val="005D5633"/>
    <w:rsid w:val="005D6479"/>
    <w:rsid w:val="005D6597"/>
    <w:rsid w:val="005D6D4C"/>
    <w:rsid w:val="005D7330"/>
    <w:rsid w:val="005D75FD"/>
    <w:rsid w:val="005D7B5B"/>
    <w:rsid w:val="005D7B72"/>
    <w:rsid w:val="005D7C9D"/>
    <w:rsid w:val="005E0DC1"/>
    <w:rsid w:val="005E14E7"/>
    <w:rsid w:val="005E1617"/>
    <w:rsid w:val="005E21F8"/>
    <w:rsid w:val="005E26A3"/>
    <w:rsid w:val="005E2ECB"/>
    <w:rsid w:val="005E2F23"/>
    <w:rsid w:val="005E3D42"/>
    <w:rsid w:val="005E447E"/>
    <w:rsid w:val="005E4FD1"/>
    <w:rsid w:val="005E5A49"/>
    <w:rsid w:val="005E63E6"/>
    <w:rsid w:val="005E7A6B"/>
    <w:rsid w:val="005F0775"/>
    <w:rsid w:val="005F0CF5"/>
    <w:rsid w:val="005F21E2"/>
    <w:rsid w:val="005F21EB"/>
    <w:rsid w:val="005F2DB5"/>
    <w:rsid w:val="005F2E3C"/>
    <w:rsid w:val="005F3F94"/>
    <w:rsid w:val="005F3F9A"/>
    <w:rsid w:val="005F424B"/>
    <w:rsid w:val="005F439B"/>
    <w:rsid w:val="005F47B9"/>
    <w:rsid w:val="005F482D"/>
    <w:rsid w:val="005F4FC1"/>
    <w:rsid w:val="005F5067"/>
    <w:rsid w:val="005F596D"/>
    <w:rsid w:val="005F64CF"/>
    <w:rsid w:val="005F6E7B"/>
    <w:rsid w:val="005F7367"/>
    <w:rsid w:val="005F7C3B"/>
    <w:rsid w:val="0060122E"/>
    <w:rsid w:val="0060188C"/>
    <w:rsid w:val="00603029"/>
    <w:rsid w:val="00603522"/>
    <w:rsid w:val="00603D94"/>
    <w:rsid w:val="006041AD"/>
    <w:rsid w:val="00605908"/>
    <w:rsid w:val="006065A1"/>
    <w:rsid w:val="00607850"/>
    <w:rsid w:val="0060793A"/>
    <w:rsid w:val="00607EF7"/>
    <w:rsid w:val="006101EB"/>
    <w:rsid w:val="00610950"/>
    <w:rsid w:val="00610D7C"/>
    <w:rsid w:val="0061149E"/>
    <w:rsid w:val="00611946"/>
    <w:rsid w:val="0061296B"/>
    <w:rsid w:val="00613229"/>
    <w:rsid w:val="00613414"/>
    <w:rsid w:val="006155B4"/>
    <w:rsid w:val="00615DD0"/>
    <w:rsid w:val="0061649B"/>
    <w:rsid w:val="00616D66"/>
    <w:rsid w:val="00616ED2"/>
    <w:rsid w:val="00617035"/>
    <w:rsid w:val="006176A2"/>
    <w:rsid w:val="006178D6"/>
    <w:rsid w:val="00617BA3"/>
    <w:rsid w:val="00617C5A"/>
    <w:rsid w:val="00617CAE"/>
    <w:rsid w:val="00620154"/>
    <w:rsid w:val="006208CC"/>
    <w:rsid w:val="0062174D"/>
    <w:rsid w:val="006217BC"/>
    <w:rsid w:val="00621EAF"/>
    <w:rsid w:val="0062200A"/>
    <w:rsid w:val="00622C03"/>
    <w:rsid w:val="00623A69"/>
    <w:rsid w:val="0062408D"/>
    <w:rsid w:val="006240CC"/>
    <w:rsid w:val="0062465B"/>
    <w:rsid w:val="00624940"/>
    <w:rsid w:val="006254F8"/>
    <w:rsid w:val="006259C6"/>
    <w:rsid w:val="006260B0"/>
    <w:rsid w:val="0062618A"/>
    <w:rsid w:val="00626414"/>
    <w:rsid w:val="006271FD"/>
    <w:rsid w:val="00627DA7"/>
    <w:rsid w:val="00630DA4"/>
    <w:rsid w:val="00631CD4"/>
    <w:rsid w:val="00632597"/>
    <w:rsid w:val="0063270C"/>
    <w:rsid w:val="0063497E"/>
    <w:rsid w:val="00634D13"/>
    <w:rsid w:val="0063527D"/>
    <w:rsid w:val="006354B0"/>
    <w:rsid w:val="0063578C"/>
    <w:rsid w:val="006358B4"/>
    <w:rsid w:val="006374C9"/>
    <w:rsid w:val="00640392"/>
    <w:rsid w:val="006403C4"/>
    <w:rsid w:val="00641724"/>
    <w:rsid w:val="006419AA"/>
    <w:rsid w:val="00641B6C"/>
    <w:rsid w:val="0064256D"/>
    <w:rsid w:val="00642CD4"/>
    <w:rsid w:val="00643390"/>
    <w:rsid w:val="006438A9"/>
    <w:rsid w:val="00643C23"/>
    <w:rsid w:val="00643EB1"/>
    <w:rsid w:val="00644B1F"/>
    <w:rsid w:val="00644B7E"/>
    <w:rsid w:val="0064503C"/>
    <w:rsid w:val="006454E6"/>
    <w:rsid w:val="00645AE0"/>
    <w:rsid w:val="00646235"/>
    <w:rsid w:val="00646A68"/>
    <w:rsid w:val="006473A7"/>
    <w:rsid w:val="006476B4"/>
    <w:rsid w:val="006505BD"/>
    <w:rsid w:val="006508EA"/>
    <w:rsid w:val="0065092E"/>
    <w:rsid w:val="00650E86"/>
    <w:rsid w:val="00652973"/>
    <w:rsid w:val="00653082"/>
    <w:rsid w:val="006538EB"/>
    <w:rsid w:val="00653B29"/>
    <w:rsid w:val="00654400"/>
    <w:rsid w:val="00654487"/>
    <w:rsid w:val="00654D9F"/>
    <w:rsid w:val="00655316"/>
    <w:rsid w:val="006557A7"/>
    <w:rsid w:val="00655C0F"/>
    <w:rsid w:val="00656290"/>
    <w:rsid w:val="00656660"/>
    <w:rsid w:val="0065685D"/>
    <w:rsid w:val="006571FC"/>
    <w:rsid w:val="00657698"/>
    <w:rsid w:val="00657ECD"/>
    <w:rsid w:val="006601C9"/>
    <w:rsid w:val="006601D2"/>
    <w:rsid w:val="006608D8"/>
    <w:rsid w:val="006614AD"/>
    <w:rsid w:val="006616F9"/>
    <w:rsid w:val="00661AA5"/>
    <w:rsid w:val="00661B4D"/>
    <w:rsid w:val="00661B99"/>
    <w:rsid w:val="006621D7"/>
    <w:rsid w:val="0066224D"/>
    <w:rsid w:val="00662601"/>
    <w:rsid w:val="0066302A"/>
    <w:rsid w:val="00663714"/>
    <w:rsid w:val="00663EA8"/>
    <w:rsid w:val="006641DB"/>
    <w:rsid w:val="00664B07"/>
    <w:rsid w:val="00665584"/>
    <w:rsid w:val="00665E21"/>
    <w:rsid w:val="00667770"/>
    <w:rsid w:val="00667B30"/>
    <w:rsid w:val="00670213"/>
    <w:rsid w:val="006702AC"/>
    <w:rsid w:val="00670597"/>
    <w:rsid w:val="006706D0"/>
    <w:rsid w:val="00670D7B"/>
    <w:rsid w:val="0067131C"/>
    <w:rsid w:val="00671AE1"/>
    <w:rsid w:val="00672462"/>
    <w:rsid w:val="006729C2"/>
    <w:rsid w:val="00674B8A"/>
    <w:rsid w:val="00674CAA"/>
    <w:rsid w:val="00674DD3"/>
    <w:rsid w:val="0067517B"/>
    <w:rsid w:val="0067709E"/>
    <w:rsid w:val="00677574"/>
    <w:rsid w:val="00680303"/>
    <w:rsid w:val="006809EF"/>
    <w:rsid w:val="006812ED"/>
    <w:rsid w:val="00681B23"/>
    <w:rsid w:val="00682119"/>
    <w:rsid w:val="006826BB"/>
    <w:rsid w:val="006834F0"/>
    <w:rsid w:val="00683878"/>
    <w:rsid w:val="00683B69"/>
    <w:rsid w:val="00684380"/>
    <w:rsid w:val="0068454C"/>
    <w:rsid w:val="0068472E"/>
    <w:rsid w:val="00684D76"/>
    <w:rsid w:val="0068707E"/>
    <w:rsid w:val="00691047"/>
    <w:rsid w:val="00691B62"/>
    <w:rsid w:val="00692258"/>
    <w:rsid w:val="006927B3"/>
    <w:rsid w:val="006933B5"/>
    <w:rsid w:val="00693D14"/>
    <w:rsid w:val="006946E3"/>
    <w:rsid w:val="006949EF"/>
    <w:rsid w:val="0069555D"/>
    <w:rsid w:val="00695928"/>
    <w:rsid w:val="0069634A"/>
    <w:rsid w:val="00696E10"/>
    <w:rsid w:val="00696F27"/>
    <w:rsid w:val="00696FF0"/>
    <w:rsid w:val="006973CF"/>
    <w:rsid w:val="006A07F0"/>
    <w:rsid w:val="006A09E7"/>
    <w:rsid w:val="006A18C2"/>
    <w:rsid w:val="006A1FE8"/>
    <w:rsid w:val="006A3383"/>
    <w:rsid w:val="006A34EE"/>
    <w:rsid w:val="006A3CA4"/>
    <w:rsid w:val="006A4E2C"/>
    <w:rsid w:val="006A53E7"/>
    <w:rsid w:val="006A5647"/>
    <w:rsid w:val="006A5B08"/>
    <w:rsid w:val="006A5EE6"/>
    <w:rsid w:val="006A66D8"/>
    <w:rsid w:val="006A677C"/>
    <w:rsid w:val="006A7AA0"/>
    <w:rsid w:val="006B077C"/>
    <w:rsid w:val="006B07A9"/>
    <w:rsid w:val="006B0DB3"/>
    <w:rsid w:val="006B1BC9"/>
    <w:rsid w:val="006B2269"/>
    <w:rsid w:val="006B2346"/>
    <w:rsid w:val="006B2DCE"/>
    <w:rsid w:val="006B489D"/>
    <w:rsid w:val="006B5248"/>
    <w:rsid w:val="006B535D"/>
    <w:rsid w:val="006B55BD"/>
    <w:rsid w:val="006B5FFB"/>
    <w:rsid w:val="006B62B1"/>
    <w:rsid w:val="006B6655"/>
    <w:rsid w:val="006B6803"/>
    <w:rsid w:val="006C0265"/>
    <w:rsid w:val="006C1212"/>
    <w:rsid w:val="006C14DE"/>
    <w:rsid w:val="006C17DF"/>
    <w:rsid w:val="006C1898"/>
    <w:rsid w:val="006C1BA4"/>
    <w:rsid w:val="006C1CB9"/>
    <w:rsid w:val="006C265F"/>
    <w:rsid w:val="006C31B7"/>
    <w:rsid w:val="006C3E01"/>
    <w:rsid w:val="006C4076"/>
    <w:rsid w:val="006C43CC"/>
    <w:rsid w:val="006C43FD"/>
    <w:rsid w:val="006C4806"/>
    <w:rsid w:val="006C4A42"/>
    <w:rsid w:val="006C4F26"/>
    <w:rsid w:val="006C56D8"/>
    <w:rsid w:val="006C5AD9"/>
    <w:rsid w:val="006C622F"/>
    <w:rsid w:val="006C72DC"/>
    <w:rsid w:val="006C730D"/>
    <w:rsid w:val="006D0F16"/>
    <w:rsid w:val="006D1570"/>
    <w:rsid w:val="006D22F2"/>
    <w:rsid w:val="006D2A3F"/>
    <w:rsid w:val="006D2FBC"/>
    <w:rsid w:val="006D408D"/>
    <w:rsid w:val="006D492D"/>
    <w:rsid w:val="006D6A3A"/>
    <w:rsid w:val="006D6E34"/>
    <w:rsid w:val="006D7135"/>
    <w:rsid w:val="006E05B2"/>
    <w:rsid w:val="006E138B"/>
    <w:rsid w:val="006E1867"/>
    <w:rsid w:val="006E1C31"/>
    <w:rsid w:val="006E2025"/>
    <w:rsid w:val="006E4D8A"/>
    <w:rsid w:val="006E4FAB"/>
    <w:rsid w:val="006E50FE"/>
    <w:rsid w:val="006E5A67"/>
    <w:rsid w:val="006E5FCA"/>
    <w:rsid w:val="006E6ABC"/>
    <w:rsid w:val="006F0330"/>
    <w:rsid w:val="006F09F4"/>
    <w:rsid w:val="006F1471"/>
    <w:rsid w:val="006F1FDC"/>
    <w:rsid w:val="006F3087"/>
    <w:rsid w:val="006F3438"/>
    <w:rsid w:val="006F4104"/>
    <w:rsid w:val="006F440C"/>
    <w:rsid w:val="006F5FE9"/>
    <w:rsid w:val="006F65CB"/>
    <w:rsid w:val="006F6B8C"/>
    <w:rsid w:val="006F7696"/>
    <w:rsid w:val="00700188"/>
    <w:rsid w:val="007003D9"/>
    <w:rsid w:val="007007EA"/>
    <w:rsid w:val="007009E2"/>
    <w:rsid w:val="007013EF"/>
    <w:rsid w:val="00701728"/>
    <w:rsid w:val="00701CD6"/>
    <w:rsid w:val="0070392B"/>
    <w:rsid w:val="00704351"/>
    <w:rsid w:val="00705237"/>
    <w:rsid w:val="007055BD"/>
    <w:rsid w:val="00706E3D"/>
    <w:rsid w:val="00707E68"/>
    <w:rsid w:val="00710203"/>
    <w:rsid w:val="00711D80"/>
    <w:rsid w:val="00714AD8"/>
    <w:rsid w:val="00715BF4"/>
    <w:rsid w:val="00716BEB"/>
    <w:rsid w:val="00716CC1"/>
    <w:rsid w:val="007173CA"/>
    <w:rsid w:val="007179B0"/>
    <w:rsid w:val="00720258"/>
    <w:rsid w:val="007216AA"/>
    <w:rsid w:val="00721A05"/>
    <w:rsid w:val="00721AB5"/>
    <w:rsid w:val="00721B85"/>
    <w:rsid w:val="00721CFB"/>
    <w:rsid w:val="00721DEF"/>
    <w:rsid w:val="00721E68"/>
    <w:rsid w:val="00721F6A"/>
    <w:rsid w:val="0072211B"/>
    <w:rsid w:val="007229B8"/>
    <w:rsid w:val="00722DDE"/>
    <w:rsid w:val="00724A43"/>
    <w:rsid w:val="00725113"/>
    <w:rsid w:val="007256A1"/>
    <w:rsid w:val="00725F2D"/>
    <w:rsid w:val="00726EA9"/>
    <w:rsid w:val="007273AC"/>
    <w:rsid w:val="00727455"/>
    <w:rsid w:val="007278C0"/>
    <w:rsid w:val="00727C3C"/>
    <w:rsid w:val="00730E92"/>
    <w:rsid w:val="00731AD4"/>
    <w:rsid w:val="00731C6F"/>
    <w:rsid w:val="00732774"/>
    <w:rsid w:val="00732889"/>
    <w:rsid w:val="00732AA3"/>
    <w:rsid w:val="00733AE0"/>
    <w:rsid w:val="007346E4"/>
    <w:rsid w:val="00735564"/>
    <w:rsid w:val="00735D24"/>
    <w:rsid w:val="007370D1"/>
    <w:rsid w:val="0074048D"/>
    <w:rsid w:val="007405DC"/>
    <w:rsid w:val="00740B31"/>
    <w:rsid w:val="00740F22"/>
    <w:rsid w:val="00741024"/>
    <w:rsid w:val="00741619"/>
    <w:rsid w:val="0074169B"/>
    <w:rsid w:val="00741CF0"/>
    <w:rsid w:val="00741F1A"/>
    <w:rsid w:val="00742F64"/>
    <w:rsid w:val="007432E1"/>
    <w:rsid w:val="00743753"/>
    <w:rsid w:val="0074438D"/>
    <w:rsid w:val="007447DA"/>
    <w:rsid w:val="00744D27"/>
    <w:rsid w:val="00744DE9"/>
    <w:rsid w:val="007450F8"/>
    <w:rsid w:val="007465BD"/>
    <w:rsid w:val="0074696E"/>
    <w:rsid w:val="0074707E"/>
    <w:rsid w:val="007470F1"/>
    <w:rsid w:val="007476C3"/>
    <w:rsid w:val="00747ADA"/>
    <w:rsid w:val="00747ECF"/>
    <w:rsid w:val="00750135"/>
    <w:rsid w:val="007509DF"/>
    <w:rsid w:val="00750C69"/>
    <w:rsid w:val="00750EC2"/>
    <w:rsid w:val="0075187B"/>
    <w:rsid w:val="00751A5D"/>
    <w:rsid w:val="0075219E"/>
    <w:rsid w:val="007521B4"/>
    <w:rsid w:val="00752B28"/>
    <w:rsid w:val="007535F6"/>
    <w:rsid w:val="007536BC"/>
    <w:rsid w:val="00753E22"/>
    <w:rsid w:val="007541A9"/>
    <w:rsid w:val="00754E36"/>
    <w:rsid w:val="007553B3"/>
    <w:rsid w:val="00755705"/>
    <w:rsid w:val="00755816"/>
    <w:rsid w:val="0075678B"/>
    <w:rsid w:val="0075697D"/>
    <w:rsid w:val="00756C46"/>
    <w:rsid w:val="00757B13"/>
    <w:rsid w:val="007600AA"/>
    <w:rsid w:val="00760369"/>
    <w:rsid w:val="00760DBC"/>
    <w:rsid w:val="00760E08"/>
    <w:rsid w:val="0076173A"/>
    <w:rsid w:val="00762326"/>
    <w:rsid w:val="0076236D"/>
    <w:rsid w:val="007627AF"/>
    <w:rsid w:val="00762B3A"/>
    <w:rsid w:val="00762C0A"/>
    <w:rsid w:val="00763139"/>
    <w:rsid w:val="0076395C"/>
    <w:rsid w:val="007651C0"/>
    <w:rsid w:val="00765700"/>
    <w:rsid w:val="0076723C"/>
    <w:rsid w:val="00767785"/>
    <w:rsid w:val="00770191"/>
    <w:rsid w:val="007705F3"/>
    <w:rsid w:val="00770D46"/>
    <w:rsid w:val="00770E0D"/>
    <w:rsid w:val="00770F37"/>
    <w:rsid w:val="007711A0"/>
    <w:rsid w:val="007714F1"/>
    <w:rsid w:val="00772D5E"/>
    <w:rsid w:val="007744DB"/>
    <w:rsid w:val="0077463E"/>
    <w:rsid w:val="00774F5A"/>
    <w:rsid w:val="00775A34"/>
    <w:rsid w:val="00775B55"/>
    <w:rsid w:val="00776156"/>
    <w:rsid w:val="00776925"/>
    <w:rsid w:val="00776928"/>
    <w:rsid w:val="00776D56"/>
    <w:rsid w:val="00776E0F"/>
    <w:rsid w:val="007774B1"/>
    <w:rsid w:val="00777BE1"/>
    <w:rsid w:val="00777EEE"/>
    <w:rsid w:val="0078022A"/>
    <w:rsid w:val="00781212"/>
    <w:rsid w:val="00781701"/>
    <w:rsid w:val="007820BE"/>
    <w:rsid w:val="00782222"/>
    <w:rsid w:val="007822CA"/>
    <w:rsid w:val="007829C6"/>
    <w:rsid w:val="007833D8"/>
    <w:rsid w:val="00784041"/>
    <w:rsid w:val="00784510"/>
    <w:rsid w:val="00784644"/>
    <w:rsid w:val="007849F1"/>
    <w:rsid w:val="0078533D"/>
    <w:rsid w:val="00785677"/>
    <w:rsid w:val="00786F16"/>
    <w:rsid w:val="007903C0"/>
    <w:rsid w:val="0079116C"/>
    <w:rsid w:val="00791BD7"/>
    <w:rsid w:val="007921AC"/>
    <w:rsid w:val="00792A54"/>
    <w:rsid w:val="00792D2A"/>
    <w:rsid w:val="007933F7"/>
    <w:rsid w:val="00793592"/>
    <w:rsid w:val="00795D95"/>
    <w:rsid w:val="00796AF9"/>
    <w:rsid w:val="00796E20"/>
    <w:rsid w:val="00797C32"/>
    <w:rsid w:val="007A11E8"/>
    <w:rsid w:val="007A13BB"/>
    <w:rsid w:val="007A1D60"/>
    <w:rsid w:val="007A3051"/>
    <w:rsid w:val="007A3B83"/>
    <w:rsid w:val="007A436B"/>
    <w:rsid w:val="007A491B"/>
    <w:rsid w:val="007A6817"/>
    <w:rsid w:val="007A6CBB"/>
    <w:rsid w:val="007A6DCA"/>
    <w:rsid w:val="007B075A"/>
    <w:rsid w:val="007B0914"/>
    <w:rsid w:val="007B11B0"/>
    <w:rsid w:val="007B1374"/>
    <w:rsid w:val="007B32E5"/>
    <w:rsid w:val="007B3365"/>
    <w:rsid w:val="007B3DB9"/>
    <w:rsid w:val="007B3F5B"/>
    <w:rsid w:val="007B4162"/>
    <w:rsid w:val="007B52BC"/>
    <w:rsid w:val="007B5891"/>
    <w:rsid w:val="007B589F"/>
    <w:rsid w:val="007B5AA9"/>
    <w:rsid w:val="007B5CFD"/>
    <w:rsid w:val="007B5DBA"/>
    <w:rsid w:val="007B6186"/>
    <w:rsid w:val="007B6971"/>
    <w:rsid w:val="007B73BC"/>
    <w:rsid w:val="007C0A26"/>
    <w:rsid w:val="007C133C"/>
    <w:rsid w:val="007C1838"/>
    <w:rsid w:val="007C1865"/>
    <w:rsid w:val="007C20B9"/>
    <w:rsid w:val="007C26E8"/>
    <w:rsid w:val="007C2744"/>
    <w:rsid w:val="007C2AA4"/>
    <w:rsid w:val="007C2B83"/>
    <w:rsid w:val="007C37AB"/>
    <w:rsid w:val="007C38F7"/>
    <w:rsid w:val="007C3A9D"/>
    <w:rsid w:val="007C4985"/>
    <w:rsid w:val="007C4ECE"/>
    <w:rsid w:val="007C6273"/>
    <w:rsid w:val="007C67C5"/>
    <w:rsid w:val="007C7301"/>
    <w:rsid w:val="007C7859"/>
    <w:rsid w:val="007C7CD4"/>
    <w:rsid w:val="007C7F28"/>
    <w:rsid w:val="007D03C0"/>
    <w:rsid w:val="007D0BD9"/>
    <w:rsid w:val="007D1466"/>
    <w:rsid w:val="007D187C"/>
    <w:rsid w:val="007D2144"/>
    <w:rsid w:val="007D2BDE"/>
    <w:rsid w:val="007D2D59"/>
    <w:rsid w:val="007D2FB6"/>
    <w:rsid w:val="007D308F"/>
    <w:rsid w:val="007D3E8F"/>
    <w:rsid w:val="007D49EB"/>
    <w:rsid w:val="007D54E2"/>
    <w:rsid w:val="007D5E1C"/>
    <w:rsid w:val="007E008F"/>
    <w:rsid w:val="007E05EB"/>
    <w:rsid w:val="007E0DE2"/>
    <w:rsid w:val="007E1A4D"/>
    <w:rsid w:val="007E20AE"/>
    <w:rsid w:val="007E241A"/>
    <w:rsid w:val="007E2444"/>
    <w:rsid w:val="007E34BA"/>
    <w:rsid w:val="007E3667"/>
    <w:rsid w:val="007E382C"/>
    <w:rsid w:val="007E3B98"/>
    <w:rsid w:val="007E3CF2"/>
    <w:rsid w:val="007E3E7E"/>
    <w:rsid w:val="007E417A"/>
    <w:rsid w:val="007E548D"/>
    <w:rsid w:val="007E59D9"/>
    <w:rsid w:val="007F02A1"/>
    <w:rsid w:val="007F0623"/>
    <w:rsid w:val="007F0936"/>
    <w:rsid w:val="007F0F33"/>
    <w:rsid w:val="007F11F5"/>
    <w:rsid w:val="007F1E8F"/>
    <w:rsid w:val="007F2CF4"/>
    <w:rsid w:val="007F30B9"/>
    <w:rsid w:val="007F31B6"/>
    <w:rsid w:val="007F4139"/>
    <w:rsid w:val="007F4B7A"/>
    <w:rsid w:val="007F5305"/>
    <w:rsid w:val="007F546C"/>
    <w:rsid w:val="007F5651"/>
    <w:rsid w:val="007F5722"/>
    <w:rsid w:val="007F625F"/>
    <w:rsid w:val="007F665E"/>
    <w:rsid w:val="007F6D17"/>
    <w:rsid w:val="007F7D53"/>
    <w:rsid w:val="00800412"/>
    <w:rsid w:val="008018B6"/>
    <w:rsid w:val="00801AE0"/>
    <w:rsid w:val="00801E16"/>
    <w:rsid w:val="00803216"/>
    <w:rsid w:val="00803BF4"/>
    <w:rsid w:val="008046A5"/>
    <w:rsid w:val="0080484F"/>
    <w:rsid w:val="00804E33"/>
    <w:rsid w:val="0080587B"/>
    <w:rsid w:val="00806394"/>
    <w:rsid w:val="00806468"/>
    <w:rsid w:val="00806A25"/>
    <w:rsid w:val="00806E3E"/>
    <w:rsid w:val="008119CA"/>
    <w:rsid w:val="00812101"/>
    <w:rsid w:val="008130C4"/>
    <w:rsid w:val="00814AD3"/>
    <w:rsid w:val="008155F0"/>
    <w:rsid w:val="00815D32"/>
    <w:rsid w:val="00815FE1"/>
    <w:rsid w:val="0081617A"/>
    <w:rsid w:val="00816327"/>
    <w:rsid w:val="00816735"/>
    <w:rsid w:val="00816F20"/>
    <w:rsid w:val="008178CC"/>
    <w:rsid w:val="00820141"/>
    <w:rsid w:val="0082061C"/>
    <w:rsid w:val="00820E0C"/>
    <w:rsid w:val="00822060"/>
    <w:rsid w:val="00823275"/>
    <w:rsid w:val="0082366F"/>
    <w:rsid w:val="0082414F"/>
    <w:rsid w:val="00824DCF"/>
    <w:rsid w:val="008252D2"/>
    <w:rsid w:val="00825BEE"/>
    <w:rsid w:val="008268AF"/>
    <w:rsid w:val="00826C1E"/>
    <w:rsid w:val="0082742B"/>
    <w:rsid w:val="00831AA3"/>
    <w:rsid w:val="00831C6B"/>
    <w:rsid w:val="00832210"/>
    <w:rsid w:val="00832987"/>
    <w:rsid w:val="00832F8A"/>
    <w:rsid w:val="008333D8"/>
    <w:rsid w:val="008338A2"/>
    <w:rsid w:val="00833C2B"/>
    <w:rsid w:val="00833DE1"/>
    <w:rsid w:val="00834A6F"/>
    <w:rsid w:val="00834A93"/>
    <w:rsid w:val="00835506"/>
    <w:rsid w:val="00836A48"/>
    <w:rsid w:val="00836D00"/>
    <w:rsid w:val="00840A85"/>
    <w:rsid w:val="00840ED7"/>
    <w:rsid w:val="00840F25"/>
    <w:rsid w:val="00841259"/>
    <w:rsid w:val="008412B3"/>
    <w:rsid w:val="00841AA9"/>
    <w:rsid w:val="008424FD"/>
    <w:rsid w:val="00842A36"/>
    <w:rsid w:val="008443AE"/>
    <w:rsid w:val="0084593A"/>
    <w:rsid w:val="008467E9"/>
    <w:rsid w:val="0084691D"/>
    <w:rsid w:val="00846C5C"/>
    <w:rsid w:val="00846F8B"/>
    <w:rsid w:val="008474FE"/>
    <w:rsid w:val="008500F9"/>
    <w:rsid w:val="00850A79"/>
    <w:rsid w:val="00850D0A"/>
    <w:rsid w:val="008523A9"/>
    <w:rsid w:val="00853572"/>
    <w:rsid w:val="00853D52"/>
    <w:rsid w:val="00853EE4"/>
    <w:rsid w:val="00854508"/>
    <w:rsid w:val="00855535"/>
    <w:rsid w:val="0085555D"/>
    <w:rsid w:val="00856168"/>
    <w:rsid w:val="008562AC"/>
    <w:rsid w:val="00856BA5"/>
    <w:rsid w:val="00857C46"/>
    <w:rsid w:val="00857C5A"/>
    <w:rsid w:val="00857D79"/>
    <w:rsid w:val="00860FF5"/>
    <w:rsid w:val="00861BC6"/>
    <w:rsid w:val="0086213A"/>
    <w:rsid w:val="008622C3"/>
    <w:rsid w:val="0086255E"/>
    <w:rsid w:val="00862D45"/>
    <w:rsid w:val="008633F0"/>
    <w:rsid w:val="00863E4F"/>
    <w:rsid w:val="008643FA"/>
    <w:rsid w:val="00864596"/>
    <w:rsid w:val="0086517F"/>
    <w:rsid w:val="0086534A"/>
    <w:rsid w:val="008653F0"/>
    <w:rsid w:val="00865BC6"/>
    <w:rsid w:val="00865F90"/>
    <w:rsid w:val="00866C21"/>
    <w:rsid w:val="00867D9D"/>
    <w:rsid w:val="0087136A"/>
    <w:rsid w:val="00871E54"/>
    <w:rsid w:val="008722FA"/>
    <w:rsid w:val="00872E0A"/>
    <w:rsid w:val="00873594"/>
    <w:rsid w:val="008738D2"/>
    <w:rsid w:val="00874CFC"/>
    <w:rsid w:val="00875285"/>
    <w:rsid w:val="0087592E"/>
    <w:rsid w:val="00875943"/>
    <w:rsid w:val="00875D97"/>
    <w:rsid w:val="00875EFD"/>
    <w:rsid w:val="008763DD"/>
    <w:rsid w:val="00876C86"/>
    <w:rsid w:val="0087706B"/>
    <w:rsid w:val="00877332"/>
    <w:rsid w:val="008821A0"/>
    <w:rsid w:val="008829AE"/>
    <w:rsid w:val="00884584"/>
    <w:rsid w:val="008846A1"/>
    <w:rsid w:val="00884B62"/>
    <w:rsid w:val="0088507A"/>
    <w:rsid w:val="0088529C"/>
    <w:rsid w:val="008852C5"/>
    <w:rsid w:val="00885FC9"/>
    <w:rsid w:val="00887903"/>
    <w:rsid w:val="0089001A"/>
    <w:rsid w:val="008904FB"/>
    <w:rsid w:val="00890897"/>
    <w:rsid w:val="00891038"/>
    <w:rsid w:val="00891610"/>
    <w:rsid w:val="00891A2D"/>
    <w:rsid w:val="008922B9"/>
    <w:rsid w:val="00892556"/>
    <w:rsid w:val="0089270A"/>
    <w:rsid w:val="008939C3"/>
    <w:rsid w:val="00893A87"/>
    <w:rsid w:val="00893AD8"/>
    <w:rsid w:val="00893AF6"/>
    <w:rsid w:val="00894506"/>
    <w:rsid w:val="00894BC4"/>
    <w:rsid w:val="00894D4D"/>
    <w:rsid w:val="0089590A"/>
    <w:rsid w:val="00895F6A"/>
    <w:rsid w:val="00896890"/>
    <w:rsid w:val="00896E4E"/>
    <w:rsid w:val="008977D1"/>
    <w:rsid w:val="008A024E"/>
    <w:rsid w:val="008A03C6"/>
    <w:rsid w:val="008A0915"/>
    <w:rsid w:val="008A0A78"/>
    <w:rsid w:val="008A1245"/>
    <w:rsid w:val="008A1641"/>
    <w:rsid w:val="008A1A7F"/>
    <w:rsid w:val="008A1D85"/>
    <w:rsid w:val="008A28A8"/>
    <w:rsid w:val="008A3287"/>
    <w:rsid w:val="008A3450"/>
    <w:rsid w:val="008A3475"/>
    <w:rsid w:val="008A430B"/>
    <w:rsid w:val="008A4FC2"/>
    <w:rsid w:val="008A54AC"/>
    <w:rsid w:val="008A5851"/>
    <w:rsid w:val="008A5B32"/>
    <w:rsid w:val="008A667E"/>
    <w:rsid w:val="008A67C3"/>
    <w:rsid w:val="008A7073"/>
    <w:rsid w:val="008A78A2"/>
    <w:rsid w:val="008B01CE"/>
    <w:rsid w:val="008B1295"/>
    <w:rsid w:val="008B2029"/>
    <w:rsid w:val="008B2EE4"/>
    <w:rsid w:val="008B309A"/>
    <w:rsid w:val="008B3821"/>
    <w:rsid w:val="008B3889"/>
    <w:rsid w:val="008B3D7C"/>
    <w:rsid w:val="008B4011"/>
    <w:rsid w:val="008B434D"/>
    <w:rsid w:val="008B4423"/>
    <w:rsid w:val="008B4D3D"/>
    <w:rsid w:val="008B57C7"/>
    <w:rsid w:val="008B5BD7"/>
    <w:rsid w:val="008B6BD3"/>
    <w:rsid w:val="008B722A"/>
    <w:rsid w:val="008B7A4C"/>
    <w:rsid w:val="008B7F1B"/>
    <w:rsid w:val="008C12E7"/>
    <w:rsid w:val="008C1840"/>
    <w:rsid w:val="008C26C6"/>
    <w:rsid w:val="008C2AFF"/>
    <w:rsid w:val="008C2F92"/>
    <w:rsid w:val="008C3546"/>
    <w:rsid w:val="008C3CDF"/>
    <w:rsid w:val="008C5043"/>
    <w:rsid w:val="008C589D"/>
    <w:rsid w:val="008C5BF0"/>
    <w:rsid w:val="008C61A1"/>
    <w:rsid w:val="008C6D51"/>
    <w:rsid w:val="008C73C0"/>
    <w:rsid w:val="008C740B"/>
    <w:rsid w:val="008D06B4"/>
    <w:rsid w:val="008D1522"/>
    <w:rsid w:val="008D2846"/>
    <w:rsid w:val="008D2DB2"/>
    <w:rsid w:val="008D3249"/>
    <w:rsid w:val="008D3ED1"/>
    <w:rsid w:val="008D4236"/>
    <w:rsid w:val="008D462F"/>
    <w:rsid w:val="008D4948"/>
    <w:rsid w:val="008D56CF"/>
    <w:rsid w:val="008D582E"/>
    <w:rsid w:val="008D5FF0"/>
    <w:rsid w:val="008D6DCF"/>
    <w:rsid w:val="008D7518"/>
    <w:rsid w:val="008D7F99"/>
    <w:rsid w:val="008E08EC"/>
    <w:rsid w:val="008E1378"/>
    <w:rsid w:val="008E22C4"/>
    <w:rsid w:val="008E30E2"/>
    <w:rsid w:val="008E3113"/>
    <w:rsid w:val="008E3D36"/>
    <w:rsid w:val="008E4376"/>
    <w:rsid w:val="008E4E6F"/>
    <w:rsid w:val="008E5E78"/>
    <w:rsid w:val="008E7634"/>
    <w:rsid w:val="008E7A0A"/>
    <w:rsid w:val="008E7B49"/>
    <w:rsid w:val="008E7DC9"/>
    <w:rsid w:val="008F01F0"/>
    <w:rsid w:val="008F0AD1"/>
    <w:rsid w:val="008F1258"/>
    <w:rsid w:val="008F12EE"/>
    <w:rsid w:val="008F1545"/>
    <w:rsid w:val="008F1947"/>
    <w:rsid w:val="008F2719"/>
    <w:rsid w:val="008F2A31"/>
    <w:rsid w:val="008F3869"/>
    <w:rsid w:val="008F3C71"/>
    <w:rsid w:val="008F47FE"/>
    <w:rsid w:val="008F4A77"/>
    <w:rsid w:val="008F4EC7"/>
    <w:rsid w:val="008F540B"/>
    <w:rsid w:val="008F59F6"/>
    <w:rsid w:val="008F6941"/>
    <w:rsid w:val="008F6A20"/>
    <w:rsid w:val="008F6AE5"/>
    <w:rsid w:val="00900719"/>
    <w:rsid w:val="00900E89"/>
    <w:rsid w:val="0090156E"/>
    <w:rsid w:val="00901643"/>
    <w:rsid w:val="009017AC"/>
    <w:rsid w:val="009020F6"/>
    <w:rsid w:val="00902436"/>
    <w:rsid w:val="009026A7"/>
    <w:rsid w:val="00902A9A"/>
    <w:rsid w:val="00902C53"/>
    <w:rsid w:val="00904A1C"/>
    <w:rsid w:val="00905030"/>
    <w:rsid w:val="00905D71"/>
    <w:rsid w:val="00906490"/>
    <w:rsid w:val="00906CAE"/>
    <w:rsid w:val="00907EBC"/>
    <w:rsid w:val="0091051B"/>
    <w:rsid w:val="009111B2"/>
    <w:rsid w:val="00911285"/>
    <w:rsid w:val="009127D4"/>
    <w:rsid w:val="00913468"/>
    <w:rsid w:val="00914458"/>
    <w:rsid w:val="009151F5"/>
    <w:rsid w:val="0091525C"/>
    <w:rsid w:val="0091660A"/>
    <w:rsid w:val="00916B1B"/>
    <w:rsid w:val="00921DBE"/>
    <w:rsid w:val="00922CC4"/>
    <w:rsid w:val="00922FFB"/>
    <w:rsid w:val="00924AE1"/>
    <w:rsid w:val="00924CAC"/>
    <w:rsid w:val="00924DEC"/>
    <w:rsid w:val="0092695D"/>
    <w:rsid w:val="009269B1"/>
    <w:rsid w:val="00926EE9"/>
    <w:rsid w:val="0092724D"/>
    <w:rsid w:val="009272B3"/>
    <w:rsid w:val="009278C1"/>
    <w:rsid w:val="00927F9A"/>
    <w:rsid w:val="00930A6B"/>
    <w:rsid w:val="009315BE"/>
    <w:rsid w:val="009315EE"/>
    <w:rsid w:val="00931E46"/>
    <w:rsid w:val="009326DD"/>
    <w:rsid w:val="0093338F"/>
    <w:rsid w:val="00933BF3"/>
    <w:rsid w:val="00935277"/>
    <w:rsid w:val="009353CA"/>
    <w:rsid w:val="00937BD9"/>
    <w:rsid w:val="009441F8"/>
    <w:rsid w:val="00944743"/>
    <w:rsid w:val="00944AE0"/>
    <w:rsid w:val="00944C3B"/>
    <w:rsid w:val="00946940"/>
    <w:rsid w:val="00947A99"/>
    <w:rsid w:val="00947DD7"/>
    <w:rsid w:val="009509CC"/>
    <w:rsid w:val="00950A4B"/>
    <w:rsid w:val="00950E2C"/>
    <w:rsid w:val="00951203"/>
    <w:rsid w:val="0095123B"/>
    <w:rsid w:val="0095141A"/>
    <w:rsid w:val="00951A6D"/>
    <w:rsid w:val="00951D50"/>
    <w:rsid w:val="009525EB"/>
    <w:rsid w:val="009527F2"/>
    <w:rsid w:val="00952D93"/>
    <w:rsid w:val="00953904"/>
    <w:rsid w:val="00953A69"/>
    <w:rsid w:val="00954042"/>
    <w:rsid w:val="00954183"/>
    <w:rsid w:val="0095470B"/>
    <w:rsid w:val="00954874"/>
    <w:rsid w:val="00955071"/>
    <w:rsid w:val="009556F0"/>
    <w:rsid w:val="0095582B"/>
    <w:rsid w:val="0095615A"/>
    <w:rsid w:val="009564C6"/>
    <w:rsid w:val="00957378"/>
    <w:rsid w:val="00957B13"/>
    <w:rsid w:val="009606DA"/>
    <w:rsid w:val="00961400"/>
    <w:rsid w:val="00963646"/>
    <w:rsid w:val="00964EC8"/>
    <w:rsid w:val="00965CA6"/>
    <w:rsid w:val="0096632D"/>
    <w:rsid w:val="009663F0"/>
    <w:rsid w:val="00966568"/>
    <w:rsid w:val="00966E4B"/>
    <w:rsid w:val="00967124"/>
    <w:rsid w:val="0096714A"/>
    <w:rsid w:val="00967442"/>
    <w:rsid w:val="00967B02"/>
    <w:rsid w:val="00967B31"/>
    <w:rsid w:val="00967F4F"/>
    <w:rsid w:val="00970431"/>
    <w:rsid w:val="00970842"/>
    <w:rsid w:val="009708B4"/>
    <w:rsid w:val="00970B4B"/>
    <w:rsid w:val="0097166C"/>
    <w:rsid w:val="009718C7"/>
    <w:rsid w:val="00972F5C"/>
    <w:rsid w:val="00974A3E"/>
    <w:rsid w:val="009753CA"/>
    <w:rsid w:val="0097559F"/>
    <w:rsid w:val="00975BAC"/>
    <w:rsid w:val="009761EA"/>
    <w:rsid w:val="00976461"/>
    <w:rsid w:val="0097761E"/>
    <w:rsid w:val="00977794"/>
    <w:rsid w:val="00980807"/>
    <w:rsid w:val="00980DCB"/>
    <w:rsid w:val="00981F3E"/>
    <w:rsid w:val="00982454"/>
    <w:rsid w:val="0098271A"/>
    <w:rsid w:val="00982B0A"/>
    <w:rsid w:val="00982CF0"/>
    <w:rsid w:val="00983139"/>
    <w:rsid w:val="00983863"/>
    <w:rsid w:val="00984596"/>
    <w:rsid w:val="00984CC2"/>
    <w:rsid w:val="00984FEF"/>
    <w:rsid w:val="009853E1"/>
    <w:rsid w:val="00985A88"/>
    <w:rsid w:val="00985D62"/>
    <w:rsid w:val="00986E6B"/>
    <w:rsid w:val="00987F9B"/>
    <w:rsid w:val="00987FF5"/>
    <w:rsid w:val="00990032"/>
    <w:rsid w:val="00990155"/>
    <w:rsid w:val="00990B19"/>
    <w:rsid w:val="00990D64"/>
    <w:rsid w:val="0099153B"/>
    <w:rsid w:val="0099160F"/>
    <w:rsid w:val="00991769"/>
    <w:rsid w:val="0099205B"/>
    <w:rsid w:val="009920B4"/>
    <w:rsid w:val="0099232C"/>
    <w:rsid w:val="009929A1"/>
    <w:rsid w:val="00992DAA"/>
    <w:rsid w:val="00993BA2"/>
    <w:rsid w:val="00994386"/>
    <w:rsid w:val="00995764"/>
    <w:rsid w:val="00995DD7"/>
    <w:rsid w:val="00996CAE"/>
    <w:rsid w:val="00996E55"/>
    <w:rsid w:val="00997603"/>
    <w:rsid w:val="00997A01"/>
    <w:rsid w:val="009A13D8"/>
    <w:rsid w:val="009A182C"/>
    <w:rsid w:val="009A1A70"/>
    <w:rsid w:val="009A21D8"/>
    <w:rsid w:val="009A279E"/>
    <w:rsid w:val="009A3015"/>
    <w:rsid w:val="009A3490"/>
    <w:rsid w:val="009A3BAE"/>
    <w:rsid w:val="009A3D61"/>
    <w:rsid w:val="009A5163"/>
    <w:rsid w:val="009A5204"/>
    <w:rsid w:val="009A5CE1"/>
    <w:rsid w:val="009A5DFD"/>
    <w:rsid w:val="009A6DBC"/>
    <w:rsid w:val="009B0A6F"/>
    <w:rsid w:val="009B0A94"/>
    <w:rsid w:val="009B0C62"/>
    <w:rsid w:val="009B1B50"/>
    <w:rsid w:val="009B25A5"/>
    <w:rsid w:val="009B2AE8"/>
    <w:rsid w:val="009B3659"/>
    <w:rsid w:val="009B5246"/>
    <w:rsid w:val="009B5622"/>
    <w:rsid w:val="009B59E9"/>
    <w:rsid w:val="009B5BA8"/>
    <w:rsid w:val="009B6479"/>
    <w:rsid w:val="009B6B0C"/>
    <w:rsid w:val="009B6CE3"/>
    <w:rsid w:val="009B70AA"/>
    <w:rsid w:val="009B75C9"/>
    <w:rsid w:val="009B7B3C"/>
    <w:rsid w:val="009B7F87"/>
    <w:rsid w:val="009C04C8"/>
    <w:rsid w:val="009C0635"/>
    <w:rsid w:val="009C1DF3"/>
    <w:rsid w:val="009C1F45"/>
    <w:rsid w:val="009C245E"/>
    <w:rsid w:val="009C278F"/>
    <w:rsid w:val="009C3029"/>
    <w:rsid w:val="009C47FE"/>
    <w:rsid w:val="009C480F"/>
    <w:rsid w:val="009C482F"/>
    <w:rsid w:val="009C4E3D"/>
    <w:rsid w:val="009C50B3"/>
    <w:rsid w:val="009C5632"/>
    <w:rsid w:val="009C5E77"/>
    <w:rsid w:val="009C62B9"/>
    <w:rsid w:val="009C768A"/>
    <w:rsid w:val="009C7A7E"/>
    <w:rsid w:val="009C7B1C"/>
    <w:rsid w:val="009D02E8"/>
    <w:rsid w:val="009D0460"/>
    <w:rsid w:val="009D1665"/>
    <w:rsid w:val="009D18E9"/>
    <w:rsid w:val="009D2534"/>
    <w:rsid w:val="009D26E7"/>
    <w:rsid w:val="009D32A1"/>
    <w:rsid w:val="009D345F"/>
    <w:rsid w:val="009D4F97"/>
    <w:rsid w:val="009D51D0"/>
    <w:rsid w:val="009D529C"/>
    <w:rsid w:val="009D5F3D"/>
    <w:rsid w:val="009D6449"/>
    <w:rsid w:val="009D682D"/>
    <w:rsid w:val="009D6990"/>
    <w:rsid w:val="009D6D1B"/>
    <w:rsid w:val="009D70A4"/>
    <w:rsid w:val="009D7B14"/>
    <w:rsid w:val="009E0328"/>
    <w:rsid w:val="009E06E9"/>
    <w:rsid w:val="009E08D1"/>
    <w:rsid w:val="009E09A0"/>
    <w:rsid w:val="009E0D96"/>
    <w:rsid w:val="009E1AA8"/>
    <w:rsid w:val="009E1B95"/>
    <w:rsid w:val="009E1D11"/>
    <w:rsid w:val="009E2567"/>
    <w:rsid w:val="009E2911"/>
    <w:rsid w:val="009E32D6"/>
    <w:rsid w:val="009E41F7"/>
    <w:rsid w:val="009E496F"/>
    <w:rsid w:val="009E4B0D"/>
    <w:rsid w:val="009E5119"/>
    <w:rsid w:val="009E5250"/>
    <w:rsid w:val="009E5553"/>
    <w:rsid w:val="009E6AA6"/>
    <w:rsid w:val="009E70A5"/>
    <w:rsid w:val="009E7A69"/>
    <w:rsid w:val="009E7F92"/>
    <w:rsid w:val="009E7FEA"/>
    <w:rsid w:val="009F02A3"/>
    <w:rsid w:val="009F178A"/>
    <w:rsid w:val="009F2182"/>
    <w:rsid w:val="009F2793"/>
    <w:rsid w:val="009F2F27"/>
    <w:rsid w:val="009F332F"/>
    <w:rsid w:val="009F34AA"/>
    <w:rsid w:val="009F44A9"/>
    <w:rsid w:val="009F5896"/>
    <w:rsid w:val="009F58EE"/>
    <w:rsid w:val="009F6630"/>
    <w:rsid w:val="009F6BCB"/>
    <w:rsid w:val="009F75DE"/>
    <w:rsid w:val="009F7B0D"/>
    <w:rsid w:val="009F7B78"/>
    <w:rsid w:val="00A00001"/>
    <w:rsid w:val="00A002E0"/>
    <w:rsid w:val="00A004D5"/>
    <w:rsid w:val="00A0057A"/>
    <w:rsid w:val="00A007DA"/>
    <w:rsid w:val="00A02FA1"/>
    <w:rsid w:val="00A03E72"/>
    <w:rsid w:val="00A042D8"/>
    <w:rsid w:val="00A04C80"/>
    <w:rsid w:val="00A04CCE"/>
    <w:rsid w:val="00A04D94"/>
    <w:rsid w:val="00A05FDD"/>
    <w:rsid w:val="00A06014"/>
    <w:rsid w:val="00A06510"/>
    <w:rsid w:val="00A06BB6"/>
    <w:rsid w:val="00A07421"/>
    <w:rsid w:val="00A0776B"/>
    <w:rsid w:val="00A07AE4"/>
    <w:rsid w:val="00A102BA"/>
    <w:rsid w:val="00A10FB9"/>
    <w:rsid w:val="00A11421"/>
    <w:rsid w:val="00A1205F"/>
    <w:rsid w:val="00A1249F"/>
    <w:rsid w:val="00A126C9"/>
    <w:rsid w:val="00A12E18"/>
    <w:rsid w:val="00A13042"/>
    <w:rsid w:val="00A1348B"/>
    <w:rsid w:val="00A1389F"/>
    <w:rsid w:val="00A13A53"/>
    <w:rsid w:val="00A13B7A"/>
    <w:rsid w:val="00A13DBB"/>
    <w:rsid w:val="00A14489"/>
    <w:rsid w:val="00A14824"/>
    <w:rsid w:val="00A157B1"/>
    <w:rsid w:val="00A158A2"/>
    <w:rsid w:val="00A15CEF"/>
    <w:rsid w:val="00A15D6B"/>
    <w:rsid w:val="00A16AB1"/>
    <w:rsid w:val="00A16E5B"/>
    <w:rsid w:val="00A17286"/>
    <w:rsid w:val="00A17C79"/>
    <w:rsid w:val="00A20557"/>
    <w:rsid w:val="00A21039"/>
    <w:rsid w:val="00A21C58"/>
    <w:rsid w:val="00A22229"/>
    <w:rsid w:val="00A22DA0"/>
    <w:rsid w:val="00A233AF"/>
    <w:rsid w:val="00A237F0"/>
    <w:rsid w:val="00A24442"/>
    <w:rsid w:val="00A24ADA"/>
    <w:rsid w:val="00A25CFD"/>
    <w:rsid w:val="00A263B4"/>
    <w:rsid w:val="00A27C7E"/>
    <w:rsid w:val="00A303F9"/>
    <w:rsid w:val="00A30890"/>
    <w:rsid w:val="00A308D6"/>
    <w:rsid w:val="00A311E6"/>
    <w:rsid w:val="00A32577"/>
    <w:rsid w:val="00A328BE"/>
    <w:rsid w:val="00A32A16"/>
    <w:rsid w:val="00A330BB"/>
    <w:rsid w:val="00A345B4"/>
    <w:rsid w:val="00A34C43"/>
    <w:rsid w:val="00A350D5"/>
    <w:rsid w:val="00A361BD"/>
    <w:rsid w:val="00A3677F"/>
    <w:rsid w:val="00A36E2A"/>
    <w:rsid w:val="00A36F9A"/>
    <w:rsid w:val="00A4020F"/>
    <w:rsid w:val="00A4056F"/>
    <w:rsid w:val="00A4193B"/>
    <w:rsid w:val="00A429F7"/>
    <w:rsid w:val="00A446F5"/>
    <w:rsid w:val="00A44882"/>
    <w:rsid w:val="00A44AE2"/>
    <w:rsid w:val="00A44D86"/>
    <w:rsid w:val="00A45125"/>
    <w:rsid w:val="00A453A8"/>
    <w:rsid w:val="00A4791B"/>
    <w:rsid w:val="00A47B58"/>
    <w:rsid w:val="00A5071D"/>
    <w:rsid w:val="00A50727"/>
    <w:rsid w:val="00A50CC5"/>
    <w:rsid w:val="00A52E6A"/>
    <w:rsid w:val="00A533CE"/>
    <w:rsid w:val="00A535CF"/>
    <w:rsid w:val="00A54715"/>
    <w:rsid w:val="00A54D27"/>
    <w:rsid w:val="00A5535C"/>
    <w:rsid w:val="00A564BE"/>
    <w:rsid w:val="00A56B9D"/>
    <w:rsid w:val="00A57896"/>
    <w:rsid w:val="00A57EE8"/>
    <w:rsid w:val="00A6061C"/>
    <w:rsid w:val="00A60A8B"/>
    <w:rsid w:val="00A61D6B"/>
    <w:rsid w:val="00A623D9"/>
    <w:rsid w:val="00A62D44"/>
    <w:rsid w:val="00A63D01"/>
    <w:rsid w:val="00A64C34"/>
    <w:rsid w:val="00A64E49"/>
    <w:rsid w:val="00A6532E"/>
    <w:rsid w:val="00A66839"/>
    <w:rsid w:val="00A66A72"/>
    <w:rsid w:val="00A67263"/>
    <w:rsid w:val="00A67610"/>
    <w:rsid w:val="00A67D5C"/>
    <w:rsid w:val="00A7161C"/>
    <w:rsid w:val="00A71CE4"/>
    <w:rsid w:val="00A72390"/>
    <w:rsid w:val="00A72393"/>
    <w:rsid w:val="00A7254D"/>
    <w:rsid w:val="00A733AA"/>
    <w:rsid w:val="00A73666"/>
    <w:rsid w:val="00A743BC"/>
    <w:rsid w:val="00A746C0"/>
    <w:rsid w:val="00A753DD"/>
    <w:rsid w:val="00A76FAF"/>
    <w:rsid w:val="00A7727A"/>
    <w:rsid w:val="00A77AA3"/>
    <w:rsid w:val="00A801B9"/>
    <w:rsid w:val="00A8058E"/>
    <w:rsid w:val="00A817B1"/>
    <w:rsid w:val="00A8236D"/>
    <w:rsid w:val="00A83216"/>
    <w:rsid w:val="00A834DB"/>
    <w:rsid w:val="00A841C8"/>
    <w:rsid w:val="00A84BD2"/>
    <w:rsid w:val="00A85481"/>
    <w:rsid w:val="00A854EB"/>
    <w:rsid w:val="00A858CA"/>
    <w:rsid w:val="00A86270"/>
    <w:rsid w:val="00A86F05"/>
    <w:rsid w:val="00A8711A"/>
    <w:rsid w:val="00A872E5"/>
    <w:rsid w:val="00A9029A"/>
    <w:rsid w:val="00A90ACF"/>
    <w:rsid w:val="00A91178"/>
    <w:rsid w:val="00A91406"/>
    <w:rsid w:val="00A919AC"/>
    <w:rsid w:val="00A92E8B"/>
    <w:rsid w:val="00A93979"/>
    <w:rsid w:val="00A939C8"/>
    <w:rsid w:val="00A93DE3"/>
    <w:rsid w:val="00A960D5"/>
    <w:rsid w:val="00A96E65"/>
    <w:rsid w:val="00A96ECE"/>
    <w:rsid w:val="00A97767"/>
    <w:rsid w:val="00A97C72"/>
    <w:rsid w:val="00A97E3B"/>
    <w:rsid w:val="00AA0129"/>
    <w:rsid w:val="00AA1E44"/>
    <w:rsid w:val="00AA24E5"/>
    <w:rsid w:val="00AA2AEB"/>
    <w:rsid w:val="00AA2C58"/>
    <w:rsid w:val="00AA310B"/>
    <w:rsid w:val="00AA33EC"/>
    <w:rsid w:val="00AA3A63"/>
    <w:rsid w:val="00AA3E0B"/>
    <w:rsid w:val="00AA42E2"/>
    <w:rsid w:val="00AA4F57"/>
    <w:rsid w:val="00AA5361"/>
    <w:rsid w:val="00AA5C2B"/>
    <w:rsid w:val="00AA5ECC"/>
    <w:rsid w:val="00AA5ED6"/>
    <w:rsid w:val="00AA63D4"/>
    <w:rsid w:val="00AA6810"/>
    <w:rsid w:val="00AA6DA6"/>
    <w:rsid w:val="00AA71B9"/>
    <w:rsid w:val="00AA7618"/>
    <w:rsid w:val="00AB0499"/>
    <w:rsid w:val="00AB06E8"/>
    <w:rsid w:val="00AB1CD3"/>
    <w:rsid w:val="00AB1ED3"/>
    <w:rsid w:val="00AB2212"/>
    <w:rsid w:val="00AB22D4"/>
    <w:rsid w:val="00AB3186"/>
    <w:rsid w:val="00AB3277"/>
    <w:rsid w:val="00AB352F"/>
    <w:rsid w:val="00AB389F"/>
    <w:rsid w:val="00AB435F"/>
    <w:rsid w:val="00AB52AC"/>
    <w:rsid w:val="00AB7106"/>
    <w:rsid w:val="00AB74EE"/>
    <w:rsid w:val="00AC0ACD"/>
    <w:rsid w:val="00AC0EF7"/>
    <w:rsid w:val="00AC2208"/>
    <w:rsid w:val="00AC2476"/>
    <w:rsid w:val="00AC274B"/>
    <w:rsid w:val="00AC38FB"/>
    <w:rsid w:val="00AC3AC3"/>
    <w:rsid w:val="00AC3CEA"/>
    <w:rsid w:val="00AC4182"/>
    <w:rsid w:val="00AC4764"/>
    <w:rsid w:val="00AC4AAF"/>
    <w:rsid w:val="00AC50AD"/>
    <w:rsid w:val="00AC5964"/>
    <w:rsid w:val="00AC63DB"/>
    <w:rsid w:val="00AC658A"/>
    <w:rsid w:val="00AC6D36"/>
    <w:rsid w:val="00AD0672"/>
    <w:rsid w:val="00AD0CBA"/>
    <w:rsid w:val="00AD1851"/>
    <w:rsid w:val="00AD26E2"/>
    <w:rsid w:val="00AD30F6"/>
    <w:rsid w:val="00AD4194"/>
    <w:rsid w:val="00AD42FF"/>
    <w:rsid w:val="00AD7437"/>
    <w:rsid w:val="00AD784C"/>
    <w:rsid w:val="00AE0386"/>
    <w:rsid w:val="00AE05F7"/>
    <w:rsid w:val="00AE0692"/>
    <w:rsid w:val="00AE06B7"/>
    <w:rsid w:val="00AE126A"/>
    <w:rsid w:val="00AE17AC"/>
    <w:rsid w:val="00AE1BAE"/>
    <w:rsid w:val="00AE1E45"/>
    <w:rsid w:val="00AE230B"/>
    <w:rsid w:val="00AE3005"/>
    <w:rsid w:val="00AE32C1"/>
    <w:rsid w:val="00AE3BD5"/>
    <w:rsid w:val="00AE4193"/>
    <w:rsid w:val="00AE42E0"/>
    <w:rsid w:val="00AE470F"/>
    <w:rsid w:val="00AE51C8"/>
    <w:rsid w:val="00AE5930"/>
    <w:rsid w:val="00AE59A0"/>
    <w:rsid w:val="00AE61C4"/>
    <w:rsid w:val="00AE6B91"/>
    <w:rsid w:val="00AE772C"/>
    <w:rsid w:val="00AE7FBD"/>
    <w:rsid w:val="00AF012D"/>
    <w:rsid w:val="00AF0C57"/>
    <w:rsid w:val="00AF26F3"/>
    <w:rsid w:val="00AF370E"/>
    <w:rsid w:val="00AF3B2A"/>
    <w:rsid w:val="00AF51FB"/>
    <w:rsid w:val="00AF5F04"/>
    <w:rsid w:val="00AF63D6"/>
    <w:rsid w:val="00AF6545"/>
    <w:rsid w:val="00AF73F5"/>
    <w:rsid w:val="00AF7C51"/>
    <w:rsid w:val="00AF7F7A"/>
    <w:rsid w:val="00B005B6"/>
    <w:rsid w:val="00B00620"/>
    <w:rsid w:val="00B00672"/>
    <w:rsid w:val="00B015F5"/>
    <w:rsid w:val="00B01A7C"/>
    <w:rsid w:val="00B01B4D"/>
    <w:rsid w:val="00B035FA"/>
    <w:rsid w:val="00B03F20"/>
    <w:rsid w:val="00B03F84"/>
    <w:rsid w:val="00B04489"/>
    <w:rsid w:val="00B059F4"/>
    <w:rsid w:val="00B064B2"/>
    <w:rsid w:val="00B06571"/>
    <w:rsid w:val="00B065F4"/>
    <w:rsid w:val="00B068BA"/>
    <w:rsid w:val="00B07217"/>
    <w:rsid w:val="00B074A2"/>
    <w:rsid w:val="00B074E7"/>
    <w:rsid w:val="00B07C08"/>
    <w:rsid w:val="00B1018C"/>
    <w:rsid w:val="00B10FA8"/>
    <w:rsid w:val="00B11ADA"/>
    <w:rsid w:val="00B13572"/>
    <w:rsid w:val="00B13851"/>
    <w:rsid w:val="00B13AFE"/>
    <w:rsid w:val="00B13B1C"/>
    <w:rsid w:val="00B13BEC"/>
    <w:rsid w:val="00B143A0"/>
    <w:rsid w:val="00B14B5F"/>
    <w:rsid w:val="00B1517C"/>
    <w:rsid w:val="00B15F56"/>
    <w:rsid w:val="00B166F9"/>
    <w:rsid w:val="00B16ADA"/>
    <w:rsid w:val="00B20166"/>
    <w:rsid w:val="00B21731"/>
    <w:rsid w:val="00B2192E"/>
    <w:rsid w:val="00B21F90"/>
    <w:rsid w:val="00B22291"/>
    <w:rsid w:val="00B22CE3"/>
    <w:rsid w:val="00B23F9A"/>
    <w:rsid w:val="00B24082"/>
    <w:rsid w:val="00B2417B"/>
    <w:rsid w:val="00B24E6F"/>
    <w:rsid w:val="00B25610"/>
    <w:rsid w:val="00B26C51"/>
    <w:rsid w:val="00B26CB5"/>
    <w:rsid w:val="00B26F56"/>
    <w:rsid w:val="00B2752E"/>
    <w:rsid w:val="00B27DCC"/>
    <w:rsid w:val="00B303E9"/>
    <w:rsid w:val="00B306E1"/>
    <w:rsid w:val="00B307CC"/>
    <w:rsid w:val="00B32147"/>
    <w:rsid w:val="00B32381"/>
    <w:rsid w:val="00B32408"/>
    <w:rsid w:val="00B326B7"/>
    <w:rsid w:val="00B32DBD"/>
    <w:rsid w:val="00B3588E"/>
    <w:rsid w:val="00B35DB1"/>
    <w:rsid w:val="00B36AF8"/>
    <w:rsid w:val="00B4198F"/>
    <w:rsid w:val="00B41AEC"/>
    <w:rsid w:val="00B41BF8"/>
    <w:rsid w:val="00B41F3D"/>
    <w:rsid w:val="00B42378"/>
    <w:rsid w:val="00B42665"/>
    <w:rsid w:val="00B431E8"/>
    <w:rsid w:val="00B45141"/>
    <w:rsid w:val="00B45286"/>
    <w:rsid w:val="00B45E9B"/>
    <w:rsid w:val="00B46BC0"/>
    <w:rsid w:val="00B47663"/>
    <w:rsid w:val="00B47D83"/>
    <w:rsid w:val="00B50E9E"/>
    <w:rsid w:val="00B512CE"/>
    <w:rsid w:val="00B5178C"/>
    <w:rsid w:val="00B519CD"/>
    <w:rsid w:val="00B51E90"/>
    <w:rsid w:val="00B5208B"/>
    <w:rsid w:val="00B5273A"/>
    <w:rsid w:val="00B52EBE"/>
    <w:rsid w:val="00B53060"/>
    <w:rsid w:val="00B53967"/>
    <w:rsid w:val="00B549ED"/>
    <w:rsid w:val="00B54B81"/>
    <w:rsid w:val="00B55FAF"/>
    <w:rsid w:val="00B5634F"/>
    <w:rsid w:val="00B56679"/>
    <w:rsid w:val="00B56A5E"/>
    <w:rsid w:val="00B56B50"/>
    <w:rsid w:val="00B57127"/>
    <w:rsid w:val="00B57274"/>
    <w:rsid w:val="00B57329"/>
    <w:rsid w:val="00B57651"/>
    <w:rsid w:val="00B60204"/>
    <w:rsid w:val="00B604C9"/>
    <w:rsid w:val="00B60E61"/>
    <w:rsid w:val="00B61C34"/>
    <w:rsid w:val="00B6263E"/>
    <w:rsid w:val="00B62B50"/>
    <w:rsid w:val="00B632AE"/>
    <w:rsid w:val="00B635B7"/>
    <w:rsid w:val="00B63AE8"/>
    <w:rsid w:val="00B63C1D"/>
    <w:rsid w:val="00B6435C"/>
    <w:rsid w:val="00B645E1"/>
    <w:rsid w:val="00B64F88"/>
    <w:rsid w:val="00B65257"/>
    <w:rsid w:val="00B65950"/>
    <w:rsid w:val="00B659AF"/>
    <w:rsid w:val="00B65DB5"/>
    <w:rsid w:val="00B6630F"/>
    <w:rsid w:val="00B66D83"/>
    <w:rsid w:val="00B672C0"/>
    <w:rsid w:val="00B676FD"/>
    <w:rsid w:val="00B678B6"/>
    <w:rsid w:val="00B700EB"/>
    <w:rsid w:val="00B7017E"/>
    <w:rsid w:val="00B70568"/>
    <w:rsid w:val="00B7223F"/>
    <w:rsid w:val="00B743F2"/>
    <w:rsid w:val="00B749EF"/>
    <w:rsid w:val="00B74E55"/>
    <w:rsid w:val="00B75646"/>
    <w:rsid w:val="00B75E02"/>
    <w:rsid w:val="00B761AB"/>
    <w:rsid w:val="00B7629E"/>
    <w:rsid w:val="00B76350"/>
    <w:rsid w:val="00B76C72"/>
    <w:rsid w:val="00B76D2C"/>
    <w:rsid w:val="00B76FBA"/>
    <w:rsid w:val="00B771AC"/>
    <w:rsid w:val="00B7736A"/>
    <w:rsid w:val="00B77C6F"/>
    <w:rsid w:val="00B800F9"/>
    <w:rsid w:val="00B820BA"/>
    <w:rsid w:val="00B824B1"/>
    <w:rsid w:val="00B83C34"/>
    <w:rsid w:val="00B84428"/>
    <w:rsid w:val="00B8620E"/>
    <w:rsid w:val="00B867A8"/>
    <w:rsid w:val="00B87271"/>
    <w:rsid w:val="00B87363"/>
    <w:rsid w:val="00B90729"/>
    <w:rsid w:val="00B907DA"/>
    <w:rsid w:val="00B9090D"/>
    <w:rsid w:val="00B90B09"/>
    <w:rsid w:val="00B90F6E"/>
    <w:rsid w:val="00B91E6A"/>
    <w:rsid w:val="00B9228F"/>
    <w:rsid w:val="00B92730"/>
    <w:rsid w:val="00B9316C"/>
    <w:rsid w:val="00B94C5E"/>
    <w:rsid w:val="00B950BC"/>
    <w:rsid w:val="00B95380"/>
    <w:rsid w:val="00B95D31"/>
    <w:rsid w:val="00B95E1C"/>
    <w:rsid w:val="00B96A95"/>
    <w:rsid w:val="00B9714C"/>
    <w:rsid w:val="00B9734C"/>
    <w:rsid w:val="00B97365"/>
    <w:rsid w:val="00BA04DD"/>
    <w:rsid w:val="00BA077D"/>
    <w:rsid w:val="00BA26F6"/>
    <w:rsid w:val="00BA271F"/>
    <w:rsid w:val="00BA29AD"/>
    <w:rsid w:val="00BA33CF"/>
    <w:rsid w:val="00BA3D17"/>
    <w:rsid w:val="00BA3E05"/>
    <w:rsid w:val="00BA3E96"/>
    <w:rsid w:val="00BA3F8D"/>
    <w:rsid w:val="00BA5539"/>
    <w:rsid w:val="00BA567A"/>
    <w:rsid w:val="00BA5735"/>
    <w:rsid w:val="00BA57CF"/>
    <w:rsid w:val="00BA5E82"/>
    <w:rsid w:val="00BA6AC5"/>
    <w:rsid w:val="00BA72B0"/>
    <w:rsid w:val="00BB0CBB"/>
    <w:rsid w:val="00BB0F24"/>
    <w:rsid w:val="00BB1B7D"/>
    <w:rsid w:val="00BB1C00"/>
    <w:rsid w:val="00BB1D73"/>
    <w:rsid w:val="00BB244F"/>
    <w:rsid w:val="00BB24DA"/>
    <w:rsid w:val="00BB3132"/>
    <w:rsid w:val="00BB3EBE"/>
    <w:rsid w:val="00BB4765"/>
    <w:rsid w:val="00BB4BD7"/>
    <w:rsid w:val="00BB54A9"/>
    <w:rsid w:val="00BB5CF1"/>
    <w:rsid w:val="00BB649D"/>
    <w:rsid w:val="00BB6C0B"/>
    <w:rsid w:val="00BB716E"/>
    <w:rsid w:val="00BB74AC"/>
    <w:rsid w:val="00BB7A10"/>
    <w:rsid w:val="00BC1696"/>
    <w:rsid w:val="00BC2062"/>
    <w:rsid w:val="00BC2608"/>
    <w:rsid w:val="00BC402B"/>
    <w:rsid w:val="00BC42C3"/>
    <w:rsid w:val="00BC42DF"/>
    <w:rsid w:val="00BC4527"/>
    <w:rsid w:val="00BC4A38"/>
    <w:rsid w:val="00BC4C62"/>
    <w:rsid w:val="00BC60BE"/>
    <w:rsid w:val="00BC7468"/>
    <w:rsid w:val="00BC7792"/>
    <w:rsid w:val="00BC7888"/>
    <w:rsid w:val="00BC7D4F"/>
    <w:rsid w:val="00BC7ED7"/>
    <w:rsid w:val="00BC7F08"/>
    <w:rsid w:val="00BD256C"/>
    <w:rsid w:val="00BD2850"/>
    <w:rsid w:val="00BD2AED"/>
    <w:rsid w:val="00BD2F02"/>
    <w:rsid w:val="00BD3526"/>
    <w:rsid w:val="00BD4266"/>
    <w:rsid w:val="00BD43D3"/>
    <w:rsid w:val="00BD5015"/>
    <w:rsid w:val="00BD5F76"/>
    <w:rsid w:val="00BD6B9D"/>
    <w:rsid w:val="00BD7A3E"/>
    <w:rsid w:val="00BD7DD8"/>
    <w:rsid w:val="00BE0A4A"/>
    <w:rsid w:val="00BE2052"/>
    <w:rsid w:val="00BE28D2"/>
    <w:rsid w:val="00BE3EF7"/>
    <w:rsid w:val="00BE4818"/>
    <w:rsid w:val="00BE4A64"/>
    <w:rsid w:val="00BE5E43"/>
    <w:rsid w:val="00BE60E1"/>
    <w:rsid w:val="00BE74A9"/>
    <w:rsid w:val="00BF1990"/>
    <w:rsid w:val="00BF2069"/>
    <w:rsid w:val="00BF2C8E"/>
    <w:rsid w:val="00BF347F"/>
    <w:rsid w:val="00BF3543"/>
    <w:rsid w:val="00BF3AB8"/>
    <w:rsid w:val="00BF401D"/>
    <w:rsid w:val="00BF557D"/>
    <w:rsid w:val="00BF55B1"/>
    <w:rsid w:val="00BF5FD4"/>
    <w:rsid w:val="00BF605B"/>
    <w:rsid w:val="00BF658D"/>
    <w:rsid w:val="00BF65D0"/>
    <w:rsid w:val="00BF7F58"/>
    <w:rsid w:val="00C00A21"/>
    <w:rsid w:val="00C0127A"/>
    <w:rsid w:val="00C01381"/>
    <w:rsid w:val="00C018F2"/>
    <w:rsid w:val="00C01AB1"/>
    <w:rsid w:val="00C0200B"/>
    <w:rsid w:val="00C026A0"/>
    <w:rsid w:val="00C029B6"/>
    <w:rsid w:val="00C02B45"/>
    <w:rsid w:val="00C02E0D"/>
    <w:rsid w:val="00C0391C"/>
    <w:rsid w:val="00C03CD3"/>
    <w:rsid w:val="00C05854"/>
    <w:rsid w:val="00C06137"/>
    <w:rsid w:val="00C066C3"/>
    <w:rsid w:val="00C06929"/>
    <w:rsid w:val="00C06DCE"/>
    <w:rsid w:val="00C07851"/>
    <w:rsid w:val="00C079B8"/>
    <w:rsid w:val="00C10037"/>
    <w:rsid w:val="00C1075A"/>
    <w:rsid w:val="00C10C6A"/>
    <w:rsid w:val="00C10E53"/>
    <w:rsid w:val="00C11136"/>
    <w:rsid w:val="00C115E1"/>
    <w:rsid w:val="00C116AF"/>
    <w:rsid w:val="00C117F5"/>
    <w:rsid w:val="00C11E30"/>
    <w:rsid w:val="00C123EA"/>
    <w:rsid w:val="00C12A49"/>
    <w:rsid w:val="00C12D9B"/>
    <w:rsid w:val="00C13196"/>
    <w:rsid w:val="00C133EE"/>
    <w:rsid w:val="00C13919"/>
    <w:rsid w:val="00C149D0"/>
    <w:rsid w:val="00C157BE"/>
    <w:rsid w:val="00C16258"/>
    <w:rsid w:val="00C1698A"/>
    <w:rsid w:val="00C16E88"/>
    <w:rsid w:val="00C1793F"/>
    <w:rsid w:val="00C20614"/>
    <w:rsid w:val="00C222DA"/>
    <w:rsid w:val="00C22353"/>
    <w:rsid w:val="00C226AE"/>
    <w:rsid w:val="00C2360D"/>
    <w:rsid w:val="00C23711"/>
    <w:rsid w:val="00C2449D"/>
    <w:rsid w:val="00C25DF0"/>
    <w:rsid w:val="00C26588"/>
    <w:rsid w:val="00C27DE9"/>
    <w:rsid w:val="00C30350"/>
    <w:rsid w:val="00C31FD1"/>
    <w:rsid w:val="00C32969"/>
    <w:rsid w:val="00C32989"/>
    <w:rsid w:val="00C33388"/>
    <w:rsid w:val="00C33875"/>
    <w:rsid w:val="00C35484"/>
    <w:rsid w:val="00C35E0D"/>
    <w:rsid w:val="00C36220"/>
    <w:rsid w:val="00C3657A"/>
    <w:rsid w:val="00C369EA"/>
    <w:rsid w:val="00C36A44"/>
    <w:rsid w:val="00C36E8F"/>
    <w:rsid w:val="00C37791"/>
    <w:rsid w:val="00C378D9"/>
    <w:rsid w:val="00C37DF4"/>
    <w:rsid w:val="00C40DD0"/>
    <w:rsid w:val="00C40FC7"/>
    <w:rsid w:val="00C410CD"/>
    <w:rsid w:val="00C411DB"/>
    <w:rsid w:val="00C4173A"/>
    <w:rsid w:val="00C421FD"/>
    <w:rsid w:val="00C424C3"/>
    <w:rsid w:val="00C43416"/>
    <w:rsid w:val="00C43B25"/>
    <w:rsid w:val="00C43C1B"/>
    <w:rsid w:val="00C43D70"/>
    <w:rsid w:val="00C44F0A"/>
    <w:rsid w:val="00C4539B"/>
    <w:rsid w:val="00C454E3"/>
    <w:rsid w:val="00C458F3"/>
    <w:rsid w:val="00C45C9B"/>
    <w:rsid w:val="00C461FF"/>
    <w:rsid w:val="00C466A9"/>
    <w:rsid w:val="00C46701"/>
    <w:rsid w:val="00C46B52"/>
    <w:rsid w:val="00C47838"/>
    <w:rsid w:val="00C4795E"/>
    <w:rsid w:val="00C50DED"/>
    <w:rsid w:val="00C517AA"/>
    <w:rsid w:val="00C51B1F"/>
    <w:rsid w:val="00C52217"/>
    <w:rsid w:val="00C53035"/>
    <w:rsid w:val="00C5372F"/>
    <w:rsid w:val="00C54E79"/>
    <w:rsid w:val="00C55EEC"/>
    <w:rsid w:val="00C56907"/>
    <w:rsid w:val="00C56947"/>
    <w:rsid w:val="00C56DA3"/>
    <w:rsid w:val="00C602FF"/>
    <w:rsid w:val="00C60411"/>
    <w:rsid w:val="00C609D3"/>
    <w:rsid w:val="00C61174"/>
    <w:rsid w:val="00C6148F"/>
    <w:rsid w:val="00C6214A"/>
    <w:rsid w:val="00C621B1"/>
    <w:rsid w:val="00C62E73"/>
    <w:rsid w:val="00C62F7A"/>
    <w:rsid w:val="00C63573"/>
    <w:rsid w:val="00C63B9C"/>
    <w:rsid w:val="00C64068"/>
    <w:rsid w:val="00C6485D"/>
    <w:rsid w:val="00C6556B"/>
    <w:rsid w:val="00C65640"/>
    <w:rsid w:val="00C65816"/>
    <w:rsid w:val="00C6682F"/>
    <w:rsid w:val="00C677BD"/>
    <w:rsid w:val="00C67BF4"/>
    <w:rsid w:val="00C7275E"/>
    <w:rsid w:val="00C72F2E"/>
    <w:rsid w:val="00C731AF"/>
    <w:rsid w:val="00C7323B"/>
    <w:rsid w:val="00C743E6"/>
    <w:rsid w:val="00C7496A"/>
    <w:rsid w:val="00C74C5D"/>
    <w:rsid w:val="00C75242"/>
    <w:rsid w:val="00C75707"/>
    <w:rsid w:val="00C75EE6"/>
    <w:rsid w:val="00C772BC"/>
    <w:rsid w:val="00C8285A"/>
    <w:rsid w:val="00C83B27"/>
    <w:rsid w:val="00C84606"/>
    <w:rsid w:val="00C84611"/>
    <w:rsid w:val="00C84864"/>
    <w:rsid w:val="00C85E28"/>
    <w:rsid w:val="00C85ECD"/>
    <w:rsid w:val="00C85ED3"/>
    <w:rsid w:val="00C863C4"/>
    <w:rsid w:val="00C8646D"/>
    <w:rsid w:val="00C8750F"/>
    <w:rsid w:val="00C90CC8"/>
    <w:rsid w:val="00C90DAB"/>
    <w:rsid w:val="00C91788"/>
    <w:rsid w:val="00C920EA"/>
    <w:rsid w:val="00C924A4"/>
    <w:rsid w:val="00C9276E"/>
    <w:rsid w:val="00C9305F"/>
    <w:rsid w:val="00C93881"/>
    <w:rsid w:val="00C93882"/>
    <w:rsid w:val="00C93C3E"/>
    <w:rsid w:val="00C94FF5"/>
    <w:rsid w:val="00C955FB"/>
    <w:rsid w:val="00C9618B"/>
    <w:rsid w:val="00C962A1"/>
    <w:rsid w:val="00C964B2"/>
    <w:rsid w:val="00C969AD"/>
    <w:rsid w:val="00C977DF"/>
    <w:rsid w:val="00CA0AC2"/>
    <w:rsid w:val="00CA10BE"/>
    <w:rsid w:val="00CA12BD"/>
    <w:rsid w:val="00CA12E3"/>
    <w:rsid w:val="00CA1476"/>
    <w:rsid w:val="00CA283F"/>
    <w:rsid w:val="00CA472B"/>
    <w:rsid w:val="00CA4B21"/>
    <w:rsid w:val="00CA4EF6"/>
    <w:rsid w:val="00CA56B0"/>
    <w:rsid w:val="00CA573D"/>
    <w:rsid w:val="00CA6611"/>
    <w:rsid w:val="00CA68CB"/>
    <w:rsid w:val="00CA6AE6"/>
    <w:rsid w:val="00CA782F"/>
    <w:rsid w:val="00CA792B"/>
    <w:rsid w:val="00CA79DB"/>
    <w:rsid w:val="00CB0339"/>
    <w:rsid w:val="00CB187B"/>
    <w:rsid w:val="00CB1A8A"/>
    <w:rsid w:val="00CB2835"/>
    <w:rsid w:val="00CB2A46"/>
    <w:rsid w:val="00CB3285"/>
    <w:rsid w:val="00CB3354"/>
    <w:rsid w:val="00CB4500"/>
    <w:rsid w:val="00CB4C30"/>
    <w:rsid w:val="00CB59E3"/>
    <w:rsid w:val="00CB60E3"/>
    <w:rsid w:val="00CB7D1C"/>
    <w:rsid w:val="00CC006E"/>
    <w:rsid w:val="00CC0C72"/>
    <w:rsid w:val="00CC19DB"/>
    <w:rsid w:val="00CC2BFD"/>
    <w:rsid w:val="00CC336B"/>
    <w:rsid w:val="00CC3BB0"/>
    <w:rsid w:val="00CC3C81"/>
    <w:rsid w:val="00CC4068"/>
    <w:rsid w:val="00CC4958"/>
    <w:rsid w:val="00CC4CF8"/>
    <w:rsid w:val="00CC5567"/>
    <w:rsid w:val="00CC6597"/>
    <w:rsid w:val="00CC6B76"/>
    <w:rsid w:val="00CC6E16"/>
    <w:rsid w:val="00CC6F40"/>
    <w:rsid w:val="00CC7CCE"/>
    <w:rsid w:val="00CD0559"/>
    <w:rsid w:val="00CD1E95"/>
    <w:rsid w:val="00CD25AC"/>
    <w:rsid w:val="00CD28C1"/>
    <w:rsid w:val="00CD2B10"/>
    <w:rsid w:val="00CD3242"/>
    <w:rsid w:val="00CD3476"/>
    <w:rsid w:val="00CD3973"/>
    <w:rsid w:val="00CD64CA"/>
    <w:rsid w:val="00CD64DF"/>
    <w:rsid w:val="00CD6C3E"/>
    <w:rsid w:val="00CD6E6A"/>
    <w:rsid w:val="00CD6FF2"/>
    <w:rsid w:val="00CD746D"/>
    <w:rsid w:val="00CE1950"/>
    <w:rsid w:val="00CE1B8F"/>
    <w:rsid w:val="00CE21F6"/>
    <w:rsid w:val="00CE225F"/>
    <w:rsid w:val="00CE3785"/>
    <w:rsid w:val="00CE45B2"/>
    <w:rsid w:val="00CE5A7A"/>
    <w:rsid w:val="00CE669A"/>
    <w:rsid w:val="00CE66C0"/>
    <w:rsid w:val="00CE6875"/>
    <w:rsid w:val="00CE7796"/>
    <w:rsid w:val="00CE7A02"/>
    <w:rsid w:val="00CE7CD9"/>
    <w:rsid w:val="00CF280C"/>
    <w:rsid w:val="00CF2CE5"/>
    <w:rsid w:val="00CF2F50"/>
    <w:rsid w:val="00CF3A1C"/>
    <w:rsid w:val="00CF531A"/>
    <w:rsid w:val="00CF6198"/>
    <w:rsid w:val="00CF662D"/>
    <w:rsid w:val="00CF6747"/>
    <w:rsid w:val="00CF6A61"/>
    <w:rsid w:val="00CF7B49"/>
    <w:rsid w:val="00CF7B67"/>
    <w:rsid w:val="00D00F42"/>
    <w:rsid w:val="00D011FB"/>
    <w:rsid w:val="00D0181C"/>
    <w:rsid w:val="00D01AD8"/>
    <w:rsid w:val="00D02067"/>
    <w:rsid w:val="00D02565"/>
    <w:rsid w:val="00D02919"/>
    <w:rsid w:val="00D03C8A"/>
    <w:rsid w:val="00D04649"/>
    <w:rsid w:val="00D047E7"/>
    <w:rsid w:val="00D04C61"/>
    <w:rsid w:val="00D0554B"/>
    <w:rsid w:val="00D05B8D"/>
    <w:rsid w:val="00D05B9B"/>
    <w:rsid w:val="00D065A2"/>
    <w:rsid w:val="00D06C2D"/>
    <w:rsid w:val="00D079AA"/>
    <w:rsid w:val="00D07F00"/>
    <w:rsid w:val="00D103AD"/>
    <w:rsid w:val="00D1130F"/>
    <w:rsid w:val="00D1191A"/>
    <w:rsid w:val="00D13EAD"/>
    <w:rsid w:val="00D13ED8"/>
    <w:rsid w:val="00D15831"/>
    <w:rsid w:val="00D15EC2"/>
    <w:rsid w:val="00D16E40"/>
    <w:rsid w:val="00D17410"/>
    <w:rsid w:val="00D177BD"/>
    <w:rsid w:val="00D17B72"/>
    <w:rsid w:val="00D17BCE"/>
    <w:rsid w:val="00D200A3"/>
    <w:rsid w:val="00D2010B"/>
    <w:rsid w:val="00D21473"/>
    <w:rsid w:val="00D2184F"/>
    <w:rsid w:val="00D219BC"/>
    <w:rsid w:val="00D228EB"/>
    <w:rsid w:val="00D228FD"/>
    <w:rsid w:val="00D22CBE"/>
    <w:rsid w:val="00D23DE2"/>
    <w:rsid w:val="00D245CF"/>
    <w:rsid w:val="00D26198"/>
    <w:rsid w:val="00D26CD2"/>
    <w:rsid w:val="00D27AD0"/>
    <w:rsid w:val="00D30D30"/>
    <w:rsid w:val="00D3185C"/>
    <w:rsid w:val="00D3205F"/>
    <w:rsid w:val="00D32CE8"/>
    <w:rsid w:val="00D32EFC"/>
    <w:rsid w:val="00D3318E"/>
    <w:rsid w:val="00D3319A"/>
    <w:rsid w:val="00D33853"/>
    <w:rsid w:val="00D33E72"/>
    <w:rsid w:val="00D34208"/>
    <w:rsid w:val="00D349FE"/>
    <w:rsid w:val="00D34B99"/>
    <w:rsid w:val="00D3560B"/>
    <w:rsid w:val="00D359BC"/>
    <w:rsid w:val="00D35BD6"/>
    <w:rsid w:val="00D35FEF"/>
    <w:rsid w:val="00D361B5"/>
    <w:rsid w:val="00D3636C"/>
    <w:rsid w:val="00D36542"/>
    <w:rsid w:val="00D36CDF"/>
    <w:rsid w:val="00D36D88"/>
    <w:rsid w:val="00D36FD5"/>
    <w:rsid w:val="00D37469"/>
    <w:rsid w:val="00D37AFE"/>
    <w:rsid w:val="00D37C21"/>
    <w:rsid w:val="00D403E4"/>
    <w:rsid w:val="00D40B73"/>
    <w:rsid w:val="00D40BB6"/>
    <w:rsid w:val="00D40BDD"/>
    <w:rsid w:val="00D40F84"/>
    <w:rsid w:val="00D411A2"/>
    <w:rsid w:val="00D4171A"/>
    <w:rsid w:val="00D417E9"/>
    <w:rsid w:val="00D41BA1"/>
    <w:rsid w:val="00D42371"/>
    <w:rsid w:val="00D4263B"/>
    <w:rsid w:val="00D42A63"/>
    <w:rsid w:val="00D430B3"/>
    <w:rsid w:val="00D43805"/>
    <w:rsid w:val="00D455D0"/>
    <w:rsid w:val="00D45C93"/>
    <w:rsid w:val="00D45D57"/>
    <w:rsid w:val="00D45DBF"/>
    <w:rsid w:val="00D4606D"/>
    <w:rsid w:val="00D47E93"/>
    <w:rsid w:val="00D508A4"/>
    <w:rsid w:val="00D50A2E"/>
    <w:rsid w:val="00D50B9C"/>
    <w:rsid w:val="00D50E77"/>
    <w:rsid w:val="00D513AF"/>
    <w:rsid w:val="00D5195F"/>
    <w:rsid w:val="00D522BE"/>
    <w:rsid w:val="00D52D1B"/>
    <w:rsid w:val="00D52D73"/>
    <w:rsid w:val="00D52E58"/>
    <w:rsid w:val="00D53AFB"/>
    <w:rsid w:val="00D53B29"/>
    <w:rsid w:val="00D54328"/>
    <w:rsid w:val="00D56A62"/>
    <w:rsid w:val="00D56B20"/>
    <w:rsid w:val="00D578B3"/>
    <w:rsid w:val="00D57E38"/>
    <w:rsid w:val="00D604C9"/>
    <w:rsid w:val="00D60C05"/>
    <w:rsid w:val="00D618F4"/>
    <w:rsid w:val="00D61D87"/>
    <w:rsid w:val="00D61FC3"/>
    <w:rsid w:val="00D62067"/>
    <w:rsid w:val="00D63636"/>
    <w:rsid w:val="00D642F1"/>
    <w:rsid w:val="00D64C47"/>
    <w:rsid w:val="00D65E83"/>
    <w:rsid w:val="00D6667A"/>
    <w:rsid w:val="00D675DE"/>
    <w:rsid w:val="00D700AC"/>
    <w:rsid w:val="00D714CC"/>
    <w:rsid w:val="00D717A4"/>
    <w:rsid w:val="00D72E18"/>
    <w:rsid w:val="00D74043"/>
    <w:rsid w:val="00D745F5"/>
    <w:rsid w:val="00D7484B"/>
    <w:rsid w:val="00D7577D"/>
    <w:rsid w:val="00D75EA7"/>
    <w:rsid w:val="00D76DCB"/>
    <w:rsid w:val="00D76ECC"/>
    <w:rsid w:val="00D8189D"/>
    <w:rsid w:val="00D81ADF"/>
    <w:rsid w:val="00D81F21"/>
    <w:rsid w:val="00D81F90"/>
    <w:rsid w:val="00D82348"/>
    <w:rsid w:val="00D82623"/>
    <w:rsid w:val="00D82671"/>
    <w:rsid w:val="00D83F37"/>
    <w:rsid w:val="00D864F2"/>
    <w:rsid w:val="00D866D8"/>
    <w:rsid w:val="00D874EF"/>
    <w:rsid w:val="00D877B0"/>
    <w:rsid w:val="00D878F5"/>
    <w:rsid w:val="00D87FF6"/>
    <w:rsid w:val="00D90862"/>
    <w:rsid w:val="00D91105"/>
    <w:rsid w:val="00D91731"/>
    <w:rsid w:val="00D91FC6"/>
    <w:rsid w:val="00D922A0"/>
    <w:rsid w:val="00D92B48"/>
    <w:rsid w:val="00D92F5E"/>
    <w:rsid w:val="00D943F8"/>
    <w:rsid w:val="00D94EEF"/>
    <w:rsid w:val="00D9500A"/>
    <w:rsid w:val="00D95470"/>
    <w:rsid w:val="00D95B2D"/>
    <w:rsid w:val="00D95DF8"/>
    <w:rsid w:val="00D969C8"/>
    <w:rsid w:val="00D96B45"/>
    <w:rsid w:val="00D96B55"/>
    <w:rsid w:val="00D96DF3"/>
    <w:rsid w:val="00D97C7F"/>
    <w:rsid w:val="00DA01CE"/>
    <w:rsid w:val="00DA2297"/>
    <w:rsid w:val="00DA2619"/>
    <w:rsid w:val="00DA2843"/>
    <w:rsid w:val="00DA2C4D"/>
    <w:rsid w:val="00DA3C43"/>
    <w:rsid w:val="00DA4239"/>
    <w:rsid w:val="00DA5706"/>
    <w:rsid w:val="00DA588C"/>
    <w:rsid w:val="00DA5F5B"/>
    <w:rsid w:val="00DA65DE"/>
    <w:rsid w:val="00DA7184"/>
    <w:rsid w:val="00DB0B61"/>
    <w:rsid w:val="00DB138D"/>
    <w:rsid w:val="00DB1474"/>
    <w:rsid w:val="00DB17CF"/>
    <w:rsid w:val="00DB1CB2"/>
    <w:rsid w:val="00DB1E42"/>
    <w:rsid w:val="00DB2962"/>
    <w:rsid w:val="00DB52FB"/>
    <w:rsid w:val="00DB5361"/>
    <w:rsid w:val="00DB5575"/>
    <w:rsid w:val="00DB5B60"/>
    <w:rsid w:val="00DB6A00"/>
    <w:rsid w:val="00DB7C38"/>
    <w:rsid w:val="00DC013B"/>
    <w:rsid w:val="00DC039D"/>
    <w:rsid w:val="00DC0702"/>
    <w:rsid w:val="00DC090B"/>
    <w:rsid w:val="00DC0ABC"/>
    <w:rsid w:val="00DC1679"/>
    <w:rsid w:val="00DC1D0F"/>
    <w:rsid w:val="00DC20D6"/>
    <w:rsid w:val="00DC219B"/>
    <w:rsid w:val="00DC27B9"/>
    <w:rsid w:val="00DC2CF1"/>
    <w:rsid w:val="00DC2DC7"/>
    <w:rsid w:val="00DC2EA0"/>
    <w:rsid w:val="00DC3A7C"/>
    <w:rsid w:val="00DC4422"/>
    <w:rsid w:val="00DC4B3E"/>
    <w:rsid w:val="00DC4FCF"/>
    <w:rsid w:val="00DC50E0"/>
    <w:rsid w:val="00DC5F08"/>
    <w:rsid w:val="00DC634C"/>
    <w:rsid w:val="00DC6386"/>
    <w:rsid w:val="00DC7D97"/>
    <w:rsid w:val="00DD0518"/>
    <w:rsid w:val="00DD09D7"/>
    <w:rsid w:val="00DD110B"/>
    <w:rsid w:val="00DD1130"/>
    <w:rsid w:val="00DD1951"/>
    <w:rsid w:val="00DD25FC"/>
    <w:rsid w:val="00DD2A1D"/>
    <w:rsid w:val="00DD42BE"/>
    <w:rsid w:val="00DD487D"/>
    <w:rsid w:val="00DD4DB8"/>
    <w:rsid w:val="00DD4E83"/>
    <w:rsid w:val="00DD51E1"/>
    <w:rsid w:val="00DD54B2"/>
    <w:rsid w:val="00DD5E1F"/>
    <w:rsid w:val="00DD6045"/>
    <w:rsid w:val="00DD6377"/>
    <w:rsid w:val="00DD6628"/>
    <w:rsid w:val="00DD6945"/>
    <w:rsid w:val="00DD7516"/>
    <w:rsid w:val="00DE0BAC"/>
    <w:rsid w:val="00DE0FD9"/>
    <w:rsid w:val="00DE1B18"/>
    <w:rsid w:val="00DE1D5C"/>
    <w:rsid w:val="00DE2D04"/>
    <w:rsid w:val="00DE3250"/>
    <w:rsid w:val="00DE45AF"/>
    <w:rsid w:val="00DE50D7"/>
    <w:rsid w:val="00DE5F48"/>
    <w:rsid w:val="00DE6028"/>
    <w:rsid w:val="00DE62C8"/>
    <w:rsid w:val="00DE6C85"/>
    <w:rsid w:val="00DE7816"/>
    <w:rsid w:val="00DE78A3"/>
    <w:rsid w:val="00DF0A6E"/>
    <w:rsid w:val="00DF107D"/>
    <w:rsid w:val="00DF1A71"/>
    <w:rsid w:val="00DF301E"/>
    <w:rsid w:val="00DF431E"/>
    <w:rsid w:val="00DF4D8B"/>
    <w:rsid w:val="00DF50FC"/>
    <w:rsid w:val="00DF62DF"/>
    <w:rsid w:val="00DF6657"/>
    <w:rsid w:val="00DF68C7"/>
    <w:rsid w:val="00DF6903"/>
    <w:rsid w:val="00DF6AD7"/>
    <w:rsid w:val="00DF731A"/>
    <w:rsid w:val="00DF7692"/>
    <w:rsid w:val="00E00701"/>
    <w:rsid w:val="00E00E17"/>
    <w:rsid w:val="00E02DC5"/>
    <w:rsid w:val="00E0338A"/>
    <w:rsid w:val="00E03CEE"/>
    <w:rsid w:val="00E03EF5"/>
    <w:rsid w:val="00E0667C"/>
    <w:rsid w:val="00E06B75"/>
    <w:rsid w:val="00E06C4E"/>
    <w:rsid w:val="00E071CC"/>
    <w:rsid w:val="00E07248"/>
    <w:rsid w:val="00E07799"/>
    <w:rsid w:val="00E103DD"/>
    <w:rsid w:val="00E10754"/>
    <w:rsid w:val="00E11332"/>
    <w:rsid w:val="00E11352"/>
    <w:rsid w:val="00E118C2"/>
    <w:rsid w:val="00E11BC3"/>
    <w:rsid w:val="00E12282"/>
    <w:rsid w:val="00E164FE"/>
    <w:rsid w:val="00E16981"/>
    <w:rsid w:val="00E170DC"/>
    <w:rsid w:val="00E17546"/>
    <w:rsid w:val="00E20CDF"/>
    <w:rsid w:val="00E210B5"/>
    <w:rsid w:val="00E21489"/>
    <w:rsid w:val="00E23337"/>
    <w:rsid w:val="00E249CF"/>
    <w:rsid w:val="00E261B3"/>
    <w:rsid w:val="00E26818"/>
    <w:rsid w:val="00E26C80"/>
    <w:rsid w:val="00E26F8F"/>
    <w:rsid w:val="00E270D1"/>
    <w:rsid w:val="00E27FFC"/>
    <w:rsid w:val="00E30B15"/>
    <w:rsid w:val="00E30B9B"/>
    <w:rsid w:val="00E30FC7"/>
    <w:rsid w:val="00E3151C"/>
    <w:rsid w:val="00E329E0"/>
    <w:rsid w:val="00E33237"/>
    <w:rsid w:val="00E33663"/>
    <w:rsid w:val="00E34332"/>
    <w:rsid w:val="00E34C6D"/>
    <w:rsid w:val="00E35A11"/>
    <w:rsid w:val="00E3632C"/>
    <w:rsid w:val="00E36A30"/>
    <w:rsid w:val="00E3794B"/>
    <w:rsid w:val="00E37D0C"/>
    <w:rsid w:val="00E4014B"/>
    <w:rsid w:val="00E40181"/>
    <w:rsid w:val="00E4082A"/>
    <w:rsid w:val="00E40A84"/>
    <w:rsid w:val="00E41BCB"/>
    <w:rsid w:val="00E41D79"/>
    <w:rsid w:val="00E42E39"/>
    <w:rsid w:val="00E42E55"/>
    <w:rsid w:val="00E432E3"/>
    <w:rsid w:val="00E433EB"/>
    <w:rsid w:val="00E438A8"/>
    <w:rsid w:val="00E43C56"/>
    <w:rsid w:val="00E4445D"/>
    <w:rsid w:val="00E44ED6"/>
    <w:rsid w:val="00E453C0"/>
    <w:rsid w:val="00E45C3D"/>
    <w:rsid w:val="00E46004"/>
    <w:rsid w:val="00E46735"/>
    <w:rsid w:val="00E46C08"/>
    <w:rsid w:val="00E52189"/>
    <w:rsid w:val="00E52690"/>
    <w:rsid w:val="00E5302C"/>
    <w:rsid w:val="00E53A01"/>
    <w:rsid w:val="00E53B3E"/>
    <w:rsid w:val="00E53C6A"/>
    <w:rsid w:val="00E54360"/>
    <w:rsid w:val="00E5437F"/>
    <w:rsid w:val="00E54950"/>
    <w:rsid w:val="00E54970"/>
    <w:rsid w:val="00E55558"/>
    <w:rsid w:val="00E558B1"/>
    <w:rsid w:val="00E55FB3"/>
    <w:rsid w:val="00E5675C"/>
    <w:rsid w:val="00E56A01"/>
    <w:rsid w:val="00E60AA0"/>
    <w:rsid w:val="00E60B3F"/>
    <w:rsid w:val="00E61C0E"/>
    <w:rsid w:val="00E6231F"/>
    <w:rsid w:val="00E6270C"/>
    <w:rsid w:val="00E629A1"/>
    <w:rsid w:val="00E6352C"/>
    <w:rsid w:val="00E63959"/>
    <w:rsid w:val="00E64057"/>
    <w:rsid w:val="00E65311"/>
    <w:rsid w:val="00E6570F"/>
    <w:rsid w:val="00E659F2"/>
    <w:rsid w:val="00E664C7"/>
    <w:rsid w:val="00E66AF6"/>
    <w:rsid w:val="00E6794C"/>
    <w:rsid w:val="00E708DE"/>
    <w:rsid w:val="00E70FB3"/>
    <w:rsid w:val="00E71412"/>
    <w:rsid w:val="00E71591"/>
    <w:rsid w:val="00E71CEB"/>
    <w:rsid w:val="00E71FAC"/>
    <w:rsid w:val="00E72A1C"/>
    <w:rsid w:val="00E73C2C"/>
    <w:rsid w:val="00E74155"/>
    <w:rsid w:val="00E7432B"/>
    <w:rsid w:val="00E7474F"/>
    <w:rsid w:val="00E74D02"/>
    <w:rsid w:val="00E770EB"/>
    <w:rsid w:val="00E77D7D"/>
    <w:rsid w:val="00E77DE6"/>
    <w:rsid w:val="00E80DE3"/>
    <w:rsid w:val="00E81DD8"/>
    <w:rsid w:val="00E8285D"/>
    <w:rsid w:val="00E82BF1"/>
    <w:rsid w:val="00E82C2C"/>
    <w:rsid w:val="00E82C55"/>
    <w:rsid w:val="00E83D3B"/>
    <w:rsid w:val="00E843C9"/>
    <w:rsid w:val="00E847B5"/>
    <w:rsid w:val="00E85F0C"/>
    <w:rsid w:val="00E8629E"/>
    <w:rsid w:val="00E86F9C"/>
    <w:rsid w:val="00E8787E"/>
    <w:rsid w:val="00E87B27"/>
    <w:rsid w:val="00E903B4"/>
    <w:rsid w:val="00E9042A"/>
    <w:rsid w:val="00E90A80"/>
    <w:rsid w:val="00E91136"/>
    <w:rsid w:val="00E91F20"/>
    <w:rsid w:val="00E92458"/>
    <w:rsid w:val="00E9299D"/>
    <w:rsid w:val="00E92AC3"/>
    <w:rsid w:val="00E92CE7"/>
    <w:rsid w:val="00E92D96"/>
    <w:rsid w:val="00E9343D"/>
    <w:rsid w:val="00E95DD2"/>
    <w:rsid w:val="00E968EA"/>
    <w:rsid w:val="00E97C8C"/>
    <w:rsid w:val="00EA0BB8"/>
    <w:rsid w:val="00EA1173"/>
    <w:rsid w:val="00EA13BE"/>
    <w:rsid w:val="00EA29DB"/>
    <w:rsid w:val="00EA2F6A"/>
    <w:rsid w:val="00EA48FD"/>
    <w:rsid w:val="00EA6766"/>
    <w:rsid w:val="00EA68FF"/>
    <w:rsid w:val="00EA6A20"/>
    <w:rsid w:val="00EA6A33"/>
    <w:rsid w:val="00EA6CBC"/>
    <w:rsid w:val="00EB00E0"/>
    <w:rsid w:val="00EB05D5"/>
    <w:rsid w:val="00EB2B80"/>
    <w:rsid w:val="00EB4989"/>
    <w:rsid w:val="00EB4BC7"/>
    <w:rsid w:val="00EB4DDF"/>
    <w:rsid w:val="00EB56B9"/>
    <w:rsid w:val="00EB5846"/>
    <w:rsid w:val="00EB6EDE"/>
    <w:rsid w:val="00EC00D0"/>
    <w:rsid w:val="00EC059F"/>
    <w:rsid w:val="00EC0913"/>
    <w:rsid w:val="00EC10DE"/>
    <w:rsid w:val="00EC1924"/>
    <w:rsid w:val="00EC1F24"/>
    <w:rsid w:val="00EC22F6"/>
    <w:rsid w:val="00EC3DB9"/>
    <w:rsid w:val="00EC45D7"/>
    <w:rsid w:val="00EC4FB9"/>
    <w:rsid w:val="00EC5146"/>
    <w:rsid w:val="00EC65C1"/>
    <w:rsid w:val="00EC6890"/>
    <w:rsid w:val="00EC6C02"/>
    <w:rsid w:val="00EC7285"/>
    <w:rsid w:val="00EC7306"/>
    <w:rsid w:val="00EC7B92"/>
    <w:rsid w:val="00ED00EE"/>
    <w:rsid w:val="00ED1094"/>
    <w:rsid w:val="00ED15BE"/>
    <w:rsid w:val="00ED210F"/>
    <w:rsid w:val="00ED28EB"/>
    <w:rsid w:val="00ED3C5C"/>
    <w:rsid w:val="00ED4894"/>
    <w:rsid w:val="00ED5B9B"/>
    <w:rsid w:val="00ED5E1E"/>
    <w:rsid w:val="00ED6BAD"/>
    <w:rsid w:val="00ED7447"/>
    <w:rsid w:val="00ED7762"/>
    <w:rsid w:val="00EE00D6"/>
    <w:rsid w:val="00EE0564"/>
    <w:rsid w:val="00EE11E7"/>
    <w:rsid w:val="00EE1488"/>
    <w:rsid w:val="00EE1892"/>
    <w:rsid w:val="00EE1C19"/>
    <w:rsid w:val="00EE21E4"/>
    <w:rsid w:val="00EE22A1"/>
    <w:rsid w:val="00EE244A"/>
    <w:rsid w:val="00EE29AD"/>
    <w:rsid w:val="00EE3E24"/>
    <w:rsid w:val="00EE4362"/>
    <w:rsid w:val="00EE4D5D"/>
    <w:rsid w:val="00EE5131"/>
    <w:rsid w:val="00EE57A0"/>
    <w:rsid w:val="00EE66E2"/>
    <w:rsid w:val="00EE67DA"/>
    <w:rsid w:val="00EE6859"/>
    <w:rsid w:val="00EE6C4F"/>
    <w:rsid w:val="00EE6C8F"/>
    <w:rsid w:val="00EE73EE"/>
    <w:rsid w:val="00EF109B"/>
    <w:rsid w:val="00EF201C"/>
    <w:rsid w:val="00EF2C72"/>
    <w:rsid w:val="00EF32CF"/>
    <w:rsid w:val="00EF36AF"/>
    <w:rsid w:val="00EF59A3"/>
    <w:rsid w:val="00EF5AA0"/>
    <w:rsid w:val="00EF5F1D"/>
    <w:rsid w:val="00EF615B"/>
    <w:rsid w:val="00EF6675"/>
    <w:rsid w:val="00EF6A74"/>
    <w:rsid w:val="00EF716A"/>
    <w:rsid w:val="00EF7C1B"/>
    <w:rsid w:val="00F000B6"/>
    <w:rsid w:val="00F00131"/>
    <w:rsid w:val="00F0063D"/>
    <w:rsid w:val="00F00F9C"/>
    <w:rsid w:val="00F01C88"/>
    <w:rsid w:val="00F01E5F"/>
    <w:rsid w:val="00F024F3"/>
    <w:rsid w:val="00F02ABA"/>
    <w:rsid w:val="00F02D89"/>
    <w:rsid w:val="00F03D50"/>
    <w:rsid w:val="00F042FE"/>
    <w:rsid w:val="00F0437A"/>
    <w:rsid w:val="00F052E4"/>
    <w:rsid w:val="00F059D5"/>
    <w:rsid w:val="00F0639C"/>
    <w:rsid w:val="00F07A44"/>
    <w:rsid w:val="00F07AB4"/>
    <w:rsid w:val="00F100DA"/>
    <w:rsid w:val="00F10159"/>
    <w:rsid w:val="00F101B8"/>
    <w:rsid w:val="00F102D3"/>
    <w:rsid w:val="00F10C93"/>
    <w:rsid w:val="00F11037"/>
    <w:rsid w:val="00F11A22"/>
    <w:rsid w:val="00F1203F"/>
    <w:rsid w:val="00F12644"/>
    <w:rsid w:val="00F13E87"/>
    <w:rsid w:val="00F156B6"/>
    <w:rsid w:val="00F15A79"/>
    <w:rsid w:val="00F15C89"/>
    <w:rsid w:val="00F166F4"/>
    <w:rsid w:val="00F16F1B"/>
    <w:rsid w:val="00F17324"/>
    <w:rsid w:val="00F20947"/>
    <w:rsid w:val="00F20FD3"/>
    <w:rsid w:val="00F21AC7"/>
    <w:rsid w:val="00F2332D"/>
    <w:rsid w:val="00F24826"/>
    <w:rsid w:val="00F24FC7"/>
    <w:rsid w:val="00F24FCB"/>
    <w:rsid w:val="00F250A9"/>
    <w:rsid w:val="00F267AF"/>
    <w:rsid w:val="00F26B5C"/>
    <w:rsid w:val="00F309F6"/>
    <w:rsid w:val="00F30FF4"/>
    <w:rsid w:val="00F30FFC"/>
    <w:rsid w:val="00F3122E"/>
    <w:rsid w:val="00F317B6"/>
    <w:rsid w:val="00F32368"/>
    <w:rsid w:val="00F32B2E"/>
    <w:rsid w:val="00F331AD"/>
    <w:rsid w:val="00F35287"/>
    <w:rsid w:val="00F3596C"/>
    <w:rsid w:val="00F35E5D"/>
    <w:rsid w:val="00F35F06"/>
    <w:rsid w:val="00F40A23"/>
    <w:rsid w:val="00F40A70"/>
    <w:rsid w:val="00F40C03"/>
    <w:rsid w:val="00F416E6"/>
    <w:rsid w:val="00F41867"/>
    <w:rsid w:val="00F42217"/>
    <w:rsid w:val="00F42260"/>
    <w:rsid w:val="00F42C81"/>
    <w:rsid w:val="00F43211"/>
    <w:rsid w:val="00F43A37"/>
    <w:rsid w:val="00F44787"/>
    <w:rsid w:val="00F449BE"/>
    <w:rsid w:val="00F4641B"/>
    <w:rsid w:val="00F46446"/>
    <w:rsid w:val="00F46EB8"/>
    <w:rsid w:val="00F478C5"/>
    <w:rsid w:val="00F50C8F"/>
    <w:rsid w:val="00F50CD1"/>
    <w:rsid w:val="00F511E4"/>
    <w:rsid w:val="00F51FF6"/>
    <w:rsid w:val="00F52D09"/>
    <w:rsid w:val="00F52E08"/>
    <w:rsid w:val="00F52E35"/>
    <w:rsid w:val="00F531CF"/>
    <w:rsid w:val="00F533CC"/>
    <w:rsid w:val="00F536D5"/>
    <w:rsid w:val="00F53A66"/>
    <w:rsid w:val="00F53C11"/>
    <w:rsid w:val="00F5462D"/>
    <w:rsid w:val="00F54957"/>
    <w:rsid w:val="00F54ACA"/>
    <w:rsid w:val="00F55886"/>
    <w:rsid w:val="00F55A13"/>
    <w:rsid w:val="00F55ABF"/>
    <w:rsid w:val="00F55B21"/>
    <w:rsid w:val="00F560DD"/>
    <w:rsid w:val="00F5661F"/>
    <w:rsid w:val="00F56EF6"/>
    <w:rsid w:val="00F60082"/>
    <w:rsid w:val="00F614A2"/>
    <w:rsid w:val="00F61A9F"/>
    <w:rsid w:val="00F61B5F"/>
    <w:rsid w:val="00F63FDE"/>
    <w:rsid w:val="00F64696"/>
    <w:rsid w:val="00F6502B"/>
    <w:rsid w:val="00F65AA9"/>
    <w:rsid w:val="00F65CA3"/>
    <w:rsid w:val="00F660BC"/>
    <w:rsid w:val="00F6768F"/>
    <w:rsid w:val="00F67731"/>
    <w:rsid w:val="00F6778F"/>
    <w:rsid w:val="00F70CC8"/>
    <w:rsid w:val="00F71590"/>
    <w:rsid w:val="00F726FA"/>
    <w:rsid w:val="00F72C2C"/>
    <w:rsid w:val="00F741F2"/>
    <w:rsid w:val="00F7429A"/>
    <w:rsid w:val="00F7519F"/>
    <w:rsid w:val="00F759AD"/>
    <w:rsid w:val="00F762EB"/>
    <w:rsid w:val="00F76CAB"/>
    <w:rsid w:val="00F772C6"/>
    <w:rsid w:val="00F77F84"/>
    <w:rsid w:val="00F815B5"/>
    <w:rsid w:val="00F81845"/>
    <w:rsid w:val="00F82115"/>
    <w:rsid w:val="00F821B2"/>
    <w:rsid w:val="00F841B5"/>
    <w:rsid w:val="00F8509D"/>
    <w:rsid w:val="00F85195"/>
    <w:rsid w:val="00F85248"/>
    <w:rsid w:val="00F85932"/>
    <w:rsid w:val="00F85BE7"/>
    <w:rsid w:val="00F85F03"/>
    <w:rsid w:val="00F86026"/>
    <w:rsid w:val="00F868E3"/>
    <w:rsid w:val="00F87551"/>
    <w:rsid w:val="00F87557"/>
    <w:rsid w:val="00F907A0"/>
    <w:rsid w:val="00F913C5"/>
    <w:rsid w:val="00F922A7"/>
    <w:rsid w:val="00F938BA"/>
    <w:rsid w:val="00F94A9B"/>
    <w:rsid w:val="00F94DA8"/>
    <w:rsid w:val="00F968A8"/>
    <w:rsid w:val="00F97919"/>
    <w:rsid w:val="00F97A90"/>
    <w:rsid w:val="00FA0227"/>
    <w:rsid w:val="00FA1252"/>
    <w:rsid w:val="00FA1C27"/>
    <w:rsid w:val="00FA23A9"/>
    <w:rsid w:val="00FA2C46"/>
    <w:rsid w:val="00FA3257"/>
    <w:rsid w:val="00FA327C"/>
    <w:rsid w:val="00FA3525"/>
    <w:rsid w:val="00FA4C20"/>
    <w:rsid w:val="00FA5A53"/>
    <w:rsid w:val="00FA63A4"/>
    <w:rsid w:val="00FA6CB2"/>
    <w:rsid w:val="00FA73D3"/>
    <w:rsid w:val="00FA7C79"/>
    <w:rsid w:val="00FB070E"/>
    <w:rsid w:val="00FB1CFE"/>
    <w:rsid w:val="00FB1DD9"/>
    <w:rsid w:val="00FB1F6E"/>
    <w:rsid w:val="00FB24BB"/>
    <w:rsid w:val="00FB36C2"/>
    <w:rsid w:val="00FB4769"/>
    <w:rsid w:val="00FB4CDA"/>
    <w:rsid w:val="00FB4F40"/>
    <w:rsid w:val="00FB6481"/>
    <w:rsid w:val="00FB6D15"/>
    <w:rsid w:val="00FB6D36"/>
    <w:rsid w:val="00FC03F9"/>
    <w:rsid w:val="00FC0688"/>
    <w:rsid w:val="00FC0819"/>
    <w:rsid w:val="00FC0965"/>
    <w:rsid w:val="00FC0F81"/>
    <w:rsid w:val="00FC1735"/>
    <w:rsid w:val="00FC1BBA"/>
    <w:rsid w:val="00FC1E50"/>
    <w:rsid w:val="00FC229F"/>
    <w:rsid w:val="00FC252F"/>
    <w:rsid w:val="00FC2727"/>
    <w:rsid w:val="00FC3137"/>
    <w:rsid w:val="00FC3845"/>
    <w:rsid w:val="00FC3954"/>
    <w:rsid w:val="00FC395C"/>
    <w:rsid w:val="00FC4419"/>
    <w:rsid w:val="00FC4554"/>
    <w:rsid w:val="00FC4D8B"/>
    <w:rsid w:val="00FC526B"/>
    <w:rsid w:val="00FC5C08"/>
    <w:rsid w:val="00FC5E8E"/>
    <w:rsid w:val="00FC6F04"/>
    <w:rsid w:val="00FC787D"/>
    <w:rsid w:val="00FD0FA1"/>
    <w:rsid w:val="00FD356B"/>
    <w:rsid w:val="00FD35B4"/>
    <w:rsid w:val="00FD3766"/>
    <w:rsid w:val="00FD3D05"/>
    <w:rsid w:val="00FD45AD"/>
    <w:rsid w:val="00FD47C4"/>
    <w:rsid w:val="00FD5119"/>
    <w:rsid w:val="00FD51D8"/>
    <w:rsid w:val="00FD5BE6"/>
    <w:rsid w:val="00FD713E"/>
    <w:rsid w:val="00FD7D24"/>
    <w:rsid w:val="00FD7FE2"/>
    <w:rsid w:val="00FE0E24"/>
    <w:rsid w:val="00FE0E95"/>
    <w:rsid w:val="00FE0F7E"/>
    <w:rsid w:val="00FE101C"/>
    <w:rsid w:val="00FE11EB"/>
    <w:rsid w:val="00FE14A1"/>
    <w:rsid w:val="00FE2DCF"/>
    <w:rsid w:val="00FE2F5C"/>
    <w:rsid w:val="00FE396D"/>
    <w:rsid w:val="00FE39F4"/>
    <w:rsid w:val="00FE3B5E"/>
    <w:rsid w:val="00FE3FA7"/>
    <w:rsid w:val="00FE4081"/>
    <w:rsid w:val="00FE4CEE"/>
    <w:rsid w:val="00FE4F33"/>
    <w:rsid w:val="00FE55F4"/>
    <w:rsid w:val="00FE5A28"/>
    <w:rsid w:val="00FE5CCD"/>
    <w:rsid w:val="00FE5F45"/>
    <w:rsid w:val="00FE69BB"/>
    <w:rsid w:val="00FE6B4A"/>
    <w:rsid w:val="00FE7FF4"/>
    <w:rsid w:val="00FF000D"/>
    <w:rsid w:val="00FF022D"/>
    <w:rsid w:val="00FF0254"/>
    <w:rsid w:val="00FF0ACC"/>
    <w:rsid w:val="00FF0E45"/>
    <w:rsid w:val="00FF2685"/>
    <w:rsid w:val="00FF2A4E"/>
    <w:rsid w:val="00FF2FCE"/>
    <w:rsid w:val="00FF3BB4"/>
    <w:rsid w:val="00FF4274"/>
    <w:rsid w:val="00FF4F7D"/>
    <w:rsid w:val="00FF6351"/>
    <w:rsid w:val="00FF6737"/>
    <w:rsid w:val="00FF6D9D"/>
    <w:rsid w:val="00FF700A"/>
    <w:rsid w:val="00FF7620"/>
    <w:rsid w:val="00FF7DB6"/>
    <w:rsid w:val="00FF7DD5"/>
    <w:rsid w:val="02A85076"/>
    <w:rsid w:val="02CE5090"/>
    <w:rsid w:val="038595CB"/>
    <w:rsid w:val="07780CE6"/>
    <w:rsid w:val="07C9272E"/>
    <w:rsid w:val="088E6804"/>
    <w:rsid w:val="0E387F80"/>
    <w:rsid w:val="11F78B47"/>
    <w:rsid w:val="1520A021"/>
    <w:rsid w:val="15915364"/>
    <w:rsid w:val="167E3100"/>
    <w:rsid w:val="17583FB4"/>
    <w:rsid w:val="17E5FAF6"/>
    <w:rsid w:val="18EA4E91"/>
    <w:rsid w:val="1938ACE4"/>
    <w:rsid w:val="1A31D84B"/>
    <w:rsid w:val="1A95C91B"/>
    <w:rsid w:val="1A994999"/>
    <w:rsid w:val="1AE658C1"/>
    <w:rsid w:val="1BCB58F3"/>
    <w:rsid w:val="1E188EC6"/>
    <w:rsid w:val="1EE11047"/>
    <w:rsid w:val="1EEEF84D"/>
    <w:rsid w:val="1FAABC70"/>
    <w:rsid w:val="202EC9D2"/>
    <w:rsid w:val="205A7020"/>
    <w:rsid w:val="20A40689"/>
    <w:rsid w:val="20A9D079"/>
    <w:rsid w:val="2101A953"/>
    <w:rsid w:val="213F51B5"/>
    <w:rsid w:val="216FDCD5"/>
    <w:rsid w:val="227819D4"/>
    <w:rsid w:val="232FA999"/>
    <w:rsid w:val="237796EA"/>
    <w:rsid w:val="24474B35"/>
    <w:rsid w:val="249258AC"/>
    <w:rsid w:val="24A8E0FB"/>
    <w:rsid w:val="25B76B81"/>
    <w:rsid w:val="2694B26C"/>
    <w:rsid w:val="28921204"/>
    <w:rsid w:val="29171688"/>
    <w:rsid w:val="2A04A5E7"/>
    <w:rsid w:val="2AB7E7DD"/>
    <w:rsid w:val="2B1BDBF6"/>
    <w:rsid w:val="2B3DD5A9"/>
    <w:rsid w:val="2C395EC6"/>
    <w:rsid w:val="2D375C87"/>
    <w:rsid w:val="2D96EFD3"/>
    <w:rsid w:val="2EA140C2"/>
    <w:rsid w:val="2F0DE946"/>
    <w:rsid w:val="3334FFA6"/>
    <w:rsid w:val="3427E440"/>
    <w:rsid w:val="35A539FB"/>
    <w:rsid w:val="35D85889"/>
    <w:rsid w:val="37538206"/>
    <w:rsid w:val="376B2548"/>
    <w:rsid w:val="38EA2F62"/>
    <w:rsid w:val="393A86A5"/>
    <w:rsid w:val="3A5A94AB"/>
    <w:rsid w:val="3B66F503"/>
    <w:rsid w:val="3C197B60"/>
    <w:rsid w:val="3CF5E1EA"/>
    <w:rsid w:val="3ED27658"/>
    <w:rsid w:val="3FEB0E09"/>
    <w:rsid w:val="403A10E0"/>
    <w:rsid w:val="409625CA"/>
    <w:rsid w:val="4109E3CC"/>
    <w:rsid w:val="41F67BDC"/>
    <w:rsid w:val="4347D66A"/>
    <w:rsid w:val="45AE9132"/>
    <w:rsid w:val="47DE25B6"/>
    <w:rsid w:val="485DF42B"/>
    <w:rsid w:val="49A9AF57"/>
    <w:rsid w:val="49D8F7A7"/>
    <w:rsid w:val="4BE63CF7"/>
    <w:rsid w:val="4BE727D5"/>
    <w:rsid w:val="4DE1ECFF"/>
    <w:rsid w:val="4E0D98CB"/>
    <w:rsid w:val="4FFE2BB4"/>
    <w:rsid w:val="504F8BD9"/>
    <w:rsid w:val="5076C1C5"/>
    <w:rsid w:val="52F10282"/>
    <w:rsid w:val="5306FA01"/>
    <w:rsid w:val="55608129"/>
    <w:rsid w:val="57D84229"/>
    <w:rsid w:val="58736C98"/>
    <w:rsid w:val="58876FB7"/>
    <w:rsid w:val="58D288FC"/>
    <w:rsid w:val="5BCF20CB"/>
    <w:rsid w:val="5C18C099"/>
    <w:rsid w:val="5C3CEE5E"/>
    <w:rsid w:val="5C5F23DA"/>
    <w:rsid w:val="5D2B4F2E"/>
    <w:rsid w:val="5D9135D3"/>
    <w:rsid w:val="5DEDADF4"/>
    <w:rsid w:val="613C075F"/>
    <w:rsid w:val="61C8EA72"/>
    <w:rsid w:val="62F0AD1F"/>
    <w:rsid w:val="631D306C"/>
    <w:rsid w:val="633D03EF"/>
    <w:rsid w:val="637D2F0C"/>
    <w:rsid w:val="640EE188"/>
    <w:rsid w:val="64C8391C"/>
    <w:rsid w:val="66897903"/>
    <w:rsid w:val="66C8155A"/>
    <w:rsid w:val="6726E329"/>
    <w:rsid w:val="676A67E0"/>
    <w:rsid w:val="68859EB7"/>
    <w:rsid w:val="689A08F3"/>
    <w:rsid w:val="68DB03F5"/>
    <w:rsid w:val="699D6E78"/>
    <w:rsid w:val="6A80664A"/>
    <w:rsid w:val="6B45E704"/>
    <w:rsid w:val="6C0DD9CF"/>
    <w:rsid w:val="6E0DC7B6"/>
    <w:rsid w:val="70B98703"/>
    <w:rsid w:val="7182F22A"/>
    <w:rsid w:val="71F479C4"/>
    <w:rsid w:val="72A0A6F3"/>
    <w:rsid w:val="73C218A5"/>
    <w:rsid w:val="74209FFA"/>
    <w:rsid w:val="744EAD40"/>
    <w:rsid w:val="7495052C"/>
    <w:rsid w:val="75252FFF"/>
    <w:rsid w:val="7548A223"/>
    <w:rsid w:val="757ACF6F"/>
    <w:rsid w:val="7601574C"/>
    <w:rsid w:val="767EF4F1"/>
    <w:rsid w:val="76902957"/>
    <w:rsid w:val="770E69FA"/>
    <w:rsid w:val="79FFA6D9"/>
    <w:rsid w:val="7C308AC7"/>
    <w:rsid w:val="7DD7BB07"/>
    <w:rsid w:val="7EBF61D8"/>
    <w:rsid w:val="7EE158CF"/>
    <w:rsid w:val="7F4DFC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5C2B6B"/>
  <w15:docId w15:val="{DBEE51F5-04A0-4D41-BD04-B5722994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Default">
    <w:name w:val="Default"/>
    <w:rsid w:val="00131D1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102BA"/>
    <w:pPr>
      <w:ind w:left="720"/>
      <w:contextualSpacing/>
    </w:pPr>
  </w:style>
  <w:style w:type="character" w:styleId="Mention">
    <w:name w:val="Mention"/>
    <w:basedOn w:val="DefaultParagraphFont"/>
    <w:uiPriority w:val="99"/>
    <w:unhideWhenUsed/>
    <w:rsid w:val="0033177F"/>
    <w:rPr>
      <w:color w:val="2B579A"/>
      <w:shd w:val="clear" w:color="auto" w:fill="E1DFDD"/>
    </w:rPr>
  </w:style>
  <w:style w:type="character" w:customStyle="1" w:styleId="FooterChar">
    <w:name w:val="Footer Char"/>
    <w:basedOn w:val="DefaultParagraphFont"/>
    <w:link w:val="Footer"/>
    <w:uiPriority w:val="99"/>
    <w:rsid w:val="00A90ACF"/>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2143">
      <w:bodyDiv w:val="1"/>
      <w:marLeft w:val="0"/>
      <w:marRight w:val="0"/>
      <w:marTop w:val="0"/>
      <w:marBottom w:val="0"/>
      <w:divBdr>
        <w:top w:val="none" w:sz="0" w:space="0" w:color="auto"/>
        <w:left w:val="none" w:sz="0" w:space="0" w:color="auto"/>
        <w:bottom w:val="none" w:sz="0" w:space="0" w:color="auto"/>
        <w:right w:val="none" w:sz="0" w:space="0" w:color="auto"/>
      </w:divBdr>
      <w:divsChild>
        <w:div w:id="73623496">
          <w:marLeft w:val="0"/>
          <w:marRight w:val="0"/>
          <w:marTop w:val="0"/>
          <w:marBottom w:val="0"/>
          <w:divBdr>
            <w:top w:val="none" w:sz="0" w:space="0" w:color="auto"/>
            <w:left w:val="none" w:sz="0" w:space="0" w:color="auto"/>
            <w:bottom w:val="none" w:sz="0" w:space="0" w:color="auto"/>
            <w:right w:val="none" w:sz="0" w:space="0" w:color="auto"/>
          </w:divBdr>
        </w:div>
        <w:div w:id="1711609370">
          <w:marLeft w:val="0"/>
          <w:marRight w:val="0"/>
          <w:marTop w:val="0"/>
          <w:marBottom w:val="0"/>
          <w:divBdr>
            <w:top w:val="none" w:sz="0" w:space="0" w:color="auto"/>
            <w:left w:val="none" w:sz="0" w:space="0" w:color="auto"/>
            <w:bottom w:val="none" w:sz="0" w:space="0" w:color="auto"/>
            <w:right w:val="none" w:sz="0" w:space="0" w:color="auto"/>
          </w:divBdr>
        </w:div>
      </w:divsChild>
    </w:div>
    <w:div w:id="26180676">
      <w:bodyDiv w:val="1"/>
      <w:marLeft w:val="0"/>
      <w:marRight w:val="0"/>
      <w:marTop w:val="0"/>
      <w:marBottom w:val="0"/>
      <w:divBdr>
        <w:top w:val="none" w:sz="0" w:space="0" w:color="auto"/>
        <w:left w:val="none" w:sz="0" w:space="0" w:color="auto"/>
        <w:bottom w:val="none" w:sz="0" w:space="0" w:color="auto"/>
        <w:right w:val="none" w:sz="0" w:space="0" w:color="auto"/>
      </w:divBdr>
    </w:div>
    <w:div w:id="45447190">
      <w:bodyDiv w:val="1"/>
      <w:marLeft w:val="0"/>
      <w:marRight w:val="0"/>
      <w:marTop w:val="0"/>
      <w:marBottom w:val="0"/>
      <w:divBdr>
        <w:top w:val="none" w:sz="0" w:space="0" w:color="auto"/>
        <w:left w:val="none" w:sz="0" w:space="0" w:color="auto"/>
        <w:bottom w:val="none" w:sz="0" w:space="0" w:color="auto"/>
        <w:right w:val="none" w:sz="0" w:space="0" w:color="auto"/>
      </w:divBdr>
      <w:divsChild>
        <w:div w:id="1251355714">
          <w:marLeft w:val="0"/>
          <w:marRight w:val="0"/>
          <w:marTop w:val="0"/>
          <w:marBottom w:val="0"/>
          <w:divBdr>
            <w:top w:val="none" w:sz="0" w:space="0" w:color="auto"/>
            <w:left w:val="none" w:sz="0" w:space="0" w:color="auto"/>
            <w:bottom w:val="none" w:sz="0" w:space="0" w:color="auto"/>
            <w:right w:val="none" w:sz="0" w:space="0" w:color="auto"/>
          </w:divBdr>
          <w:divsChild>
            <w:div w:id="1218585601">
              <w:marLeft w:val="0"/>
              <w:marRight w:val="0"/>
              <w:marTop w:val="0"/>
              <w:marBottom w:val="0"/>
              <w:divBdr>
                <w:top w:val="none" w:sz="0" w:space="0" w:color="auto"/>
                <w:left w:val="none" w:sz="0" w:space="0" w:color="auto"/>
                <w:bottom w:val="none" w:sz="0" w:space="0" w:color="auto"/>
                <w:right w:val="none" w:sz="0" w:space="0" w:color="auto"/>
              </w:divBdr>
              <w:divsChild>
                <w:div w:id="410660854">
                  <w:marLeft w:val="0"/>
                  <w:marRight w:val="0"/>
                  <w:marTop w:val="0"/>
                  <w:marBottom w:val="0"/>
                  <w:divBdr>
                    <w:top w:val="none" w:sz="0" w:space="0" w:color="auto"/>
                    <w:left w:val="none" w:sz="0" w:space="0" w:color="auto"/>
                    <w:bottom w:val="none" w:sz="0" w:space="0" w:color="auto"/>
                    <w:right w:val="none" w:sz="0" w:space="0" w:color="auto"/>
                  </w:divBdr>
                  <w:divsChild>
                    <w:div w:id="502352762">
                      <w:marLeft w:val="0"/>
                      <w:marRight w:val="0"/>
                      <w:marTop w:val="0"/>
                      <w:marBottom w:val="0"/>
                      <w:divBdr>
                        <w:top w:val="none" w:sz="0" w:space="0" w:color="auto"/>
                        <w:left w:val="none" w:sz="0" w:space="0" w:color="auto"/>
                        <w:bottom w:val="none" w:sz="0" w:space="0" w:color="auto"/>
                        <w:right w:val="none" w:sz="0" w:space="0" w:color="auto"/>
                      </w:divBdr>
                    </w:div>
                    <w:div w:id="1451434580">
                      <w:marLeft w:val="0"/>
                      <w:marRight w:val="0"/>
                      <w:marTop w:val="0"/>
                      <w:marBottom w:val="0"/>
                      <w:divBdr>
                        <w:top w:val="none" w:sz="0" w:space="0" w:color="auto"/>
                        <w:left w:val="none" w:sz="0" w:space="0" w:color="auto"/>
                        <w:bottom w:val="none" w:sz="0" w:space="0" w:color="auto"/>
                        <w:right w:val="none" w:sz="0" w:space="0" w:color="auto"/>
                      </w:divBdr>
                    </w:div>
                  </w:divsChild>
                </w:div>
                <w:div w:id="1000473210">
                  <w:marLeft w:val="0"/>
                  <w:marRight w:val="0"/>
                  <w:marTop w:val="0"/>
                  <w:marBottom w:val="0"/>
                  <w:divBdr>
                    <w:top w:val="none" w:sz="0" w:space="0" w:color="auto"/>
                    <w:left w:val="none" w:sz="0" w:space="0" w:color="auto"/>
                    <w:bottom w:val="none" w:sz="0" w:space="0" w:color="auto"/>
                    <w:right w:val="none" w:sz="0" w:space="0" w:color="auto"/>
                  </w:divBdr>
                  <w:divsChild>
                    <w:div w:id="190651659">
                      <w:marLeft w:val="0"/>
                      <w:marRight w:val="0"/>
                      <w:marTop w:val="0"/>
                      <w:marBottom w:val="0"/>
                      <w:divBdr>
                        <w:top w:val="none" w:sz="0" w:space="0" w:color="auto"/>
                        <w:left w:val="none" w:sz="0" w:space="0" w:color="auto"/>
                        <w:bottom w:val="none" w:sz="0" w:space="0" w:color="auto"/>
                        <w:right w:val="none" w:sz="0" w:space="0" w:color="auto"/>
                      </w:divBdr>
                      <w:divsChild>
                        <w:div w:id="1244753137">
                          <w:marLeft w:val="0"/>
                          <w:marRight w:val="0"/>
                          <w:marTop w:val="0"/>
                          <w:marBottom w:val="0"/>
                          <w:divBdr>
                            <w:top w:val="none" w:sz="0" w:space="0" w:color="auto"/>
                            <w:left w:val="none" w:sz="0" w:space="0" w:color="auto"/>
                            <w:bottom w:val="none" w:sz="0" w:space="0" w:color="auto"/>
                            <w:right w:val="none" w:sz="0" w:space="0" w:color="auto"/>
                          </w:divBdr>
                          <w:divsChild>
                            <w:div w:id="397479466">
                              <w:marLeft w:val="0"/>
                              <w:marRight w:val="0"/>
                              <w:marTop w:val="0"/>
                              <w:marBottom w:val="0"/>
                              <w:divBdr>
                                <w:top w:val="none" w:sz="0" w:space="0" w:color="auto"/>
                                <w:left w:val="none" w:sz="0" w:space="0" w:color="auto"/>
                                <w:bottom w:val="none" w:sz="0" w:space="0" w:color="auto"/>
                                <w:right w:val="none" w:sz="0" w:space="0" w:color="auto"/>
                              </w:divBdr>
                            </w:div>
                            <w:div w:id="207534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1775">
                  <w:marLeft w:val="0"/>
                  <w:marRight w:val="0"/>
                  <w:marTop w:val="0"/>
                  <w:marBottom w:val="0"/>
                  <w:divBdr>
                    <w:top w:val="none" w:sz="0" w:space="0" w:color="auto"/>
                    <w:left w:val="none" w:sz="0" w:space="0" w:color="auto"/>
                    <w:bottom w:val="none" w:sz="0" w:space="0" w:color="auto"/>
                    <w:right w:val="none" w:sz="0" w:space="0" w:color="auto"/>
                  </w:divBdr>
                </w:div>
                <w:div w:id="1324507431">
                  <w:marLeft w:val="0"/>
                  <w:marRight w:val="0"/>
                  <w:marTop w:val="0"/>
                  <w:marBottom w:val="0"/>
                  <w:divBdr>
                    <w:top w:val="none" w:sz="0" w:space="0" w:color="auto"/>
                    <w:left w:val="none" w:sz="0" w:space="0" w:color="auto"/>
                    <w:bottom w:val="none" w:sz="0" w:space="0" w:color="auto"/>
                    <w:right w:val="none" w:sz="0" w:space="0" w:color="auto"/>
                  </w:divBdr>
                </w:div>
                <w:div w:id="2058698331">
                  <w:marLeft w:val="0"/>
                  <w:marRight w:val="0"/>
                  <w:marTop w:val="0"/>
                  <w:marBottom w:val="0"/>
                  <w:divBdr>
                    <w:top w:val="none" w:sz="0" w:space="0" w:color="auto"/>
                    <w:left w:val="none" w:sz="0" w:space="0" w:color="auto"/>
                    <w:bottom w:val="none" w:sz="0" w:space="0" w:color="auto"/>
                    <w:right w:val="none" w:sz="0" w:space="0" w:color="auto"/>
                  </w:divBdr>
                  <w:divsChild>
                    <w:div w:id="566577727">
                      <w:marLeft w:val="0"/>
                      <w:marRight w:val="0"/>
                      <w:marTop w:val="0"/>
                      <w:marBottom w:val="0"/>
                      <w:divBdr>
                        <w:top w:val="none" w:sz="0" w:space="0" w:color="auto"/>
                        <w:left w:val="none" w:sz="0" w:space="0" w:color="auto"/>
                        <w:bottom w:val="none" w:sz="0" w:space="0" w:color="auto"/>
                        <w:right w:val="none" w:sz="0" w:space="0" w:color="auto"/>
                      </w:divBdr>
                    </w:div>
                    <w:div w:id="13808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958322">
          <w:marLeft w:val="0"/>
          <w:marRight w:val="0"/>
          <w:marTop w:val="0"/>
          <w:marBottom w:val="0"/>
          <w:divBdr>
            <w:top w:val="none" w:sz="0" w:space="0" w:color="auto"/>
            <w:left w:val="none" w:sz="0" w:space="0" w:color="auto"/>
            <w:bottom w:val="none" w:sz="0" w:space="0" w:color="auto"/>
            <w:right w:val="none" w:sz="0" w:space="0" w:color="auto"/>
          </w:divBdr>
          <w:divsChild>
            <w:div w:id="39987269">
              <w:marLeft w:val="0"/>
              <w:marRight w:val="0"/>
              <w:marTop w:val="0"/>
              <w:marBottom w:val="0"/>
              <w:divBdr>
                <w:top w:val="none" w:sz="0" w:space="0" w:color="auto"/>
                <w:left w:val="none" w:sz="0" w:space="0" w:color="auto"/>
                <w:bottom w:val="none" w:sz="0" w:space="0" w:color="auto"/>
                <w:right w:val="none" w:sz="0" w:space="0" w:color="auto"/>
              </w:divBdr>
              <w:divsChild>
                <w:div w:id="1836458350">
                  <w:marLeft w:val="0"/>
                  <w:marRight w:val="0"/>
                  <w:marTop w:val="0"/>
                  <w:marBottom w:val="0"/>
                  <w:divBdr>
                    <w:top w:val="none" w:sz="0" w:space="0" w:color="auto"/>
                    <w:left w:val="none" w:sz="0" w:space="0" w:color="auto"/>
                    <w:bottom w:val="none" w:sz="0" w:space="0" w:color="auto"/>
                    <w:right w:val="none" w:sz="0" w:space="0" w:color="auto"/>
                  </w:divBdr>
                  <w:divsChild>
                    <w:div w:id="954555771">
                      <w:marLeft w:val="0"/>
                      <w:marRight w:val="0"/>
                      <w:marTop w:val="0"/>
                      <w:marBottom w:val="0"/>
                      <w:divBdr>
                        <w:top w:val="none" w:sz="0" w:space="0" w:color="auto"/>
                        <w:left w:val="none" w:sz="0" w:space="0" w:color="auto"/>
                        <w:bottom w:val="none" w:sz="0" w:space="0" w:color="auto"/>
                        <w:right w:val="none" w:sz="0" w:space="0" w:color="auto"/>
                      </w:divBdr>
                      <w:divsChild>
                        <w:div w:id="1997492064">
                          <w:marLeft w:val="0"/>
                          <w:marRight w:val="0"/>
                          <w:marTop w:val="0"/>
                          <w:marBottom w:val="0"/>
                          <w:divBdr>
                            <w:top w:val="none" w:sz="0" w:space="0" w:color="auto"/>
                            <w:left w:val="none" w:sz="0" w:space="0" w:color="auto"/>
                            <w:bottom w:val="none" w:sz="0" w:space="0" w:color="auto"/>
                            <w:right w:val="none" w:sz="0" w:space="0" w:color="auto"/>
                          </w:divBdr>
                          <w:divsChild>
                            <w:div w:id="4750227">
                              <w:marLeft w:val="0"/>
                              <w:marRight w:val="0"/>
                              <w:marTop w:val="0"/>
                              <w:marBottom w:val="0"/>
                              <w:divBdr>
                                <w:top w:val="single" w:sz="6" w:space="0" w:color="D7DBE0"/>
                                <w:left w:val="single" w:sz="6" w:space="0" w:color="D7DBE0"/>
                                <w:bottom w:val="single" w:sz="6" w:space="0" w:color="D7DBE0"/>
                                <w:right w:val="single" w:sz="6" w:space="0" w:color="D7DBE0"/>
                              </w:divBdr>
                            </w:div>
                            <w:div w:id="442262987">
                              <w:marLeft w:val="0"/>
                              <w:marRight w:val="0"/>
                              <w:marTop w:val="0"/>
                              <w:marBottom w:val="0"/>
                              <w:divBdr>
                                <w:top w:val="single" w:sz="6" w:space="0" w:color="D7DBE0"/>
                                <w:left w:val="single" w:sz="6" w:space="0" w:color="D7DBE0"/>
                                <w:bottom w:val="single" w:sz="6" w:space="0" w:color="D7DBE0"/>
                                <w:right w:val="single" w:sz="6" w:space="0" w:color="D7DBE0"/>
                              </w:divBdr>
                            </w:div>
                            <w:div w:id="469909781">
                              <w:marLeft w:val="0"/>
                              <w:marRight w:val="0"/>
                              <w:marTop w:val="0"/>
                              <w:marBottom w:val="0"/>
                              <w:divBdr>
                                <w:top w:val="single" w:sz="6" w:space="0" w:color="D7DBE0"/>
                                <w:left w:val="single" w:sz="6" w:space="0" w:color="D7DBE0"/>
                                <w:bottom w:val="single" w:sz="6" w:space="0" w:color="D7DBE0"/>
                                <w:right w:val="single" w:sz="6" w:space="0" w:color="D7DBE0"/>
                              </w:divBdr>
                            </w:div>
                            <w:div w:id="983897320">
                              <w:marLeft w:val="0"/>
                              <w:marRight w:val="0"/>
                              <w:marTop w:val="0"/>
                              <w:marBottom w:val="0"/>
                              <w:divBdr>
                                <w:top w:val="single" w:sz="6" w:space="0" w:color="D7DBE0"/>
                                <w:left w:val="single" w:sz="6" w:space="0" w:color="D7DBE0"/>
                                <w:bottom w:val="single" w:sz="6" w:space="0" w:color="D7DBE0"/>
                                <w:right w:val="single" w:sz="6" w:space="0" w:color="D7DBE0"/>
                              </w:divBdr>
                            </w:div>
                            <w:div w:id="1401830606">
                              <w:marLeft w:val="0"/>
                              <w:marRight w:val="0"/>
                              <w:marTop w:val="0"/>
                              <w:marBottom w:val="0"/>
                              <w:divBdr>
                                <w:top w:val="single" w:sz="6" w:space="0" w:color="D7DBE0"/>
                                <w:left w:val="single" w:sz="6" w:space="0" w:color="D7DBE0"/>
                                <w:bottom w:val="single" w:sz="6" w:space="0" w:color="D7DBE0"/>
                                <w:right w:val="single" w:sz="6" w:space="0" w:color="D7DBE0"/>
                              </w:divBdr>
                            </w:div>
                            <w:div w:id="1729188993">
                              <w:marLeft w:val="0"/>
                              <w:marRight w:val="0"/>
                              <w:marTop w:val="0"/>
                              <w:marBottom w:val="0"/>
                              <w:divBdr>
                                <w:top w:val="none" w:sz="0" w:space="0" w:color="auto"/>
                                <w:left w:val="none" w:sz="0" w:space="0" w:color="auto"/>
                                <w:bottom w:val="none" w:sz="0" w:space="0" w:color="auto"/>
                                <w:right w:val="none" w:sz="0" w:space="0" w:color="auto"/>
                              </w:divBdr>
                              <w:divsChild>
                                <w:div w:id="355695907">
                                  <w:marLeft w:val="0"/>
                                  <w:marRight w:val="0"/>
                                  <w:marTop w:val="0"/>
                                  <w:marBottom w:val="0"/>
                                  <w:divBdr>
                                    <w:top w:val="none" w:sz="0" w:space="0" w:color="auto"/>
                                    <w:left w:val="none" w:sz="0" w:space="0" w:color="auto"/>
                                    <w:bottom w:val="none" w:sz="0" w:space="0" w:color="auto"/>
                                    <w:right w:val="none" w:sz="0" w:space="0" w:color="auto"/>
                                  </w:divBdr>
                                </w:div>
                              </w:divsChild>
                            </w:div>
                            <w:div w:id="1783379637">
                              <w:marLeft w:val="0"/>
                              <w:marRight w:val="0"/>
                              <w:marTop w:val="0"/>
                              <w:marBottom w:val="0"/>
                              <w:divBdr>
                                <w:top w:val="none" w:sz="0" w:space="0" w:color="auto"/>
                                <w:left w:val="none" w:sz="0" w:space="0" w:color="auto"/>
                                <w:bottom w:val="none" w:sz="0" w:space="0" w:color="auto"/>
                                <w:right w:val="none" w:sz="0" w:space="0" w:color="auto"/>
                              </w:divBdr>
                              <w:divsChild>
                                <w:div w:id="1685739395">
                                  <w:marLeft w:val="0"/>
                                  <w:marRight w:val="0"/>
                                  <w:marTop w:val="0"/>
                                  <w:marBottom w:val="0"/>
                                  <w:divBdr>
                                    <w:top w:val="single" w:sz="6" w:space="0" w:color="D7DBE0"/>
                                    <w:left w:val="single" w:sz="6" w:space="0" w:color="D7DBE0"/>
                                    <w:bottom w:val="single" w:sz="6" w:space="0" w:color="D7DBE0"/>
                                    <w:right w:val="single" w:sz="6" w:space="0" w:color="D7DBE0"/>
                                  </w:divBdr>
                                </w:div>
                              </w:divsChild>
                            </w:div>
                            <w:div w:id="1810004190">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 w:id="117191029">
      <w:bodyDiv w:val="1"/>
      <w:marLeft w:val="0"/>
      <w:marRight w:val="0"/>
      <w:marTop w:val="0"/>
      <w:marBottom w:val="0"/>
      <w:divBdr>
        <w:top w:val="none" w:sz="0" w:space="0" w:color="auto"/>
        <w:left w:val="none" w:sz="0" w:space="0" w:color="auto"/>
        <w:bottom w:val="none" w:sz="0" w:space="0" w:color="auto"/>
        <w:right w:val="none" w:sz="0" w:space="0" w:color="auto"/>
      </w:divBdr>
      <w:divsChild>
        <w:div w:id="1480882722">
          <w:marLeft w:val="0"/>
          <w:marRight w:val="0"/>
          <w:marTop w:val="0"/>
          <w:marBottom w:val="0"/>
          <w:divBdr>
            <w:top w:val="none" w:sz="0" w:space="0" w:color="auto"/>
            <w:left w:val="none" w:sz="0" w:space="0" w:color="auto"/>
            <w:bottom w:val="none" w:sz="0" w:space="0" w:color="auto"/>
            <w:right w:val="none" w:sz="0" w:space="0" w:color="auto"/>
          </w:divBdr>
        </w:div>
        <w:div w:id="1555505493">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94392006">
      <w:bodyDiv w:val="1"/>
      <w:marLeft w:val="0"/>
      <w:marRight w:val="0"/>
      <w:marTop w:val="0"/>
      <w:marBottom w:val="0"/>
      <w:divBdr>
        <w:top w:val="none" w:sz="0" w:space="0" w:color="auto"/>
        <w:left w:val="none" w:sz="0" w:space="0" w:color="auto"/>
        <w:bottom w:val="none" w:sz="0" w:space="0" w:color="auto"/>
        <w:right w:val="none" w:sz="0" w:space="0" w:color="auto"/>
      </w:divBdr>
      <w:divsChild>
        <w:div w:id="8416231">
          <w:marLeft w:val="0"/>
          <w:marRight w:val="0"/>
          <w:marTop w:val="0"/>
          <w:marBottom w:val="0"/>
          <w:divBdr>
            <w:top w:val="none" w:sz="0" w:space="0" w:color="auto"/>
            <w:left w:val="none" w:sz="0" w:space="0" w:color="auto"/>
            <w:bottom w:val="none" w:sz="0" w:space="0" w:color="auto"/>
            <w:right w:val="none" w:sz="0" w:space="0" w:color="auto"/>
          </w:divBdr>
        </w:div>
        <w:div w:id="43333641">
          <w:marLeft w:val="0"/>
          <w:marRight w:val="0"/>
          <w:marTop w:val="0"/>
          <w:marBottom w:val="0"/>
          <w:divBdr>
            <w:top w:val="none" w:sz="0" w:space="0" w:color="auto"/>
            <w:left w:val="none" w:sz="0" w:space="0" w:color="auto"/>
            <w:bottom w:val="none" w:sz="0" w:space="0" w:color="auto"/>
            <w:right w:val="none" w:sz="0" w:space="0" w:color="auto"/>
          </w:divBdr>
        </w:div>
        <w:div w:id="51856460">
          <w:marLeft w:val="0"/>
          <w:marRight w:val="0"/>
          <w:marTop w:val="0"/>
          <w:marBottom w:val="0"/>
          <w:divBdr>
            <w:top w:val="none" w:sz="0" w:space="0" w:color="auto"/>
            <w:left w:val="none" w:sz="0" w:space="0" w:color="auto"/>
            <w:bottom w:val="none" w:sz="0" w:space="0" w:color="auto"/>
            <w:right w:val="none" w:sz="0" w:space="0" w:color="auto"/>
          </w:divBdr>
        </w:div>
        <w:div w:id="129983690">
          <w:marLeft w:val="0"/>
          <w:marRight w:val="0"/>
          <w:marTop w:val="0"/>
          <w:marBottom w:val="0"/>
          <w:divBdr>
            <w:top w:val="none" w:sz="0" w:space="0" w:color="auto"/>
            <w:left w:val="none" w:sz="0" w:space="0" w:color="auto"/>
            <w:bottom w:val="none" w:sz="0" w:space="0" w:color="auto"/>
            <w:right w:val="none" w:sz="0" w:space="0" w:color="auto"/>
          </w:divBdr>
        </w:div>
        <w:div w:id="136072443">
          <w:marLeft w:val="0"/>
          <w:marRight w:val="0"/>
          <w:marTop w:val="0"/>
          <w:marBottom w:val="0"/>
          <w:divBdr>
            <w:top w:val="none" w:sz="0" w:space="0" w:color="auto"/>
            <w:left w:val="none" w:sz="0" w:space="0" w:color="auto"/>
            <w:bottom w:val="none" w:sz="0" w:space="0" w:color="auto"/>
            <w:right w:val="none" w:sz="0" w:space="0" w:color="auto"/>
          </w:divBdr>
        </w:div>
        <w:div w:id="194586335">
          <w:marLeft w:val="0"/>
          <w:marRight w:val="0"/>
          <w:marTop w:val="0"/>
          <w:marBottom w:val="0"/>
          <w:divBdr>
            <w:top w:val="none" w:sz="0" w:space="0" w:color="auto"/>
            <w:left w:val="none" w:sz="0" w:space="0" w:color="auto"/>
            <w:bottom w:val="none" w:sz="0" w:space="0" w:color="auto"/>
            <w:right w:val="none" w:sz="0" w:space="0" w:color="auto"/>
          </w:divBdr>
        </w:div>
        <w:div w:id="203949989">
          <w:marLeft w:val="0"/>
          <w:marRight w:val="0"/>
          <w:marTop w:val="0"/>
          <w:marBottom w:val="0"/>
          <w:divBdr>
            <w:top w:val="none" w:sz="0" w:space="0" w:color="auto"/>
            <w:left w:val="none" w:sz="0" w:space="0" w:color="auto"/>
            <w:bottom w:val="none" w:sz="0" w:space="0" w:color="auto"/>
            <w:right w:val="none" w:sz="0" w:space="0" w:color="auto"/>
          </w:divBdr>
        </w:div>
        <w:div w:id="205026734">
          <w:marLeft w:val="0"/>
          <w:marRight w:val="0"/>
          <w:marTop w:val="0"/>
          <w:marBottom w:val="0"/>
          <w:divBdr>
            <w:top w:val="none" w:sz="0" w:space="0" w:color="auto"/>
            <w:left w:val="none" w:sz="0" w:space="0" w:color="auto"/>
            <w:bottom w:val="none" w:sz="0" w:space="0" w:color="auto"/>
            <w:right w:val="none" w:sz="0" w:space="0" w:color="auto"/>
          </w:divBdr>
        </w:div>
        <w:div w:id="209540360">
          <w:marLeft w:val="0"/>
          <w:marRight w:val="0"/>
          <w:marTop w:val="0"/>
          <w:marBottom w:val="0"/>
          <w:divBdr>
            <w:top w:val="none" w:sz="0" w:space="0" w:color="auto"/>
            <w:left w:val="none" w:sz="0" w:space="0" w:color="auto"/>
            <w:bottom w:val="none" w:sz="0" w:space="0" w:color="auto"/>
            <w:right w:val="none" w:sz="0" w:space="0" w:color="auto"/>
          </w:divBdr>
        </w:div>
        <w:div w:id="223609521">
          <w:marLeft w:val="0"/>
          <w:marRight w:val="0"/>
          <w:marTop w:val="0"/>
          <w:marBottom w:val="0"/>
          <w:divBdr>
            <w:top w:val="none" w:sz="0" w:space="0" w:color="auto"/>
            <w:left w:val="none" w:sz="0" w:space="0" w:color="auto"/>
            <w:bottom w:val="none" w:sz="0" w:space="0" w:color="auto"/>
            <w:right w:val="none" w:sz="0" w:space="0" w:color="auto"/>
          </w:divBdr>
        </w:div>
        <w:div w:id="224410858">
          <w:marLeft w:val="0"/>
          <w:marRight w:val="0"/>
          <w:marTop w:val="0"/>
          <w:marBottom w:val="0"/>
          <w:divBdr>
            <w:top w:val="none" w:sz="0" w:space="0" w:color="auto"/>
            <w:left w:val="none" w:sz="0" w:space="0" w:color="auto"/>
            <w:bottom w:val="none" w:sz="0" w:space="0" w:color="auto"/>
            <w:right w:val="none" w:sz="0" w:space="0" w:color="auto"/>
          </w:divBdr>
        </w:div>
        <w:div w:id="225655221">
          <w:marLeft w:val="0"/>
          <w:marRight w:val="0"/>
          <w:marTop w:val="0"/>
          <w:marBottom w:val="0"/>
          <w:divBdr>
            <w:top w:val="none" w:sz="0" w:space="0" w:color="auto"/>
            <w:left w:val="none" w:sz="0" w:space="0" w:color="auto"/>
            <w:bottom w:val="none" w:sz="0" w:space="0" w:color="auto"/>
            <w:right w:val="none" w:sz="0" w:space="0" w:color="auto"/>
          </w:divBdr>
        </w:div>
        <w:div w:id="232394467">
          <w:marLeft w:val="0"/>
          <w:marRight w:val="0"/>
          <w:marTop w:val="0"/>
          <w:marBottom w:val="0"/>
          <w:divBdr>
            <w:top w:val="none" w:sz="0" w:space="0" w:color="auto"/>
            <w:left w:val="none" w:sz="0" w:space="0" w:color="auto"/>
            <w:bottom w:val="none" w:sz="0" w:space="0" w:color="auto"/>
            <w:right w:val="none" w:sz="0" w:space="0" w:color="auto"/>
          </w:divBdr>
        </w:div>
        <w:div w:id="241064892">
          <w:marLeft w:val="0"/>
          <w:marRight w:val="0"/>
          <w:marTop w:val="0"/>
          <w:marBottom w:val="0"/>
          <w:divBdr>
            <w:top w:val="none" w:sz="0" w:space="0" w:color="auto"/>
            <w:left w:val="none" w:sz="0" w:space="0" w:color="auto"/>
            <w:bottom w:val="none" w:sz="0" w:space="0" w:color="auto"/>
            <w:right w:val="none" w:sz="0" w:space="0" w:color="auto"/>
          </w:divBdr>
        </w:div>
        <w:div w:id="251083392">
          <w:marLeft w:val="0"/>
          <w:marRight w:val="0"/>
          <w:marTop w:val="0"/>
          <w:marBottom w:val="0"/>
          <w:divBdr>
            <w:top w:val="none" w:sz="0" w:space="0" w:color="auto"/>
            <w:left w:val="none" w:sz="0" w:space="0" w:color="auto"/>
            <w:bottom w:val="none" w:sz="0" w:space="0" w:color="auto"/>
            <w:right w:val="none" w:sz="0" w:space="0" w:color="auto"/>
          </w:divBdr>
        </w:div>
        <w:div w:id="260533367">
          <w:marLeft w:val="0"/>
          <w:marRight w:val="0"/>
          <w:marTop w:val="0"/>
          <w:marBottom w:val="0"/>
          <w:divBdr>
            <w:top w:val="none" w:sz="0" w:space="0" w:color="auto"/>
            <w:left w:val="none" w:sz="0" w:space="0" w:color="auto"/>
            <w:bottom w:val="none" w:sz="0" w:space="0" w:color="auto"/>
            <w:right w:val="none" w:sz="0" w:space="0" w:color="auto"/>
          </w:divBdr>
        </w:div>
        <w:div w:id="281621829">
          <w:marLeft w:val="0"/>
          <w:marRight w:val="0"/>
          <w:marTop w:val="0"/>
          <w:marBottom w:val="0"/>
          <w:divBdr>
            <w:top w:val="none" w:sz="0" w:space="0" w:color="auto"/>
            <w:left w:val="none" w:sz="0" w:space="0" w:color="auto"/>
            <w:bottom w:val="none" w:sz="0" w:space="0" w:color="auto"/>
            <w:right w:val="none" w:sz="0" w:space="0" w:color="auto"/>
          </w:divBdr>
        </w:div>
        <w:div w:id="297220835">
          <w:marLeft w:val="0"/>
          <w:marRight w:val="0"/>
          <w:marTop w:val="0"/>
          <w:marBottom w:val="0"/>
          <w:divBdr>
            <w:top w:val="none" w:sz="0" w:space="0" w:color="auto"/>
            <w:left w:val="none" w:sz="0" w:space="0" w:color="auto"/>
            <w:bottom w:val="none" w:sz="0" w:space="0" w:color="auto"/>
            <w:right w:val="none" w:sz="0" w:space="0" w:color="auto"/>
          </w:divBdr>
        </w:div>
        <w:div w:id="321275690">
          <w:marLeft w:val="0"/>
          <w:marRight w:val="0"/>
          <w:marTop w:val="0"/>
          <w:marBottom w:val="0"/>
          <w:divBdr>
            <w:top w:val="none" w:sz="0" w:space="0" w:color="auto"/>
            <w:left w:val="none" w:sz="0" w:space="0" w:color="auto"/>
            <w:bottom w:val="none" w:sz="0" w:space="0" w:color="auto"/>
            <w:right w:val="none" w:sz="0" w:space="0" w:color="auto"/>
          </w:divBdr>
        </w:div>
        <w:div w:id="326907570">
          <w:marLeft w:val="0"/>
          <w:marRight w:val="0"/>
          <w:marTop w:val="0"/>
          <w:marBottom w:val="0"/>
          <w:divBdr>
            <w:top w:val="none" w:sz="0" w:space="0" w:color="auto"/>
            <w:left w:val="none" w:sz="0" w:space="0" w:color="auto"/>
            <w:bottom w:val="none" w:sz="0" w:space="0" w:color="auto"/>
            <w:right w:val="none" w:sz="0" w:space="0" w:color="auto"/>
          </w:divBdr>
        </w:div>
        <w:div w:id="340813628">
          <w:marLeft w:val="0"/>
          <w:marRight w:val="0"/>
          <w:marTop w:val="0"/>
          <w:marBottom w:val="0"/>
          <w:divBdr>
            <w:top w:val="none" w:sz="0" w:space="0" w:color="auto"/>
            <w:left w:val="none" w:sz="0" w:space="0" w:color="auto"/>
            <w:bottom w:val="none" w:sz="0" w:space="0" w:color="auto"/>
            <w:right w:val="none" w:sz="0" w:space="0" w:color="auto"/>
          </w:divBdr>
        </w:div>
        <w:div w:id="341248817">
          <w:marLeft w:val="0"/>
          <w:marRight w:val="0"/>
          <w:marTop w:val="0"/>
          <w:marBottom w:val="0"/>
          <w:divBdr>
            <w:top w:val="none" w:sz="0" w:space="0" w:color="auto"/>
            <w:left w:val="none" w:sz="0" w:space="0" w:color="auto"/>
            <w:bottom w:val="none" w:sz="0" w:space="0" w:color="auto"/>
            <w:right w:val="none" w:sz="0" w:space="0" w:color="auto"/>
          </w:divBdr>
        </w:div>
        <w:div w:id="366609916">
          <w:marLeft w:val="0"/>
          <w:marRight w:val="0"/>
          <w:marTop w:val="0"/>
          <w:marBottom w:val="0"/>
          <w:divBdr>
            <w:top w:val="none" w:sz="0" w:space="0" w:color="auto"/>
            <w:left w:val="none" w:sz="0" w:space="0" w:color="auto"/>
            <w:bottom w:val="none" w:sz="0" w:space="0" w:color="auto"/>
            <w:right w:val="none" w:sz="0" w:space="0" w:color="auto"/>
          </w:divBdr>
        </w:div>
        <w:div w:id="390884854">
          <w:marLeft w:val="0"/>
          <w:marRight w:val="0"/>
          <w:marTop w:val="0"/>
          <w:marBottom w:val="0"/>
          <w:divBdr>
            <w:top w:val="none" w:sz="0" w:space="0" w:color="auto"/>
            <w:left w:val="none" w:sz="0" w:space="0" w:color="auto"/>
            <w:bottom w:val="none" w:sz="0" w:space="0" w:color="auto"/>
            <w:right w:val="none" w:sz="0" w:space="0" w:color="auto"/>
          </w:divBdr>
        </w:div>
        <w:div w:id="393041371">
          <w:marLeft w:val="0"/>
          <w:marRight w:val="0"/>
          <w:marTop w:val="0"/>
          <w:marBottom w:val="0"/>
          <w:divBdr>
            <w:top w:val="none" w:sz="0" w:space="0" w:color="auto"/>
            <w:left w:val="none" w:sz="0" w:space="0" w:color="auto"/>
            <w:bottom w:val="none" w:sz="0" w:space="0" w:color="auto"/>
            <w:right w:val="none" w:sz="0" w:space="0" w:color="auto"/>
          </w:divBdr>
        </w:div>
        <w:div w:id="395781453">
          <w:marLeft w:val="0"/>
          <w:marRight w:val="0"/>
          <w:marTop w:val="0"/>
          <w:marBottom w:val="0"/>
          <w:divBdr>
            <w:top w:val="none" w:sz="0" w:space="0" w:color="auto"/>
            <w:left w:val="none" w:sz="0" w:space="0" w:color="auto"/>
            <w:bottom w:val="none" w:sz="0" w:space="0" w:color="auto"/>
            <w:right w:val="none" w:sz="0" w:space="0" w:color="auto"/>
          </w:divBdr>
        </w:div>
        <w:div w:id="399251424">
          <w:marLeft w:val="0"/>
          <w:marRight w:val="0"/>
          <w:marTop w:val="0"/>
          <w:marBottom w:val="0"/>
          <w:divBdr>
            <w:top w:val="none" w:sz="0" w:space="0" w:color="auto"/>
            <w:left w:val="none" w:sz="0" w:space="0" w:color="auto"/>
            <w:bottom w:val="none" w:sz="0" w:space="0" w:color="auto"/>
            <w:right w:val="none" w:sz="0" w:space="0" w:color="auto"/>
          </w:divBdr>
        </w:div>
        <w:div w:id="413360825">
          <w:marLeft w:val="0"/>
          <w:marRight w:val="0"/>
          <w:marTop w:val="0"/>
          <w:marBottom w:val="0"/>
          <w:divBdr>
            <w:top w:val="none" w:sz="0" w:space="0" w:color="auto"/>
            <w:left w:val="none" w:sz="0" w:space="0" w:color="auto"/>
            <w:bottom w:val="none" w:sz="0" w:space="0" w:color="auto"/>
            <w:right w:val="none" w:sz="0" w:space="0" w:color="auto"/>
          </w:divBdr>
        </w:div>
        <w:div w:id="413623414">
          <w:marLeft w:val="0"/>
          <w:marRight w:val="0"/>
          <w:marTop w:val="0"/>
          <w:marBottom w:val="0"/>
          <w:divBdr>
            <w:top w:val="none" w:sz="0" w:space="0" w:color="auto"/>
            <w:left w:val="none" w:sz="0" w:space="0" w:color="auto"/>
            <w:bottom w:val="none" w:sz="0" w:space="0" w:color="auto"/>
            <w:right w:val="none" w:sz="0" w:space="0" w:color="auto"/>
          </w:divBdr>
        </w:div>
        <w:div w:id="461507644">
          <w:marLeft w:val="0"/>
          <w:marRight w:val="0"/>
          <w:marTop w:val="0"/>
          <w:marBottom w:val="0"/>
          <w:divBdr>
            <w:top w:val="none" w:sz="0" w:space="0" w:color="auto"/>
            <w:left w:val="none" w:sz="0" w:space="0" w:color="auto"/>
            <w:bottom w:val="none" w:sz="0" w:space="0" w:color="auto"/>
            <w:right w:val="none" w:sz="0" w:space="0" w:color="auto"/>
          </w:divBdr>
        </w:div>
        <w:div w:id="497619793">
          <w:marLeft w:val="0"/>
          <w:marRight w:val="0"/>
          <w:marTop w:val="0"/>
          <w:marBottom w:val="0"/>
          <w:divBdr>
            <w:top w:val="none" w:sz="0" w:space="0" w:color="auto"/>
            <w:left w:val="none" w:sz="0" w:space="0" w:color="auto"/>
            <w:bottom w:val="none" w:sz="0" w:space="0" w:color="auto"/>
            <w:right w:val="none" w:sz="0" w:space="0" w:color="auto"/>
          </w:divBdr>
        </w:div>
        <w:div w:id="498278210">
          <w:marLeft w:val="0"/>
          <w:marRight w:val="0"/>
          <w:marTop w:val="0"/>
          <w:marBottom w:val="0"/>
          <w:divBdr>
            <w:top w:val="none" w:sz="0" w:space="0" w:color="auto"/>
            <w:left w:val="none" w:sz="0" w:space="0" w:color="auto"/>
            <w:bottom w:val="none" w:sz="0" w:space="0" w:color="auto"/>
            <w:right w:val="none" w:sz="0" w:space="0" w:color="auto"/>
          </w:divBdr>
        </w:div>
        <w:div w:id="593903316">
          <w:marLeft w:val="0"/>
          <w:marRight w:val="0"/>
          <w:marTop w:val="0"/>
          <w:marBottom w:val="0"/>
          <w:divBdr>
            <w:top w:val="none" w:sz="0" w:space="0" w:color="auto"/>
            <w:left w:val="none" w:sz="0" w:space="0" w:color="auto"/>
            <w:bottom w:val="none" w:sz="0" w:space="0" w:color="auto"/>
            <w:right w:val="none" w:sz="0" w:space="0" w:color="auto"/>
          </w:divBdr>
        </w:div>
        <w:div w:id="656541857">
          <w:marLeft w:val="0"/>
          <w:marRight w:val="0"/>
          <w:marTop w:val="0"/>
          <w:marBottom w:val="0"/>
          <w:divBdr>
            <w:top w:val="none" w:sz="0" w:space="0" w:color="auto"/>
            <w:left w:val="none" w:sz="0" w:space="0" w:color="auto"/>
            <w:bottom w:val="none" w:sz="0" w:space="0" w:color="auto"/>
            <w:right w:val="none" w:sz="0" w:space="0" w:color="auto"/>
          </w:divBdr>
        </w:div>
        <w:div w:id="657148113">
          <w:marLeft w:val="0"/>
          <w:marRight w:val="0"/>
          <w:marTop w:val="0"/>
          <w:marBottom w:val="0"/>
          <w:divBdr>
            <w:top w:val="none" w:sz="0" w:space="0" w:color="auto"/>
            <w:left w:val="none" w:sz="0" w:space="0" w:color="auto"/>
            <w:bottom w:val="none" w:sz="0" w:space="0" w:color="auto"/>
            <w:right w:val="none" w:sz="0" w:space="0" w:color="auto"/>
          </w:divBdr>
        </w:div>
        <w:div w:id="660817348">
          <w:marLeft w:val="0"/>
          <w:marRight w:val="0"/>
          <w:marTop w:val="0"/>
          <w:marBottom w:val="0"/>
          <w:divBdr>
            <w:top w:val="none" w:sz="0" w:space="0" w:color="auto"/>
            <w:left w:val="none" w:sz="0" w:space="0" w:color="auto"/>
            <w:bottom w:val="none" w:sz="0" w:space="0" w:color="auto"/>
            <w:right w:val="none" w:sz="0" w:space="0" w:color="auto"/>
          </w:divBdr>
        </w:div>
        <w:div w:id="676882474">
          <w:marLeft w:val="0"/>
          <w:marRight w:val="0"/>
          <w:marTop w:val="0"/>
          <w:marBottom w:val="0"/>
          <w:divBdr>
            <w:top w:val="none" w:sz="0" w:space="0" w:color="auto"/>
            <w:left w:val="none" w:sz="0" w:space="0" w:color="auto"/>
            <w:bottom w:val="none" w:sz="0" w:space="0" w:color="auto"/>
            <w:right w:val="none" w:sz="0" w:space="0" w:color="auto"/>
          </w:divBdr>
        </w:div>
        <w:div w:id="696779389">
          <w:marLeft w:val="0"/>
          <w:marRight w:val="0"/>
          <w:marTop w:val="0"/>
          <w:marBottom w:val="0"/>
          <w:divBdr>
            <w:top w:val="none" w:sz="0" w:space="0" w:color="auto"/>
            <w:left w:val="none" w:sz="0" w:space="0" w:color="auto"/>
            <w:bottom w:val="none" w:sz="0" w:space="0" w:color="auto"/>
            <w:right w:val="none" w:sz="0" w:space="0" w:color="auto"/>
          </w:divBdr>
        </w:div>
        <w:div w:id="731271108">
          <w:marLeft w:val="0"/>
          <w:marRight w:val="0"/>
          <w:marTop w:val="0"/>
          <w:marBottom w:val="0"/>
          <w:divBdr>
            <w:top w:val="none" w:sz="0" w:space="0" w:color="auto"/>
            <w:left w:val="none" w:sz="0" w:space="0" w:color="auto"/>
            <w:bottom w:val="none" w:sz="0" w:space="0" w:color="auto"/>
            <w:right w:val="none" w:sz="0" w:space="0" w:color="auto"/>
          </w:divBdr>
        </w:div>
        <w:div w:id="776943896">
          <w:marLeft w:val="0"/>
          <w:marRight w:val="0"/>
          <w:marTop w:val="0"/>
          <w:marBottom w:val="0"/>
          <w:divBdr>
            <w:top w:val="none" w:sz="0" w:space="0" w:color="auto"/>
            <w:left w:val="none" w:sz="0" w:space="0" w:color="auto"/>
            <w:bottom w:val="none" w:sz="0" w:space="0" w:color="auto"/>
            <w:right w:val="none" w:sz="0" w:space="0" w:color="auto"/>
          </w:divBdr>
        </w:div>
        <w:div w:id="790823891">
          <w:marLeft w:val="0"/>
          <w:marRight w:val="0"/>
          <w:marTop w:val="0"/>
          <w:marBottom w:val="0"/>
          <w:divBdr>
            <w:top w:val="none" w:sz="0" w:space="0" w:color="auto"/>
            <w:left w:val="none" w:sz="0" w:space="0" w:color="auto"/>
            <w:bottom w:val="none" w:sz="0" w:space="0" w:color="auto"/>
            <w:right w:val="none" w:sz="0" w:space="0" w:color="auto"/>
          </w:divBdr>
        </w:div>
        <w:div w:id="791827324">
          <w:marLeft w:val="0"/>
          <w:marRight w:val="0"/>
          <w:marTop w:val="0"/>
          <w:marBottom w:val="0"/>
          <w:divBdr>
            <w:top w:val="none" w:sz="0" w:space="0" w:color="auto"/>
            <w:left w:val="none" w:sz="0" w:space="0" w:color="auto"/>
            <w:bottom w:val="none" w:sz="0" w:space="0" w:color="auto"/>
            <w:right w:val="none" w:sz="0" w:space="0" w:color="auto"/>
          </w:divBdr>
        </w:div>
        <w:div w:id="805122801">
          <w:marLeft w:val="0"/>
          <w:marRight w:val="0"/>
          <w:marTop w:val="0"/>
          <w:marBottom w:val="0"/>
          <w:divBdr>
            <w:top w:val="none" w:sz="0" w:space="0" w:color="auto"/>
            <w:left w:val="none" w:sz="0" w:space="0" w:color="auto"/>
            <w:bottom w:val="none" w:sz="0" w:space="0" w:color="auto"/>
            <w:right w:val="none" w:sz="0" w:space="0" w:color="auto"/>
          </w:divBdr>
        </w:div>
        <w:div w:id="840774413">
          <w:marLeft w:val="0"/>
          <w:marRight w:val="0"/>
          <w:marTop w:val="0"/>
          <w:marBottom w:val="0"/>
          <w:divBdr>
            <w:top w:val="none" w:sz="0" w:space="0" w:color="auto"/>
            <w:left w:val="none" w:sz="0" w:space="0" w:color="auto"/>
            <w:bottom w:val="none" w:sz="0" w:space="0" w:color="auto"/>
            <w:right w:val="none" w:sz="0" w:space="0" w:color="auto"/>
          </w:divBdr>
        </w:div>
        <w:div w:id="848448993">
          <w:marLeft w:val="0"/>
          <w:marRight w:val="0"/>
          <w:marTop w:val="0"/>
          <w:marBottom w:val="0"/>
          <w:divBdr>
            <w:top w:val="none" w:sz="0" w:space="0" w:color="auto"/>
            <w:left w:val="none" w:sz="0" w:space="0" w:color="auto"/>
            <w:bottom w:val="none" w:sz="0" w:space="0" w:color="auto"/>
            <w:right w:val="none" w:sz="0" w:space="0" w:color="auto"/>
          </w:divBdr>
        </w:div>
        <w:div w:id="879711375">
          <w:marLeft w:val="0"/>
          <w:marRight w:val="0"/>
          <w:marTop w:val="0"/>
          <w:marBottom w:val="0"/>
          <w:divBdr>
            <w:top w:val="none" w:sz="0" w:space="0" w:color="auto"/>
            <w:left w:val="none" w:sz="0" w:space="0" w:color="auto"/>
            <w:bottom w:val="none" w:sz="0" w:space="0" w:color="auto"/>
            <w:right w:val="none" w:sz="0" w:space="0" w:color="auto"/>
          </w:divBdr>
        </w:div>
        <w:div w:id="886453198">
          <w:marLeft w:val="0"/>
          <w:marRight w:val="0"/>
          <w:marTop w:val="0"/>
          <w:marBottom w:val="0"/>
          <w:divBdr>
            <w:top w:val="none" w:sz="0" w:space="0" w:color="auto"/>
            <w:left w:val="none" w:sz="0" w:space="0" w:color="auto"/>
            <w:bottom w:val="none" w:sz="0" w:space="0" w:color="auto"/>
            <w:right w:val="none" w:sz="0" w:space="0" w:color="auto"/>
          </w:divBdr>
        </w:div>
        <w:div w:id="888149451">
          <w:marLeft w:val="0"/>
          <w:marRight w:val="0"/>
          <w:marTop w:val="0"/>
          <w:marBottom w:val="0"/>
          <w:divBdr>
            <w:top w:val="none" w:sz="0" w:space="0" w:color="auto"/>
            <w:left w:val="none" w:sz="0" w:space="0" w:color="auto"/>
            <w:bottom w:val="none" w:sz="0" w:space="0" w:color="auto"/>
            <w:right w:val="none" w:sz="0" w:space="0" w:color="auto"/>
          </w:divBdr>
        </w:div>
        <w:div w:id="913859078">
          <w:marLeft w:val="0"/>
          <w:marRight w:val="0"/>
          <w:marTop w:val="0"/>
          <w:marBottom w:val="0"/>
          <w:divBdr>
            <w:top w:val="none" w:sz="0" w:space="0" w:color="auto"/>
            <w:left w:val="none" w:sz="0" w:space="0" w:color="auto"/>
            <w:bottom w:val="none" w:sz="0" w:space="0" w:color="auto"/>
            <w:right w:val="none" w:sz="0" w:space="0" w:color="auto"/>
          </w:divBdr>
        </w:div>
        <w:div w:id="933170502">
          <w:marLeft w:val="0"/>
          <w:marRight w:val="0"/>
          <w:marTop w:val="0"/>
          <w:marBottom w:val="0"/>
          <w:divBdr>
            <w:top w:val="none" w:sz="0" w:space="0" w:color="auto"/>
            <w:left w:val="none" w:sz="0" w:space="0" w:color="auto"/>
            <w:bottom w:val="none" w:sz="0" w:space="0" w:color="auto"/>
            <w:right w:val="none" w:sz="0" w:space="0" w:color="auto"/>
          </w:divBdr>
        </w:div>
        <w:div w:id="938486480">
          <w:marLeft w:val="0"/>
          <w:marRight w:val="0"/>
          <w:marTop w:val="0"/>
          <w:marBottom w:val="0"/>
          <w:divBdr>
            <w:top w:val="none" w:sz="0" w:space="0" w:color="auto"/>
            <w:left w:val="none" w:sz="0" w:space="0" w:color="auto"/>
            <w:bottom w:val="none" w:sz="0" w:space="0" w:color="auto"/>
            <w:right w:val="none" w:sz="0" w:space="0" w:color="auto"/>
          </w:divBdr>
        </w:div>
        <w:div w:id="963342880">
          <w:marLeft w:val="0"/>
          <w:marRight w:val="0"/>
          <w:marTop w:val="0"/>
          <w:marBottom w:val="0"/>
          <w:divBdr>
            <w:top w:val="none" w:sz="0" w:space="0" w:color="auto"/>
            <w:left w:val="none" w:sz="0" w:space="0" w:color="auto"/>
            <w:bottom w:val="none" w:sz="0" w:space="0" w:color="auto"/>
            <w:right w:val="none" w:sz="0" w:space="0" w:color="auto"/>
          </w:divBdr>
        </w:div>
        <w:div w:id="986325322">
          <w:marLeft w:val="0"/>
          <w:marRight w:val="0"/>
          <w:marTop w:val="0"/>
          <w:marBottom w:val="0"/>
          <w:divBdr>
            <w:top w:val="none" w:sz="0" w:space="0" w:color="auto"/>
            <w:left w:val="none" w:sz="0" w:space="0" w:color="auto"/>
            <w:bottom w:val="none" w:sz="0" w:space="0" w:color="auto"/>
            <w:right w:val="none" w:sz="0" w:space="0" w:color="auto"/>
          </w:divBdr>
        </w:div>
        <w:div w:id="993535514">
          <w:marLeft w:val="0"/>
          <w:marRight w:val="0"/>
          <w:marTop w:val="0"/>
          <w:marBottom w:val="0"/>
          <w:divBdr>
            <w:top w:val="none" w:sz="0" w:space="0" w:color="auto"/>
            <w:left w:val="none" w:sz="0" w:space="0" w:color="auto"/>
            <w:bottom w:val="none" w:sz="0" w:space="0" w:color="auto"/>
            <w:right w:val="none" w:sz="0" w:space="0" w:color="auto"/>
          </w:divBdr>
        </w:div>
        <w:div w:id="1009408879">
          <w:marLeft w:val="0"/>
          <w:marRight w:val="0"/>
          <w:marTop w:val="0"/>
          <w:marBottom w:val="0"/>
          <w:divBdr>
            <w:top w:val="none" w:sz="0" w:space="0" w:color="auto"/>
            <w:left w:val="none" w:sz="0" w:space="0" w:color="auto"/>
            <w:bottom w:val="none" w:sz="0" w:space="0" w:color="auto"/>
            <w:right w:val="none" w:sz="0" w:space="0" w:color="auto"/>
          </w:divBdr>
        </w:div>
        <w:div w:id="1037703557">
          <w:marLeft w:val="0"/>
          <w:marRight w:val="0"/>
          <w:marTop w:val="0"/>
          <w:marBottom w:val="0"/>
          <w:divBdr>
            <w:top w:val="none" w:sz="0" w:space="0" w:color="auto"/>
            <w:left w:val="none" w:sz="0" w:space="0" w:color="auto"/>
            <w:bottom w:val="none" w:sz="0" w:space="0" w:color="auto"/>
            <w:right w:val="none" w:sz="0" w:space="0" w:color="auto"/>
          </w:divBdr>
        </w:div>
        <w:div w:id="1040128687">
          <w:marLeft w:val="0"/>
          <w:marRight w:val="0"/>
          <w:marTop w:val="0"/>
          <w:marBottom w:val="0"/>
          <w:divBdr>
            <w:top w:val="none" w:sz="0" w:space="0" w:color="auto"/>
            <w:left w:val="none" w:sz="0" w:space="0" w:color="auto"/>
            <w:bottom w:val="none" w:sz="0" w:space="0" w:color="auto"/>
            <w:right w:val="none" w:sz="0" w:space="0" w:color="auto"/>
          </w:divBdr>
        </w:div>
        <w:div w:id="1073894044">
          <w:marLeft w:val="0"/>
          <w:marRight w:val="0"/>
          <w:marTop w:val="0"/>
          <w:marBottom w:val="0"/>
          <w:divBdr>
            <w:top w:val="none" w:sz="0" w:space="0" w:color="auto"/>
            <w:left w:val="none" w:sz="0" w:space="0" w:color="auto"/>
            <w:bottom w:val="none" w:sz="0" w:space="0" w:color="auto"/>
            <w:right w:val="none" w:sz="0" w:space="0" w:color="auto"/>
          </w:divBdr>
        </w:div>
        <w:div w:id="1108620722">
          <w:marLeft w:val="0"/>
          <w:marRight w:val="0"/>
          <w:marTop w:val="0"/>
          <w:marBottom w:val="0"/>
          <w:divBdr>
            <w:top w:val="none" w:sz="0" w:space="0" w:color="auto"/>
            <w:left w:val="none" w:sz="0" w:space="0" w:color="auto"/>
            <w:bottom w:val="none" w:sz="0" w:space="0" w:color="auto"/>
            <w:right w:val="none" w:sz="0" w:space="0" w:color="auto"/>
          </w:divBdr>
        </w:div>
        <w:div w:id="1133674365">
          <w:marLeft w:val="0"/>
          <w:marRight w:val="0"/>
          <w:marTop w:val="0"/>
          <w:marBottom w:val="0"/>
          <w:divBdr>
            <w:top w:val="none" w:sz="0" w:space="0" w:color="auto"/>
            <w:left w:val="none" w:sz="0" w:space="0" w:color="auto"/>
            <w:bottom w:val="none" w:sz="0" w:space="0" w:color="auto"/>
            <w:right w:val="none" w:sz="0" w:space="0" w:color="auto"/>
          </w:divBdr>
        </w:div>
        <w:div w:id="1164780029">
          <w:marLeft w:val="0"/>
          <w:marRight w:val="0"/>
          <w:marTop w:val="0"/>
          <w:marBottom w:val="0"/>
          <w:divBdr>
            <w:top w:val="none" w:sz="0" w:space="0" w:color="auto"/>
            <w:left w:val="none" w:sz="0" w:space="0" w:color="auto"/>
            <w:bottom w:val="none" w:sz="0" w:space="0" w:color="auto"/>
            <w:right w:val="none" w:sz="0" w:space="0" w:color="auto"/>
          </w:divBdr>
        </w:div>
        <w:div w:id="1175998380">
          <w:marLeft w:val="0"/>
          <w:marRight w:val="0"/>
          <w:marTop w:val="0"/>
          <w:marBottom w:val="0"/>
          <w:divBdr>
            <w:top w:val="none" w:sz="0" w:space="0" w:color="auto"/>
            <w:left w:val="none" w:sz="0" w:space="0" w:color="auto"/>
            <w:bottom w:val="none" w:sz="0" w:space="0" w:color="auto"/>
            <w:right w:val="none" w:sz="0" w:space="0" w:color="auto"/>
          </w:divBdr>
        </w:div>
        <w:div w:id="1181747913">
          <w:marLeft w:val="0"/>
          <w:marRight w:val="0"/>
          <w:marTop w:val="0"/>
          <w:marBottom w:val="0"/>
          <w:divBdr>
            <w:top w:val="none" w:sz="0" w:space="0" w:color="auto"/>
            <w:left w:val="none" w:sz="0" w:space="0" w:color="auto"/>
            <w:bottom w:val="none" w:sz="0" w:space="0" w:color="auto"/>
            <w:right w:val="none" w:sz="0" w:space="0" w:color="auto"/>
          </w:divBdr>
        </w:div>
        <w:div w:id="1185634851">
          <w:marLeft w:val="0"/>
          <w:marRight w:val="0"/>
          <w:marTop w:val="0"/>
          <w:marBottom w:val="0"/>
          <w:divBdr>
            <w:top w:val="none" w:sz="0" w:space="0" w:color="auto"/>
            <w:left w:val="none" w:sz="0" w:space="0" w:color="auto"/>
            <w:bottom w:val="none" w:sz="0" w:space="0" w:color="auto"/>
            <w:right w:val="none" w:sz="0" w:space="0" w:color="auto"/>
          </w:divBdr>
        </w:div>
        <w:div w:id="1202747174">
          <w:marLeft w:val="0"/>
          <w:marRight w:val="0"/>
          <w:marTop w:val="0"/>
          <w:marBottom w:val="0"/>
          <w:divBdr>
            <w:top w:val="none" w:sz="0" w:space="0" w:color="auto"/>
            <w:left w:val="none" w:sz="0" w:space="0" w:color="auto"/>
            <w:bottom w:val="none" w:sz="0" w:space="0" w:color="auto"/>
            <w:right w:val="none" w:sz="0" w:space="0" w:color="auto"/>
          </w:divBdr>
        </w:div>
        <w:div w:id="1225411168">
          <w:marLeft w:val="0"/>
          <w:marRight w:val="0"/>
          <w:marTop w:val="0"/>
          <w:marBottom w:val="0"/>
          <w:divBdr>
            <w:top w:val="none" w:sz="0" w:space="0" w:color="auto"/>
            <w:left w:val="none" w:sz="0" w:space="0" w:color="auto"/>
            <w:bottom w:val="none" w:sz="0" w:space="0" w:color="auto"/>
            <w:right w:val="none" w:sz="0" w:space="0" w:color="auto"/>
          </w:divBdr>
        </w:div>
        <w:div w:id="1262494379">
          <w:marLeft w:val="0"/>
          <w:marRight w:val="0"/>
          <w:marTop w:val="0"/>
          <w:marBottom w:val="0"/>
          <w:divBdr>
            <w:top w:val="none" w:sz="0" w:space="0" w:color="auto"/>
            <w:left w:val="none" w:sz="0" w:space="0" w:color="auto"/>
            <w:bottom w:val="none" w:sz="0" w:space="0" w:color="auto"/>
            <w:right w:val="none" w:sz="0" w:space="0" w:color="auto"/>
          </w:divBdr>
        </w:div>
        <w:div w:id="1355035541">
          <w:marLeft w:val="0"/>
          <w:marRight w:val="0"/>
          <w:marTop w:val="0"/>
          <w:marBottom w:val="0"/>
          <w:divBdr>
            <w:top w:val="none" w:sz="0" w:space="0" w:color="auto"/>
            <w:left w:val="none" w:sz="0" w:space="0" w:color="auto"/>
            <w:bottom w:val="none" w:sz="0" w:space="0" w:color="auto"/>
            <w:right w:val="none" w:sz="0" w:space="0" w:color="auto"/>
          </w:divBdr>
        </w:div>
        <w:div w:id="1360083852">
          <w:marLeft w:val="0"/>
          <w:marRight w:val="0"/>
          <w:marTop w:val="0"/>
          <w:marBottom w:val="0"/>
          <w:divBdr>
            <w:top w:val="none" w:sz="0" w:space="0" w:color="auto"/>
            <w:left w:val="none" w:sz="0" w:space="0" w:color="auto"/>
            <w:bottom w:val="none" w:sz="0" w:space="0" w:color="auto"/>
            <w:right w:val="none" w:sz="0" w:space="0" w:color="auto"/>
          </w:divBdr>
        </w:div>
        <w:div w:id="1363215141">
          <w:marLeft w:val="0"/>
          <w:marRight w:val="0"/>
          <w:marTop w:val="0"/>
          <w:marBottom w:val="0"/>
          <w:divBdr>
            <w:top w:val="none" w:sz="0" w:space="0" w:color="auto"/>
            <w:left w:val="none" w:sz="0" w:space="0" w:color="auto"/>
            <w:bottom w:val="none" w:sz="0" w:space="0" w:color="auto"/>
            <w:right w:val="none" w:sz="0" w:space="0" w:color="auto"/>
          </w:divBdr>
        </w:div>
        <w:div w:id="1374114481">
          <w:marLeft w:val="0"/>
          <w:marRight w:val="0"/>
          <w:marTop w:val="0"/>
          <w:marBottom w:val="0"/>
          <w:divBdr>
            <w:top w:val="none" w:sz="0" w:space="0" w:color="auto"/>
            <w:left w:val="none" w:sz="0" w:space="0" w:color="auto"/>
            <w:bottom w:val="none" w:sz="0" w:space="0" w:color="auto"/>
            <w:right w:val="none" w:sz="0" w:space="0" w:color="auto"/>
          </w:divBdr>
        </w:div>
        <w:div w:id="1383212302">
          <w:marLeft w:val="0"/>
          <w:marRight w:val="0"/>
          <w:marTop w:val="0"/>
          <w:marBottom w:val="0"/>
          <w:divBdr>
            <w:top w:val="none" w:sz="0" w:space="0" w:color="auto"/>
            <w:left w:val="none" w:sz="0" w:space="0" w:color="auto"/>
            <w:bottom w:val="none" w:sz="0" w:space="0" w:color="auto"/>
            <w:right w:val="none" w:sz="0" w:space="0" w:color="auto"/>
          </w:divBdr>
        </w:div>
        <w:div w:id="1390301193">
          <w:marLeft w:val="0"/>
          <w:marRight w:val="0"/>
          <w:marTop w:val="0"/>
          <w:marBottom w:val="0"/>
          <w:divBdr>
            <w:top w:val="none" w:sz="0" w:space="0" w:color="auto"/>
            <w:left w:val="none" w:sz="0" w:space="0" w:color="auto"/>
            <w:bottom w:val="none" w:sz="0" w:space="0" w:color="auto"/>
            <w:right w:val="none" w:sz="0" w:space="0" w:color="auto"/>
          </w:divBdr>
        </w:div>
        <w:div w:id="1462844169">
          <w:marLeft w:val="0"/>
          <w:marRight w:val="0"/>
          <w:marTop w:val="0"/>
          <w:marBottom w:val="0"/>
          <w:divBdr>
            <w:top w:val="none" w:sz="0" w:space="0" w:color="auto"/>
            <w:left w:val="none" w:sz="0" w:space="0" w:color="auto"/>
            <w:bottom w:val="none" w:sz="0" w:space="0" w:color="auto"/>
            <w:right w:val="none" w:sz="0" w:space="0" w:color="auto"/>
          </w:divBdr>
        </w:div>
        <w:div w:id="1467357662">
          <w:marLeft w:val="0"/>
          <w:marRight w:val="0"/>
          <w:marTop w:val="0"/>
          <w:marBottom w:val="0"/>
          <w:divBdr>
            <w:top w:val="none" w:sz="0" w:space="0" w:color="auto"/>
            <w:left w:val="none" w:sz="0" w:space="0" w:color="auto"/>
            <w:bottom w:val="none" w:sz="0" w:space="0" w:color="auto"/>
            <w:right w:val="none" w:sz="0" w:space="0" w:color="auto"/>
          </w:divBdr>
        </w:div>
        <w:div w:id="1475222761">
          <w:marLeft w:val="0"/>
          <w:marRight w:val="0"/>
          <w:marTop w:val="0"/>
          <w:marBottom w:val="0"/>
          <w:divBdr>
            <w:top w:val="none" w:sz="0" w:space="0" w:color="auto"/>
            <w:left w:val="none" w:sz="0" w:space="0" w:color="auto"/>
            <w:bottom w:val="none" w:sz="0" w:space="0" w:color="auto"/>
            <w:right w:val="none" w:sz="0" w:space="0" w:color="auto"/>
          </w:divBdr>
        </w:div>
        <w:div w:id="1481801291">
          <w:marLeft w:val="0"/>
          <w:marRight w:val="0"/>
          <w:marTop w:val="0"/>
          <w:marBottom w:val="0"/>
          <w:divBdr>
            <w:top w:val="none" w:sz="0" w:space="0" w:color="auto"/>
            <w:left w:val="none" w:sz="0" w:space="0" w:color="auto"/>
            <w:bottom w:val="none" w:sz="0" w:space="0" w:color="auto"/>
            <w:right w:val="none" w:sz="0" w:space="0" w:color="auto"/>
          </w:divBdr>
        </w:div>
        <w:div w:id="1487479924">
          <w:marLeft w:val="0"/>
          <w:marRight w:val="0"/>
          <w:marTop w:val="0"/>
          <w:marBottom w:val="0"/>
          <w:divBdr>
            <w:top w:val="none" w:sz="0" w:space="0" w:color="auto"/>
            <w:left w:val="none" w:sz="0" w:space="0" w:color="auto"/>
            <w:bottom w:val="none" w:sz="0" w:space="0" w:color="auto"/>
            <w:right w:val="none" w:sz="0" w:space="0" w:color="auto"/>
          </w:divBdr>
        </w:div>
        <w:div w:id="1512404652">
          <w:marLeft w:val="0"/>
          <w:marRight w:val="0"/>
          <w:marTop w:val="0"/>
          <w:marBottom w:val="0"/>
          <w:divBdr>
            <w:top w:val="none" w:sz="0" w:space="0" w:color="auto"/>
            <w:left w:val="none" w:sz="0" w:space="0" w:color="auto"/>
            <w:bottom w:val="none" w:sz="0" w:space="0" w:color="auto"/>
            <w:right w:val="none" w:sz="0" w:space="0" w:color="auto"/>
          </w:divBdr>
        </w:div>
        <w:div w:id="1540631045">
          <w:marLeft w:val="0"/>
          <w:marRight w:val="0"/>
          <w:marTop w:val="0"/>
          <w:marBottom w:val="0"/>
          <w:divBdr>
            <w:top w:val="none" w:sz="0" w:space="0" w:color="auto"/>
            <w:left w:val="none" w:sz="0" w:space="0" w:color="auto"/>
            <w:bottom w:val="none" w:sz="0" w:space="0" w:color="auto"/>
            <w:right w:val="none" w:sz="0" w:space="0" w:color="auto"/>
          </w:divBdr>
        </w:div>
        <w:div w:id="1555001232">
          <w:marLeft w:val="0"/>
          <w:marRight w:val="0"/>
          <w:marTop w:val="0"/>
          <w:marBottom w:val="0"/>
          <w:divBdr>
            <w:top w:val="none" w:sz="0" w:space="0" w:color="auto"/>
            <w:left w:val="none" w:sz="0" w:space="0" w:color="auto"/>
            <w:bottom w:val="none" w:sz="0" w:space="0" w:color="auto"/>
            <w:right w:val="none" w:sz="0" w:space="0" w:color="auto"/>
          </w:divBdr>
        </w:div>
        <w:div w:id="1556313548">
          <w:marLeft w:val="0"/>
          <w:marRight w:val="0"/>
          <w:marTop w:val="0"/>
          <w:marBottom w:val="0"/>
          <w:divBdr>
            <w:top w:val="none" w:sz="0" w:space="0" w:color="auto"/>
            <w:left w:val="none" w:sz="0" w:space="0" w:color="auto"/>
            <w:bottom w:val="none" w:sz="0" w:space="0" w:color="auto"/>
            <w:right w:val="none" w:sz="0" w:space="0" w:color="auto"/>
          </w:divBdr>
        </w:div>
        <w:div w:id="1558201496">
          <w:marLeft w:val="0"/>
          <w:marRight w:val="0"/>
          <w:marTop w:val="0"/>
          <w:marBottom w:val="0"/>
          <w:divBdr>
            <w:top w:val="none" w:sz="0" w:space="0" w:color="auto"/>
            <w:left w:val="none" w:sz="0" w:space="0" w:color="auto"/>
            <w:bottom w:val="none" w:sz="0" w:space="0" w:color="auto"/>
            <w:right w:val="none" w:sz="0" w:space="0" w:color="auto"/>
          </w:divBdr>
        </w:div>
        <w:div w:id="1592615734">
          <w:marLeft w:val="0"/>
          <w:marRight w:val="0"/>
          <w:marTop w:val="0"/>
          <w:marBottom w:val="0"/>
          <w:divBdr>
            <w:top w:val="none" w:sz="0" w:space="0" w:color="auto"/>
            <w:left w:val="none" w:sz="0" w:space="0" w:color="auto"/>
            <w:bottom w:val="none" w:sz="0" w:space="0" w:color="auto"/>
            <w:right w:val="none" w:sz="0" w:space="0" w:color="auto"/>
          </w:divBdr>
        </w:div>
        <w:div w:id="1607152829">
          <w:marLeft w:val="0"/>
          <w:marRight w:val="0"/>
          <w:marTop w:val="0"/>
          <w:marBottom w:val="0"/>
          <w:divBdr>
            <w:top w:val="none" w:sz="0" w:space="0" w:color="auto"/>
            <w:left w:val="none" w:sz="0" w:space="0" w:color="auto"/>
            <w:bottom w:val="none" w:sz="0" w:space="0" w:color="auto"/>
            <w:right w:val="none" w:sz="0" w:space="0" w:color="auto"/>
          </w:divBdr>
        </w:div>
        <w:div w:id="1654262455">
          <w:marLeft w:val="0"/>
          <w:marRight w:val="0"/>
          <w:marTop w:val="0"/>
          <w:marBottom w:val="0"/>
          <w:divBdr>
            <w:top w:val="none" w:sz="0" w:space="0" w:color="auto"/>
            <w:left w:val="none" w:sz="0" w:space="0" w:color="auto"/>
            <w:bottom w:val="none" w:sz="0" w:space="0" w:color="auto"/>
            <w:right w:val="none" w:sz="0" w:space="0" w:color="auto"/>
          </w:divBdr>
        </w:div>
        <w:div w:id="1666007353">
          <w:marLeft w:val="0"/>
          <w:marRight w:val="0"/>
          <w:marTop w:val="0"/>
          <w:marBottom w:val="0"/>
          <w:divBdr>
            <w:top w:val="none" w:sz="0" w:space="0" w:color="auto"/>
            <w:left w:val="none" w:sz="0" w:space="0" w:color="auto"/>
            <w:bottom w:val="none" w:sz="0" w:space="0" w:color="auto"/>
            <w:right w:val="none" w:sz="0" w:space="0" w:color="auto"/>
          </w:divBdr>
        </w:div>
        <w:div w:id="1675954233">
          <w:marLeft w:val="0"/>
          <w:marRight w:val="0"/>
          <w:marTop w:val="0"/>
          <w:marBottom w:val="0"/>
          <w:divBdr>
            <w:top w:val="none" w:sz="0" w:space="0" w:color="auto"/>
            <w:left w:val="none" w:sz="0" w:space="0" w:color="auto"/>
            <w:bottom w:val="none" w:sz="0" w:space="0" w:color="auto"/>
            <w:right w:val="none" w:sz="0" w:space="0" w:color="auto"/>
          </w:divBdr>
        </w:div>
        <w:div w:id="1677491528">
          <w:marLeft w:val="0"/>
          <w:marRight w:val="0"/>
          <w:marTop w:val="0"/>
          <w:marBottom w:val="0"/>
          <w:divBdr>
            <w:top w:val="none" w:sz="0" w:space="0" w:color="auto"/>
            <w:left w:val="none" w:sz="0" w:space="0" w:color="auto"/>
            <w:bottom w:val="none" w:sz="0" w:space="0" w:color="auto"/>
            <w:right w:val="none" w:sz="0" w:space="0" w:color="auto"/>
          </w:divBdr>
        </w:div>
        <w:div w:id="1677657586">
          <w:marLeft w:val="0"/>
          <w:marRight w:val="0"/>
          <w:marTop w:val="0"/>
          <w:marBottom w:val="0"/>
          <w:divBdr>
            <w:top w:val="none" w:sz="0" w:space="0" w:color="auto"/>
            <w:left w:val="none" w:sz="0" w:space="0" w:color="auto"/>
            <w:bottom w:val="none" w:sz="0" w:space="0" w:color="auto"/>
            <w:right w:val="none" w:sz="0" w:space="0" w:color="auto"/>
          </w:divBdr>
        </w:div>
        <w:div w:id="1681657555">
          <w:marLeft w:val="0"/>
          <w:marRight w:val="0"/>
          <w:marTop w:val="0"/>
          <w:marBottom w:val="0"/>
          <w:divBdr>
            <w:top w:val="none" w:sz="0" w:space="0" w:color="auto"/>
            <w:left w:val="none" w:sz="0" w:space="0" w:color="auto"/>
            <w:bottom w:val="none" w:sz="0" w:space="0" w:color="auto"/>
            <w:right w:val="none" w:sz="0" w:space="0" w:color="auto"/>
          </w:divBdr>
        </w:div>
        <w:div w:id="1711684578">
          <w:marLeft w:val="0"/>
          <w:marRight w:val="0"/>
          <w:marTop w:val="0"/>
          <w:marBottom w:val="0"/>
          <w:divBdr>
            <w:top w:val="none" w:sz="0" w:space="0" w:color="auto"/>
            <w:left w:val="none" w:sz="0" w:space="0" w:color="auto"/>
            <w:bottom w:val="none" w:sz="0" w:space="0" w:color="auto"/>
            <w:right w:val="none" w:sz="0" w:space="0" w:color="auto"/>
          </w:divBdr>
        </w:div>
        <w:div w:id="1782068247">
          <w:marLeft w:val="0"/>
          <w:marRight w:val="0"/>
          <w:marTop w:val="0"/>
          <w:marBottom w:val="0"/>
          <w:divBdr>
            <w:top w:val="none" w:sz="0" w:space="0" w:color="auto"/>
            <w:left w:val="none" w:sz="0" w:space="0" w:color="auto"/>
            <w:bottom w:val="none" w:sz="0" w:space="0" w:color="auto"/>
            <w:right w:val="none" w:sz="0" w:space="0" w:color="auto"/>
          </w:divBdr>
        </w:div>
        <w:div w:id="1787890368">
          <w:marLeft w:val="0"/>
          <w:marRight w:val="0"/>
          <w:marTop w:val="0"/>
          <w:marBottom w:val="0"/>
          <w:divBdr>
            <w:top w:val="none" w:sz="0" w:space="0" w:color="auto"/>
            <w:left w:val="none" w:sz="0" w:space="0" w:color="auto"/>
            <w:bottom w:val="none" w:sz="0" w:space="0" w:color="auto"/>
            <w:right w:val="none" w:sz="0" w:space="0" w:color="auto"/>
          </w:divBdr>
        </w:div>
        <w:div w:id="1844778951">
          <w:marLeft w:val="0"/>
          <w:marRight w:val="0"/>
          <w:marTop w:val="0"/>
          <w:marBottom w:val="0"/>
          <w:divBdr>
            <w:top w:val="none" w:sz="0" w:space="0" w:color="auto"/>
            <w:left w:val="none" w:sz="0" w:space="0" w:color="auto"/>
            <w:bottom w:val="none" w:sz="0" w:space="0" w:color="auto"/>
            <w:right w:val="none" w:sz="0" w:space="0" w:color="auto"/>
          </w:divBdr>
        </w:div>
        <w:div w:id="1850949103">
          <w:marLeft w:val="0"/>
          <w:marRight w:val="0"/>
          <w:marTop w:val="0"/>
          <w:marBottom w:val="0"/>
          <w:divBdr>
            <w:top w:val="none" w:sz="0" w:space="0" w:color="auto"/>
            <w:left w:val="none" w:sz="0" w:space="0" w:color="auto"/>
            <w:bottom w:val="none" w:sz="0" w:space="0" w:color="auto"/>
            <w:right w:val="none" w:sz="0" w:space="0" w:color="auto"/>
          </w:divBdr>
        </w:div>
        <w:div w:id="1879048526">
          <w:marLeft w:val="0"/>
          <w:marRight w:val="0"/>
          <w:marTop w:val="0"/>
          <w:marBottom w:val="0"/>
          <w:divBdr>
            <w:top w:val="none" w:sz="0" w:space="0" w:color="auto"/>
            <w:left w:val="none" w:sz="0" w:space="0" w:color="auto"/>
            <w:bottom w:val="none" w:sz="0" w:space="0" w:color="auto"/>
            <w:right w:val="none" w:sz="0" w:space="0" w:color="auto"/>
          </w:divBdr>
        </w:div>
        <w:div w:id="1910840964">
          <w:marLeft w:val="0"/>
          <w:marRight w:val="0"/>
          <w:marTop w:val="0"/>
          <w:marBottom w:val="0"/>
          <w:divBdr>
            <w:top w:val="none" w:sz="0" w:space="0" w:color="auto"/>
            <w:left w:val="none" w:sz="0" w:space="0" w:color="auto"/>
            <w:bottom w:val="none" w:sz="0" w:space="0" w:color="auto"/>
            <w:right w:val="none" w:sz="0" w:space="0" w:color="auto"/>
          </w:divBdr>
        </w:div>
        <w:div w:id="1913275401">
          <w:marLeft w:val="0"/>
          <w:marRight w:val="0"/>
          <w:marTop w:val="0"/>
          <w:marBottom w:val="0"/>
          <w:divBdr>
            <w:top w:val="none" w:sz="0" w:space="0" w:color="auto"/>
            <w:left w:val="none" w:sz="0" w:space="0" w:color="auto"/>
            <w:bottom w:val="none" w:sz="0" w:space="0" w:color="auto"/>
            <w:right w:val="none" w:sz="0" w:space="0" w:color="auto"/>
          </w:divBdr>
        </w:div>
        <w:div w:id="1940210701">
          <w:marLeft w:val="0"/>
          <w:marRight w:val="0"/>
          <w:marTop w:val="0"/>
          <w:marBottom w:val="0"/>
          <w:divBdr>
            <w:top w:val="none" w:sz="0" w:space="0" w:color="auto"/>
            <w:left w:val="none" w:sz="0" w:space="0" w:color="auto"/>
            <w:bottom w:val="none" w:sz="0" w:space="0" w:color="auto"/>
            <w:right w:val="none" w:sz="0" w:space="0" w:color="auto"/>
          </w:divBdr>
        </w:div>
        <w:div w:id="1981959005">
          <w:marLeft w:val="0"/>
          <w:marRight w:val="0"/>
          <w:marTop w:val="0"/>
          <w:marBottom w:val="0"/>
          <w:divBdr>
            <w:top w:val="none" w:sz="0" w:space="0" w:color="auto"/>
            <w:left w:val="none" w:sz="0" w:space="0" w:color="auto"/>
            <w:bottom w:val="none" w:sz="0" w:space="0" w:color="auto"/>
            <w:right w:val="none" w:sz="0" w:space="0" w:color="auto"/>
          </w:divBdr>
        </w:div>
        <w:div w:id="1998418445">
          <w:marLeft w:val="0"/>
          <w:marRight w:val="0"/>
          <w:marTop w:val="0"/>
          <w:marBottom w:val="0"/>
          <w:divBdr>
            <w:top w:val="none" w:sz="0" w:space="0" w:color="auto"/>
            <w:left w:val="none" w:sz="0" w:space="0" w:color="auto"/>
            <w:bottom w:val="none" w:sz="0" w:space="0" w:color="auto"/>
            <w:right w:val="none" w:sz="0" w:space="0" w:color="auto"/>
          </w:divBdr>
        </w:div>
        <w:div w:id="2037727282">
          <w:marLeft w:val="0"/>
          <w:marRight w:val="0"/>
          <w:marTop w:val="0"/>
          <w:marBottom w:val="0"/>
          <w:divBdr>
            <w:top w:val="none" w:sz="0" w:space="0" w:color="auto"/>
            <w:left w:val="none" w:sz="0" w:space="0" w:color="auto"/>
            <w:bottom w:val="none" w:sz="0" w:space="0" w:color="auto"/>
            <w:right w:val="none" w:sz="0" w:space="0" w:color="auto"/>
          </w:divBdr>
        </w:div>
        <w:div w:id="2108187853">
          <w:marLeft w:val="0"/>
          <w:marRight w:val="0"/>
          <w:marTop w:val="0"/>
          <w:marBottom w:val="0"/>
          <w:divBdr>
            <w:top w:val="none" w:sz="0" w:space="0" w:color="auto"/>
            <w:left w:val="none" w:sz="0" w:space="0" w:color="auto"/>
            <w:bottom w:val="none" w:sz="0" w:space="0" w:color="auto"/>
            <w:right w:val="none" w:sz="0" w:space="0" w:color="auto"/>
          </w:divBdr>
        </w:div>
        <w:div w:id="2124372820">
          <w:marLeft w:val="0"/>
          <w:marRight w:val="0"/>
          <w:marTop w:val="0"/>
          <w:marBottom w:val="0"/>
          <w:divBdr>
            <w:top w:val="none" w:sz="0" w:space="0" w:color="auto"/>
            <w:left w:val="none" w:sz="0" w:space="0" w:color="auto"/>
            <w:bottom w:val="none" w:sz="0" w:space="0" w:color="auto"/>
            <w:right w:val="none" w:sz="0" w:space="0" w:color="auto"/>
          </w:divBdr>
        </w:div>
      </w:divsChild>
    </w:div>
    <w:div w:id="213083277">
      <w:bodyDiv w:val="1"/>
      <w:marLeft w:val="0"/>
      <w:marRight w:val="0"/>
      <w:marTop w:val="0"/>
      <w:marBottom w:val="0"/>
      <w:divBdr>
        <w:top w:val="none" w:sz="0" w:space="0" w:color="auto"/>
        <w:left w:val="none" w:sz="0" w:space="0" w:color="auto"/>
        <w:bottom w:val="none" w:sz="0" w:space="0" w:color="auto"/>
        <w:right w:val="none" w:sz="0" w:space="0" w:color="auto"/>
      </w:divBdr>
    </w:div>
    <w:div w:id="214590376">
      <w:bodyDiv w:val="1"/>
      <w:marLeft w:val="0"/>
      <w:marRight w:val="0"/>
      <w:marTop w:val="0"/>
      <w:marBottom w:val="0"/>
      <w:divBdr>
        <w:top w:val="none" w:sz="0" w:space="0" w:color="auto"/>
        <w:left w:val="none" w:sz="0" w:space="0" w:color="auto"/>
        <w:bottom w:val="none" w:sz="0" w:space="0" w:color="auto"/>
        <w:right w:val="none" w:sz="0" w:space="0" w:color="auto"/>
      </w:divBdr>
    </w:div>
    <w:div w:id="221411684">
      <w:bodyDiv w:val="1"/>
      <w:marLeft w:val="0"/>
      <w:marRight w:val="0"/>
      <w:marTop w:val="0"/>
      <w:marBottom w:val="0"/>
      <w:divBdr>
        <w:top w:val="none" w:sz="0" w:space="0" w:color="auto"/>
        <w:left w:val="none" w:sz="0" w:space="0" w:color="auto"/>
        <w:bottom w:val="none" w:sz="0" w:space="0" w:color="auto"/>
        <w:right w:val="none" w:sz="0" w:space="0" w:color="auto"/>
      </w:divBdr>
      <w:divsChild>
        <w:div w:id="166287970">
          <w:marLeft w:val="0"/>
          <w:marRight w:val="0"/>
          <w:marTop w:val="0"/>
          <w:marBottom w:val="0"/>
          <w:divBdr>
            <w:top w:val="none" w:sz="0" w:space="0" w:color="auto"/>
            <w:left w:val="none" w:sz="0" w:space="0" w:color="auto"/>
            <w:bottom w:val="none" w:sz="0" w:space="0" w:color="auto"/>
            <w:right w:val="none" w:sz="0" w:space="0" w:color="auto"/>
          </w:divBdr>
        </w:div>
        <w:div w:id="1136987274">
          <w:marLeft w:val="0"/>
          <w:marRight w:val="0"/>
          <w:marTop w:val="0"/>
          <w:marBottom w:val="0"/>
          <w:divBdr>
            <w:top w:val="none" w:sz="0" w:space="0" w:color="auto"/>
            <w:left w:val="none" w:sz="0" w:space="0" w:color="auto"/>
            <w:bottom w:val="none" w:sz="0" w:space="0" w:color="auto"/>
            <w:right w:val="none" w:sz="0" w:space="0" w:color="auto"/>
          </w:divBdr>
        </w:div>
      </w:divsChild>
    </w:div>
    <w:div w:id="260919443">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2637663">
      <w:bodyDiv w:val="1"/>
      <w:marLeft w:val="0"/>
      <w:marRight w:val="0"/>
      <w:marTop w:val="0"/>
      <w:marBottom w:val="0"/>
      <w:divBdr>
        <w:top w:val="none" w:sz="0" w:space="0" w:color="auto"/>
        <w:left w:val="none" w:sz="0" w:space="0" w:color="auto"/>
        <w:bottom w:val="none" w:sz="0" w:space="0" w:color="auto"/>
        <w:right w:val="none" w:sz="0" w:space="0" w:color="auto"/>
      </w:divBdr>
    </w:div>
    <w:div w:id="361442856">
      <w:bodyDiv w:val="1"/>
      <w:marLeft w:val="0"/>
      <w:marRight w:val="0"/>
      <w:marTop w:val="0"/>
      <w:marBottom w:val="0"/>
      <w:divBdr>
        <w:top w:val="none" w:sz="0" w:space="0" w:color="auto"/>
        <w:left w:val="none" w:sz="0" w:space="0" w:color="auto"/>
        <w:bottom w:val="none" w:sz="0" w:space="0" w:color="auto"/>
        <w:right w:val="none" w:sz="0" w:space="0" w:color="auto"/>
      </w:divBdr>
    </w:div>
    <w:div w:id="370108974">
      <w:bodyDiv w:val="1"/>
      <w:marLeft w:val="0"/>
      <w:marRight w:val="0"/>
      <w:marTop w:val="0"/>
      <w:marBottom w:val="0"/>
      <w:divBdr>
        <w:top w:val="none" w:sz="0" w:space="0" w:color="auto"/>
        <w:left w:val="none" w:sz="0" w:space="0" w:color="auto"/>
        <w:bottom w:val="none" w:sz="0" w:space="0" w:color="auto"/>
        <w:right w:val="none" w:sz="0" w:space="0" w:color="auto"/>
      </w:divBdr>
      <w:divsChild>
        <w:div w:id="432675642">
          <w:marLeft w:val="0"/>
          <w:marRight w:val="0"/>
          <w:marTop w:val="0"/>
          <w:marBottom w:val="0"/>
          <w:divBdr>
            <w:top w:val="none" w:sz="0" w:space="0" w:color="auto"/>
            <w:left w:val="none" w:sz="0" w:space="0" w:color="auto"/>
            <w:bottom w:val="none" w:sz="0" w:space="0" w:color="auto"/>
            <w:right w:val="none" w:sz="0" w:space="0" w:color="auto"/>
          </w:divBdr>
        </w:div>
      </w:divsChild>
    </w:div>
    <w:div w:id="407267048">
      <w:bodyDiv w:val="1"/>
      <w:marLeft w:val="0"/>
      <w:marRight w:val="0"/>
      <w:marTop w:val="0"/>
      <w:marBottom w:val="0"/>
      <w:divBdr>
        <w:top w:val="none" w:sz="0" w:space="0" w:color="auto"/>
        <w:left w:val="none" w:sz="0" w:space="0" w:color="auto"/>
        <w:bottom w:val="none" w:sz="0" w:space="0" w:color="auto"/>
        <w:right w:val="none" w:sz="0" w:space="0" w:color="auto"/>
      </w:divBdr>
    </w:div>
    <w:div w:id="448740206">
      <w:bodyDiv w:val="1"/>
      <w:marLeft w:val="0"/>
      <w:marRight w:val="0"/>
      <w:marTop w:val="0"/>
      <w:marBottom w:val="0"/>
      <w:divBdr>
        <w:top w:val="none" w:sz="0" w:space="0" w:color="auto"/>
        <w:left w:val="none" w:sz="0" w:space="0" w:color="auto"/>
        <w:bottom w:val="none" w:sz="0" w:space="0" w:color="auto"/>
        <w:right w:val="none" w:sz="0" w:space="0" w:color="auto"/>
      </w:divBdr>
    </w:div>
    <w:div w:id="465240230">
      <w:bodyDiv w:val="1"/>
      <w:marLeft w:val="0"/>
      <w:marRight w:val="0"/>
      <w:marTop w:val="0"/>
      <w:marBottom w:val="0"/>
      <w:divBdr>
        <w:top w:val="none" w:sz="0" w:space="0" w:color="auto"/>
        <w:left w:val="none" w:sz="0" w:space="0" w:color="auto"/>
        <w:bottom w:val="none" w:sz="0" w:space="0" w:color="auto"/>
        <w:right w:val="none" w:sz="0" w:space="0" w:color="auto"/>
      </w:divBdr>
    </w:div>
    <w:div w:id="523639826">
      <w:bodyDiv w:val="1"/>
      <w:marLeft w:val="0"/>
      <w:marRight w:val="0"/>
      <w:marTop w:val="0"/>
      <w:marBottom w:val="0"/>
      <w:divBdr>
        <w:top w:val="none" w:sz="0" w:space="0" w:color="auto"/>
        <w:left w:val="none" w:sz="0" w:space="0" w:color="auto"/>
        <w:bottom w:val="none" w:sz="0" w:space="0" w:color="auto"/>
        <w:right w:val="none" w:sz="0" w:space="0" w:color="auto"/>
      </w:divBdr>
    </w:div>
    <w:div w:id="539053585">
      <w:bodyDiv w:val="1"/>
      <w:marLeft w:val="0"/>
      <w:marRight w:val="0"/>
      <w:marTop w:val="0"/>
      <w:marBottom w:val="0"/>
      <w:divBdr>
        <w:top w:val="none" w:sz="0" w:space="0" w:color="auto"/>
        <w:left w:val="none" w:sz="0" w:space="0" w:color="auto"/>
        <w:bottom w:val="none" w:sz="0" w:space="0" w:color="auto"/>
        <w:right w:val="none" w:sz="0" w:space="0" w:color="auto"/>
      </w:divBdr>
      <w:divsChild>
        <w:div w:id="2102099154">
          <w:marLeft w:val="0"/>
          <w:marRight w:val="0"/>
          <w:marTop w:val="0"/>
          <w:marBottom w:val="0"/>
          <w:divBdr>
            <w:top w:val="none" w:sz="0" w:space="0" w:color="auto"/>
            <w:left w:val="none" w:sz="0" w:space="0" w:color="auto"/>
            <w:bottom w:val="none" w:sz="0" w:space="0" w:color="auto"/>
            <w:right w:val="none" w:sz="0" w:space="0" w:color="auto"/>
          </w:divBdr>
        </w:div>
      </w:divsChild>
    </w:div>
    <w:div w:id="600066242">
      <w:bodyDiv w:val="1"/>
      <w:marLeft w:val="0"/>
      <w:marRight w:val="0"/>
      <w:marTop w:val="0"/>
      <w:marBottom w:val="0"/>
      <w:divBdr>
        <w:top w:val="none" w:sz="0" w:space="0" w:color="auto"/>
        <w:left w:val="none" w:sz="0" w:space="0" w:color="auto"/>
        <w:bottom w:val="none" w:sz="0" w:space="0" w:color="auto"/>
        <w:right w:val="none" w:sz="0" w:space="0" w:color="auto"/>
      </w:divBdr>
    </w:div>
    <w:div w:id="705250799">
      <w:bodyDiv w:val="1"/>
      <w:marLeft w:val="0"/>
      <w:marRight w:val="0"/>
      <w:marTop w:val="0"/>
      <w:marBottom w:val="0"/>
      <w:divBdr>
        <w:top w:val="none" w:sz="0" w:space="0" w:color="auto"/>
        <w:left w:val="none" w:sz="0" w:space="0" w:color="auto"/>
        <w:bottom w:val="none" w:sz="0" w:space="0" w:color="auto"/>
        <w:right w:val="none" w:sz="0" w:space="0" w:color="auto"/>
      </w:divBdr>
      <w:divsChild>
        <w:div w:id="1873221484">
          <w:marLeft w:val="0"/>
          <w:marRight w:val="0"/>
          <w:marTop w:val="0"/>
          <w:marBottom w:val="0"/>
          <w:divBdr>
            <w:top w:val="single" w:sz="6" w:space="0" w:color="D7DBE0"/>
            <w:left w:val="single" w:sz="6" w:space="0" w:color="D7DBE0"/>
            <w:bottom w:val="single" w:sz="6" w:space="0" w:color="D7DBE0"/>
            <w:right w:val="single" w:sz="6" w:space="0" w:color="D7DBE0"/>
          </w:divBdr>
        </w:div>
      </w:divsChild>
    </w:div>
    <w:div w:id="725181536">
      <w:bodyDiv w:val="1"/>
      <w:marLeft w:val="0"/>
      <w:marRight w:val="0"/>
      <w:marTop w:val="0"/>
      <w:marBottom w:val="0"/>
      <w:divBdr>
        <w:top w:val="none" w:sz="0" w:space="0" w:color="auto"/>
        <w:left w:val="none" w:sz="0" w:space="0" w:color="auto"/>
        <w:bottom w:val="none" w:sz="0" w:space="0" w:color="auto"/>
        <w:right w:val="none" w:sz="0" w:space="0" w:color="auto"/>
      </w:divBdr>
      <w:divsChild>
        <w:div w:id="25067296">
          <w:marLeft w:val="0"/>
          <w:marRight w:val="0"/>
          <w:marTop w:val="0"/>
          <w:marBottom w:val="0"/>
          <w:divBdr>
            <w:top w:val="single" w:sz="6" w:space="0" w:color="D7DBE0"/>
            <w:left w:val="single" w:sz="6" w:space="0" w:color="D7DBE0"/>
            <w:bottom w:val="single" w:sz="6" w:space="0" w:color="D7DBE0"/>
            <w:right w:val="single" w:sz="6" w:space="0" w:color="D7DBE0"/>
          </w:divBdr>
        </w:div>
      </w:divsChild>
    </w:div>
    <w:div w:id="728302993">
      <w:bodyDiv w:val="1"/>
      <w:marLeft w:val="0"/>
      <w:marRight w:val="0"/>
      <w:marTop w:val="0"/>
      <w:marBottom w:val="0"/>
      <w:divBdr>
        <w:top w:val="none" w:sz="0" w:space="0" w:color="auto"/>
        <w:left w:val="none" w:sz="0" w:space="0" w:color="auto"/>
        <w:bottom w:val="none" w:sz="0" w:space="0" w:color="auto"/>
        <w:right w:val="none" w:sz="0" w:space="0" w:color="auto"/>
      </w:divBdr>
    </w:div>
    <w:div w:id="731126559">
      <w:bodyDiv w:val="1"/>
      <w:marLeft w:val="0"/>
      <w:marRight w:val="0"/>
      <w:marTop w:val="0"/>
      <w:marBottom w:val="0"/>
      <w:divBdr>
        <w:top w:val="none" w:sz="0" w:space="0" w:color="auto"/>
        <w:left w:val="none" w:sz="0" w:space="0" w:color="auto"/>
        <w:bottom w:val="none" w:sz="0" w:space="0" w:color="auto"/>
        <w:right w:val="none" w:sz="0" w:space="0" w:color="auto"/>
      </w:divBdr>
    </w:div>
    <w:div w:id="766081809">
      <w:bodyDiv w:val="1"/>
      <w:marLeft w:val="0"/>
      <w:marRight w:val="0"/>
      <w:marTop w:val="0"/>
      <w:marBottom w:val="0"/>
      <w:divBdr>
        <w:top w:val="none" w:sz="0" w:space="0" w:color="auto"/>
        <w:left w:val="none" w:sz="0" w:space="0" w:color="auto"/>
        <w:bottom w:val="none" w:sz="0" w:space="0" w:color="auto"/>
        <w:right w:val="none" w:sz="0" w:space="0" w:color="auto"/>
      </w:divBdr>
    </w:div>
    <w:div w:id="770661769">
      <w:bodyDiv w:val="1"/>
      <w:marLeft w:val="0"/>
      <w:marRight w:val="0"/>
      <w:marTop w:val="0"/>
      <w:marBottom w:val="0"/>
      <w:divBdr>
        <w:top w:val="none" w:sz="0" w:space="0" w:color="auto"/>
        <w:left w:val="none" w:sz="0" w:space="0" w:color="auto"/>
        <w:bottom w:val="none" w:sz="0" w:space="0" w:color="auto"/>
        <w:right w:val="none" w:sz="0" w:space="0" w:color="auto"/>
      </w:divBdr>
    </w:div>
    <w:div w:id="776634333">
      <w:bodyDiv w:val="1"/>
      <w:marLeft w:val="0"/>
      <w:marRight w:val="0"/>
      <w:marTop w:val="0"/>
      <w:marBottom w:val="0"/>
      <w:divBdr>
        <w:top w:val="none" w:sz="0" w:space="0" w:color="auto"/>
        <w:left w:val="none" w:sz="0" w:space="0" w:color="auto"/>
        <w:bottom w:val="none" w:sz="0" w:space="0" w:color="auto"/>
        <w:right w:val="none" w:sz="0" w:space="0" w:color="auto"/>
      </w:divBdr>
      <w:divsChild>
        <w:div w:id="810908317">
          <w:marLeft w:val="0"/>
          <w:marRight w:val="0"/>
          <w:marTop w:val="0"/>
          <w:marBottom w:val="0"/>
          <w:divBdr>
            <w:top w:val="none" w:sz="0" w:space="0" w:color="auto"/>
            <w:left w:val="none" w:sz="0" w:space="0" w:color="auto"/>
            <w:bottom w:val="none" w:sz="0" w:space="0" w:color="auto"/>
            <w:right w:val="none" w:sz="0" w:space="0" w:color="auto"/>
          </w:divBdr>
          <w:divsChild>
            <w:div w:id="894897851">
              <w:marLeft w:val="0"/>
              <w:marRight w:val="0"/>
              <w:marTop w:val="0"/>
              <w:marBottom w:val="0"/>
              <w:divBdr>
                <w:top w:val="none" w:sz="0" w:space="0" w:color="auto"/>
                <w:left w:val="none" w:sz="0" w:space="0" w:color="auto"/>
                <w:bottom w:val="none" w:sz="0" w:space="0" w:color="auto"/>
                <w:right w:val="none" w:sz="0" w:space="0" w:color="auto"/>
              </w:divBdr>
            </w:div>
          </w:divsChild>
        </w:div>
        <w:div w:id="1611468256">
          <w:marLeft w:val="0"/>
          <w:marRight w:val="0"/>
          <w:marTop w:val="0"/>
          <w:marBottom w:val="0"/>
          <w:divBdr>
            <w:top w:val="none" w:sz="0" w:space="0" w:color="auto"/>
            <w:left w:val="none" w:sz="0" w:space="0" w:color="auto"/>
            <w:bottom w:val="none" w:sz="0" w:space="0" w:color="auto"/>
            <w:right w:val="none" w:sz="0" w:space="0" w:color="auto"/>
          </w:divBdr>
          <w:divsChild>
            <w:div w:id="1717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433169">
      <w:bodyDiv w:val="1"/>
      <w:marLeft w:val="0"/>
      <w:marRight w:val="0"/>
      <w:marTop w:val="0"/>
      <w:marBottom w:val="0"/>
      <w:divBdr>
        <w:top w:val="none" w:sz="0" w:space="0" w:color="auto"/>
        <w:left w:val="none" w:sz="0" w:space="0" w:color="auto"/>
        <w:bottom w:val="none" w:sz="0" w:space="0" w:color="auto"/>
        <w:right w:val="none" w:sz="0" w:space="0" w:color="auto"/>
      </w:divBdr>
    </w:div>
    <w:div w:id="84949418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53437693">
      <w:bodyDiv w:val="1"/>
      <w:marLeft w:val="0"/>
      <w:marRight w:val="0"/>
      <w:marTop w:val="0"/>
      <w:marBottom w:val="0"/>
      <w:divBdr>
        <w:top w:val="none" w:sz="0" w:space="0" w:color="auto"/>
        <w:left w:val="none" w:sz="0" w:space="0" w:color="auto"/>
        <w:bottom w:val="none" w:sz="0" w:space="0" w:color="auto"/>
        <w:right w:val="none" w:sz="0" w:space="0" w:color="auto"/>
      </w:divBdr>
    </w:div>
    <w:div w:id="1087994204">
      <w:bodyDiv w:val="1"/>
      <w:marLeft w:val="0"/>
      <w:marRight w:val="0"/>
      <w:marTop w:val="0"/>
      <w:marBottom w:val="0"/>
      <w:divBdr>
        <w:top w:val="none" w:sz="0" w:space="0" w:color="auto"/>
        <w:left w:val="none" w:sz="0" w:space="0" w:color="auto"/>
        <w:bottom w:val="none" w:sz="0" w:space="0" w:color="auto"/>
        <w:right w:val="none" w:sz="0" w:space="0" w:color="auto"/>
      </w:divBdr>
    </w:div>
    <w:div w:id="1111633778">
      <w:bodyDiv w:val="1"/>
      <w:marLeft w:val="0"/>
      <w:marRight w:val="0"/>
      <w:marTop w:val="0"/>
      <w:marBottom w:val="0"/>
      <w:divBdr>
        <w:top w:val="none" w:sz="0" w:space="0" w:color="auto"/>
        <w:left w:val="none" w:sz="0" w:space="0" w:color="auto"/>
        <w:bottom w:val="none" w:sz="0" w:space="0" w:color="auto"/>
        <w:right w:val="none" w:sz="0" w:space="0" w:color="auto"/>
      </w:divBdr>
      <w:divsChild>
        <w:div w:id="55399682">
          <w:marLeft w:val="0"/>
          <w:marRight w:val="0"/>
          <w:marTop w:val="0"/>
          <w:marBottom w:val="0"/>
          <w:divBdr>
            <w:top w:val="none" w:sz="0" w:space="0" w:color="auto"/>
            <w:left w:val="none" w:sz="0" w:space="0" w:color="auto"/>
            <w:bottom w:val="none" w:sz="0" w:space="0" w:color="auto"/>
            <w:right w:val="none" w:sz="0" w:space="0" w:color="auto"/>
          </w:divBdr>
        </w:div>
        <w:div w:id="63458342">
          <w:marLeft w:val="0"/>
          <w:marRight w:val="0"/>
          <w:marTop w:val="0"/>
          <w:marBottom w:val="0"/>
          <w:divBdr>
            <w:top w:val="none" w:sz="0" w:space="0" w:color="auto"/>
            <w:left w:val="none" w:sz="0" w:space="0" w:color="auto"/>
            <w:bottom w:val="none" w:sz="0" w:space="0" w:color="auto"/>
            <w:right w:val="none" w:sz="0" w:space="0" w:color="auto"/>
          </w:divBdr>
        </w:div>
        <w:div w:id="67698866">
          <w:marLeft w:val="0"/>
          <w:marRight w:val="0"/>
          <w:marTop w:val="0"/>
          <w:marBottom w:val="0"/>
          <w:divBdr>
            <w:top w:val="none" w:sz="0" w:space="0" w:color="auto"/>
            <w:left w:val="none" w:sz="0" w:space="0" w:color="auto"/>
            <w:bottom w:val="none" w:sz="0" w:space="0" w:color="auto"/>
            <w:right w:val="none" w:sz="0" w:space="0" w:color="auto"/>
          </w:divBdr>
        </w:div>
        <w:div w:id="101849544">
          <w:marLeft w:val="0"/>
          <w:marRight w:val="0"/>
          <w:marTop w:val="0"/>
          <w:marBottom w:val="0"/>
          <w:divBdr>
            <w:top w:val="none" w:sz="0" w:space="0" w:color="auto"/>
            <w:left w:val="none" w:sz="0" w:space="0" w:color="auto"/>
            <w:bottom w:val="none" w:sz="0" w:space="0" w:color="auto"/>
            <w:right w:val="none" w:sz="0" w:space="0" w:color="auto"/>
          </w:divBdr>
        </w:div>
        <w:div w:id="106315506">
          <w:marLeft w:val="0"/>
          <w:marRight w:val="0"/>
          <w:marTop w:val="0"/>
          <w:marBottom w:val="0"/>
          <w:divBdr>
            <w:top w:val="none" w:sz="0" w:space="0" w:color="auto"/>
            <w:left w:val="none" w:sz="0" w:space="0" w:color="auto"/>
            <w:bottom w:val="none" w:sz="0" w:space="0" w:color="auto"/>
            <w:right w:val="none" w:sz="0" w:space="0" w:color="auto"/>
          </w:divBdr>
        </w:div>
        <w:div w:id="113064406">
          <w:marLeft w:val="0"/>
          <w:marRight w:val="0"/>
          <w:marTop w:val="0"/>
          <w:marBottom w:val="0"/>
          <w:divBdr>
            <w:top w:val="none" w:sz="0" w:space="0" w:color="auto"/>
            <w:left w:val="none" w:sz="0" w:space="0" w:color="auto"/>
            <w:bottom w:val="none" w:sz="0" w:space="0" w:color="auto"/>
            <w:right w:val="none" w:sz="0" w:space="0" w:color="auto"/>
          </w:divBdr>
        </w:div>
        <w:div w:id="193273035">
          <w:marLeft w:val="0"/>
          <w:marRight w:val="0"/>
          <w:marTop w:val="0"/>
          <w:marBottom w:val="0"/>
          <w:divBdr>
            <w:top w:val="none" w:sz="0" w:space="0" w:color="auto"/>
            <w:left w:val="none" w:sz="0" w:space="0" w:color="auto"/>
            <w:bottom w:val="none" w:sz="0" w:space="0" w:color="auto"/>
            <w:right w:val="none" w:sz="0" w:space="0" w:color="auto"/>
          </w:divBdr>
        </w:div>
        <w:div w:id="194386202">
          <w:marLeft w:val="0"/>
          <w:marRight w:val="0"/>
          <w:marTop w:val="0"/>
          <w:marBottom w:val="0"/>
          <w:divBdr>
            <w:top w:val="none" w:sz="0" w:space="0" w:color="auto"/>
            <w:left w:val="none" w:sz="0" w:space="0" w:color="auto"/>
            <w:bottom w:val="none" w:sz="0" w:space="0" w:color="auto"/>
            <w:right w:val="none" w:sz="0" w:space="0" w:color="auto"/>
          </w:divBdr>
        </w:div>
        <w:div w:id="197470938">
          <w:marLeft w:val="0"/>
          <w:marRight w:val="0"/>
          <w:marTop w:val="0"/>
          <w:marBottom w:val="0"/>
          <w:divBdr>
            <w:top w:val="none" w:sz="0" w:space="0" w:color="auto"/>
            <w:left w:val="none" w:sz="0" w:space="0" w:color="auto"/>
            <w:bottom w:val="none" w:sz="0" w:space="0" w:color="auto"/>
            <w:right w:val="none" w:sz="0" w:space="0" w:color="auto"/>
          </w:divBdr>
        </w:div>
        <w:div w:id="205678700">
          <w:marLeft w:val="0"/>
          <w:marRight w:val="0"/>
          <w:marTop w:val="0"/>
          <w:marBottom w:val="0"/>
          <w:divBdr>
            <w:top w:val="none" w:sz="0" w:space="0" w:color="auto"/>
            <w:left w:val="none" w:sz="0" w:space="0" w:color="auto"/>
            <w:bottom w:val="none" w:sz="0" w:space="0" w:color="auto"/>
            <w:right w:val="none" w:sz="0" w:space="0" w:color="auto"/>
          </w:divBdr>
        </w:div>
        <w:div w:id="211894675">
          <w:marLeft w:val="0"/>
          <w:marRight w:val="0"/>
          <w:marTop w:val="0"/>
          <w:marBottom w:val="0"/>
          <w:divBdr>
            <w:top w:val="none" w:sz="0" w:space="0" w:color="auto"/>
            <w:left w:val="none" w:sz="0" w:space="0" w:color="auto"/>
            <w:bottom w:val="none" w:sz="0" w:space="0" w:color="auto"/>
            <w:right w:val="none" w:sz="0" w:space="0" w:color="auto"/>
          </w:divBdr>
        </w:div>
        <w:div w:id="219874403">
          <w:marLeft w:val="0"/>
          <w:marRight w:val="0"/>
          <w:marTop w:val="0"/>
          <w:marBottom w:val="0"/>
          <w:divBdr>
            <w:top w:val="none" w:sz="0" w:space="0" w:color="auto"/>
            <w:left w:val="none" w:sz="0" w:space="0" w:color="auto"/>
            <w:bottom w:val="none" w:sz="0" w:space="0" w:color="auto"/>
            <w:right w:val="none" w:sz="0" w:space="0" w:color="auto"/>
          </w:divBdr>
        </w:div>
        <w:div w:id="228078298">
          <w:marLeft w:val="0"/>
          <w:marRight w:val="0"/>
          <w:marTop w:val="0"/>
          <w:marBottom w:val="0"/>
          <w:divBdr>
            <w:top w:val="none" w:sz="0" w:space="0" w:color="auto"/>
            <w:left w:val="none" w:sz="0" w:space="0" w:color="auto"/>
            <w:bottom w:val="none" w:sz="0" w:space="0" w:color="auto"/>
            <w:right w:val="none" w:sz="0" w:space="0" w:color="auto"/>
          </w:divBdr>
        </w:div>
        <w:div w:id="231894469">
          <w:marLeft w:val="0"/>
          <w:marRight w:val="0"/>
          <w:marTop w:val="0"/>
          <w:marBottom w:val="0"/>
          <w:divBdr>
            <w:top w:val="none" w:sz="0" w:space="0" w:color="auto"/>
            <w:left w:val="none" w:sz="0" w:space="0" w:color="auto"/>
            <w:bottom w:val="none" w:sz="0" w:space="0" w:color="auto"/>
            <w:right w:val="none" w:sz="0" w:space="0" w:color="auto"/>
          </w:divBdr>
        </w:div>
        <w:div w:id="259141558">
          <w:marLeft w:val="0"/>
          <w:marRight w:val="0"/>
          <w:marTop w:val="0"/>
          <w:marBottom w:val="0"/>
          <w:divBdr>
            <w:top w:val="none" w:sz="0" w:space="0" w:color="auto"/>
            <w:left w:val="none" w:sz="0" w:space="0" w:color="auto"/>
            <w:bottom w:val="none" w:sz="0" w:space="0" w:color="auto"/>
            <w:right w:val="none" w:sz="0" w:space="0" w:color="auto"/>
          </w:divBdr>
        </w:div>
        <w:div w:id="386683071">
          <w:marLeft w:val="0"/>
          <w:marRight w:val="0"/>
          <w:marTop w:val="0"/>
          <w:marBottom w:val="0"/>
          <w:divBdr>
            <w:top w:val="none" w:sz="0" w:space="0" w:color="auto"/>
            <w:left w:val="none" w:sz="0" w:space="0" w:color="auto"/>
            <w:bottom w:val="none" w:sz="0" w:space="0" w:color="auto"/>
            <w:right w:val="none" w:sz="0" w:space="0" w:color="auto"/>
          </w:divBdr>
        </w:div>
        <w:div w:id="430004859">
          <w:marLeft w:val="0"/>
          <w:marRight w:val="0"/>
          <w:marTop w:val="0"/>
          <w:marBottom w:val="0"/>
          <w:divBdr>
            <w:top w:val="none" w:sz="0" w:space="0" w:color="auto"/>
            <w:left w:val="none" w:sz="0" w:space="0" w:color="auto"/>
            <w:bottom w:val="none" w:sz="0" w:space="0" w:color="auto"/>
            <w:right w:val="none" w:sz="0" w:space="0" w:color="auto"/>
          </w:divBdr>
        </w:div>
        <w:div w:id="450365667">
          <w:marLeft w:val="0"/>
          <w:marRight w:val="0"/>
          <w:marTop w:val="0"/>
          <w:marBottom w:val="0"/>
          <w:divBdr>
            <w:top w:val="none" w:sz="0" w:space="0" w:color="auto"/>
            <w:left w:val="none" w:sz="0" w:space="0" w:color="auto"/>
            <w:bottom w:val="none" w:sz="0" w:space="0" w:color="auto"/>
            <w:right w:val="none" w:sz="0" w:space="0" w:color="auto"/>
          </w:divBdr>
        </w:div>
        <w:div w:id="463930241">
          <w:marLeft w:val="0"/>
          <w:marRight w:val="0"/>
          <w:marTop w:val="0"/>
          <w:marBottom w:val="0"/>
          <w:divBdr>
            <w:top w:val="none" w:sz="0" w:space="0" w:color="auto"/>
            <w:left w:val="none" w:sz="0" w:space="0" w:color="auto"/>
            <w:bottom w:val="none" w:sz="0" w:space="0" w:color="auto"/>
            <w:right w:val="none" w:sz="0" w:space="0" w:color="auto"/>
          </w:divBdr>
        </w:div>
        <w:div w:id="488520820">
          <w:marLeft w:val="0"/>
          <w:marRight w:val="0"/>
          <w:marTop w:val="0"/>
          <w:marBottom w:val="0"/>
          <w:divBdr>
            <w:top w:val="none" w:sz="0" w:space="0" w:color="auto"/>
            <w:left w:val="none" w:sz="0" w:space="0" w:color="auto"/>
            <w:bottom w:val="none" w:sz="0" w:space="0" w:color="auto"/>
            <w:right w:val="none" w:sz="0" w:space="0" w:color="auto"/>
          </w:divBdr>
        </w:div>
        <w:div w:id="502671156">
          <w:marLeft w:val="0"/>
          <w:marRight w:val="0"/>
          <w:marTop w:val="0"/>
          <w:marBottom w:val="0"/>
          <w:divBdr>
            <w:top w:val="none" w:sz="0" w:space="0" w:color="auto"/>
            <w:left w:val="none" w:sz="0" w:space="0" w:color="auto"/>
            <w:bottom w:val="none" w:sz="0" w:space="0" w:color="auto"/>
            <w:right w:val="none" w:sz="0" w:space="0" w:color="auto"/>
          </w:divBdr>
        </w:div>
        <w:div w:id="516893434">
          <w:marLeft w:val="0"/>
          <w:marRight w:val="0"/>
          <w:marTop w:val="0"/>
          <w:marBottom w:val="0"/>
          <w:divBdr>
            <w:top w:val="none" w:sz="0" w:space="0" w:color="auto"/>
            <w:left w:val="none" w:sz="0" w:space="0" w:color="auto"/>
            <w:bottom w:val="none" w:sz="0" w:space="0" w:color="auto"/>
            <w:right w:val="none" w:sz="0" w:space="0" w:color="auto"/>
          </w:divBdr>
        </w:div>
        <w:div w:id="537739695">
          <w:marLeft w:val="0"/>
          <w:marRight w:val="0"/>
          <w:marTop w:val="0"/>
          <w:marBottom w:val="0"/>
          <w:divBdr>
            <w:top w:val="none" w:sz="0" w:space="0" w:color="auto"/>
            <w:left w:val="none" w:sz="0" w:space="0" w:color="auto"/>
            <w:bottom w:val="none" w:sz="0" w:space="0" w:color="auto"/>
            <w:right w:val="none" w:sz="0" w:space="0" w:color="auto"/>
          </w:divBdr>
        </w:div>
        <w:div w:id="546530532">
          <w:marLeft w:val="0"/>
          <w:marRight w:val="0"/>
          <w:marTop w:val="0"/>
          <w:marBottom w:val="0"/>
          <w:divBdr>
            <w:top w:val="none" w:sz="0" w:space="0" w:color="auto"/>
            <w:left w:val="none" w:sz="0" w:space="0" w:color="auto"/>
            <w:bottom w:val="none" w:sz="0" w:space="0" w:color="auto"/>
            <w:right w:val="none" w:sz="0" w:space="0" w:color="auto"/>
          </w:divBdr>
        </w:div>
        <w:div w:id="553275774">
          <w:marLeft w:val="0"/>
          <w:marRight w:val="0"/>
          <w:marTop w:val="0"/>
          <w:marBottom w:val="0"/>
          <w:divBdr>
            <w:top w:val="none" w:sz="0" w:space="0" w:color="auto"/>
            <w:left w:val="none" w:sz="0" w:space="0" w:color="auto"/>
            <w:bottom w:val="none" w:sz="0" w:space="0" w:color="auto"/>
            <w:right w:val="none" w:sz="0" w:space="0" w:color="auto"/>
          </w:divBdr>
        </w:div>
        <w:div w:id="571546097">
          <w:marLeft w:val="0"/>
          <w:marRight w:val="0"/>
          <w:marTop w:val="0"/>
          <w:marBottom w:val="0"/>
          <w:divBdr>
            <w:top w:val="none" w:sz="0" w:space="0" w:color="auto"/>
            <w:left w:val="none" w:sz="0" w:space="0" w:color="auto"/>
            <w:bottom w:val="none" w:sz="0" w:space="0" w:color="auto"/>
            <w:right w:val="none" w:sz="0" w:space="0" w:color="auto"/>
          </w:divBdr>
        </w:div>
        <w:div w:id="584612860">
          <w:marLeft w:val="0"/>
          <w:marRight w:val="0"/>
          <w:marTop w:val="0"/>
          <w:marBottom w:val="0"/>
          <w:divBdr>
            <w:top w:val="none" w:sz="0" w:space="0" w:color="auto"/>
            <w:left w:val="none" w:sz="0" w:space="0" w:color="auto"/>
            <w:bottom w:val="none" w:sz="0" w:space="0" w:color="auto"/>
            <w:right w:val="none" w:sz="0" w:space="0" w:color="auto"/>
          </w:divBdr>
        </w:div>
        <w:div w:id="606236033">
          <w:marLeft w:val="0"/>
          <w:marRight w:val="0"/>
          <w:marTop w:val="0"/>
          <w:marBottom w:val="0"/>
          <w:divBdr>
            <w:top w:val="none" w:sz="0" w:space="0" w:color="auto"/>
            <w:left w:val="none" w:sz="0" w:space="0" w:color="auto"/>
            <w:bottom w:val="none" w:sz="0" w:space="0" w:color="auto"/>
            <w:right w:val="none" w:sz="0" w:space="0" w:color="auto"/>
          </w:divBdr>
        </w:div>
        <w:div w:id="642005122">
          <w:marLeft w:val="0"/>
          <w:marRight w:val="0"/>
          <w:marTop w:val="0"/>
          <w:marBottom w:val="0"/>
          <w:divBdr>
            <w:top w:val="none" w:sz="0" w:space="0" w:color="auto"/>
            <w:left w:val="none" w:sz="0" w:space="0" w:color="auto"/>
            <w:bottom w:val="none" w:sz="0" w:space="0" w:color="auto"/>
            <w:right w:val="none" w:sz="0" w:space="0" w:color="auto"/>
          </w:divBdr>
        </w:div>
        <w:div w:id="666713984">
          <w:marLeft w:val="0"/>
          <w:marRight w:val="0"/>
          <w:marTop w:val="0"/>
          <w:marBottom w:val="0"/>
          <w:divBdr>
            <w:top w:val="none" w:sz="0" w:space="0" w:color="auto"/>
            <w:left w:val="none" w:sz="0" w:space="0" w:color="auto"/>
            <w:bottom w:val="none" w:sz="0" w:space="0" w:color="auto"/>
            <w:right w:val="none" w:sz="0" w:space="0" w:color="auto"/>
          </w:divBdr>
        </w:div>
        <w:div w:id="728651787">
          <w:marLeft w:val="0"/>
          <w:marRight w:val="0"/>
          <w:marTop w:val="0"/>
          <w:marBottom w:val="0"/>
          <w:divBdr>
            <w:top w:val="none" w:sz="0" w:space="0" w:color="auto"/>
            <w:left w:val="none" w:sz="0" w:space="0" w:color="auto"/>
            <w:bottom w:val="none" w:sz="0" w:space="0" w:color="auto"/>
            <w:right w:val="none" w:sz="0" w:space="0" w:color="auto"/>
          </w:divBdr>
        </w:div>
        <w:div w:id="756945139">
          <w:marLeft w:val="0"/>
          <w:marRight w:val="0"/>
          <w:marTop w:val="0"/>
          <w:marBottom w:val="0"/>
          <w:divBdr>
            <w:top w:val="none" w:sz="0" w:space="0" w:color="auto"/>
            <w:left w:val="none" w:sz="0" w:space="0" w:color="auto"/>
            <w:bottom w:val="none" w:sz="0" w:space="0" w:color="auto"/>
            <w:right w:val="none" w:sz="0" w:space="0" w:color="auto"/>
          </w:divBdr>
        </w:div>
        <w:div w:id="779103554">
          <w:marLeft w:val="0"/>
          <w:marRight w:val="0"/>
          <w:marTop w:val="0"/>
          <w:marBottom w:val="0"/>
          <w:divBdr>
            <w:top w:val="none" w:sz="0" w:space="0" w:color="auto"/>
            <w:left w:val="none" w:sz="0" w:space="0" w:color="auto"/>
            <w:bottom w:val="none" w:sz="0" w:space="0" w:color="auto"/>
            <w:right w:val="none" w:sz="0" w:space="0" w:color="auto"/>
          </w:divBdr>
        </w:div>
        <w:div w:id="793789749">
          <w:marLeft w:val="0"/>
          <w:marRight w:val="0"/>
          <w:marTop w:val="0"/>
          <w:marBottom w:val="0"/>
          <w:divBdr>
            <w:top w:val="none" w:sz="0" w:space="0" w:color="auto"/>
            <w:left w:val="none" w:sz="0" w:space="0" w:color="auto"/>
            <w:bottom w:val="none" w:sz="0" w:space="0" w:color="auto"/>
            <w:right w:val="none" w:sz="0" w:space="0" w:color="auto"/>
          </w:divBdr>
        </w:div>
        <w:div w:id="830604586">
          <w:marLeft w:val="0"/>
          <w:marRight w:val="0"/>
          <w:marTop w:val="0"/>
          <w:marBottom w:val="0"/>
          <w:divBdr>
            <w:top w:val="none" w:sz="0" w:space="0" w:color="auto"/>
            <w:left w:val="none" w:sz="0" w:space="0" w:color="auto"/>
            <w:bottom w:val="none" w:sz="0" w:space="0" w:color="auto"/>
            <w:right w:val="none" w:sz="0" w:space="0" w:color="auto"/>
          </w:divBdr>
        </w:div>
        <w:div w:id="844174694">
          <w:marLeft w:val="0"/>
          <w:marRight w:val="0"/>
          <w:marTop w:val="0"/>
          <w:marBottom w:val="0"/>
          <w:divBdr>
            <w:top w:val="none" w:sz="0" w:space="0" w:color="auto"/>
            <w:left w:val="none" w:sz="0" w:space="0" w:color="auto"/>
            <w:bottom w:val="none" w:sz="0" w:space="0" w:color="auto"/>
            <w:right w:val="none" w:sz="0" w:space="0" w:color="auto"/>
          </w:divBdr>
        </w:div>
        <w:div w:id="851723601">
          <w:marLeft w:val="0"/>
          <w:marRight w:val="0"/>
          <w:marTop w:val="0"/>
          <w:marBottom w:val="0"/>
          <w:divBdr>
            <w:top w:val="none" w:sz="0" w:space="0" w:color="auto"/>
            <w:left w:val="none" w:sz="0" w:space="0" w:color="auto"/>
            <w:bottom w:val="none" w:sz="0" w:space="0" w:color="auto"/>
            <w:right w:val="none" w:sz="0" w:space="0" w:color="auto"/>
          </w:divBdr>
        </w:div>
        <w:div w:id="864828990">
          <w:marLeft w:val="0"/>
          <w:marRight w:val="0"/>
          <w:marTop w:val="0"/>
          <w:marBottom w:val="0"/>
          <w:divBdr>
            <w:top w:val="none" w:sz="0" w:space="0" w:color="auto"/>
            <w:left w:val="none" w:sz="0" w:space="0" w:color="auto"/>
            <w:bottom w:val="none" w:sz="0" w:space="0" w:color="auto"/>
            <w:right w:val="none" w:sz="0" w:space="0" w:color="auto"/>
          </w:divBdr>
        </w:div>
        <w:div w:id="868103422">
          <w:marLeft w:val="0"/>
          <w:marRight w:val="0"/>
          <w:marTop w:val="0"/>
          <w:marBottom w:val="0"/>
          <w:divBdr>
            <w:top w:val="none" w:sz="0" w:space="0" w:color="auto"/>
            <w:left w:val="none" w:sz="0" w:space="0" w:color="auto"/>
            <w:bottom w:val="none" w:sz="0" w:space="0" w:color="auto"/>
            <w:right w:val="none" w:sz="0" w:space="0" w:color="auto"/>
          </w:divBdr>
        </w:div>
        <w:div w:id="898436972">
          <w:marLeft w:val="0"/>
          <w:marRight w:val="0"/>
          <w:marTop w:val="0"/>
          <w:marBottom w:val="0"/>
          <w:divBdr>
            <w:top w:val="none" w:sz="0" w:space="0" w:color="auto"/>
            <w:left w:val="none" w:sz="0" w:space="0" w:color="auto"/>
            <w:bottom w:val="none" w:sz="0" w:space="0" w:color="auto"/>
            <w:right w:val="none" w:sz="0" w:space="0" w:color="auto"/>
          </w:divBdr>
        </w:div>
        <w:div w:id="930165429">
          <w:marLeft w:val="0"/>
          <w:marRight w:val="0"/>
          <w:marTop w:val="0"/>
          <w:marBottom w:val="0"/>
          <w:divBdr>
            <w:top w:val="none" w:sz="0" w:space="0" w:color="auto"/>
            <w:left w:val="none" w:sz="0" w:space="0" w:color="auto"/>
            <w:bottom w:val="none" w:sz="0" w:space="0" w:color="auto"/>
            <w:right w:val="none" w:sz="0" w:space="0" w:color="auto"/>
          </w:divBdr>
        </w:div>
        <w:div w:id="932125052">
          <w:marLeft w:val="0"/>
          <w:marRight w:val="0"/>
          <w:marTop w:val="0"/>
          <w:marBottom w:val="0"/>
          <w:divBdr>
            <w:top w:val="none" w:sz="0" w:space="0" w:color="auto"/>
            <w:left w:val="none" w:sz="0" w:space="0" w:color="auto"/>
            <w:bottom w:val="none" w:sz="0" w:space="0" w:color="auto"/>
            <w:right w:val="none" w:sz="0" w:space="0" w:color="auto"/>
          </w:divBdr>
        </w:div>
        <w:div w:id="936793501">
          <w:marLeft w:val="0"/>
          <w:marRight w:val="0"/>
          <w:marTop w:val="0"/>
          <w:marBottom w:val="0"/>
          <w:divBdr>
            <w:top w:val="none" w:sz="0" w:space="0" w:color="auto"/>
            <w:left w:val="none" w:sz="0" w:space="0" w:color="auto"/>
            <w:bottom w:val="none" w:sz="0" w:space="0" w:color="auto"/>
            <w:right w:val="none" w:sz="0" w:space="0" w:color="auto"/>
          </w:divBdr>
        </w:div>
        <w:div w:id="955525007">
          <w:marLeft w:val="0"/>
          <w:marRight w:val="0"/>
          <w:marTop w:val="0"/>
          <w:marBottom w:val="0"/>
          <w:divBdr>
            <w:top w:val="none" w:sz="0" w:space="0" w:color="auto"/>
            <w:left w:val="none" w:sz="0" w:space="0" w:color="auto"/>
            <w:bottom w:val="none" w:sz="0" w:space="0" w:color="auto"/>
            <w:right w:val="none" w:sz="0" w:space="0" w:color="auto"/>
          </w:divBdr>
        </w:div>
        <w:div w:id="1003437012">
          <w:marLeft w:val="0"/>
          <w:marRight w:val="0"/>
          <w:marTop w:val="0"/>
          <w:marBottom w:val="0"/>
          <w:divBdr>
            <w:top w:val="none" w:sz="0" w:space="0" w:color="auto"/>
            <w:left w:val="none" w:sz="0" w:space="0" w:color="auto"/>
            <w:bottom w:val="none" w:sz="0" w:space="0" w:color="auto"/>
            <w:right w:val="none" w:sz="0" w:space="0" w:color="auto"/>
          </w:divBdr>
        </w:div>
        <w:div w:id="1030297333">
          <w:marLeft w:val="0"/>
          <w:marRight w:val="0"/>
          <w:marTop w:val="0"/>
          <w:marBottom w:val="0"/>
          <w:divBdr>
            <w:top w:val="none" w:sz="0" w:space="0" w:color="auto"/>
            <w:left w:val="none" w:sz="0" w:space="0" w:color="auto"/>
            <w:bottom w:val="none" w:sz="0" w:space="0" w:color="auto"/>
            <w:right w:val="none" w:sz="0" w:space="0" w:color="auto"/>
          </w:divBdr>
        </w:div>
        <w:div w:id="1048383662">
          <w:marLeft w:val="0"/>
          <w:marRight w:val="0"/>
          <w:marTop w:val="0"/>
          <w:marBottom w:val="0"/>
          <w:divBdr>
            <w:top w:val="none" w:sz="0" w:space="0" w:color="auto"/>
            <w:left w:val="none" w:sz="0" w:space="0" w:color="auto"/>
            <w:bottom w:val="none" w:sz="0" w:space="0" w:color="auto"/>
            <w:right w:val="none" w:sz="0" w:space="0" w:color="auto"/>
          </w:divBdr>
        </w:div>
        <w:div w:id="1062020952">
          <w:marLeft w:val="0"/>
          <w:marRight w:val="0"/>
          <w:marTop w:val="0"/>
          <w:marBottom w:val="0"/>
          <w:divBdr>
            <w:top w:val="none" w:sz="0" w:space="0" w:color="auto"/>
            <w:left w:val="none" w:sz="0" w:space="0" w:color="auto"/>
            <w:bottom w:val="none" w:sz="0" w:space="0" w:color="auto"/>
            <w:right w:val="none" w:sz="0" w:space="0" w:color="auto"/>
          </w:divBdr>
        </w:div>
        <w:div w:id="1079672042">
          <w:marLeft w:val="0"/>
          <w:marRight w:val="0"/>
          <w:marTop w:val="0"/>
          <w:marBottom w:val="0"/>
          <w:divBdr>
            <w:top w:val="none" w:sz="0" w:space="0" w:color="auto"/>
            <w:left w:val="none" w:sz="0" w:space="0" w:color="auto"/>
            <w:bottom w:val="none" w:sz="0" w:space="0" w:color="auto"/>
            <w:right w:val="none" w:sz="0" w:space="0" w:color="auto"/>
          </w:divBdr>
        </w:div>
        <w:div w:id="1082144393">
          <w:marLeft w:val="0"/>
          <w:marRight w:val="0"/>
          <w:marTop w:val="0"/>
          <w:marBottom w:val="0"/>
          <w:divBdr>
            <w:top w:val="none" w:sz="0" w:space="0" w:color="auto"/>
            <w:left w:val="none" w:sz="0" w:space="0" w:color="auto"/>
            <w:bottom w:val="none" w:sz="0" w:space="0" w:color="auto"/>
            <w:right w:val="none" w:sz="0" w:space="0" w:color="auto"/>
          </w:divBdr>
        </w:div>
        <w:div w:id="1083602749">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1099988503">
          <w:marLeft w:val="0"/>
          <w:marRight w:val="0"/>
          <w:marTop w:val="0"/>
          <w:marBottom w:val="0"/>
          <w:divBdr>
            <w:top w:val="none" w:sz="0" w:space="0" w:color="auto"/>
            <w:left w:val="none" w:sz="0" w:space="0" w:color="auto"/>
            <w:bottom w:val="none" w:sz="0" w:space="0" w:color="auto"/>
            <w:right w:val="none" w:sz="0" w:space="0" w:color="auto"/>
          </w:divBdr>
        </w:div>
        <w:div w:id="1173759475">
          <w:marLeft w:val="0"/>
          <w:marRight w:val="0"/>
          <w:marTop w:val="0"/>
          <w:marBottom w:val="0"/>
          <w:divBdr>
            <w:top w:val="none" w:sz="0" w:space="0" w:color="auto"/>
            <w:left w:val="none" w:sz="0" w:space="0" w:color="auto"/>
            <w:bottom w:val="none" w:sz="0" w:space="0" w:color="auto"/>
            <w:right w:val="none" w:sz="0" w:space="0" w:color="auto"/>
          </w:divBdr>
        </w:div>
        <w:div w:id="1191068508">
          <w:marLeft w:val="0"/>
          <w:marRight w:val="0"/>
          <w:marTop w:val="0"/>
          <w:marBottom w:val="0"/>
          <w:divBdr>
            <w:top w:val="none" w:sz="0" w:space="0" w:color="auto"/>
            <w:left w:val="none" w:sz="0" w:space="0" w:color="auto"/>
            <w:bottom w:val="none" w:sz="0" w:space="0" w:color="auto"/>
            <w:right w:val="none" w:sz="0" w:space="0" w:color="auto"/>
          </w:divBdr>
        </w:div>
        <w:div w:id="1195651044">
          <w:marLeft w:val="0"/>
          <w:marRight w:val="0"/>
          <w:marTop w:val="0"/>
          <w:marBottom w:val="0"/>
          <w:divBdr>
            <w:top w:val="none" w:sz="0" w:space="0" w:color="auto"/>
            <w:left w:val="none" w:sz="0" w:space="0" w:color="auto"/>
            <w:bottom w:val="none" w:sz="0" w:space="0" w:color="auto"/>
            <w:right w:val="none" w:sz="0" w:space="0" w:color="auto"/>
          </w:divBdr>
        </w:div>
        <w:div w:id="1215003211">
          <w:marLeft w:val="0"/>
          <w:marRight w:val="0"/>
          <w:marTop w:val="0"/>
          <w:marBottom w:val="0"/>
          <w:divBdr>
            <w:top w:val="none" w:sz="0" w:space="0" w:color="auto"/>
            <w:left w:val="none" w:sz="0" w:space="0" w:color="auto"/>
            <w:bottom w:val="none" w:sz="0" w:space="0" w:color="auto"/>
            <w:right w:val="none" w:sz="0" w:space="0" w:color="auto"/>
          </w:divBdr>
        </w:div>
        <w:div w:id="1242452340">
          <w:marLeft w:val="0"/>
          <w:marRight w:val="0"/>
          <w:marTop w:val="0"/>
          <w:marBottom w:val="0"/>
          <w:divBdr>
            <w:top w:val="none" w:sz="0" w:space="0" w:color="auto"/>
            <w:left w:val="none" w:sz="0" w:space="0" w:color="auto"/>
            <w:bottom w:val="none" w:sz="0" w:space="0" w:color="auto"/>
            <w:right w:val="none" w:sz="0" w:space="0" w:color="auto"/>
          </w:divBdr>
        </w:div>
        <w:div w:id="1248030967">
          <w:marLeft w:val="0"/>
          <w:marRight w:val="0"/>
          <w:marTop w:val="0"/>
          <w:marBottom w:val="0"/>
          <w:divBdr>
            <w:top w:val="none" w:sz="0" w:space="0" w:color="auto"/>
            <w:left w:val="none" w:sz="0" w:space="0" w:color="auto"/>
            <w:bottom w:val="none" w:sz="0" w:space="0" w:color="auto"/>
            <w:right w:val="none" w:sz="0" w:space="0" w:color="auto"/>
          </w:divBdr>
        </w:div>
        <w:div w:id="1311329831">
          <w:marLeft w:val="0"/>
          <w:marRight w:val="0"/>
          <w:marTop w:val="0"/>
          <w:marBottom w:val="0"/>
          <w:divBdr>
            <w:top w:val="none" w:sz="0" w:space="0" w:color="auto"/>
            <w:left w:val="none" w:sz="0" w:space="0" w:color="auto"/>
            <w:bottom w:val="none" w:sz="0" w:space="0" w:color="auto"/>
            <w:right w:val="none" w:sz="0" w:space="0" w:color="auto"/>
          </w:divBdr>
        </w:div>
        <w:div w:id="1320888976">
          <w:marLeft w:val="0"/>
          <w:marRight w:val="0"/>
          <w:marTop w:val="0"/>
          <w:marBottom w:val="0"/>
          <w:divBdr>
            <w:top w:val="none" w:sz="0" w:space="0" w:color="auto"/>
            <w:left w:val="none" w:sz="0" w:space="0" w:color="auto"/>
            <w:bottom w:val="none" w:sz="0" w:space="0" w:color="auto"/>
            <w:right w:val="none" w:sz="0" w:space="0" w:color="auto"/>
          </w:divBdr>
        </w:div>
        <w:div w:id="1339767103">
          <w:marLeft w:val="0"/>
          <w:marRight w:val="0"/>
          <w:marTop w:val="0"/>
          <w:marBottom w:val="0"/>
          <w:divBdr>
            <w:top w:val="none" w:sz="0" w:space="0" w:color="auto"/>
            <w:left w:val="none" w:sz="0" w:space="0" w:color="auto"/>
            <w:bottom w:val="none" w:sz="0" w:space="0" w:color="auto"/>
            <w:right w:val="none" w:sz="0" w:space="0" w:color="auto"/>
          </w:divBdr>
        </w:div>
        <w:div w:id="1346010460">
          <w:marLeft w:val="0"/>
          <w:marRight w:val="0"/>
          <w:marTop w:val="0"/>
          <w:marBottom w:val="0"/>
          <w:divBdr>
            <w:top w:val="none" w:sz="0" w:space="0" w:color="auto"/>
            <w:left w:val="none" w:sz="0" w:space="0" w:color="auto"/>
            <w:bottom w:val="none" w:sz="0" w:space="0" w:color="auto"/>
            <w:right w:val="none" w:sz="0" w:space="0" w:color="auto"/>
          </w:divBdr>
        </w:div>
        <w:div w:id="1361970979">
          <w:marLeft w:val="0"/>
          <w:marRight w:val="0"/>
          <w:marTop w:val="0"/>
          <w:marBottom w:val="0"/>
          <w:divBdr>
            <w:top w:val="none" w:sz="0" w:space="0" w:color="auto"/>
            <w:left w:val="none" w:sz="0" w:space="0" w:color="auto"/>
            <w:bottom w:val="none" w:sz="0" w:space="0" w:color="auto"/>
            <w:right w:val="none" w:sz="0" w:space="0" w:color="auto"/>
          </w:divBdr>
        </w:div>
        <w:div w:id="1383679070">
          <w:marLeft w:val="0"/>
          <w:marRight w:val="0"/>
          <w:marTop w:val="0"/>
          <w:marBottom w:val="0"/>
          <w:divBdr>
            <w:top w:val="none" w:sz="0" w:space="0" w:color="auto"/>
            <w:left w:val="none" w:sz="0" w:space="0" w:color="auto"/>
            <w:bottom w:val="none" w:sz="0" w:space="0" w:color="auto"/>
            <w:right w:val="none" w:sz="0" w:space="0" w:color="auto"/>
          </w:divBdr>
        </w:div>
        <w:div w:id="1385369181">
          <w:marLeft w:val="0"/>
          <w:marRight w:val="0"/>
          <w:marTop w:val="0"/>
          <w:marBottom w:val="0"/>
          <w:divBdr>
            <w:top w:val="none" w:sz="0" w:space="0" w:color="auto"/>
            <w:left w:val="none" w:sz="0" w:space="0" w:color="auto"/>
            <w:bottom w:val="none" w:sz="0" w:space="0" w:color="auto"/>
            <w:right w:val="none" w:sz="0" w:space="0" w:color="auto"/>
          </w:divBdr>
        </w:div>
        <w:div w:id="1389110796">
          <w:marLeft w:val="0"/>
          <w:marRight w:val="0"/>
          <w:marTop w:val="0"/>
          <w:marBottom w:val="0"/>
          <w:divBdr>
            <w:top w:val="none" w:sz="0" w:space="0" w:color="auto"/>
            <w:left w:val="none" w:sz="0" w:space="0" w:color="auto"/>
            <w:bottom w:val="none" w:sz="0" w:space="0" w:color="auto"/>
            <w:right w:val="none" w:sz="0" w:space="0" w:color="auto"/>
          </w:divBdr>
        </w:div>
        <w:div w:id="1410037468">
          <w:marLeft w:val="0"/>
          <w:marRight w:val="0"/>
          <w:marTop w:val="0"/>
          <w:marBottom w:val="0"/>
          <w:divBdr>
            <w:top w:val="none" w:sz="0" w:space="0" w:color="auto"/>
            <w:left w:val="none" w:sz="0" w:space="0" w:color="auto"/>
            <w:bottom w:val="none" w:sz="0" w:space="0" w:color="auto"/>
            <w:right w:val="none" w:sz="0" w:space="0" w:color="auto"/>
          </w:divBdr>
        </w:div>
        <w:div w:id="1430156986">
          <w:marLeft w:val="0"/>
          <w:marRight w:val="0"/>
          <w:marTop w:val="0"/>
          <w:marBottom w:val="0"/>
          <w:divBdr>
            <w:top w:val="none" w:sz="0" w:space="0" w:color="auto"/>
            <w:left w:val="none" w:sz="0" w:space="0" w:color="auto"/>
            <w:bottom w:val="none" w:sz="0" w:space="0" w:color="auto"/>
            <w:right w:val="none" w:sz="0" w:space="0" w:color="auto"/>
          </w:divBdr>
        </w:div>
        <w:div w:id="1442413537">
          <w:marLeft w:val="0"/>
          <w:marRight w:val="0"/>
          <w:marTop w:val="0"/>
          <w:marBottom w:val="0"/>
          <w:divBdr>
            <w:top w:val="none" w:sz="0" w:space="0" w:color="auto"/>
            <w:left w:val="none" w:sz="0" w:space="0" w:color="auto"/>
            <w:bottom w:val="none" w:sz="0" w:space="0" w:color="auto"/>
            <w:right w:val="none" w:sz="0" w:space="0" w:color="auto"/>
          </w:divBdr>
        </w:div>
        <w:div w:id="1477189230">
          <w:marLeft w:val="0"/>
          <w:marRight w:val="0"/>
          <w:marTop w:val="0"/>
          <w:marBottom w:val="0"/>
          <w:divBdr>
            <w:top w:val="none" w:sz="0" w:space="0" w:color="auto"/>
            <w:left w:val="none" w:sz="0" w:space="0" w:color="auto"/>
            <w:bottom w:val="none" w:sz="0" w:space="0" w:color="auto"/>
            <w:right w:val="none" w:sz="0" w:space="0" w:color="auto"/>
          </w:divBdr>
        </w:div>
        <w:div w:id="1479615768">
          <w:marLeft w:val="0"/>
          <w:marRight w:val="0"/>
          <w:marTop w:val="0"/>
          <w:marBottom w:val="0"/>
          <w:divBdr>
            <w:top w:val="none" w:sz="0" w:space="0" w:color="auto"/>
            <w:left w:val="none" w:sz="0" w:space="0" w:color="auto"/>
            <w:bottom w:val="none" w:sz="0" w:space="0" w:color="auto"/>
            <w:right w:val="none" w:sz="0" w:space="0" w:color="auto"/>
          </w:divBdr>
        </w:div>
        <w:div w:id="1482848496">
          <w:marLeft w:val="0"/>
          <w:marRight w:val="0"/>
          <w:marTop w:val="0"/>
          <w:marBottom w:val="0"/>
          <w:divBdr>
            <w:top w:val="none" w:sz="0" w:space="0" w:color="auto"/>
            <w:left w:val="none" w:sz="0" w:space="0" w:color="auto"/>
            <w:bottom w:val="none" w:sz="0" w:space="0" w:color="auto"/>
            <w:right w:val="none" w:sz="0" w:space="0" w:color="auto"/>
          </w:divBdr>
        </w:div>
        <w:div w:id="1484616306">
          <w:marLeft w:val="0"/>
          <w:marRight w:val="0"/>
          <w:marTop w:val="0"/>
          <w:marBottom w:val="0"/>
          <w:divBdr>
            <w:top w:val="none" w:sz="0" w:space="0" w:color="auto"/>
            <w:left w:val="none" w:sz="0" w:space="0" w:color="auto"/>
            <w:bottom w:val="none" w:sz="0" w:space="0" w:color="auto"/>
            <w:right w:val="none" w:sz="0" w:space="0" w:color="auto"/>
          </w:divBdr>
        </w:div>
        <w:div w:id="1501001817">
          <w:marLeft w:val="0"/>
          <w:marRight w:val="0"/>
          <w:marTop w:val="0"/>
          <w:marBottom w:val="0"/>
          <w:divBdr>
            <w:top w:val="none" w:sz="0" w:space="0" w:color="auto"/>
            <w:left w:val="none" w:sz="0" w:space="0" w:color="auto"/>
            <w:bottom w:val="none" w:sz="0" w:space="0" w:color="auto"/>
            <w:right w:val="none" w:sz="0" w:space="0" w:color="auto"/>
          </w:divBdr>
        </w:div>
        <w:div w:id="1508982245">
          <w:marLeft w:val="0"/>
          <w:marRight w:val="0"/>
          <w:marTop w:val="0"/>
          <w:marBottom w:val="0"/>
          <w:divBdr>
            <w:top w:val="none" w:sz="0" w:space="0" w:color="auto"/>
            <w:left w:val="none" w:sz="0" w:space="0" w:color="auto"/>
            <w:bottom w:val="none" w:sz="0" w:space="0" w:color="auto"/>
            <w:right w:val="none" w:sz="0" w:space="0" w:color="auto"/>
          </w:divBdr>
        </w:div>
        <w:div w:id="1530416122">
          <w:marLeft w:val="0"/>
          <w:marRight w:val="0"/>
          <w:marTop w:val="0"/>
          <w:marBottom w:val="0"/>
          <w:divBdr>
            <w:top w:val="none" w:sz="0" w:space="0" w:color="auto"/>
            <w:left w:val="none" w:sz="0" w:space="0" w:color="auto"/>
            <w:bottom w:val="none" w:sz="0" w:space="0" w:color="auto"/>
            <w:right w:val="none" w:sz="0" w:space="0" w:color="auto"/>
          </w:divBdr>
        </w:div>
        <w:div w:id="1531993307">
          <w:marLeft w:val="0"/>
          <w:marRight w:val="0"/>
          <w:marTop w:val="0"/>
          <w:marBottom w:val="0"/>
          <w:divBdr>
            <w:top w:val="none" w:sz="0" w:space="0" w:color="auto"/>
            <w:left w:val="none" w:sz="0" w:space="0" w:color="auto"/>
            <w:bottom w:val="none" w:sz="0" w:space="0" w:color="auto"/>
            <w:right w:val="none" w:sz="0" w:space="0" w:color="auto"/>
          </w:divBdr>
        </w:div>
        <w:div w:id="1535802289">
          <w:marLeft w:val="0"/>
          <w:marRight w:val="0"/>
          <w:marTop w:val="0"/>
          <w:marBottom w:val="0"/>
          <w:divBdr>
            <w:top w:val="none" w:sz="0" w:space="0" w:color="auto"/>
            <w:left w:val="none" w:sz="0" w:space="0" w:color="auto"/>
            <w:bottom w:val="none" w:sz="0" w:space="0" w:color="auto"/>
            <w:right w:val="none" w:sz="0" w:space="0" w:color="auto"/>
          </w:divBdr>
        </w:div>
        <w:div w:id="1586455934">
          <w:marLeft w:val="0"/>
          <w:marRight w:val="0"/>
          <w:marTop w:val="0"/>
          <w:marBottom w:val="0"/>
          <w:divBdr>
            <w:top w:val="none" w:sz="0" w:space="0" w:color="auto"/>
            <w:left w:val="none" w:sz="0" w:space="0" w:color="auto"/>
            <w:bottom w:val="none" w:sz="0" w:space="0" w:color="auto"/>
            <w:right w:val="none" w:sz="0" w:space="0" w:color="auto"/>
          </w:divBdr>
        </w:div>
        <w:div w:id="1595893121">
          <w:marLeft w:val="0"/>
          <w:marRight w:val="0"/>
          <w:marTop w:val="0"/>
          <w:marBottom w:val="0"/>
          <w:divBdr>
            <w:top w:val="none" w:sz="0" w:space="0" w:color="auto"/>
            <w:left w:val="none" w:sz="0" w:space="0" w:color="auto"/>
            <w:bottom w:val="none" w:sz="0" w:space="0" w:color="auto"/>
            <w:right w:val="none" w:sz="0" w:space="0" w:color="auto"/>
          </w:divBdr>
        </w:div>
        <w:div w:id="1600606299">
          <w:marLeft w:val="0"/>
          <w:marRight w:val="0"/>
          <w:marTop w:val="0"/>
          <w:marBottom w:val="0"/>
          <w:divBdr>
            <w:top w:val="none" w:sz="0" w:space="0" w:color="auto"/>
            <w:left w:val="none" w:sz="0" w:space="0" w:color="auto"/>
            <w:bottom w:val="none" w:sz="0" w:space="0" w:color="auto"/>
            <w:right w:val="none" w:sz="0" w:space="0" w:color="auto"/>
          </w:divBdr>
        </w:div>
        <w:div w:id="1601715198">
          <w:marLeft w:val="0"/>
          <w:marRight w:val="0"/>
          <w:marTop w:val="0"/>
          <w:marBottom w:val="0"/>
          <w:divBdr>
            <w:top w:val="none" w:sz="0" w:space="0" w:color="auto"/>
            <w:left w:val="none" w:sz="0" w:space="0" w:color="auto"/>
            <w:bottom w:val="none" w:sz="0" w:space="0" w:color="auto"/>
            <w:right w:val="none" w:sz="0" w:space="0" w:color="auto"/>
          </w:divBdr>
        </w:div>
        <w:div w:id="1605842567">
          <w:marLeft w:val="0"/>
          <w:marRight w:val="0"/>
          <w:marTop w:val="0"/>
          <w:marBottom w:val="0"/>
          <w:divBdr>
            <w:top w:val="none" w:sz="0" w:space="0" w:color="auto"/>
            <w:left w:val="none" w:sz="0" w:space="0" w:color="auto"/>
            <w:bottom w:val="none" w:sz="0" w:space="0" w:color="auto"/>
            <w:right w:val="none" w:sz="0" w:space="0" w:color="auto"/>
          </w:divBdr>
        </w:div>
        <w:div w:id="1606961829">
          <w:marLeft w:val="0"/>
          <w:marRight w:val="0"/>
          <w:marTop w:val="0"/>
          <w:marBottom w:val="0"/>
          <w:divBdr>
            <w:top w:val="none" w:sz="0" w:space="0" w:color="auto"/>
            <w:left w:val="none" w:sz="0" w:space="0" w:color="auto"/>
            <w:bottom w:val="none" w:sz="0" w:space="0" w:color="auto"/>
            <w:right w:val="none" w:sz="0" w:space="0" w:color="auto"/>
          </w:divBdr>
        </w:div>
        <w:div w:id="1634479152">
          <w:marLeft w:val="0"/>
          <w:marRight w:val="0"/>
          <w:marTop w:val="0"/>
          <w:marBottom w:val="0"/>
          <w:divBdr>
            <w:top w:val="none" w:sz="0" w:space="0" w:color="auto"/>
            <w:left w:val="none" w:sz="0" w:space="0" w:color="auto"/>
            <w:bottom w:val="none" w:sz="0" w:space="0" w:color="auto"/>
            <w:right w:val="none" w:sz="0" w:space="0" w:color="auto"/>
          </w:divBdr>
        </w:div>
        <w:div w:id="1685589978">
          <w:marLeft w:val="0"/>
          <w:marRight w:val="0"/>
          <w:marTop w:val="0"/>
          <w:marBottom w:val="0"/>
          <w:divBdr>
            <w:top w:val="none" w:sz="0" w:space="0" w:color="auto"/>
            <w:left w:val="none" w:sz="0" w:space="0" w:color="auto"/>
            <w:bottom w:val="none" w:sz="0" w:space="0" w:color="auto"/>
            <w:right w:val="none" w:sz="0" w:space="0" w:color="auto"/>
          </w:divBdr>
        </w:div>
        <w:div w:id="1689721513">
          <w:marLeft w:val="0"/>
          <w:marRight w:val="0"/>
          <w:marTop w:val="0"/>
          <w:marBottom w:val="0"/>
          <w:divBdr>
            <w:top w:val="none" w:sz="0" w:space="0" w:color="auto"/>
            <w:left w:val="none" w:sz="0" w:space="0" w:color="auto"/>
            <w:bottom w:val="none" w:sz="0" w:space="0" w:color="auto"/>
            <w:right w:val="none" w:sz="0" w:space="0" w:color="auto"/>
          </w:divBdr>
        </w:div>
        <w:div w:id="1697152475">
          <w:marLeft w:val="0"/>
          <w:marRight w:val="0"/>
          <w:marTop w:val="0"/>
          <w:marBottom w:val="0"/>
          <w:divBdr>
            <w:top w:val="none" w:sz="0" w:space="0" w:color="auto"/>
            <w:left w:val="none" w:sz="0" w:space="0" w:color="auto"/>
            <w:bottom w:val="none" w:sz="0" w:space="0" w:color="auto"/>
            <w:right w:val="none" w:sz="0" w:space="0" w:color="auto"/>
          </w:divBdr>
        </w:div>
        <w:div w:id="1704162031">
          <w:marLeft w:val="0"/>
          <w:marRight w:val="0"/>
          <w:marTop w:val="0"/>
          <w:marBottom w:val="0"/>
          <w:divBdr>
            <w:top w:val="none" w:sz="0" w:space="0" w:color="auto"/>
            <w:left w:val="none" w:sz="0" w:space="0" w:color="auto"/>
            <w:bottom w:val="none" w:sz="0" w:space="0" w:color="auto"/>
            <w:right w:val="none" w:sz="0" w:space="0" w:color="auto"/>
          </w:divBdr>
        </w:div>
        <w:div w:id="1732458394">
          <w:marLeft w:val="0"/>
          <w:marRight w:val="0"/>
          <w:marTop w:val="0"/>
          <w:marBottom w:val="0"/>
          <w:divBdr>
            <w:top w:val="none" w:sz="0" w:space="0" w:color="auto"/>
            <w:left w:val="none" w:sz="0" w:space="0" w:color="auto"/>
            <w:bottom w:val="none" w:sz="0" w:space="0" w:color="auto"/>
            <w:right w:val="none" w:sz="0" w:space="0" w:color="auto"/>
          </w:divBdr>
        </w:div>
        <w:div w:id="1797062898">
          <w:marLeft w:val="0"/>
          <w:marRight w:val="0"/>
          <w:marTop w:val="0"/>
          <w:marBottom w:val="0"/>
          <w:divBdr>
            <w:top w:val="none" w:sz="0" w:space="0" w:color="auto"/>
            <w:left w:val="none" w:sz="0" w:space="0" w:color="auto"/>
            <w:bottom w:val="none" w:sz="0" w:space="0" w:color="auto"/>
            <w:right w:val="none" w:sz="0" w:space="0" w:color="auto"/>
          </w:divBdr>
        </w:div>
        <w:div w:id="1806657358">
          <w:marLeft w:val="0"/>
          <w:marRight w:val="0"/>
          <w:marTop w:val="0"/>
          <w:marBottom w:val="0"/>
          <w:divBdr>
            <w:top w:val="none" w:sz="0" w:space="0" w:color="auto"/>
            <w:left w:val="none" w:sz="0" w:space="0" w:color="auto"/>
            <w:bottom w:val="none" w:sz="0" w:space="0" w:color="auto"/>
            <w:right w:val="none" w:sz="0" w:space="0" w:color="auto"/>
          </w:divBdr>
        </w:div>
        <w:div w:id="1811943695">
          <w:marLeft w:val="0"/>
          <w:marRight w:val="0"/>
          <w:marTop w:val="0"/>
          <w:marBottom w:val="0"/>
          <w:divBdr>
            <w:top w:val="none" w:sz="0" w:space="0" w:color="auto"/>
            <w:left w:val="none" w:sz="0" w:space="0" w:color="auto"/>
            <w:bottom w:val="none" w:sz="0" w:space="0" w:color="auto"/>
            <w:right w:val="none" w:sz="0" w:space="0" w:color="auto"/>
          </w:divBdr>
        </w:div>
        <w:div w:id="1826629627">
          <w:marLeft w:val="0"/>
          <w:marRight w:val="0"/>
          <w:marTop w:val="0"/>
          <w:marBottom w:val="0"/>
          <w:divBdr>
            <w:top w:val="none" w:sz="0" w:space="0" w:color="auto"/>
            <w:left w:val="none" w:sz="0" w:space="0" w:color="auto"/>
            <w:bottom w:val="none" w:sz="0" w:space="0" w:color="auto"/>
            <w:right w:val="none" w:sz="0" w:space="0" w:color="auto"/>
          </w:divBdr>
        </w:div>
        <w:div w:id="1864319049">
          <w:marLeft w:val="0"/>
          <w:marRight w:val="0"/>
          <w:marTop w:val="0"/>
          <w:marBottom w:val="0"/>
          <w:divBdr>
            <w:top w:val="none" w:sz="0" w:space="0" w:color="auto"/>
            <w:left w:val="none" w:sz="0" w:space="0" w:color="auto"/>
            <w:bottom w:val="none" w:sz="0" w:space="0" w:color="auto"/>
            <w:right w:val="none" w:sz="0" w:space="0" w:color="auto"/>
          </w:divBdr>
        </w:div>
        <w:div w:id="1875727208">
          <w:marLeft w:val="0"/>
          <w:marRight w:val="0"/>
          <w:marTop w:val="0"/>
          <w:marBottom w:val="0"/>
          <w:divBdr>
            <w:top w:val="none" w:sz="0" w:space="0" w:color="auto"/>
            <w:left w:val="none" w:sz="0" w:space="0" w:color="auto"/>
            <w:bottom w:val="none" w:sz="0" w:space="0" w:color="auto"/>
            <w:right w:val="none" w:sz="0" w:space="0" w:color="auto"/>
          </w:divBdr>
        </w:div>
        <w:div w:id="1900629563">
          <w:marLeft w:val="0"/>
          <w:marRight w:val="0"/>
          <w:marTop w:val="0"/>
          <w:marBottom w:val="0"/>
          <w:divBdr>
            <w:top w:val="none" w:sz="0" w:space="0" w:color="auto"/>
            <w:left w:val="none" w:sz="0" w:space="0" w:color="auto"/>
            <w:bottom w:val="none" w:sz="0" w:space="0" w:color="auto"/>
            <w:right w:val="none" w:sz="0" w:space="0" w:color="auto"/>
          </w:divBdr>
        </w:div>
        <w:div w:id="1914706226">
          <w:marLeft w:val="0"/>
          <w:marRight w:val="0"/>
          <w:marTop w:val="0"/>
          <w:marBottom w:val="0"/>
          <w:divBdr>
            <w:top w:val="none" w:sz="0" w:space="0" w:color="auto"/>
            <w:left w:val="none" w:sz="0" w:space="0" w:color="auto"/>
            <w:bottom w:val="none" w:sz="0" w:space="0" w:color="auto"/>
            <w:right w:val="none" w:sz="0" w:space="0" w:color="auto"/>
          </w:divBdr>
        </w:div>
        <w:div w:id="1928810571">
          <w:marLeft w:val="0"/>
          <w:marRight w:val="0"/>
          <w:marTop w:val="0"/>
          <w:marBottom w:val="0"/>
          <w:divBdr>
            <w:top w:val="none" w:sz="0" w:space="0" w:color="auto"/>
            <w:left w:val="none" w:sz="0" w:space="0" w:color="auto"/>
            <w:bottom w:val="none" w:sz="0" w:space="0" w:color="auto"/>
            <w:right w:val="none" w:sz="0" w:space="0" w:color="auto"/>
          </w:divBdr>
        </w:div>
        <w:div w:id="2002931297">
          <w:marLeft w:val="0"/>
          <w:marRight w:val="0"/>
          <w:marTop w:val="0"/>
          <w:marBottom w:val="0"/>
          <w:divBdr>
            <w:top w:val="none" w:sz="0" w:space="0" w:color="auto"/>
            <w:left w:val="none" w:sz="0" w:space="0" w:color="auto"/>
            <w:bottom w:val="none" w:sz="0" w:space="0" w:color="auto"/>
            <w:right w:val="none" w:sz="0" w:space="0" w:color="auto"/>
          </w:divBdr>
        </w:div>
        <w:div w:id="2022510837">
          <w:marLeft w:val="0"/>
          <w:marRight w:val="0"/>
          <w:marTop w:val="0"/>
          <w:marBottom w:val="0"/>
          <w:divBdr>
            <w:top w:val="none" w:sz="0" w:space="0" w:color="auto"/>
            <w:left w:val="none" w:sz="0" w:space="0" w:color="auto"/>
            <w:bottom w:val="none" w:sz="0" w:space="0" w:color="auto"/>
            <w:right w:val="none" w:sz="0" w:space="0" w:color="auto"/>
          </w:divBdr>
        </w:div>
        <w:div w:id="2046516941">
          <w:marLeft w:val="0"/>
          <w:marRight w:val="0"/>
          <w:marTop w:val="0"/>
          <w:marBottom w:val="0"/>
          <w:divBdr>
            <w:top w:val="none" w:sz="0" w:space="0" w:color="auto"/>
            <w:left w:val="none" w:sz="0" w:space="0" w:color="auto"/>
            <w:bottom w:val="none" w:sz="0" w:space="0" w:color="auto"/>
            <w:right w:val="none" w:sz="0" w:space="0" w:color="auto"/>
          </w:divBdr>
        </w:div>
        <w:div w:id="2087069787">
          <w:marLeft w:val="0"/>
          <w:marRight w:val="0"/>
          <w:marTop w:val="0"/>
          <w:marBottom w:val="0"/>
          <w:divBdr>
            <w:top w:val="none" w:sz="0" w:space="0" w:color="auto"/>
            <w:left w:val="none" w:sz="0" w:space="0" w:color="auto"/>
            <w:bottom w:val="none" w:sz="0" w:space="0" w:color="auto"/>
            <w:right w:val="none" w:sz="0" w:space="0" w:color="auto"/>
          </w:divBdr>
        </w:div>
        <w:div w:id="2088766469">
          <w:marLeft w:val="0"/>
          <w:marRight w:val="0"/>
          <w:marTop w:val="0"/>
          <w:marBottom w:val="0"/>
          <w:divBdr>
            <w:top w:val="none" w:sz="0" w:space="0" w:color="auto"/>
            <w:left w:val="none" w:sz="0" w:space="0" w:color="auto"/>
            <w:bottom w:val="none" w:sz="0" w:space="0" w:color="auto"/>
            <w:right w:val="none" w:sz="0" w:space="0" w:color="auto"/>
          </w:divBdr>
        </w:div>
      </w:divsChild>
    </w:div>
    <w:div w:id="1138644015">
      <w:bodyDiv w:val="1"/>
      <w:marLeft w:val="0"/>
      <w:marRight w:val="0"/>
      <w:marTop w:val="0"/>
      <w:marBottom w:val="0"/>
      <w:divBdr>
        <w:top w:val="none" w:sz="0" w:space="0" w:color="auto"/>
        <w:left w:val="none" w:sz="0" w:space="0" w:color="auto"/>
        <w:bottom w:val="none" w:sz="0" w:space="0" w:color="auto"/>
        <w:right w:val="none" w:sz="0" w:space="0" w:color="auto"/>
      </w:divBdr>
      <w:divsChild>
        <w:div w:id="187108249">
          <w:marLeft w:val="0"/>
          <w:marRight w:val="0"/>
          <w:marTop w:val="0"/>
          <w:marBottom w:val="0"/>
          <w:divBdr>
            <w:top w:val="none" w:sz="0" w:space="0" w:color="auto"/>
            <w:left w:val="none" w:sz="0" w:space="0" w:color="auto"/>
            <w:bottom w:val="none" w:sz="0" w:space="0" w:color="auto"/>
            <w:right w:val="none" w:sz="0" w:space="0" w:color="auto"/>
          </w:divBdr>
        </w:div>
        <w:div w:id="2035881203">
          <w:marLeft w:val="0"/>
          <w:marRight w:val="0"/>
          <w:marTop w:val="0"/>
          <w:marBottom w:val="0"/>
          <w:divBdr>
            <w:top w:val="none" w:sz="0" w:space="0" w:color="auto"/>
            <w:left w:val="none" w:sz="0" w:space="0" w:color="auto"/>
            <w:bottom w:val="none" w:sz="0" w:space="0" w:color="auto"/>
            <w:right w:val="none" w:sz="0" w:space="0" w:color="auto"/>
          </w:divBdr>
        </w:div>
      </w:divsChild>
    </w:div>
    <w:div w:id="1168641211">
      <w:bodyDiv w:val="1"/>
      <w:marLeft w:val="0"/>
      <w:marRight w:val="0"/>
      <w:marTop w:val="0"/>
      <w:marBottom w:val="0"/>
      <w:divBdr>
        <w:top w:val="none" w:sz="0" w:space="0" w:color="auto"/>
        <w:left w:val="none" w:sz="0" w:space="0" w:color="auto"/>
        <w:bottom w:val="none" w:sz="0" w:space="0" w:color="auto"/>
        <w:right w:val="none" w:sz="0" w:space="0" w:color="auto"/>
      </w:divBdr>
    </w:div>
    <w:div w:id="1189952588">
      <w:bodyDiv w:val="1"/>
      <w:marLeft w:val="0"/>
      <w:marRight w:val="0"/>
      <w:marTop w:val="0"/>
      <w:marBottom w:val="0"/>
      <w:divBdr>
        <w:top w:val="none" w:sz="0" w:space="0" w:color="auto"/>
        <w:left w:val="none" w:sz="0" w:space="0" w:color="auto"/>
        <w:bottom w:val="none" w:sz="0" w:space="0" w:color="auto"/>
        <w:right w:val="none" w:sz="0" w:space="0" w:color="auto"/>
      </w:divBdr>
    </w:div>
    <w:div w:id="1207373131">
      <w:bodyDiv w:val="1"/>
      <w:marLeft w:val="0"/>
      <w:marRight w:val="0"/>
      <w:marTop w:val="0"/>
      <w:marBottom w:val="0"/>
      <w:divBdr>
        <w:top w:val="none" w:sz="0" w:space="0" w:color="auto"/>
        <w:left w:val="none" w:sz="0" w:space="0" w:color="auto"/>
        <w:bottom w:val="none" w:sz="0" w:space="0" w:color="auto"/>
        <w:right w:val="none" w:sz="0" w:space="0" w:color="auto"/>
      </w:divBdr>
    </w:div>
    <w:div w:id="1213351307">
      <w:bodyDiv w:val="1"/>
      <w:marLeft w:val="0"/>
      <w:marRight w:val="0"/>
      <w:marTop w:val="0"/>
      <w:marBottom w:val="0"/>
      <w:divBdr>
        <w:top w:val="none" w:sz="0" w:space="0" w:color="auto"/>
        <w:left w:val="none" w:sz="0" w:space="0" w:color="auto"/>
        <w:bottom w:val="none" w:sz="0" w:space="0" w:color="auto"/>
        <w:right w:val="none" w:sz="0" w:space="0" w:color="auto"/>
      </w:divBdr>
      <w:divsChild>
        <w:div w:id="1552838973">
          <w:marLeft w:val="0"/>
          <w:marRight w:val="0"/>
          <w:marTop w:val="0"/>
          <w:marBottom w:val="0"/>
          <w:divBdr>
            <w:top w:val="none" w:sz="0" w:space="0" w:color="auto"/>
            <w:left w:val="none" w:sz="0" w:space="0" w:color="auto"/>
            <w:bottom w:val="none" w:sz="0" w:space="0" w:color="auto"/>
            <w:right w:val="none" w:sz="0" w:space="0" w:color="auto"/>
          </w:divBdr>
        </w:div>
        <w:div w:id="1591232293">
          <w:marLeft w:val="0"/>
          <w:marRight w:val="0"/>
          <w:marTop w:val="0"/>
          <w:marBottom w:val="0"/>
          <w:divBdr>
            <w:top w:val="none" w:sz="0" w:space="0" w:color="auto"/>
            <w:left w:val="none" w:sz="0" w:space="0" w:color="auto"/>
            <w:bottom w:val="none" w:sz="0" w:space="0" w:color="auto"/>
            <w:right w:val="none" w:sz="0" w:space="0" w:color="auto"/>
          </w:divBdr>
        </w:div>
        <w:div w:id="1653866805">
          <w:marLeft w:val="0"/>
          <w:marRight w:val="0"/>
          <w:marTop w:val="0"/>
          <w:marBottom w:val="0"/>
          <w:divBdr>
            <w:top w:val="none" w:sz="0" w:space="0" w:color="auto"/>
            <w:left w:val="none" w:sz="0" w:space="0" w:color="auto"/>
            <w:bottom w:val="none" w:sz="0" w:space="0" w:color="auto"/>
            <w:right w:val="none" w:sz="0" w:space="0" w:color="auto"/>
          </w:divBdr>
        </w:div>
        <w:div w:id="1957254289">
          <w:marLeft w:val="0"/>
          <w:marRight w:val="0"/>
          <w:marTop w:val="0"/>
          <w:marBottom w:val="0"/>
          <w:divBdr>
            <w:top w:val="none" w:sz="0" w:space="0" w:color="auto"/>
            <w:left w:val="none" w:sz="0" w:space="0" w:color="auto"/>
            <w:bottom w:val="none" w:sz="0" w:space="0" w:color="auto"/>
            <w:right w:val="none" w:sz="0" w:space="0" w:color="auto"/>
          </w:divBdr>
        </w:div>
      </w:divsChild>
    </w:div>
    <w:div w:id="1299142448">
      <w:bodyDiv w:val="1"/>
      <w:marLeft w:val="0"/>
      <w:marRight w:val="0"/>
      <w:marTop w:val="0"/>
      <w:marBottom w:val="0"/>
      <w:divBdr>
        <w:top w:val="none" w:sz="0" w:space="0" w:color="auto"/>
        <w:left w:val="none" w:sz="0" w:space="0" w:color="auto"/>
        <w:bottom w:val="none" w:sz="0" w:space="0" w:color="auto"/>
        <w:right w:val="none" w:sz="0" w:space="0" w:color="auto"/>
      </w:divBdr>
    </w:div>
    <w:div w:id="1368261365">
      <w:bodyDiv w:val="1"/>
      <w:marLeft w:val="0"/>
      <w:marRight w:val="0"/>
      <w:marTop w:val="0"/>
      <w:marBottom w:val="0"/>
      <w:divBdr>
        <w:top w:val="none" w:sz="0" w:space="0" w:color="auto"/>
        <w:left w:val="none" w:sz="0" w:space="0" w:color="auto"/>
        <w:bottom w:val="none" w:sz="0" w:space="0" w:color="auto"/>
        <w:right w:val="none" w:sz="0" w:space="0" w:color="auto"/>
      </w:divBdr>
      <w:divsChild>
        <w:div w:id="500507769">
          <w:marLeft w:val="0"/>
          <w:marRight w:val="0"/>
          <w:marTop w:val="0"/>
          <w:marBottom w:val="0"/>
          <w:divBdr>
            <w:top w:val="none" w:sz="0" w:space="0" w:color="auto"/>
            <w:left w:val="none" w:sz="0" w:space="0" w:color="auto"/>
            <w:bottom w:val="none" w:sz="0" w:space="0" w:color="auto"/>
            <w:right w:val="none" w:sz="0" w:space="0" w:color="auto"/>
          </w:divBdr>
        </w:div>
        <w:div w:id="1243294185">
          <w:marLeft w:val="0"/>
          <w:marRight w:val="0"/>
          <w:marTop w:val="0"/>
          <w:marBottom w:val="0"/>
          <w:divBdr>
            <w:top w:val="none" w:sz="0" w:space="0" w:color="auto"/>
            <w:left w:val="none" w:sz="0" w:space="0" w:color="auto"/>
            <w:bottom w:val="none" w:sz="0" w:space="0" w:color="auto"/>
            <w:right w:val="none" w:sz="0" w:space="0" w:color="auto"/>
          </w:divBdr>
        </w:div>
        <w:div w:id="1763992795">
          <w:marLeft w:val="0"/>
          <w:marRight w:val="0"/>
          <w:marTop w:val="0"/>
          <w:marBottom w:val="0"/>
          <w:divBdr>
            <w:top w:val="none" w:sz="0" w:space="0" w:color="auto"/>
            <w:left w:val="none" w:sz="0" w:space="0" w:color="auto"/>
            <w:bottom w:val="none" w:sz="0" w:space="0" w:color="auto"/>
            <w:right w:val="none" w:sz="0" w:space="0" w:color="auto"/>
          </w:divBdr>
        </w:div>
      </w:divsChild>
    </w:div>
    <w:div w:id="136952285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9596474">
      <w:bodyDiv w:val="1"/>
      <w:marLeft w:val="0"/>
      <w:marRight w:val="0"/>
      <w:marTop w:val="0"/>
      <w:marBottom w:val="0"/>
      <w:divBdr>
        <w:top w:val="none" w:sz="0" w:space="0" w:color="auto"/>
        <w:left w:val="none" w:sz="0" w:space="0" w:color="auto"/>
        <w:bottom w:val="none" w:sz="0" w:space="0" w:color="auto"/>
        <w:right w:val="none" w:sz="0" w:space="0" w:color="auto"/>
      </w:divBdr>
    </w:div>
    <w:div w:id="1424959191">
      <w:bodyDiv w:val="1"/>
      <w:marLeft w:val="0"/>
      <w:marRight w:val="0"/>
      <w:marTop w:val="0"/>
      <w:marBottom w:val="0"/>
      <w:divBdr>
        <w:top w:val="none" w:sz="0" w:space="0" w:color="auto"/>
        <w:left w:val="none" w:sz="0" w:space="0" w:color="auto"/>
        <w:bottom w:val="none" w:sz="0" w:space="0" w:color="auto"/>
        <w:right w:val="none" w:sz="0" w:space="0" w:color="auto"/>
      </w:divBdr>
    </w:div>
    <w:div w:id="1437139909">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3955028">
      <w:bodyDiv w:val="1"/>
      <w:marLeft w:val="0"/>
      <w:marRight w:val="0"/>
      <w:marTop w:val="0"/>
      <w:marBottom w:val="0"/>
      <w:divBdr>
        <w:top w:val="none" w:sz="0" w:space="0" w:color="auto"/>
        <w:left w:val="none" w:sz="0" w:space="0" w:color="auto"/>
        <w:bottom w:val="none" w:sz="0" w:space="0" w:color="auto"/>
        <w:right w:val="none" w:sz="0" w:space="0" w:color="auto"/>
      </w:divBdr>
    </w:div>
    <w:div w:id="1482697497">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18948001">
      <w:bodyDiv w:val="1"/>
      <w:marLeft w:val="0"/>
      <w:marRight w:val="0"/>
      <w:marTop w:val="0"/>
      <w:marBottom w:val="0"/>
      <w:divBdr>
        <w:top w:val="none" w:sz="0" w:space="0" w:color="auto"/>
        <w:left w:val="none" w:sz="0" w:space="0" w:color="auto"/>
        <w:bottom w:val="none" w:sz="0" w:space="0" w:color="auto"/>
        <w:right w:val="none" w:sz="0" w:space="0" w:color="auto"/>
      </w:divBdr>
    </w:div>
    <w:div w:id="1662656812">
      <w:bodyDiv w:val="1"/>
      <w:marLeft w:val="0"/>
      <w:marRight w:val="0"/>
      <w:marTop w:val="0"/>
      <w:marBottom w:val="0"/>
      <w:divBdr>
        <w:top w:val="none" w:sz="0" w:space="0" w:color="auto"/>
        <w:left w:val="none" w:sz="0" w:space="0" w:color="auto"/>
        <w:bottom w:val="none" w:sz="0" w:space="0" w:color="auto"/>
        <w:right w:val="none" w:sz="0" w:space="0" w:color="auto"/>
      </w:divBdr>
      <w:divsChild>
        <w:div w:id="203057896">
          <w:marLeft w:val="0"/>
          <w:marRight w:val="0"/>
          <w:marTop w:val="0"/>
          <w:marBottom w:val="0"/>
          <w:divBdr>
            <w:top w:val="single" w:sz="6" w:space="0" w:color="D7DBE0"/>
            <w:left w:val="single" w:sz="6" w:space="0" w:color="D7DBE0"/>
            <w:bottom w:val="single" w:sz="6" w:space="0" w:color="D7DBE0"/>
            <w:right w:val="single" w:sz="6" w:space="0" w:color="D7DBE0"/>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93551536">
      <w:bodyDiv w:val="1"/>
      <w:marLeft w:val="0"/>
      <w:marRight w:val="0"/>
      <w:marTop w:val="0"/>
      <w:marBottom w:val="0"/>
      <w:divBdr>
        <w:top w:val="none" w:sz="0" w:space="0" w:color="auto"/>
        <w:left w:val="none" w:sz="0" w:space="0" w:color="auto"/>
        <w:bottom w:val="none" w:sz="0" w:space="0" w:color="auto"/>
        <w:right w:val="none" w:sz="0" w:space="0" w:color="auto"/>
      </w:divBdr>
      <w:divsChild>
        <w:div w:id="1735541490">
          <w:marLeft w:val="0"/>
          <w:marRight w:val="0"/>
          <w:marTop w:val="0"/>
          <w:marBottom w:val="0"/>
          <w:divBdr>
            <w:top w:val="single" w:sz="6" w:space="0" w:color="D7DBE0"/>
            <w:left w:val="single" w:sz="6" w:space="0" w:color="D7DBE0"/>
            <w:bottom w:val="single" w:sz="6" w:space="0" w:color="D7DBE0"/>
            <w:right w:val="single" w:sz="6" w:space="0" w:color="D7DBE0"/>
          </w:divBdr>
        </w:div>
      </w:divsChild>
    </w:div>
    <w:div w:id="1827012638">
      <w:bodyDiv w:val="1"/>
      <w:marLeft w:val="0"/>
      <w:marRight w:val="0"/>
      <w:marTop w:val="0"/>
      <w:marBottom w:val="0"/>
      <w:divBdr>
        <w:top w:val="none" w:sz="0" w:space="0" w:color="auto"/>
        <w:left w:val="none" w:sz="0" w:space="0" w:color="auto"/>
        <w:bottom w:val="none" w:sz="0" w:space="0" w:color="auto"/>
        <w:right w:val="none" w:sz="0" w:space="0" w:color="auto"/>
      </w:divBdr>
    </w:div>
    <w:div w:id="1836988255">
      <w:bodyDiv w:val="1"/>
      <w:marLeft w:val="0"/>
      <w:marRight w:val="0"/>
      <w:marTop w:val="0"/>
      <w:marBottom w:val="0"/>
      <w:divBdr>
        <w:top w:val="none" w:sz="0" w:space="0" w:color="auto"/>
        <w:left w:val="none" w:sz="0" w:space="0" w:color="auto"/>
        <w:bottom w:val="none" w:sz="0" w:space="0" w:color="auto"/>
        <w:right w:val="none" w:sz="0" w:space="0" w:color="auto"/>
      </w:divBdr>
    </w:div>
    <w:div w:id="185128638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1472125">
      <w:bodyDiv w:val="1"/>
      <w:marLeft w:val="0"/>
      <w:marRight w:val="0"/>
      <w:marTop w:val="0"/>
      <w:marBottom w:val="0"/>
      <w:divBdr>
        <w:top w:val="none" w:sz="0" w:space="0" w:color="auto"/>
        <w:left w:val="none" w:sz="0" w:space="0" w:color="auto"/>
        <w:bottom w:val="none" w:sz="0" w:space="0" w:color="auto"/>
        <w:right w:val="none" w:sz="0" w:space="0" w:color="auto"/>
      </w:divBdr>
      <w:divsChild>
        <w:div w:id="963465494">
          <w:marLeft w:val="0"/>
          <w:marRight w:val="0"/>
          <w:marTop w:val="0"/>
          <w:marBottom w:val="0"/>
          <w:divBdr>
            <w:top w:val="none" w:sz="0" w:space="0" w:color="auto"/>
            <w:left w:val="none" w:sz="0" w:space="0" w:color="auto"/>
            <w:bottom w:val="none" w:sz="0" w:space="0" w:color="auto"/>
            <w:right w:val="none" w:sz="0" w:space="0" w:color="auto"/>
          </w:divBdr>
        </w:div>
        <w:div w:id="1069886879">
          <w:marLeft w:val="0"/>
          <w:marRight w:val="0"/>
          <w:marTop w:val="0"/>
          <w:marBottom w:val="0"/>
          <w:divBdr>
            <w:top w:val="none" w:sz="0" w:space="0" w:color="auto"/>
            <w:left w:val="none" w:sz="0" w:space="0" w:color="auto"/>
            <w:bottom w:val="none" w:sz="0" w:space="0" w:color="auto"/>
            <w:right w:val="none" w:sz="0" w:space="0" w:color="auto"/>
          </w:divBdr>
        </w:div>
        <w:div w:id="1811709820">
          <w:marLeft w:val="0"/>
          <w:marRight w:val="0"/>
          <w:marTop w:val="0"/>
          <w:marBottom w:val="0"/>
          <w:divBdr>
            <w:top w:val="none" w:sz="0" w:space="0" w:color="auto"/>
            <w:left w:val="none" w:sz="0" w:space="0" w:color="auto"/>
            <w:bottom w:val="none" w:sz="0" w:space="0" w:color="auto"/>
            <w:right w:val="none" w:sz="0" w:space="0" w:color="auto"/>
          </w:divBdr>
        </w:div>
        <w:div w:id="1972131872">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52536785">
      <w:bodyDiv w:val="1"/>
      <w:marLeft w:val="0"/>
      <w:marRight w:val="0"/>
      <w:marTop w:val="0"/>
      <w:marBottom w:val="0"/>
      <w:divBdr>
        <w:top w:val="none" w:sz="0" w:space="0" w:color="auto"/>
        <w:left w:val="none" w:sz="0" w:space="0" w:color="auto"/>
        <w:bottom w:val="none" w:sz="0" w:space="0" w:color="auto"/>
        <w:right w:val="none" w:sz="0" w:space="0" w:color="auto"/>
      </w:divBdr>
      <w:divsChild>
        <w:div w:id="372727244">
          <w:marLeft w:val="0"/>
          <w:marRight w:val="0"/>
          <w:marTop w:val="0"/>
          <w:marBottom w:val="0"/>
          <w:divBdr>
            <w:top w:val="none" w:sz="0" w:space="0" w:color="auto"/>
            <w:left w:val="none" w:sz="0" w:space="0" w:color="auto"/>
            <w:bottom w:val="none" w:sz="0" w:space="0" w:color="auto"/>
            <w:right w:val="none" w:sz="0" w:space="0" w:color="auto"/>
          </w:divBdr>
        </w:div>
      </w:divsChild>
    </w:div>
    <w:div w:id="2054111522">
      <w:bodyDiv w:val="1"/>
      <w:marLeft w:val="0"/>
      <w:marRight w:val="0"/>
      <w:marTop w:val="0"/>
      <w:marBottom w:val="0"/>
      <w:divBdr>
        <w:top w:val="none" w:sz="0" w:space="0" w:color="auto"/>
        <w:left w:val="none" w:sz="0" w:space="0" w:color="auto"/>
        <w:bottom w:val="none" w:sz="0" w:space="0" w:color="auto"/>
        <w:right w:val="none" w:sz="0" w:space="0" w:color="auto"/>
      </w:divBdr>
    </w:div>
    <w:div w:id="2056193444">
      <w:bodyDiv w:val="1"/>
      <w:marLeft w:val="0"/>
      <w:marRight w:val="0"/>
      <w:marTop w:val="0"/>
      <w:marBottom w:val="0"/>
      <w:divBdr>
        <w:top w:val="none" w:sz="0" w:space="0" w:color="auto"/>
        <w:left w:val="none" w:sz="0" w:space="0" w:color="auto"/>
        <w:bottom w:val="none" w:sz="0" w:space="0" w:color="auto"/>
        <w:right w:val="none" w:sz="0" w:space="0" w:color="auto"/>
      </w:divBdr>
    </w:div>
    <w:div w:id="2082558298">
      <w:bodyDiv w:val="1"/>
      <w:marLeft w:val="0"/>
      <w:marRight w:val="0"/>
      <w:marTop w:val="0"/>
      <w:marBottom w:val="0"/>
      <w:divBdr>
        <w:top w:val="none" w:sz="0" w:space="0" w:color="auto"/>
        <w:left w:val="none" w:sz="0" w:space="0" w:color="auto"/>
        <w:bottom w:val="none" w:sz="0" w:space="0" w:color="auto"/>
        <w:right w:val="none" w:sz="0" w:space="0" w:color="auto"/>
      </w:divBdr>
    </w:div>
    <w:div w:id="2114668891">
      <w:bodyDiv w:val="1"/>
      <w:marLeft w:val="0"/>
      <w:marRight w:val="0"/>
      <w:marTop w:val="0"/>
      <w:marBottom w:val="0"/>
      <w:divBdr>
        <w:top w:val="none" w:sz="0" w:space="0" w:color="auto"/>
        <w:left w:val="none" w:sz="0" w:space="0" w:color="auto"/>
        <w:bottom w:val="none" w:sz="0" w:space="0" w:color="auto"/>
        <w:right w:val="none" w:sz="0" w:space="0" w:color="auto"/>
      </w:divBdr>
      <w:divsChild>
        <w:div w:id="585500419">
          <w:marLeft w:val="0"/>
          <w:marRight w:val="0"/>
          <w:marTop w:val="0"/>
          <w:marBottom w:val="0"/>
          <w:divBdr>
            <w:top w:val="single" w:sz="6" w:space="0" w:color="D7DBE0"/>
            <w:left w:val="single" w:sz="6" w:space="0" w:color="D7DBE0"/>
            <w:bottom w:val="single" w:sz="6" w:space="0" w:color="D7DBE0"/>
            <w:right w:val="single" w:sz="6" w:space="0" w:color="D7DBE0"/>
          </w:divBdr>
        </w:div>
      </w:divsChild>
    </w:div>
    <w:div w:id="2131238486">
      <w:bodyDiv w:val="1"/>
      <w:marLeft w:val="0"/>
      <w:marRight w:val="0"/>
      <w:marTop w:val="0"/>
      <w:marBottom w:val="0"/>
      <w:divBdr>
        <w:top w:val="none" w:sz="0" w:space="0" w:color="auto"/>
        <w:left w:val="none" w:sz="0" w:space="0" w:color="auto"/>
        <w:bottom w:val="none" w:sz="0" w:space="0" w:color="auto"/>
        <w:right w:val="none" w:sz="0" w:space="0" w:color="auto"/>
      </w:divBdr>
    </w:div>
    <w:div w:id="2141143433">
      <w:bodyDiv w:val="1"/>
      <w:marLeft w:val="0"/>
      <w:marRight w:val="0"/>
      <w:marTop w:val="0"/>
      <w:marBottom w:val="0"/>
      <w:divBdr>
        <w:top w:val="none" w:sz="0" w:space="0" w:color="auto"/>
        <w:left w:val="none" w:sz="0" w:space="0" w:color="auto"/>
        <w:bottom w:val="none" w:sz="0" w:space="0" w:color="auto"/>
        <w:right w:val="none" w:sz="0" w:space="0" w:color="auto"/>
      </w:divBdr>
      <w:divsChild>
        <w:div w:id="1311322299">
          <w:marLeft w:val="0"/>
          <w:marRight w:val="0"/>
          <w:marTop w:val="0"/>
          <w:marBottom w:val="0"/>
          <w:divBdr>
            <w:top w:val="none" w:sz="0" w:space="0" w:color="auto"/>
            <w:left w:val="none" w:sz="0" w:space="0" w:color="auto"/>
            <w:bottom w:val="none" w:sz="0" w:space="0" w:color="auto"/>
            <w:right w:val="none" w:sz="0" w:space="0" w:color="auto"/>
          </w:divBdr>
          <w:divsChild>
            <w:div w:id="341014018">
              <w:marLeft w:val="0"/>
              <w:marRight w:val="0"/>
              <w:marTop w:val="0"/>
              <w:marBottom w:val="0"/>
              <w:divBdr>
                <w:top w:val="none" w:sz="0" w:space="0" w:color="auto"/>
                <w:left w:val="none" w:sz="0" w:space="0" w:color="auto"/>
                <w:bottom w:val="none" w:sz="0" w:space="0" w:color="auto"/>
                <w:right w:val="none" w:sz="0" w:space="0" w:color="auto"/>
              </w:divBdr>
              <w:divsChild>
                <w:div w:id="511916170">
                  <w:marLeft w:val="0"/>
                  <w:marRight w:val="0"/>
                  <w:marTop w:val="0"/>
                  <w:marBottom w:val="0"/>
                  <w:divBdr>
                    <w:top w:val="none" w:sz="0" w:space="0" w:color="auto"/>
                    <w:left w:val="none" w:sz="0" w:space="0" w:color="auto"/>
                    <w:bottom w:val="none" w:sz="0" w:space="0" w:color="auto"/>
                    <w:right w:val="none" w:sz="0" w:space="0" w:color="auto"/>
                  </w:divBdr>
                </w:div>
                <w:div w:id="522209453">
                  <w:marLeft w:val="0"/>
                  <w:marRight w:val="0"/>
                  <w:marTop w:val="0"/>
                  <w:marBottom w:val="0"/>
                  <w:divBdr>
                    <w:top w:val="none" w:sz="0" w:space="0" w:color="auto"/>
                    <w:left w:val="none" w:sz="0" w:space="0" w:color="auto"/>
                    <w:bottom w:val="none" w:sz="0" w:space="0" w:color="auto"/>
                    <w:right w:val="none" w:sz="0" w:space="0" w:color="auto"/>
                  </w:divBdr>
                  <w:divsChild>
                    <w:div w:id="424038483">
                      <w:marLeft w:val="0"/>
                      <w:marRight w:val="0"/>
                      <w:marTop w:val="0"/>
                      <w:marBottom w:val="0"/>
                      <w:divBdr>
                        <w:top w:val="none" w:sz="0" w:space="0" w:color="auto"/>
                        <w:left w:val="none" w:sz="0" w:space="0" w:color="auto"/>
                        <w:bottom w:val="none" w:sz="0" w:space="0" w:color="auto"/>
                        <w:right w:val="none" w:sz="0" w:space="0" w:color="auto"/>
                      </w:divBdr>
                    </w:div>
                    <w:div w:id="1330987442">
                      <w:marLeft w:val="0"/>
                      <w:marRight w:val="0"/>
                      <w:marTop w:val="0"/>
                      <w:marBottom w:val="0"/>
                      <w:divBdr>
                        <w:top w:val="none" w:sz="0" w:space="0" w:color="auto"/>
                        <w:left w:val="none" w:sz="0" w:space="0" w:color="auto"/>
                        <w:bottom w:val="none" w:sz="0" w:space="0" w:color="auto"/>
                        <w:right w:val="none" w:sz="0" w:space="0" w:color="auto"/>
                      </w:divBdr>
                    </w:div>
                  </w:divsChild>
                </w:div>
                <w:div w:id="947154513">
                  <w:marLeft w:val="0"/>
                  <w:marRight w:val="0"/>
                  <w:marTop w:val="0"/>
                  <w:marBottom w:val="0"/>
                  <w:divBdr>
                    <w:top w:val="none" w:sz="0" w:space="0" w:color="auto"/>
                    <w:left w:val="none" w:sz="0" w:space="0" w:color="auto"/>
                    <w:bottom w:val="none" w:sz="0" w:space="0" w:color="auto"/>
                    <w:right w:val="none" w:sz="0" w:space="0" w:color="auto"/>
                  </w:divBdr>
                  <w:divsChild>
                    <w:div w:id="1381977987">
                      <w:marLeft w:val="0"/>
                      <w:marRight w:val="0"/>
                      <w:marTop w:val="0"/>
                      <w:marBottom w:val="0"/>
                      <w:divBdr>
                        <w:top w:val="none" w:sz="0" w:space="0" w:color="auto"/>
                        <w:left w:val="none" w:sz="0" w:space="0" w:color="auto"/>
                        <w:bottom w:val="none" w:sz="0" w:space="0" w:color="auto"/>
                        <w:right w:val="none" w:sz="0" w:space="0" w:color="auto"/>
                      </w:divBdr>
                    </w:div>
                    <w:div w:id="1790784854">
                      <w:marLeft w:val="0"/>
                      <w:marRight w:val="0"/>
                      <w:marTop w:val="0"/>
                      <w:marBottom w:val="0"/>
                      <w:divBdr>
                        <w:top w:val="none" w:sz="0" w:space="0" w:color="auto"/>
                        <w:left w:val="none" w:sz="0" w:space="0" w:color="auto"/>
                        <w:bottom w:val="none" w:sz="0" w:space="0" w:color="auto"/>
                        <w:right w:val="none" w:sz="0" w:space="0" w:color="auto"/>
                      </w:divBdr>
                    </w:div>
                  </w:divsChild>
                </w:div>
                <w:div w:id="1519388968">
                  <w:marLeft w:val="0"/>
                  <w:marRight w:val="0"/>
                  <w:marTop w:val="0"/>
                  <w:marBottom w:val="0"/>
                  <w:divBdr>
                    <w:top w:val="none" w:sz="0" w:space="0" w:color="auto"/>
                    <w:left w:val="none" w:sz="0" w:space="0" w:color="auto"/>
                    <w:bottom w:val="none" w:sz="0" w:space="0" w:color="auto"/>
                    <w:right w:val="none" w:sz="0" w:space="0" w:color="auto"/>
                  </w:divBdr>
                </w:div>
                <w:div w:id="1551192202">
                  <w:marLeft w:val="0"/>
                  <w:marRight w:val="0"/>
                  <w:marTop w:val="0"/>
                  <w:marBottom w:val="0"/>
                  <w:divBdr>
                    <w:top w:val="none" w:sz="0" w:space="0" w:color="auto"/>
                    <w:left w:val="none" w:sz="0" w:space="0" w:color="auto"/>
                    <w:bottom w:val="none" w:sz="0" w:space="0" w:color="auto"/>
                    <w:right w:val="none" w:sz="0" w:space="0" w:color="auto"/>
                  </w:divBdr>
                  <w:divsChild>
                    <w:div w:id="889805739">
                      <w:marLeft w:val="0"/>
                      <w:marRight w:val="0"/>
                      <w:marTop w:val="0"/>
                      <w:marBottom w:val="0"/>
                      <w:divBdr>
                        <w:top w:val="none" w:sz="0" w:space="0" w:color="auto"/>
                        <w:left w:val="none" w:sz="0" w:space="0" w:color="auto"/>
                        <w:bottom w:val="none" w:sz="0" w:space="0" w:color="auto"/>
                        <w:right w:val="none" w:sz="0" w:space="0" w:color="auto"/>
                      </w:divBdr>
                      <w:divsChild>
                        <w:div w:id="1492139634">
                          <w:marLeft w:val="0"/>
                          <w:marRight w:val="0"/>
                          <w:marTop w:val="0"/>
                          <w:marBottom w:val="0"/>
                          <w:divBdr>
                            <w:top w:val="none" w:sz="0" w:space="0" w:color="auto"/>
                            <w:left w:val="none" w:sz="0" w:space="0" w:color="auto"/>
                            <w:bottom w:val="none" w:sz="0" w:space="0" w:color="auto"/>
                            <w:right w:val="none" w:sz="0" w:space="0" w:color="auto"/>
                          </w:divBdr>
                          <w:divsChild>
                            <w:div w:id="928346325">
                              <w:marLeft w:val="0"/>
                              <w:marRight w:val="0"/>
                              <w:marTop w:val="0"/>
                              <w:marBottom w:val="0"/>
                              <w:divBdr>
                                <w:top w:val="none" w:sz="0" w:space="0" w:color="auto"/>
                                <w:left w:val="none" w:sz="0" w:space="0" w:color="auto"/>
                                <w:bottom w:val="none" w:sz="0" w:space="0" w:color="auto"/>
                                <w:right w:val="none" w:sz="0" w:space="0" w:color="auto"/>
                              </w:divBdr>
                            </w:div>
                            <w:div w:id="112126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93846">
          <w:marLeft w:val="0"/>
          <w:marRight w:val="0"/>
          <w:marTop w:val="0"/>
          <w:marBottom w:val="0"/>
          <w:divBdr>
            <w:top w:val="none" w:sz="0" w:space="0" w:color="auto"/>
            <w:left w:val="none" w:sz="0" w:space="0" w:color="auto"/>
            <w:bottom w:val="none" w:sz="0" w:space="0" w:color="auto"/>
            <w:right w:val="none" w:sz="0" w:space="0" w:color="auto"/>
          </w:divBdr>
          <w:divsChild>
            <w:div w:id="964891165">
              <w:marLeft w:val="0"/>
              <w:marRight w:val="0"/>
              <w:marTop w:val="0"/>
              <w:marBottom w:val="0"/>
              <w:divBdr>
                <w:top w:val="none" w:sz="0" w:space="0" w:color="auto"/>
                <w:left w:val="none" w:sz="0" w:space="0" w:color="auto"/>
                <w:bottom w:val="none" w:sz="0" w:space="0" w:color="auto"/>
                <w:right w:val="none" w:sz="0" w:space="0" w:color="auto"/>
              </w:divBdr>
              <w:divsChild>
                <w:div w:id="1254510696">
                  <w:marLeft w:val="0"/>
                  <w:marRight w:val="0"/>
                  <w:marTop w:val="0"/>
                  <w:marBottom w:val="0"/>
                  <w:divBdr>
                    <w:top w:val="none" w:sz="0" w:space="0" w:color="auto"/>
                    <w:left w:val="none" w:sz="0" w:space="0" w:color="auto"/>
                    <w:bottom w:val="none" w:sz="0" w:space="0" w:color="auto"/>
                    <w:right w:val="none" w:sz="0" w:space="0" w:color="auto"/>
                  </w:divBdr>
                  <w:divsChild>
                    <w:div w:id="210121170">
                      <w:marLeft w:val="0"/>
                      <w:marRight w:val="0"/>
                      <w:marTop w:val="0"/>
                      <w:marBottom w:val="0"/>
                      <w:divBdr>
                        <w:top w:val="none" w:sz="0" w:space="0" w:color="auto"/>
                        <w:left w:val="none" w:sz="0" w:space="0" w:color="auto"/>
                        <w:bottom w:val="none" w:sz="0" w:space="0" w:color="auto"/>
                        <w:right w:val="none" w:sz="0" w:space="0" w:color="auto"/>
                      </w:divBdr>
                      <w:divsChild>
                        <w:div w:id="144707081">
                          <w:marLeft w:val="0"/>
                          <w:marRight w:val="0"/>
                          <w:marTop w:val="0"/>
                          <w:marBottom w:val="0"/>
                          <w:divBdr>
                            <w:top w:val="none" w:sz="0" w:space="0" w:color="auto"/>
                            <w:left w:val="none" w:sz="0" w:space="0" w:color="auto"/>
                            <w:bottom w:val="none" w:sz="0" w:space="0" w:color="auto"/>
                            <w:right w:val="none" w:sz="0" w:space="0" w:color="auto"/>
                          </w:divBdr>
                          <w:divsChild>
                            <w:div w:id="542593828">
                              <w:marLeft w:val="0"/>
                              <w:marRight w:val="0"/>
                              <w:marTop w:val="0"/>
                              <w:marBottom w:val="0"/>
                              <w:divBdr>
                                <w:top w:val="single" w:sz="6" w:space="0" w:color="D7DBE0"/>
                                <w:left w:val="single" w:sz="6" w:space="0" w:color="D7DBE0"/>
                                <w:bottom w:val="single" w:sz="6" w:space="0" w:color="D7DBE0"/>
                                <w:right w:val="single" w:sz="6" w:space="0" w:color="D7DBE0"/>
                              </w:divBdr>
                            </w:div>
                            <w:div w:id="949507570">
                              <w:marLeft w:val="0"/>
                              <w:marRight w:val="0"/>
                              <w:marTop w:val="0"/>
                              <w:marBottom w:val="0"/>
                              <w:divBdr>
                                <w:top w:val="single" w:sz="6" w:space="0" w:color="D7DBE0"/>
                                <w:left w:val="single" w:sz="6" w:space="0" w:color="D7DBE0"/>
                                <w:bottom w:val="single" w:sz="6" w:space="0" w:color="D7DBE0"/>
                                <w:right w:val="single" w:sz="6" w:space="0" w:color="D7DBE0"/>
                              </w:divBdr>
                            </w:div>
                            <w:div w:id="1015962750">
                              <w:marLeft w:val="0"/>
                              <w:marRight w:val="0"/>
                              <w:marTop w:val="0"/>
                              <w:marBottom w:val="0"/>
                              <w:divBdr>
                                <w:top w:val="single" w:sz="6" w:space="0" w:color="D7DBE0"/>
                                <w:left w:val="single" w:sz="6" w:space="0" w:color="D7DBE0"/>
                                <w:bottom w:val="single" w:sz="6" w:space="0" w:color="D7DBE0"/>
                                <w:right w:val="single" w:sz="6" w:space="0" w:color="D7DBE0"/>
                              </w:divBdr>
                            </w:div>
                            <w:div w:id="1171219103">
                              <w:marLeft w:val="0"/>
                              <w:marRight w:val="0"/>
                              <w:marTop w:val="0"/>
                              <w:marBottom w:val="0"/>
                              <w:divBdr>
                                <w:top w:val="single" w:sz="6" w:space="0" w:color="D7DBE0"/>
                                <w:left w:val="single" w:sz="6" w:space="0" w:color="D7DBE0"/>
                                <w:bottom w:val="single" w:sz="6" w:space="0" w:color="D7DBE0"/>
                                <w:right w:val="single" w:sz="6" w:space="0" w:color="D7DBE0"/>
                              </w:divBdr>
                            </w:div>
                            <w:div w:id="1550605176">
                              <w:marLeft w:val="0"/>
                              <w:marRight w:val="0"/>
                              <w:marTop w:val="0"/>
                              <w:marBottom w:val="0"/>
                              <w:divBdr>
                                <w:top w:val="single" w:sz="6" w:space="0" w:color="D7DBE0"/>
                                <w:left w:val="single" w:sz="6" w:space="0" w:color="D7DBE0"/>
                                <w:bottom w:val="single" w:sz="6" w:space="0" w:color="D7DBE0"/>
                                <w:right w:val="single" w:sz="6" w:space="0" w:color="D7DBE0"/>
                              </w:divBdr>
                            </w:div>
                            <w:div w:id="1738017264">
                              <w:marLeft w:val="0"/>
                              <w:marRight w:val="0"/>
                              <w:marTop w:val="0"/>
                              <w:marBottom w:val="0"/>
                              <w:divBdr>
                                <w:top w:val="single" w:sz="6" w:space="0" w:color="D7DBE0"/>
                                <w:left w:val="single" w:sz="6" w:space="0" w:color="D7DBE0"/>
                                <w:bottom w:val="single" w:sz="6" w:space="0" w:color="D7DBE0"/>
                                <w:right w:val="single" w:sz="6" w:space="0" w:color="D7DBE0"/>
                              </w:divBdr>
                            </w:div>
                            <w:div w:id="1878152602">
                              <w:marLeft w:val="0"/>
                              <w:marRight w:val="0"/>
                              <w:marTop w:val="0"/>
                              <w:marBottom w:val="0"/>
                              <w:divBdr>
                                <w:top w:val="none" w:sz="0" w:space="0" w:color="auto"/>
                                <w:left w:val="none" w:sz="0" w:space="0" w:color="auto"/>
                                <w:bottom w:val="none" w:sz="0" w:space="0" w:color="auto"/>
                                <w:right w:val="none" w:sz="0" w:space="0" w:color="auto"/>
                              </w:divBdr>
                              <w:divsChild>
                                <w:div w:id="1499611430">
                                  <w:marLeft w:val="0"/>
                                  <w:marRight w:val="0"/>
                                  <w:marTop w:val="0"/>
                                  <w:marBottom w:val="0"/>
                                  <w:divBdr>
                                    <w:top w:val="none" w:sz="0" w:space="0" w:color="auto"/>
                                    <w:left w:val="none" w:sz="0" w:space="0" w:color="auto"/>
                                    <w:bottom w:val="none" w:sz="0" w:space="0" w:color="auto"/>
                                    <w:right w:val="none" w:sz="0" w:space="0" w:color="auto"/>
                                  </w:divBdr>
                                </w:div>
                              </w:divsChild>
                            </w:div>
                            <w:div w:id="2021812072">
                              <w:marLeft w:val="0"/>
                              <w:marRight w:val="0"/>
                              <w:marTop w:val="0"/>
                              <w:marBottom w:val="0"/>
                              <w:divBdr>
                                <w:top w:val="none" w:sz="0" w:space="0" w:color="auto"/>
                                <w:left w:val="none" w:sz="0" w:space="0" w:color="auto"/>
                                <w:bottom w:val="none" w:sz="0" w:space="0" w:color="auto"/>
                                <w:right w:val="none" w:sz="0" w:space="0" w:color="auto"/>
                              </w:divBdr>
                              <w:divsChild>
                                <w:div w:id="1836335188">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vic.gov.au/nursing-and-midwifery/nursing-and-midwifery-legislation-and-regulation"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health.vic.gov.au/patient-care/capability-frameworks-for-maternity-and-newborn-care-in-victoria" TargetMode="External"/><Relationship Id="rId34" Type="http://schemas.openxmlformats.org/officeDocument/2006/relationships/hyperlink" Target="https://www.health.vic.gov.au/nursing-and-midwifery/nursing-and-midwifery-legislation-and-regulatio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hyperlink" Target="https://www.health.vic.gov.au/patient-care/capability-frameworks-for-maternity-and-newborn-care-in-victoria"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legislation.vic.gov.au/bills/safe-patient-care-nurse-patient-and-midwife-patient-ratios-amendment-bill-2025" TargetMode="External"/><Relationship Id="rId29" Type="http://schemas.openxmlformats.org/officeDocument/2006/relationships/hyperlink" Target="https://www.health.vic.gov.au/patient-care/capability-frameworks-for-maternity-and-newborn-care-in-victor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5.xml"/><Relationship Id="rId32" Type="http://schemas.openxmlformats.org/officeDocument/2006/relationships/hyperlink" Target="mailto:ratios@health.vic.gov.au"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islation.vic.gov.au" TargetMode="External"/><Relationship Id="rId31" Type="http://schemas.openxmlformats.org/officeDocument/2006/relationships/hyperlink" Target="https://www.health.vic.gov.au/nursing-and-midwifery/nursing-and-midwifery-legislation-and-regul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cccn.com.au/wp-content/uploads/Workforce-Standards.pdf" TargetMode="External"/><Relationship Id="rId27" Type="http://schemas.openxmlformats.org/officeDocument/2006/relationships/header" Target="header6.xml"/><Relationship Id="rId30" Type="http://schemas.openxmlformats.org/officeDocument/2006/relationships/hyperlink" Target="https://www.legislation.vic.gov.au/in-force/statutory-rules/safe-patient-care-nurse-patient-and-midwife-patient-ratios-regulations/002" TargetMode="External"/><Relationship Id="rId35" Type="http://schemas.openxmlformats.org/officeDocument/2006/relationships/hyperlink" Target="https://www.health.vic.gov.au/nursing-and-midwifery/nursing-and-midwifery-legislation-and-reg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6f13c3b-1a5e-4b20-8813-0ef8710fa369">
      <Terms xmlns="http://schemas.microsoft.com/office/infopath/2007/PartnerControls"/>
    </lcf76f155ced4ddcb4097134ff3c332f>
    <DataOptimisationComments xmlns="56f13c3b-1a5e-4b20-8813-0ef8710fa3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18" ma:contentTypeDescription="Create a new document." ma:contentTypeScope="" ma:versionID="44d7acfa9c12ec39d183fe084c533929">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5ad8aa66503bf6aa1891060887475d36"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MediaServiceLocation" minOccurs="0"/>
                <xsd:element ref="ns2:DataOptimisation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DataOptimisationComments" ma:index="25" nillable="true" ma:displayName="Data Optimisation Comments" ma:format="Dropdown" ma:internalName="DataOptimisation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cca97d5-80ad-49b5-aac5-14af5a1547ef}"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bef801f1-2872-443b-a104-0f84f9fd089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56f13c3b-1a5e-4b20-8813-0ef8710fa369"/>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E267042-9F13-4421-8EAA-0D10EE882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6165</Words>
  <Characters>36479</Characters>
  <Application>Microsoft Office Word</Application>
  <DocSecurity>2</DocSecurity>
  <Lines>303</Lines>
  <Paragraphs>85</Paragraphs>
  <ScaleCrop>false</ScaleCrop>
  <HeadingPairs>
    <vt:vector size="2" baseType="variant">
      <vt:variant>
        <vt:lpstr>Title</vt:lpstr>
      </vt:variant>
      <vt:variant>
        <vt:i4>1</vt:i4>
      </vt:variant>
    </vt:vector>
  </HeadingPairs>
  <TitlesOfParts>
    <vt:vector size="1" baseType="lpstr">
      <vt:lpstr>Guide to implementation of the Safe Patient Care (Nurse to Patient and Midwife to Patient Ratios) Amendment Bill 2025</vt:lpstr>
    </vt:vector>
  </TitlesOfParts>
  <Manager/>
  <Company>Victoria State Government, Department of Health</Company>
  <LinksUpToDate>false</LinksUpToDate>
  <CharactersWithSpaces>42559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implementation of the Safe Patient Care (Nurse to Patient and Midwife to Patient Ratios) Amendment Bill 2025</dc:title>
  <dc:subject/>
  <dc:creator>ratios@health.vic.gov.au</dc:creator>
  <cp:keywords/>
  <dc:description/>
  <cp:lastModifiedBy>Emily Hirst (Health)</cp:lastModifiedBy>
  <cp:revision>3</cp:revision>
  <cp:lastPrinted>2025-04-04T04:26:00Z</cp:lastPrinted>
  <dcterms:created xsi:type="dcterms:W3CDTF">2025-06-18T06:00:00Z</dcterms:created>
  <dcterms:modified xsi:type="dcterms:W3CDTF">2025-06-26T04:26:00Z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2021-03-15T05:04:10Z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Order">
    <vt:r8>2700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TemplateVersion">
    <vt:i4>1</vt:i4>
  </property>
  <property fmtid="{D5CDD505-2E9C-101B-9397-08002B2CF9AE}" pid="18" name="Category">
    <vt:lpwstr>Report</vt:lpwstr>
  </property>
  <property fmtid="{D5CDD505-2E9C-101B-9397-08002B2CF9AE}" pid="19" name="WebPage">
    <vt:lpwstr>https://dhhsvicgovau.sharepoint.com/:w:/s/health/EcCdxoQtkoZJoXn6lektW3QBAD6Bt_2RdAEQpTUn2-aiAQ, https://dhhsvicgovau.sharepoint.com/:w:/s/health/EcCdxoQtkoZJoXn6lektW3QBAD6Bt_2RdAEQpTUn2-aiAQ</vt:lpwstr>
  </property>
  <property fmtid="{D5CDD505-2E9C-101B-9397-08002B2CF9AE}" pid="20" name="Days before next review">
    <vt:r8>365</vt:r8>
  </property>
  <property fmtid="{D5CDD505-2E9C-101B-9397-08002B2CF9AE}" pid="21" name="_ExtendedDescription">
    <vt:lpwstr/>
  </property>
  <property fmtid="{D5CDD505-2E9C-101B-9397-08002B2CF9AE}" pid="22" name="_MarkAsFinal">
    <vt:lpwstr>true</vt:lpwstr>
  </property>
  <property fmtid="{D5CDD505-2E9C-101B-9397-08002B2CF9AE}" pid="23" name="Tags">
    <vt:lpwstr>17;#Templates|74cf097d-f69e-47d4-ab23-b0e64f517102</vt:lpwstr>
  </property>
  <property fmtid="{D5CDD505-2E9C-101B-9397-08002B2CF9AE}" pid="24" name="MediaServiceImageTags">
    <vt:lpwstr/>
  </property>
</Properties>
</file>