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83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21749A" w:rsidRPr="00FA72E9" w14:paraId="6261F3EF" w14:textId="77777777" w:rsidTr="5AF117D2">
        <w:trPr>
          <w:trHeight w:val="622"/>
        </w:trPr>
        <w:tc>
          <w:tcPr>
            <w:tcW w:w="10348" w:type="dxa"/>
            <w:shd w:val="clear" w:color="auto" w:fill="auto"/>
            <w:tcMar>
              <w:top w:w="1531" w:type="dxa"/>
              <w:left w:w="0" w:type="dxa"/>
              <w:right w:w="0" w:type="dxa"/>
            </w:tcMar>
          </w:tcPr>
          <w:p w14:paraId="3E732512" w14:textId="68E91A99" w:rsidR="0021749A" w:rsidRPr="00FA72E9" w:rsidRDefault="00C31846" w:rsidP="00FC258E">
            <w:pPr>
              <w:pStyle w:val="Heading1"/>
              <w:rPr>
                <w:rFonts w:ascii="Arial" w:hAnsi="Arial" w:cs="Arial"/>
                <w:b/>
                <w:bCs/>
              </w:rPr>
            </w:pPr>
            <w:r w:rsidRPr="5AF117D2">
              <w:rPr>
                <w:rFonts w:ascii="Arial" w:hAnsi="Arial" w:cs="Arial"/>
                <w:b/>
                <w:bCs/>
              </w:rPr>
              <w:t xml:space="preserve">Electronic Medication Management – </w:t>
            </w:r>
            <w:r w:rsidR="00EB2D1E" w:rsidRPr="5AF117D2">
              <w:rPr>
                <w:rFonts w:ascii="Arial" w:hAnsi="Arial" w:cs="Arial"/>
                <w:b/>
                <w:bCs/>
              </w:rPr>
              <w:t xml:space="preserve">Prescribing </w:t>
            </w:r>
            <w:r w:rsidR="00CD2886" w:rsidRPr="5AF117D2">
              <w:rPr>
                <w:rFonts w:ascii="Arial" w:hAnsi="Arial" w:cs="Arial"/>
                <w:b/>
                <w:bCs/>
              </w:rPr>
              <w:t>High</w:t>
            </w:r>
            <w:r w:rsidR="5C8A35E5" w:rsidRPr="5AF117D2">
              <w:rPr>
                <w:rFonts w:ascii="Arial" w:hAnsi="Arial" w:cs="Arial"/>
                <w:b/>
                <w:bCs/>
              </w:rPr>
              <w:t>-</w:t>
            </w:r>
            <w:r w:rsidR="00CD2886" w:rsidRPr="5AF117D2">
              <w:rPr>
                <w:rFonts w:ascii="Arial" w:hAnsi="Arial" w:cs="Arial"/>
                <w:b/>
                <w:bCs/>
              </w:rPr>
              <w:t>Risk Medicin</w:t>
            </w:r>
            <w:r w:rsidR="0084697C" w:rsidRPr="5AF117D2">
              <w:rPr>
                <w:rFonts w:ascii="Arial" w:hAnsi="Arial" w:cs="Arial"/>
                <w:b/>
                <w:bCs/>
              </w:rPr>
              <w:t xml:space="preserve">e </w:t>
            </w:r>
            <w:r w:rsidR="0021749A" w:rsidRPr="5AF117D2">
              <w:rPr>
                <w:rFonts w:ascii="Arial" w:hAnsi="Arial" w:cs="Arial"/>
                <w:b/>
                <w:bCs/>
              </w:rPr>
              <w:t>Guidance</w:t>
            </w:r>
          </w:p>
        </w:tc>
      </w:tr>
      <w:tr w:rsidR="0021749A" w:rsidRPr="00FA72E9" w14:paraId="168BFCD0" w14:textId="77777777" w:rsidTr="5AF117D2">
        <w:tc>
          <w:tcPr>
            <w:tcW w:w="10348" w:type="dxa"/>
            <w:shd w:val="clear" w:color="auto" w:fill="auto"/>
          </w:tcPr>
          <w:p w14:paraId="62D81434" w14:textId="77777777" w:rsidR="0021749A" w:rsidRPr="00FA72E9" w:rsidRDefault="0021749A" w:rsidP="00FC258E">
            <w:pPr>
              <w:pStyle w:val="Bannermarking"/>
              <w:rPr>
                <w:rFonts w:cs="Arial"/>
              </w:rPr>
            </w:pPr>
            <w:r w:rsidRPr="00FA72E9">
              <w:rPr>
                <w:rFonts w:cs="Arial"/>
              </w:rPr>
              <w:fldChar w:fldCharType="begin"/>
            </w:r>
            <w:r w:rsidRPr="00FA72E9">
              <w:rPr>
                <w:rFonts w:cs="Arial"/>
              </w:rPr>
              <w:instrText>FILLIN  "Type the protective marking" \d OFFICIAL \o  \* MERGEFORMAT</w:instrText>
            </w:r>
            <w:r w:rsidRPr="00FA72E9">
              <w:rPr>
                <w:rFonts w:cs="Arial"/>
              </w:rPr>
              <w:fldChar w:fldCharType="separate"/>
            </w:r>
            <w:r w:rsidRPr="00FA72E9">
              <w:rPr>
                <w:rFonts w:cs="Arial"/>
              </w:rPr>
              <w:t>OFFICIAL</w:t>
            </w:r>
            <w:r w:rsidRPr="00FA72E9">
              <w:rPr>
                <w:rFonts w:cs="Arial"/>
              </w:rPr>
              <w:fldChar w:fldCharType="end"/>
            </w:r>
          </w:p>
        </w:tc>
      </w:tr>
    </w:tbl>
    <w:p w14:paraId="7A4BFB12" w14:textId="77777777" w:rsidR="00256518" w:rsidRDefault="00256518" w:rsidP="00C65CBF">
      <w:pPr>
        <w:spacing w:after="0"/>
        <w:rPr>
          <w:rFonts w:ascii="Arial" w:hAnsi="Arial" w:cs="Arial"/>
        </w:rPr>
      </w:pPr>
    </w:p>
    <w:p w14:paraId="2DBD8C1A" w14:textId="0E5A06AB" w:rsidR="00935498" w:rsidRPr="002327A5" w:rsidRDefault="00B22480" w:rsidP="00C65CBF">
      <w:pPr>
        <w:spacing w:after="0"/>
        <w:rPr>
          <w:rFonts w:ascii="Arial" w:hAnsi="Arial" w:cs="Arial"/>
        </w:rPr>
      </w:pPr>
      <w:r w:rsidRPr="002327A5">
        <w:rPr>
          <w:rFonts w:ascii="Arial" w:hAnsi="Arial" w:cs="Arial"/>
        </w:rPr>
        <w:t>This guid</w:t>
      </w:r>
      <w:r w:rsidR="00CA4084" w:rsidRPr="002327A5">
        <w:rPr>
          <w:rFonts w:ascii="Arial" w:hAnsi="Arial" w:cs="Arial"/>
          <w:noProof/>
          <w:color w:val="2B579A"/>
          <w:shd w:val="clear" w:color="auto" w:fill="E6E6E6"/>
        </w:rPr>
        <w:drawing>
          <wp:anchor distT="0" distB="0" distL="114300" distR="114300" simplePos="0" relativeHeight="251658240" behindDoc="1" locked="1" layoutInCell="1" allowOverlap="0" wp14:anchorId="7FB13526" wp14:editId="0E3A18A6">
            <wp:simplePos x="0" y="0"/>
            <wp:positionH relativeFrom="page">
              <wp:posOffset>27305</wp:posOffset>
            </wp:positionH>
            <wp:positionV relativeFrom="page">
              <wp:posOffset>0</wp:posOffset>
            </wp:positionV>
            <wp:extent cx="7555865" cy="136017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r w:rsidRPr="002327A5">
        <w:rPr>
          <w:rFonts w:ascii="Arial" w:hAnsi="Arial" w:cs="Arial"/>
        </w:rPr>
        <w:t xml:space="preserve">ance document </w:t>
      </w:r>
      <w:r w:rsidR="00860B87" w:rsidRPr="002327A5">
        <w:rPr>
          <w:rFonts w:ascii="Arial" w:hAnsi="Arial" w:cs="Arial"/>
        </w:rPr>
        <w:t xml:space="preserve">has been developed </w:t>
      </w:r>
      <w:r w:rsidR="00204756" w:rsidRPr="002327A5">
        <w:rPr>
          <w:rFonts w:ascii="Arial" w:hAnsi="Arial" w:cs="Arial"/>
        </w:rPr>
        <w:t>for the</w:t>
      </w:r>
      <w:r w:rsidR="00B1112D" w:rsidRPr="002327A5">
        <w:rPr>
          <w:rFonts w:ascii="Arial" w:hAnsi="Arial" w:cs="Arial"/>
        </w:rPr>
        <w:t xml:space="preserve"> </w:t>
      </w:r>
      <w:r w:rsidR="00C9189E">
        <w:rPr>
          <w:rFonts w:ascii="Arial" w:hAnsi="Arial" w:cs="Arial"/>
        </w:rPr>
        <w:t xml:space="preserve">Victorian </w:t>
      </w:r>
      <w:r w:rsidR="00204756" w:rsidRPr="002327A5">
        <w:rPr>
          <w:rFonts w:ascii="Arial" w:hAnsi="Arial" w:cs="Arial"/>
        </w:rPr>
        <w:t xml:space="preserve">Department of Health (the department) </w:t>
      </w:r>
      <w:r w:rsidR="00860B87" w:rsidRPr="002327A5">
        <w:rPr>
          <w:rFonts w:ascii="Arial" w:hAnsi="Arial" w:cs="Arial"/>
        </w:rPr>
        <w:t xml:space="preserve">in response to two Victorian Coroners' reports that identified instances where </w:t>
      </w:r>
      <w:r w:rsidR="0009527A" w:rsidRPr="00E013B9">
        <w:rPr>
          <w:rFonts w:ascii="Arial" w:hAnsi="Arial" w:cs="Arial"/>
        </w:rPr>
        <w:t>Electronic Medication Management</w:t>
      </w:r>
      <w:r w:rsidR="0009527A" w:rsidRPr="002327A5">
        <w:rPr>
          <w:rFonts w:ascii="Arial" w:hAnsi="Arial" w:cs="Arial"/>
        </w:rPr>
        <w:t xml:space="preserve"> and </w:t>
      </w:r>
      <w:r w:rsidR="0009527A" w:rsidRPr="00E013B9">
        <w:rPr>
          <w:rFonts w:ascii="Arial" w:hAnsi="Arial" w:cs="Arial"/>
        </w:rPr>
        <w:t>Electronic Medical Records</w:t>
      </w:r>
      <w:r w:rsidR="0009527A" w:rsidRPr="002327A5">
        <w:rPr>
          <w:rFonts w:ascii="Arial" w:hAnsi="Arial" w:cs="Arial"/>
        </w:rPr>
        <w:t xml:space="preserve"> systems</w:t>
      </w:r>
      <w:r w:rsidR="00860B87" w:rsidRPr="002327A5">
        <w:rPr>
          <w:rFonts w:ascii="Arial" w:hAnsi="Arial" w:cs="Arial"/>
        </w:rPr>
        <w:t xml:space="preserve"> contributed to medication</w:t>
      </w:r>
      <w:r w:rsidR="001049FD" w:rsidRPr="002327A5">
        <w:rPr>
          <w:rFonts w:ascii="Arial" w:hAnsi="Arial" w:cs="Arial"/>
        </w:rPr>
        <w:t xml:space="preserve"> misadventures</w:t>
      </w:r>
      <w:r w:rsidR="0051737E" w:rsidRPr="002327A5">
        <w:rPr>
          <w:rFonts w:ascii="Arial" w:hAnsi="Arial" w:cs="Arial"/>
        </w:rPr>
        <w:t>:</w:t>
      </w:r>
    </w:p>
    <w:p w14:paraId="384C0CFF" w14:textId="10D1BD76" w:rsidR="00935498" w:rsidRPr="002327A5" w:rsidRDefault="00935498" w:rsidP="00E34841">
      <w:pPr>
        <w:pStyle w:val="ListParagraph"/>
        <w:numPr>
          <w:ilvl w:val="0"/>
          <w:numId w:val="1"/>
        </w:numPr>
        <w:rPr>
          <w:rFonts w:ascii="Arial" w:hAnsi="Arial" w:cs="Arial"/>
        </w:rPr>
      </w:pPr>
      <w:hyperlink r:id="rId12" w:history="1">
        <w:r w:rsidRPr="002327A5">
          <w:rPr>
            <w:rStyle w:val="Hyperlink"/>
            <w:rFonts w:ascii="Arial" w:hAnsi="Arial" w:cs="Arial"/>
          </w:rPr>
          <w:t>Coroner’s report</w:t>
        </w:r>
      </w:hyperlink>
      <w:r w:rsidR="00F7101D">
        <w:t xml:space="preserve"> </w:t>
      </w:r>
      <w:r w:rsidR="00F7101D" w:rsidRPr="00F7101D">
        <w:rPr>
          <w:rFonts w:ascii="Arial" w:hAnsi="Arial" w:cs="Arial"/>
        </w:rPr>
        <w:t xml:space="preserve">&lt; </w:t>
      </w:r>
      <w:hyperlink r:id="rId13" w:history="1">
        <w:r w:rsidR="00F7101D" w:rsidRPr="00F7101D">
          <w:rPr>
            <w:rStyle w:val="Hyperlink"/>
            <w:rFonts w:ascii="Arial" w:hAnsi="Arial" w:cs="Arial"/>
          </w:rPr>
          <w:t>https://www.coronerscourt.vic.gov.au/sites/default/files/2021-05/IanFraser_692119.pdf</w:t>
        </w:r>
      </w:hyperlink>
      <w:r w:rsidR="00F7101D" w:rsidRPr="00F7101D">
        <w:rPr>
          <w:rFonts w:ascii="Arial" w:hAnsi="Arial" w:cs="Arial"/>
        </w:rPr>
        <w:t xml:space="preserve"> &gt;</w:t>
      </w:r>
      <w:r w:rsidRPr="002327A5">
        <w:rPr>
          <w:rFonts w:ascii="Arial" w:hAnsi="Arial" w:cs="Arial"/>
        </w:rPr>
        <w:t xml:space="preserve"> (</w:t>
      </w:r>
      <w:r w:rsidR="007C0194" w:rsidRPr="002327A5">
        <w:rPr>
          <w:rFonts w:ascii="Arial" w:hAnsi="Arial" w:cs="Arial"/>
        </w:rPr>
        <w:t>Feb</w:t>
      </w:r>
      <w:r w:rsidR="007C0194">
        <w:rPr>
          <w:rFonts w:ascii="Arial" w:hAnsi="Arial" w:cs="Arial"/>
        </w:rPr>
        <w:t>ruary</w:t>
      </w:r>
      <w:r w:rsidRPr="002327A5">
        <w:rPr>
          <w:rFonts w:ascii="Arial" w:hAnsi="Arial" w:cs="Arial"/>
        </w:rPr>
        <w:t xml:space="preserve"> 2021) into the December 2019 death of Ian Fraser</w:t>
      </w:r>
    </w:p>
    <w:p w14:paraId="55485C7F" w14:textId="22BF2E7B" w:rsidR="005A7EC3" w:rsidRDefault="00935498" w:rsidP="00E34841">
      <w:pPr>
        <w:pStyle w:val="ListParagraph"/>
        <w:numPr>
          <w:ilvl w:val="0"/>
          <w:numId w:val="1"/>
        </w:numPr>
        <w:rPr>
          <w:rFonts w:ascii="Arial" w:hAnsi="Arial" w:cs="Arial"/>
        </w:rPr>
      </w:pPr>
      <w:hyperlink r:id="rId14">
        <w:r w:rsidRPr="724A7FBC">
          <w:rPr>
            <w:rStyle w:val="Hyperlink"/>
            <w:rFonts w:ascii="Arial" w:hAnsi="Arial" w:cs="Arial"/>
          </w:rPr>
          <w:t>Coroner’s report</w:t>
        </w:r>
      </w:hyperlink>
      <w:r w:rsidRPr="724A7FBC">
        <w:rPr>
          <w:rFonts w:ascii="Arial" w:hAnsi="Arial" w:cs="Arial"/>
        </w:rPr>
        <w:t xml:space="preserve"> </w:t>
      </w:r>
      <w:r w:rsidR="4C1291DD" w:rsidRPr="724A7FBC">
        <w:rPr>
          <w:rFonts w:ascii="Arial" w:hAnsi="Arial" w:cs="Arial"/>
        </w:rPr>
        <w:t>&lt;</w:t>
      </w:r>
      <w:hyperlink r:id="rId15" w:history="1">
        <w:r w:rsidR="004932CD" w:rsidRPr="00DC5509">
          <w:rPr>
            <w:rStyle w:val="Hyperlink"/>
            <w:rFonts w:ascii="Arial" w:hAnsi="Arial" w:cs="Arial"/>
          </w:rPr>
          <w:t>https://www.coronerscourt.vic.gov.au/sites/default/files/FINDING_SALVESON.pdf</w:t>
        </w:r>
      </w:hyperlink>
      <w:r w:rsidR="004932CD">
        <w:rPr>
          <w:rFonts w:ascii="Arial" w:hAnsi="Arial" w:cs="Arial"/>
        </w:rPr>
        <w:t>&gt;</w:t>
      </w:r>
      <w:r w:rsidR="00C9426D" w:rsidRPr="724A7FBC">
        <w:rPr>
          <w:rFonts w:ascii="Arial" w:hAnsi="Arial" w:cs="Arial"/>
        </w:rPr>
        <w:t xml:space="preserve"> </w:t>
      </w:r>
      <w:r w:rsidRPr="724A7FBC">
        <w:rPr>
          <w:rFonts w:ascii="Arial" w:hAnsi="Arial" w:cs="Arial"/>
        </w:rPr>
        <w:t>(June 2021) into the November 2019 death of Carlene Margaret Salveson </w:t>
      </w:r>
    </w:p>
    <w:p w14:paraId="1CFB52CF" w14:textId="45EB5BFF" w:rsidR="00AF4577" w:rsidRPr="00162E84" w:rsidRDefault="008A1413" w:rsidP="5AF117D2">
      <w:pPr>
        <w:pStyle w:val="NoSpacing"/>
        <w:rPr>
          <w:rFonts w:ascii="Arial" w:hAnsi="Arial" w:cs="Arial"/>
          <w:sz w:val="20"/>
          <w:szCs w:val="20"/>
        </w:rPr>
      </w:pPr>
      <w:r w:rsidRPr="5AF117D2">
        <w:rPr>
          <w:rFonts w:ascii="Arial" w:hAnsi="Arial" w:cs="Arial"/>
          <w:sz w:val="20"/>
          <w:szCs w:val="20"/>
        </w:rPr>
        <w:t xml:space="preserve">The guidance document offers recommendations </w:t>
      </w:r>
      <w:r w:rsidR="00B96804" w:rsidRPr="5AF117D2">
        <w:rPr>
          <w:rFonts w:ascii="Arial" w:hAnsi="Arial" w:cs="Arial"/>
          <w:sz w:val="20"/>
          <w:szCs w:val="20"/>
        </w:rPr>
        <w:t>for improving high-risk medication management in clinical systems, covering</w:t>
      </w:r>
      <w:r w:rsidR="00AF4577" w:rsidRPr="5AF117D2">
        <w:rPr>
          <w:rFonts w:ascii="Arial" w:hAnsi="Arial" w:cs="Arial"/>
          <w:sz w:val="20"/>
          <w:szCs w:val="20"/>
        </w:rPr>
        <w:t>:</w:t>
      </w:r>
    </w:p>
    <w:p w14:paraId="49C1F709" w14:textId="112586CD" w:rsidR="00CE5E63" w:rsidRDefault="008A1413" w:rsidP="00E34841">
      <w:pPr>
        <w:pStyle w:val="NoSpacing"/>
        <w:numPr>
          <w:ilvl w:val="0"/>
          <w:numId w:val="7"/>
        </w:numPr>
        <w:rPr>
          <w:rFonts w:ascii="Arial" w:hAnsi="Arial" w:cs="Arial"/>
          <w:sz w:val="20"/>
          <w:szCs w:val="20"/>
        </w:rPr>
      </w:pPr>
      <w:r w:rsidRPr="5AF117D2">
        <w:rPr>
          <w:rFonts w:ascii="Arial" w:hAnsi="Arial" w:cs="Arial"/>
          <w:sz w:val="20"/>
          <w:szCs w:val="20"/>
        </w:rPr>
        <w:t xml:space="preserve">the importance of </w:t>
      </w:r>
      <w:r w:rsidR="00162E84" w:rsidRPr="5AF117D2">
        <w:rPr>
          <w:rFonts w:ascii="Arial" w:hAnsi="Arial" w:cs="Arial"/>
          <w:sz w:val="20"/>
          <w:szCs w:val="20"/>
        </w:rPr>
        <w:t xml:space="preserve">routinely </w:t>
      </w:r>
      <w:r w:rsidRPr="5AF117D2">
        <w:rPr>
          <w:rFonts w:ascii="Arial" w:hAnsi="Arial" w:cs="Arial"/>
          <w:sz w:val="20"/>
          <w:szCs w:val="20"/>
        </w:rPr>
        <w:t>reviewing the management of high-risk medicines in clinical systems</w:t>
      </w:r>
    </w:p>
    <w:p w14:paraId="07354150" w14:textId="7D267B65" w:rsidR="002139C2" w:rsidRDefault="002139C2" w:rsidP="00E34841">
      <w:pPr>
        <w:pStyle w:val="NoSpacing"/>
        <w:numPr>
          <w:ilvl w:val="0"/>
          <w:numId w:val="7"/>
        </w:numPr>
        <w:rPr>
          <w:rFonts w:ascii="Arial" w:hAnsi="Arial" w:cs="Arial"/>
          <w:sz w:val="20"/>
          <w:szCs w:val="20"/>
        </w:rPr>
      </w:pPr>
      <w:r w:rsidRPr="5AF117D2">
        <w:rPr>
          <w:rFonts w:ascii="Arial" w:hAnsi="Arial" w:cs="Arial"/>
          <w:sz w:val="20"/>
          <w:szCs w:val="20"/>
        </w:rPr>
        <w:t xml:space="preserve">designing </w:t>
      </w:r>
      <w:r w:rsidR="00890079" w:rsidRPr="5AF117D2">
        <w:rPr>
          <w:rFonts w:ascii="Arial" w:hAnsi="Arial" w:cs="Arial"/>
          <w:sz w:val="20"/>
          <w:szCs w:val="20"/>
        </w:rPr>
        <w:t>systems and strategies that is tailored to the needs of the end user</w:t>
      </w:r>
    </w:p>
    <w:p w14:paraId="12A42E14" w14:textId="3166B962" w:rsidR="00890079" w:rsidRDefault="00CC4ED1" w:rsidP="00E34841">
      <w:pPr>
        <w:pStyle w:val="NoSpacing"/>
        <w:numPr>
          <w:ilvl w:val="0"/>
          <w:numId w:val="7"/>
        </w:numPr>
        <w:rPr>
          <w:rFonts w:ascii="Arial" w:hAnsi="Arial" w:cs="Arial"/>
          <w:sz w:val="20"/>
          <w:szCs w:val="20"/>
        </w:rPr>
      </w:pPr>
      <w:r w:rsidRPr="5AF117D2">
        <w:rPr>
          <w:rFonts w:ascii="Arial" w:hAnsi="Arial" w:cs="Arial"/>
          <w:sz w:val="20"/>
          <w:szCs w:val="20"/>
        </w:rPr>
        <w:t xml:space="preserve">highlights the role of continuous education to ensure proper utilisation of </w:t>
      </w:r>
      <w:r w:rsidR="00700B95" w:rsidRPr="5AF117D2">
        <w:rPr>
          <w:rFonts w:ascii="Arial" w:hAnsi="Arial" w:cs="Arial"/>
          <w:sz w:val="20"/>
          <w:szCs w:val="20"/>
        </w:rPr>
        <w:t>systems designed</w:t>
      </w:r>
    </w:p>
    <w:p w14:paraId="310069E9" w14:textId="13425FE1" w:rsidR="00A91EE1" w:rsidRDefault="00A91EE1" w:rsidP="00E34841">
      <w:pPr>
        <w:pStyle w:val="NoSpacing"/>
        <w:numPr>
          <w:ilvl w:val="0"/>
          <w:numId w:val="7"/>
        </w:numPr>
        <w:rPr>
          <w:rFonts w:ascii="Arial" w:hAnsi="Arial" w:cs="Arial"/>
          <w:sz w:val="20"/>
          <w:szCs w:val="20"/>
        </w:rPr>
      </w:pPr>
      <w:r w:rsidRPr="5AF117D2">
        <w:rPr>
          <w:rFonts w:ascii="Arial" w:hAnsi="Arial" w:cs="Arial"/>
          <w:sz w:val="20"/>
          <w:szCs w:val="20"/>
        </w:rPr>
        <w:t>emphasises the need for strong structures and governance to effectively oversee these medicines</w:t>
      </w:r>
    </w:p>
    <w:p w14:paraId="6C6ABDD6" w14:textId="77777777" w:rsidR="0025515C" w:rsidRDefault="0025515C" w:rsidP="00E34841">
      <w:pPr>
        <w:pStyle w:val="NoSpacing"/>
        <w:numPr>
          <w:ilvl w:val="0"/>
          <w:numId w:val="7"/>
        </w:numPr>
        <w:rPr>
          <w:rFonts w:ascii="Arial" w:hAnsi="Arial" w:cs="Arial"/>
          <w:sz w:val="20"/>
          <w:szCs w:val="20"/>
        </w:rPr>
      </w:pPr>
      <w:r w:rsidRPr="5AF117D2">
        <w:rPr>
          <w:rFonts w:ascii="Arial" w:hAnsi="Arial" w:cs="Arial"/>
          <w:sz w:val="20"/>
          <w:szCs w:val="20"/>
        </w:rPr>
        <w:t>provides a current summary of the strategies used in Australian hospitals</w:t>
      </w:r>
    </w:p>
    <w:p w14:paraId="77C6C9B4" w14:textId="61134280" w:rsidR="009343CC" w:rsidRPr="00673D21" w:rsidRDefault="00285FF9" w:rsidP="00C453F6">
      <w:pPr>
        <w:pStyle w:val="Heading1"/>
        <w:rPr>
          <w:rFonts w:ascii="Arial" w:eastAsiaTheme="minorHAnsi" w:hAnsi="Arial" w:cs="Arial"/>
          <w:color w:val="auto"/>
          <w:sz w:val="20"/>
          <w:szCs w:val="24"/>
        </w:rPr>
      </w:pPr>
      <w:r w:rsidRPr="00E71B5D">
        <w:rPr>
          <w:rFonts w:ascii="Arial" w:hAnsi="Arial" w:cs="Arial"/>
          <w:b/>
          <w:bCs/>
          <w:sz w:val="36"/>
          <w:szCs w:val="36"/>
        </w:rPr>
        <w:t>Background</w:t>
      </w:r>
    </w:p>
    <w:p w14:paraId="0670BC22" w14:textId="62040320" w:rsidR="000C6567" w:rsidRPr="005D0926" w:rsidRDefault="0BEED73D" w:rsidP="002327A5">
      <w:pPr>
        <w:rPr>
          <w:rFonts w:ascii="Arial" w:hAnsi="Arial" w:cs="Arial"/>
        </w:rPr>
      </w:pPr>
      <w:r w:rsidRPr="3B7BA401">
        <w:rPr>
          <w:rFonts w:ascii="Arial" w:hAnsi="Arial" w:cs="Arial"/>
        </w:rPr>
        <w:t>E</w:t>
      </w:r>
      <w:r w:rsidR="118F2611" w:rsidRPr="3B7BA401">
        <w:rPr>
          <w:rFonts w:ascii="Arial" w:hAnsi="Arial" w:cs="Arial"/>
        </w:rPr>
        <w:t>lectronic Medication Management</w:t>
      </w:r>
      <w:r w:rsidR="7112C2D3" w:rsidRPr="3B7BA401">
        <w:rPr>
          <w:rFonts w:ascii="Arial" w:hAnsi="Arial" w:cs="Arial"/>
        </w:rPr>
        <w:t xml:space="preserve"> (EMM) and </w:t>
      </w:r>
      <w:r w:rsidR="6B30B04C" w:rsidRPr="3B7BA401">
        <w:rPr>
          <w:rFonts w:ascii="Arial" w:hAnsi="Arial" w:cs="Arial"/>
        </w:rPr>
        <w:t>Electronic Medical Record</w:t>
      </w:r>
      <w:r w:rsidR="7112C2D3" w:rsidRPr="3B7BA401">
        <w:rPr>
          <w:rFonts w:ascii="Arial" w:hAnsi="Arial" w:cs="Arial"/>
        </w:rPr>
        <w:t xml:space="preserve"> (EMR) systems are</w:t>
      </w:r>
      <w:r w:rsidR="520DB4C5" w:rsidRPr="3B7BA401">
        <w:rPr>
          <w:rFonts w:ascii="Arial" w:hAnsi="Arial" w:cs="Arial"/>
        </w:rPr>
        <w:t xml:space="preserve"> </w:t>
      </w:r>
      <w:r w:rsidR="36358407" w:rsidRPr="3B7BA401">
        <w:rPr>
          <w:rFonts w:ascii="Arial" w:hAnsi="Arial" w:cs="Arial"/>
        </w:rPr>
        <w:t xml:space="preserve">digital </w:t>
      </w:r>
      <w:r w:rsidR="520DB4C5" w:rsidRPr="3B7BA401">
        <w:rPr>
          <w:rFonts w:ascii="Arial" w:hAnsi="Arial" w:cs="Arial"/>
        </w:rPr>
        <w:t>clinical systems</w:t>
      </w:r>
      <w:r w:rsidR="7112C2D3" w:rsidRPr="3B7BA401">
        <w:rPr>
          <w:rFonts w:ascii="Arial" w:hAnsi="Arial" w:cs="Arial"/>
        </w:rPr>
        <w:t xml:space="preserve"> </w:t>
      </w:r>
      <w:r w:rsidR="314F1375" w:rsidRPr="3B7BA401">
        <w:rPr>
          <w:rFonts w:ascii="Arial" w:hAnsi="Arial" w:cs="Arial"/>
        </w:rPr>
        <w:t>critical for the delivery of</w:t>
      </w:r>
      <w:r w:rsidR="7112C2D3" w:rsidRPr="3B7BA401">
        <w:rPr>
          <w:rFonts w:ascii="Arial" w:hAnsi="Arial" w:cs="Arial"/>
        </w:rPr>
        <w:t xml:space="preserve"> modern healthcare</w:t>
      </w:r>
      <w:r w:rsidR="68B3F36B" w:rsidRPr="3B7BA401">
        <w:rPr>
          <w:rFonts w:ascii="Arial" w:hAnsi="Arial" w:cs="Arial"/>
        </w:rPr>
        <w:t>.</w:t>
      </w:r>
      <w:r w:rsidR="0FDB0A73" w:rsidRPr="3B7BA401">
        <w:rPr>
          <w:rFonts w:ascii="Arial" w:hAnsi="Arial" w:cs="Arial"/>
        </w:rPr>
        <w:t xml:space="preserve"> </w:t>
      </w:r>
      <w:r w:rsidR="68B3F36B" w:rsidRPr="3B7BA401">
        <w:rPr>
          <w:rFonts w:ascii="Arial" w:hAnsi="Arial" w:cs="Arial"/>
        </w:rPr>
        <w:t xml:space="preserve">These systems </w:t>
      </w:r>
      <w:r w:rsidR="213654C9" w:rsidRPr="3B7BA401">
        <w:rPr>
          <w:rFonts w:ascii="Arial" w:hAnsi="Arial" w:cs="Arial"/>
        </w:rPr>
        <w:t xml:space="preserve">enhance </w:t>
      </w:r>
      <w:r w:rsidR="2BD4A038" w:rsidRPr="3B7BA401">
        <w:rPr>
          <w:rFonts w:ascii="Arial" w:hAnsi="Arial" w:cs="Arial"/>
        </w:rPr>
        <w:t xml:space="preserve">quality healthcare delivery </w:t>
      </w:r>
      <w:r w:rsidR="2AFBC459" w:rsidRPr="3B7BA401">
        <w:rPr>
          <w:rFonts w:ascii="Arial" w:hAnsi="Arial" w:cs="Arial"/>
        </w:rPr>
        <w:t>by providing healthcare staff with real-time information</w:t>
      </w:r>
      <w:r w:rsidR="1F31910D" w:rsidRPr="3B7BA401">
        <w:rPr>
          <w:rFonts w:ascii="Arial" w:hAnsi="Arial" w:cs="Arial"/>
        </w:rPr>
        <w:t xml:space="preserve"> and</w:t>
      </w:r>
      <w:r w:rsidR="2AFBC459" w:rsidRPr="3B7BA401">
        <w:rPr>
          <w:rFonts w:ascii="Arial" w:hAnsi="Arial" w:cs="Arial"/>
        </w:rPr>
        <w:t xml:space="preserve"> help to reduce preventable adverse medication events </w:t>
      </w:r>
      <w:r w:rsidR="3404A9B3" w:rsidRPr="3B7BA401">
        <w:rPr>
          <w:rFonts w:ascii="Arial" w:hAnsi="Arial" w:cs="Arial"/>
        </w:rPr>
        <w:t>including</w:t>
      </w:r>
      <w:r w:rsidR="2AFBC459" w:rsidRPr="3B7BA401">
        <w:rPr>
          <w:rFonts w:ascii="Arial" w:hAnsi="Arial" w:cs="Arial"/>
        </w:rPr>
        <w:t xml:space="preserve"> prescribing</w:t>
      </w:r>
      <w:r w:rsidR="5AED54BA" w:rsidRPr="3B7BA401">
        <w:rPr>
          <w:rFonts w:ascii="Arial" w:hAnsi="Arial" w:cs="Arial"/>
        </w:rPr>
        <w:t>, administration</w:t>
      </w:r>
      <w:r w:rsidR="2AFBC459" w:rsidRPr="3B7BA401">
        <w:rPr>
          <w:rFonts w:ascii="Arial" w:hAnsi="Arial" w:cs="Arial"/>
        </w:rPr>
        <w:t xml:space="preserve"> and dispensing errors.</w:t>
      </w:r>
    </w:p>
    <w:p w14:paraId="75BF7A66" w14:textId="2EC372D7" w:rsidR="00541FF8" w:rsidRPr="00541FF8" w:rsidRDefault="00541FF8" w:rsidP="5AF117D2">
      <w:pPr>
        <w:rPr>
          <w:rFonts w:ascii="Arial" w:hAnsi="Arial" w:cs="Arial"/>
        </w:rPr>
      </w:pPr>
      <w:r w:rsidRPr="5AF117D2">
        <w:rPr>
          <w:rFonts w:ascii="Arial" w:hAnsi="Arial" w:cs="Arial"/>
        </w:rPr>
        <w:t xml:space="preserve">The two Coroner's reports detail incidents where the omission and </w:t>
      </w:r>
      <w:r w:rsidR="00F01ADB" w:rsidRPr="5AF117D2">
        <w:rPr>
          <w:rFonts w:ascii="Arial" w:hAnsi="Arial" w:cs="Arial"/>
        </w:rPr>
        <w:t>concurrent</w:t>
      </w:r>
      <w:r w:rsidRPr="5AF117D2">
        <w:rPr>
          <w:rFonts w:ascii="Arial" w:hAnsi="Arial" w:cs="Arial"/>
        </w:rPr>
        <w:t xml:space="preserve"> prescribing of two similar high-risk medic</w:t>
      </w:r>
      <w:r w:rsidR="00F01ADB" w:rsidRPr="5AF117D2">
        <w:rPr>
          <w:rFonts w:ascii="Arial" w:hAnsi="Arial" w:cs="Arial"/>
        </w:rPr>
        <w:t>ine</w:t>
      </w:r>
      <w:r w:rsidRPr="5AF117D2">
        <w:rPr>
          <w:rFonts w:ascii="Arial" w:hAnsi="Arial" w:cs="Arial"/>
        </w:rPr>
        <w:t>s within Electronic Medical Records (EMRs) and Electronic Medication Management (EMM) systems contributed to two tragic fatalities.</w:t>
      </w:r>
    </w:p>
    <w:p w14:paraId="719A4B62" w14:textId="48772989" w:rsidR="00F87BAD" w:rsidRPr="005D0926" w:rsidRDefault="007C6536" w:rsidP="002327A5">
      <w:pPr>
        <w:rPr>
          <w:rFonts w:ascii="Arial" w:hAnsi="Arial" w:cs="Arial"/>
        </w:rPr>
      </w:pPr>
      <w:r w:rsidRPr="5AF117D2">
        <w:rPr>
          <w:rFonts w:ascii="Arial" w:hAnsi="Arial" w:cs="Arial"/>
        </w:rPr>
        <w:t>In response to these concerns</w:t>
      </w:r>
      <w:r w:rsidR="00784FE0" w:rsidRPr="5AF117D2">
        <w:rPr>
          <w:rFonts w:ascii="Arial" w:hAnsi="Arial" w:cs="Arial"/>
        </w:rPr>
        <w:t xml:space="preserve">, </w:t>
      </w:r>
      <w:r w:rsidR="00DB4917" w:rsidRPr="5AF117D2">
        <w:rPr>
          <w:rFonts w:ascii="Arial" w:hAnsi="Arial" w:cs="Arial"/>
        </w:rPr>
        <w:t xml:space="preserve">the Victorian Coroner recommended that the Digital Health </w:t>
      </w:r>
      <w:r w:rsidR="004B366B" w:rsidRPr="5AF117D2">
        <w:rPr>
          <w:rFonts w:ascii="Arial" w:hAnsi="Arial" w:cs="Arial"/>
        </w:rPr>
        <w:t>b</w:t>
      </w:r>
      <w:r w:rsidR="00DB4917" w:rsidRPr="5AF117D2">
        <w:rPr>
          <w:rFonts w:ascii="Arial" w:hAnsi="Arial" w:cs="Arial"/>
        </w:rPr>
        <w:t>ranch of Victoria’s Department of Health collaborate with key stakeholders</w:t>
      </w:r>
      <w:r w:rsidR="00F87BAD" w:rsidRPr="5AF117D2">
        <w:rPr>
          <w:rFonts w:ascii="Arial" w:hAnsi="Arial" w:cs="Arial"/>
        </w:rPr>
        <w:t xml:space="preserve">, including the </w:t>
      </w:r>
      <w:r w:rsidR="00F87BAD" w:rsidRPr="00F9075C">
        <w:rPr>
          <w:rFonts w:ascii="Arial" w:hAnsi="Arial" w:cs="Arial"/>
        </w:rPr>
        <w:t>Australian Commission on Safety and Quality in Health Care (ACSQHC)</w:t>
      </w:r>
      <w:r w:rsidR="00F87BAD" w:rsidRPr="5AF117D2">
        <w:rPr>
          <w:rFonts w:ascii="Arial" w:hAnsi="Arial" w:cs="Arial"/>
        </w:rPr>
        <w:t xml:space="preserve">, the </w:t>
      </w:r>
      <w:r w:rsidR="00F87BAD" w:rsidRPr="00F9075C">
        <w:rPr>
          <w:rFonts w:ascii="Arial" w:hAnsi="Arial" w:cs="Arial"/>
        </w:rPr>
        <w:t>Therapeutic Goods Administration (TGA)</w:t>
      </w:r>
      <w:r w:rsidR="00F87BAD" w:rsidRPr="5AF117D2">
        <w:rPr>
          <w:rFonts w:ascii="Arial" w:hAnsi="Arial" w:cs="Arial"/>
        </w:rPr>
        <w:t>, and health services, to review and improve the management of high-risk medicines in clinical systems.</w:t>
      </w:r>
    </w:p>
    <w:p w14:paraId="2CB02D8C" w14:textId="156D61A2" w:rsidR="00A34DB2" w:rsidRDefault="6EEED26D" w:rsidP="5FA52762">
      <w:pPr>
        <w:rPr>
          <w:rFonts w:ascii="Arial" w:hAnsi="Arial" w:cs="Arial"/>
        </w:rPr>
      </w:pPr>
      <w:r w:rsidRPr="5AF117D2">
        <w:rPr>
          <w:rFonts w:ascii="Arial" w:hAnsi="Arial" w:cs="Arial"/>
        </w:rPr>
        <w:t>The Digital Health branch established the eHealth High Risk Medicine Safety Advisory Group</w:t>
      </w:r>
      <w:r w:rsidR="00663750" w:rsidRPr="5AF117D2">
        <w:rPr>
          <w:rFonts w:ascii="Arial" w:hAnsi="Arial" w:cs="Arial"/>
        </w:rPr>
        <w:t xml:space="preserve"> (</w:t>
      </w:r>
      <w:r w:rsidR="619CBDA3" w:rsidRPr="5AF117D2">
        <w:rPr>
          <w:rFonts w:ascii="Arial" w:hAnsi="Arial" w:cs="Arial"/>
        </w:rPr>
        <w:t xml:space="preserve">the </w:t>
      </w:r>
      <w:r w:rsidR="00663750" w:rsidRPr="5AF117D2">
        <w:rPr>
          <w:rFonts w:ascii="Arial" w:hAnsi="Arial" w:cs="Arial"/>
        </w:rPr>
        <w:t>advisory group)</w:t>
      </w:r>
      <w:r w:rsidRPr="5AF117D2">
        <w:rPr>
          <w:rFonts w:ascii="Arial" w:hAnsi="Arial" w:cs="Arial"/>
        </w:rPr>
        <w:t xml:space="preserve">, including clinical and safety experts from Victoria and across Australia. This </w:t>
      </w:r>
      <w:r w:rsidR="00E13B5D" w:rsidRPr="5AF117D2">
        <w:rPr>
          <w:rFonts w:ascii="Arial" w:hAnsi="Arial" w:cs="Arial"/>
        </w:rPr>
        <w:t>a</w:t>
      </w:r>
      <w:r w:rsidRPr="5AF117D2">
        <w:rPr>
          <w:rFonts w:ascii="Arial" w:hAnsi="Arial" w:cs="Arial"/>
        </w:rPr>
        <w:t xml:space="preserve">dvisory </w:t>
      </w:r>
      <w:r w:rsidR="00E13B5D" w:rsidRPr="5AF117D2">
        <w:rPr>
          <w:rFonts w:ascii="Arial" w:hAnsi="Arial" w:cs="Arial"/>
        </w:rPr>
        <w:t>g</w:t>
      </w:r>
      <w:r w:rsidRPr="5AF117D2">
        <w:rPr>
          <w:rFonts w:ascii="Arial" w:hAnsi="Arial" w:cs="Arial"/>
        </w:rPr>
        <w:t xml:space="preserve">roup coordinated a national review of </w:t>
      </w:r>
      <w:r w:rsidR="6ACD51EE" w:rsidRPr="5AF117D2">
        <w:rPr>
          <w:rFonts w:ascii="Arial" w:hAnsi="Arial" w:cs="Arial"/>
        </w:rPr>
        <w:t xml:space="preserve">the </w:t>
      </w:r>
      <w:r w:rsidR="005A174B" w:rsidRPr="5AF117D2">
        <w:rPr>
          <w:rFonts w:ascii="Arial" w:hAnsi="Arial" w:cs="Arial"/>
        </w:rPr>
        <w:t xml:space="preserve">display, prescribing and monitoring practices </w:t>
      </w:r>
      <w:r w:rsidR="6ACD51EE" w:rsidRPr="5AF117D2">
        <w:rPr>
          <w:rFonts w:ascii="Arial" w:hAnsi="Arial" w:cs="Arial"/>
        </w:rPr>
        <w:t xml:space="preserve">of high-risk medicines </w:t>
      </w:r>
      <w:r w:rsidRPr="5AF117D2">
        <w:rPr>
          <w:rFonts w:ascii="Arial" w:hAnsi="Arial" w:cs="Arial"/>
        </w:rPr>
        <w:t xml:space="preserve">in clinical systems, pinpointing established best practices and </w:t>
      </w:r>
      <w:r w:rsidR="46F6AD82" w:rsidRPr="5AF117D2">
        <w:rPr>
          <w:rFonts w:ascii="Arial" w:hAnsi="Arial" w:cs="Arial"/>
        </w:rPr>
        <w:t xml:space="preserve">identifying </w:t>
      </w:r>
      <w:r w:rsidRPr="5AF117D2">
        <w:rPr>
          <w:rFonts w:ascii="Arial" w:hAnsi="Arial" w:cs="Arial"/>
        </w:rPr>
        <w:t>opportunities for consistent implementation of these improvements throughout the health system.</w:t>
      </w:r>
    </w:p>
    <w:p w14:paraId="5F76C68E" w14:textId="74CC808D" w:rsidR="009343CC" w:rsidRPr="00E71B5D" w:rsidRDefault="009343CC" w:rsidP="00FF4BA9">
      <w:pPr>
        <w:pStyle w:val="Heading1"/>
        <w:rPr>
          <w:rFonts w:ascii="Arial" w:hAnsi="Arial" w:cs="Arial"/>
          <w:b/>
          <w:bCs/>
          <w:sz w:val="36"/>
          <w:szCs w:val="36"/>
        </w:rPr>
      </w:pPr>
      <w:r w:rsidRPr="00E71B5D">
        <w:rPr>
          <w:rFonts w:ascii="Arial" w:hAnsi="Arial" w:cs="Arial"/>
          <w:b/>
          <w:bCs/>
          <w:sz w:val="36"/>
          <w:szCs w:val="36"/>
        </w:rPr>
        <w:lastRenderedPageBreak/>
        <w:t>Introduction</w:t>
      </w:r>
    </w:p>
    <w:p w14:paraId="04F670CB" w14:textId="5805DA46" w:rsidR="009329CD" w:rsidRPr="002327A5" w:rsidRDefault="73ED53A8" w:rsidP="002327A5">
      <w:pPr>
        <w:rPr>
          <w:rFonts w:ascii="Arial" w:hAnsi="Arial" w:cs="Arial"/>
        </w:rPr>
      </w:pPr>
      <w:r w:rsidRPr="5AF117D2">
        <w:rPr>
          <w:rFonts w:ascii="Arial" w:hAnsi="Arial" w:cs="Arial"/>
        </w:rPr>
        <w:t xml:space="preserve">Health services should regularly assess </w:t>
      </w:r>
      <w:r w:rsidR="00E90867" w:rsidRPr="5AF117D2">
        <w:rPr>
          <w:rFonts w:ascii="Arial" w:hAnsi="Arial" w:cs="Arial"/>
        </w:rPr>
        <w:t xml:space="preserve">how </w:t>
      </w:r>
      <w:r w:rsidR="008012F5" w:rsidRPr="5AF117D2">
        <w:rPr>
          <w:rFonts w:ascii="Arial" w:hAnsi="Arial" w:cs="Arial"/>
        </w:rPr>
        <w:t>medicines</w:t>
      </w:r>
      <w:r w:rsidR="00E90867" w:rsidRPr="5AF117D2">
        <w:rPr>
          <w:rFonts w:ascii="Arial" w:hAnsi="Arial" w:cs="Arial"/>
        </w:rPr>
        <w:t xml:space="preserve"> </w:t>
      </w:r>
      <w:r w:rsidR="008B1FC4" w:rsidRPr="5AF117D2">
        <w:rPr>
          <w:rFonts w:ascii="Arial" w:hAnsi="Arial" w:cs="Arial"/>
        </w:rPr>
        <w:t>are displayed</w:t>
      </w:r>
      <w:r w:rsidR="00CE3412" w:rsidRPr="5AF117D2">
        <w:rPr>
          <w:rFonts w:ascii="Arial" w:hAnsi="Arial" w:cs="Arial"/>
        </w:rPr>
        <w:t xml:space="preserve">, </w:t>
      </w:r>
      <w:r w:rsidR="00E90867" w:rsidRPr="5AF117D2">
        <w:rPr>
          <w:rFonts w:ascii="Arial" w:hAnsi="Arial" w:cs="Arial"/>
        </w:rPr>
        <w:t>prescribed</w:t>
      </w:r>
      <w:r w:rsidR="00CE3412" w:rsidRPr="5AF117D2">
        <w:rPr>
          <w:rFonts w:ascii="Arial" w:hAnsi="Arial" w:cs="Arial"/>
        </w:rPr>
        <w:t xml:space="preserve"> and monitored</w:t>
      </w:r>
      <w:r w:rsidRPr="5AF117D2">
        <w:rPr>
          <w:rFonts w:ascii="Arial" w:hAnsi="Arial" w:cs="Arial"/>
        </w:rPr>
        <w:t xml:space="preserve"> within EMM and EMR systems.</w:t>
      </w:r>
      <w:r w:rsidR="0AE2C74B" w:rsidRPr="5AF117D2">
        <w:rPr>
          <w:rFonts w:ascii="Arial" w:hAnsi="Arial" w:cs="Arial"/>
        </w:rPr>
        <w:t xml:space="preserve"> </w:t>
      </w:r>
      <w:r w:rsidRPr="5AF117D2">
        <w:rPr>
          <w:rFonts w:ascii="Arial" w:hAnsi="Arial" w:cs="Arial"/>
        </w:rPr>
        <w:t xml:space="preserve">To guide this effort, the </w:t>
      </w:r>
      <w:r w:rsidR="7C234A96" w:rsidRPr="5AF117D2">
        <w:rPr>
          <w:rFonts w:ascii="Arial" w:hAnsi="Arial" w:cs="Arial"/>
        </w:rPr>
        <w:t>a</w:t>
      </w:r>
      <w:r w:rsidRPr="5AF117D2">
        <w:rPr>
          <w:rFonts w:ascii="Arial" w:hAnsi="Arial" w:cs="Arial"/>
        </w:rPr>
        <w:t xml:space="preserve">dvisory </w:t>
      </w:r>
      <w:r w:rsidR="7C234A96" w:rsidRPr="5AF117D2">
        <w:rPr>
          <w:rFonts w:ascii="Arial" w:hAnsi="Arial" w:cs="Arial"/>
        </w:rPr>
        <w:t>g</w:t>
      </w:r>
      <w:r w:rsidRPr="5AF117D2">
        <w:rPr>
          <w:rFonts w:ascii="Arial" w:hAnsi="Arial" w:cs="Arial"/>
        </w:rPr>
        <w:t xml:space="preserve">roup commissioned a comprehensive literature review and environmental scan, conducted by the University of Sydney in 2023. </w:t>
      </w:r>
    </w:p>
    <w:p w14:paraId="0F240CFE" w14:textId="7B166B9F" w:rsidR="00373FF0" w:rsidRDefault="009329CD" w:rsidP="002327A5">
      <w:pPr>
        <w:rPr>
          <w:rFonts w:ascii="Arial" w:hAnsi="Arial" w:cs="Arial"/>
        </w:rPr>
      </w:pPr>
      <w:r w:rsidRPr="002327A5">
        <w:rPr>
          <w:rFonts w:ascii="Arial" w:hAnsi="Arial" w:cs="Arial"/>
        </w:rPr>
        <w:t>The</w:t>
      </w:r>
      <w:r w:rsidRPr="5AF117D2">
        <w:rPr>
          <w:rFonts w:ascii="Arial" w:hAnsi="Arial" w:cs="Arial"/>
          <w:i/>
          <w:iCs/>
        </w:rPr>
        <w:t xml:space="preserve"> eHealth High Risk Medicine Safety – Rapid Literature Review and Environmental Scan</w:t>
      </w:r>
      <w:r w:rsidR="00E41B2E" w:rsidRPr="5AF117D2">
        <w:rPr>
          <w:rFonts w:ascii="Arial" w:hAnsi="Arial" w:cs="Arial"/>
          <w:i/>
          <w:iCs/>
        </w:rPr>
        <w:t xml:space="preserve"> report</w:t>
      </w:r>
      <w:r w:rsidR="00E66E53" w:rsidRPr="002327A5">
        <w:rPr>
          <w:rStyle w:val="FootnoteReference"/>
          <w:rFonts w:ascii="Arial" w:hAnsi="Arial" w:cs="Arial"/>
        </w:rPr>
        <w:footnoteReference w:id="2"/>
      </w:r>
      <w:r w:rsidR="0024758E" w:rsidRPr="5AF117D2">
        <w:rPr>
          <w:rFonts w:ascii="Arial" w:hAnsi="Arial" w:cs="Arial"/>
          <w:i/>
          <w:iCs/>
        </w:rPr>
        <w:t xml:space="preserve"> </w:t>
      </w:r>
      <w:r w:rsidRPr="002327A5">
        <w:rPr>
          <w:rFonts w:ascii="Arial" w:hAnsi="Arial" w:cs="Arial"/>
        </w:rPr>
        <w:t xml:space="preserve">(the </w:t>
      </w:r>
      <w:r w:rsidR="00221D81">
        <w:rPr>
          <w:rFonts w:ascii="Arial" w:hAnsi="Arial" w:cs="Arial"/>
        </w:rPr>
        <w:t>r</w:t>
      </w:r>
      <w:r w:rsidRPr="002327A5">
        <w:rPr>
          <w:rFonts w:ascii="Arial" w:hAnsi="Arial" w:cs="Arial"/>
        </w:rPr>
        <w:t xml:space="preserve">eport), </w:t>
      </w:r>
      <w:r w:rsidR="00FD4E12" w:rsidRPr="00FD4E12">
        <w:rPr>
          <w:rFonts w:ascii="Arial" w:hAnsi="Arial" w:cs="Arial"/>
        </w:rPr>
        <w:t xml:space="preserve">explored how different health services approach the display, prescribing, and monitoring of high-risk medicines through EMM and EMR systems, with a goal of identifying </w:t>
      </w:r>
      <w:r w:rsidR="007213EC">
        <w:rPr>
          <w:rFonts w:ascii="Arial" w:hAnsi="Arial" w:cs="Arial"/>
        </w:rPr>
        <w:t>common</w:t>
      </w:r>
      <w:r w:rsidR="00FD4E12" w:rsidRPr="00FD4E12">
        <w:rPr>
          <w:rFonts w:ascii="Arial" w:hAnsi="Arial" w:cs="Arial"/>
        </w:rPr>
        <w:t xml:space="preserve"> practices and opportunities for improvement.</w:t>
      </w:r>
    </w:p>
    <w:p w14:paraId="02370D7E" w14:textId="0E9119CF" w:rsidR="009329CD" w:rsidRPr="002327A5" w:rsidRDefault="008B2759" w:rsidP="002327A5">
      <w:pPr>
        <w:rPr>
          <w:rFonts w:ascii="Arial" w:hAnsi="Arial" w:cs="Arial"/>
        </w:rPr>
      </w:pPr>
      <w:r w:rsidRPr="5AF117D2">
        <w:rPr>
          <w:rFonts w:ascii="Arial" w:hAnsi="Arial" w:cs="Arial"/>
        </w:rPr>
        <w:t xml:space="preserve">The report </w:t>
      </w:r>
      <w:r w:rsidR="009329CD" w:rsidRPr="5AF117D2">
        <w:rPr>
          <w:rFonts w:ascii="Arial" w:hAnsi="Arial" w:cs="Arial"/>
        </w:rPr>
        <w:t xml:space="preserve">was conducted in two parts. The first part focused on a targeted literature review, examining systematic reviews, primary studies, and grey literature. </w:t>
      </w:r>
      <w:r w:rsidR="106EE0CB" w:rsidRPr="5AF117D2">
        <w:rPr>
          <w:rFonts w:ascii="Arial" w:hAnsi="Arial" w:cs="Arial"/>
        </w:rPr>
        <w:t xml:space="preserve">Part two of the report </w:t>
      </w:r>
      <w:r w:rsidR="1496E9D9" w:rsidRPr="5AF117D2">
        <w:rPr>
          <w:rFonts w:ascii="Arial" w:hAnsi="Arial" w:cs="Arial"/>
        </w:rPr>
        <w:t>outlines</w:t>
      </w:r>
      <w:r w:rsidR="009329CD" w:rsidRPr="5AF117D2">
        <w:rPr>
          <w:rFonts w:ascii="Arial" w:hAnsi="Arial" w:cs="Arial"/>
        </w:rPr>
        <w:t xml:space="preserve"> structured interviews with stakeholders who are knowledgeable about high-risk medicine strategies in hospitals</w:t>
      </w:r>
      <w:r w:rsidR="00F42B25" w:rsidRPr="5AF117D2">
        <w:rPr>
          <w:rFonts w:ascii="Arial" w:hAnsi="Arial" w:cs="Arial"/>
        </w:rPr>
        <w:t xml:space="preserve"> (e.g. clinical informatics staff, EMM pharmacists, Directors of Pharmacy Departments)</w:t>
      </w:r>
      <w:r w:rsidR="009329CD" w:rsidRPr="5AF117D2">
        <w:rPr>
          <w:rFonts w:ascii="Arial" w:hAnsi="Arial" w:cs="Arial"/>
        </w:rPr>
        <w:t xml:space="preserve">. </w:t>
      </w:r>
    </w:p>
    <w:p w14:paraId="75D7FAE1" w14:textId="423420E6" w:rsidR="007517FC" w:rsidRDefault="00B85F38" w:rsidP="00B85F38">
      <w:pPr>
        <w:rPr>
          <w:rFonts w:ascii="Arial" w:hAnsi="Arial" w:cs="Arial"/>
        </w:rPr>
      </w:pPr>
      <w:r w:rsidRPr="5AF117D2">
        <w:rPr>
          <w:rFonts w:ascii="Arial" w:hAnsi="Arial" w:cs="Arial"/>
        </w:rPr>
        <w:t xml:space="preserve">This document summarises findings from the report </w:t>
      </w:r>
      <w:r w:rsidR="00036148" w:rsidRPr="5AF117D2">
        <w:rPr>
          <w:rFonts w:ascii="Arial" w:hAnsi="Arial" w:cs="Arial"/>
        </w:rPr>
        <w:t>which</w:t>
      </w:r>
      <w:r w:rsidRPr="5AF117D2">
        <w:rPr>
          <w:rFonts w:ascii="Arial" w:hAnsi="Arial" w:cs="Arial"/>
        </w:rPr>
        <w:t xml:space="preserve"> </w:t>
      </w:r>
      <w:r w:rsidR="00036148" w:rsidRPr="5AF117D2">
        <w:rPr>
          <w:rFonts w:ascii="Arial" w:hAnsi="Arial" w:cs="Arial"/>
        </w:rPr>
        <w:t>provides</w:t>
      </w:r>
      <w:r w:rsidRPr="5AF117D2">
        <w:rPr>
          <w:rFonts w:ascii="Arial" w:hAnsi="Arial" w:cs="Arial"/>
        </w:rPr>
        <w:t xml:space="preserve"> </w:t>
      </w:r>
      <w:r w:rsidR="007517FC" w:rsidRPr="5AF117D2">
        <w:rPr>
          <w:rFonts w:ascii="Arial" w:hAnsi="Arial" w:cs="Arial"/>
        </w:rPr>
        <w:t>an understanding of how health services in Australia</w:t>
      </w:r>
      <w:r w:rsidRPr="5AF117D2">
        <w:rPr>
          <w:rFonts w:ascii="Arial" w:hAnsi="Arial" w:cs="Arial"/>
        </w:rPr>
        <w:t xml:space="preserve"> </w:t>
      </w:r>
      <w:r w:rsidR="007517FC" w:rsidRPr="5AF117D2">
        <w:rPr>
          <w:rFonts w:ascii="Arial" w:hAnsi="Arial" w:cs="Arial"/>
        </w:rPr>
        <w:t>display, prescrib</w:t>
      </w:r>
      <w:r w:rsidR="00036148" w:rsidRPr="5AF117D2">
        <w:rPr>
          <w:rFonts w:ascii="Arial" w:hAnsi="Arial" w:cs="Arial"/>
        </w:rPr>
        <w:t>e</w:t>
      </w:r>
      <w:r w:rsidR="007517FC" w:rsidRPr="5AF117D2">
        <w:rPr>
          <w:rFonts w:ascii="Arial" w:hAnsi="Arial" w:cs="Arial"/>
        </w:rPr>
        <w:t xml:space="preserve"> and monitor </w:t>
      </w:r>
      <w:r w:rsidRPr="5AF117D2">
        <w:rPr>
          <w:rFonts w:ascii="Arial" w:hAnsi="Arial" w:cs="Arial"/>
        </w:rPr>
        <w:t xml:space="preserve">of high-risk medicines within EMM and EMR systems. </w:t>
      </w:r>
      <w:r w:rsidR="007517FC" w:rsidRPr="5AF117D2">
        <w:rPr>
          <w:rFonts w:ascii="Arial" w:hAnsi="Arial" w:cs="Arial"/>
        </w:rPr>
        <w:t xml:space="preserve">It does not cover the administration or supply processes, which remain out of scope. </w:t>
      </w:r>
    </w:p>
    <w:p w14:paraId="40A17DEA" w14:textId="57C18096" w:rsidR="00B85F38" w:rsidRPr="00B85F38" w:rsidRDefault="00B85F38" w:rsidP="00B85F38">
      <w:pPr>
        <w:rPr>
          <w:rFonts w:ascii="Arial" w:hAnsi="Arial" w:cs="Arial"/>
        </w:rPr>
      </w:pPr>
      <w:r w:rsidRPr="5AF117D2">
        <w:rPr>
          <w:rFonts w:ascii="Arial" w:hAnsi="Arial" w:cs="Arial"/>
        </w:rPr>
        <w:t xml:space="preserve">Regardless of whether a health service is fully integrated with EMM and EMR systems or still expanding its digital capabilities, this guidance provides practical strategies </w:t>
      </w:r>
      <w:r w:rsidR="00FB0616" w:rsidRPr="5AF117D2">
        <w:rPr>
          <w:rFonts w:ascii="Arial" w:hAnsi="Arial" w:cs="Arial"/>
        </w:rPr>
        <w:t>currently used to</w:t>
      </w:r>
      <w:r w:rsidRPr="5AF117D2">
        <w:rPr>
          <w:rFonts w:ascii="Arial" w:hAnsi="Arial" w:cs="Arial"/>
        </w:rPr>
        <w:t xml:space="preserve"> enhanc</w:t>
      </w:r>
      <w:r w:rsidR="00FB0616" w:rsidRPr="5AF117D2">
        <w:rPr>
          <w:rFonts w:ascii="Arial" w:hAnsi="Arial" w:cs="Arial"/>
        </w:rPr>
        <w:t>e</w:t>
      </w:r>
      <w:r w:rsidRPr="5AF117D2">
        <w:rPr>
          <w:rFonts w:ascii="Arial" w:hAnsi="Arial" w:cs="Arial"/>
        </w:rPr>
        <w:t xml:space="preserve"> medication safety. By applying these insights, health services can strengthen their management of high-risk medicines, helping to improve patient safety outcomes across the healthcare system.</w:t>
      </w:r>
    </w:p>
    <w:p w14:paraId="18872520" w14:textId="3129854F" w:rsidR="00B13964" w:rsidRPr="00E71B5D" w:rsidRDefault="00943D55" w:rsidP="00B60172">
      <w:pPr>
        <w:pStyle w:val="Heading2"/>
        <w:rPr>
          <w:rFonts w:ascii="Arial" w:hAnsi="Arial" w:cs="Arial"/>
          <w:b/>
          <w:bCs/>
          <w:sz w:val="28"/>
          <w:szCs w:val="28"/>
        </w:rPr>
      </w:pPr>
      <w:r w:rsidRPr="0B928718">
        <w:rPr>
          <w:rFonts w:ascii="Arial" w:hAnsi="Arial" w:cs="Arial"/>
          <w:b/>
          <w:bCs/>
          <w:sz w:val="28"/>
          <w:szCs w:val="28"/>
        </w:rPr>
        <w:t>H</w:t>
      </w:r>
      <w:r w:rsidR="00B13964" w:rsidRPr="0B928718">
        <w:rPr>
          <w:rFonts w:ascii="Arial" w:hAnsi="Arial" w:cs="Arial"/>
          <w:b/>
          <w:bCs/>
          <w:sz w:val="28"/>
          <w:szCs w:val="28"/>
        </w:rPr>
        <w:t>igh</w:t>
      </w:r>
      <w:r w:rsidR="1A6AFB12" w:rsidRPr="0B928718">
        <w:rPr>
          <w:rFonts w:ascii="Arial" w:hAnsi="Arial" w:cs="Arial"/>
          <w:b/>
          <w:bCs/>
          <w:sz w:val="28"/>
          <w:szCs w:val="28"/>
        </w:rPr>
        <w:t>-</w:t>
      </w:r>
      <w:r w:rsidR="00B13964" w:rsidRPr="0B928718">
        <w:rPr>
          <w:rFonts w:ascii="Arial" w:hAnsi="Arial" w:cs="Arial"/>
          <w:b/>
          <w:bCs/>
          <w:sz w:val="28"/>
          <w:szCs w:val="28"/>
        </w:rPr>
        <w:t xml:space="preserve">Risk </w:t>
      </w:r>
      <w:r w:rsidR="00EF2C59" w:rsidRPr="0B928718">
        <w:rPr>
          <w:rFonts w:ascii="Arial" w:hAnsi="Arial" w:cs="Arial"/>
          <w:b/>
          <w:bCs/>
          <w:sz w:val="28"/>
          <w:szCs w:val="28"/>
        </w:rPr>
        <w:t>Medicines</w:t>
      </w:r>
    </w:p>
    <w:p w14:paraId="5275B1BB" w14:textId="2FF864B1" w:rsidR="00B60172" w:rsidRPr="002327A5" w:rsidRDefault="00B60172" w:rsidP="0B928718">
      <w:pPr>
        <w:rPr>
          <w:rFonts w:ascii="Arial" w:hAnsi="Arial" w:cs="Arial"/>
        </w:rPr>
      </w:pPr>
      <w:r w:rsidRPr="0B928718">
        <w:rPr>
          <w:rFonts w:ascii="Arial" w:hAnsi="Arial" w:cs="Arial"/>
        </w:rPr>
        <w:t xml:space="preserve">High-Risk </w:t>
      </w:r>
      <w:r w:rsidR="00EF2C59" w:rsidRPr="0B928718">
        <w:rPr>
          <w:rFonts w:ascii="Arial" w:hAnsi="Arial" w:cs="Arial"/>
        </w:rPr>
        <w:t>Medicines</w:t>
      </w:r>
      <w:r w:rsidRPr="0B928718">
        <w:rPr>
          <w:rFonts w:ascii="Arial" w:hAnsi="Arial" w:cs="Arial"/>
        </w:rPr>
        <w:t xml:space="preserve"> (HRMs) are medicines that carry a high</w:t>
      </w:r>
      <w:r w:rsidR="25002E82" w:rsidRPr="0B928718">
        <w:rPr>
          <w:rFonts w:ascii="Arial" w:hAnsi="Arial" w:cs="Arial"/>
        </w:rPr>
        <w:t>-</w:t>
      </w:r>
      <w:r w:rsidRPr="0B928718">
        <w:rPr>
          <w:rFonts w:ascii="Arial" w:hAnsi="Arial" w:cs="Arial"/>
        </w:rPr>
        <w:t xml:space="preserve">risk of causing significant harm if used incorrectly. The </w:t>
      </w:r>
      <w:r w:rsidR="00221D81" w:rsidRPr="0B928718">
        <w:rPr>
          <w:rFonts w:ascii="Arial" w:hAnsi="Arial" w:cs="Arial"/>
        </w:rPr>
        <w:t>a</w:t>
      </w:r>
      <w:r w:rsidRPr="0B928718">
        <w:rPr>
          <w:rFonts w:ascii="Arial" w:hAnsi="Arial" w:cs="Arial"/>
        </w:rPr>
        <w:t xml:space="preserve">dvisory </w:t>
      </w:r>
      <w:r w:rsidR="00221D81" w:rsidRPr="0B928718">
        <w:rPr>
          <w:rFonts w:ascii="Arial" w:hAnsi="Arial" w:cs="Arial"/>
        </w:rPr>
        <w:t>g</w:t>
      </w:r>
      <w:r w:rsidRPr="0B928718">
        <w:rPr>
          <w:rFonts w:ascii="Arial" w:hAnsi="Arial" w:cs="Arial"/>
        </w:rPr>
        <w:t xml:space="preserve">roup focused on HRMs because improper use can result in severe patient outcomes. </w:t>
      </w:r>
    </w:p>
    <w:p w14:paraId="09815109" w14:textId="192B3741" w:rsidR="00B57A99" w:rsidRPr="002327A5" w:rsidRDefault="00B60172" w:rsidP="00B57A99">
      <w:pPr>
        <w:rPr>
          <w:rFonts w:ascii="Arial" w:hAnsi="Arial" w:cs="Arial"/>
          <w:szCs w:val="20"/>
        </w:rPr>
      </w:pPr>
      <w:r w:rsidRPr="002327A5">
        <w:rPr>
          <w:rFonts w:ascii="Arial" w:hAnsi="Arial" w:cs="Arial"/>
          <w:szCs w:val="20"/>
        </w:rPr>
        <w:t>In the Australian acute healthcare sector, the</w:t>
      </w:r>
      <w:r w:rsidR="19A3E778" w:rsidRPr="002327A5">
        <w:rPr>
          <w:rFonts w:ascii="Arial" w:hAnsi="Arial" w:cs="Arial"/>
          <w:szCs w:val="20"/>
        </w:rPr>
        <w:t xml:space="preserve">se </w:t>
      </w:r>
      <w:r w:rsidR="00EF2C59" w:rsidRPr="002327A5">
        <w:rPr>
          <w:rFonts w:ascii="Arial" w:hAnsi="Arial" w:cs="Arial"/>
          <w:szCs w:val="20"/>
        </w:rPr>
        <w:t>medicines</w:t>
      </w:r>
      <w:r w:rsidR="19A3E778" w:rsidRPr="002327A5">
        <w:rPr>
          <w:rFonts w:ascii="Arial" w:hAnsi="Arial" w:cs="Arial"/>
          <w:szCs w:val="20"/>
        </w:rPr>
        <w:t xml:space="preserve"> are commonly classifie</w:t>
      </w:r>
      <w:r w:rsidR="656E8A45" w:rsidRPr="002327A5">
        <w:rPr>
          <w:rFonts w:ascii="Arial" w:hAnsi="Arial" w:cs="Arial"/>
          <w:szCs w:val="20"/>
        </w:rPr>
        <w:t>d</w:t>
      </w:r>
      <w:r w:rsidRPr="002327A5">
        <w:rPr>
          <w:rFonts w:ascii="Arial" w:hAnsi="Arial" w:cs="Arial"/>
          <w:szCs w:val="20"/>
        </w:rPr>
        <w:t xml:space="preserve"> using the ‘</w:t>
      </w:r>
      <w:hyperlink r:id="rId16">
        <w:r w:rsidRPr="002327A5">
          <w:rPr>
            <w:rStyle w:val="Hyperlink"/>
            <w:rFonts w:ascii="Arial" w:hAnsi="Arial" w:cs="Arial"/>
            <w:szCs w:val="20"/>
          </w:rPr>
          <w:t>APINCHS</w:t>
        </w:r>
      </w:hyperlink>
      <w:r w:rsidRPr="002327A5">
        <w:rPr>
          <w:rFonts w:ascii="Arial" w:hAnsi="Arial" w:cs="Arial"/>
          <w:szCs w:val="20"/>
        </w:rPr>
        <w:t>’ acronym</w:t>
      </w:r>
      <w:r w:rsidR="00545EBF">
        <w:rPr>
          <w:rFonts w:ascii="Arial" w:hAnsi="Arial" w:cs="Arial"/>
          <w:szCs w:val="20"/>
        </w:rPr>
        <w:t xml:space="preserve"> &lt;</w:t>
      </w:r>
      <w:hyperlink r:id="rId17" w:history="1">
        <w:r w:rsidR="005149DE" w:rsidRPr="00DC5509">
          <w:rPr>
            <w:rStyle w:val="Hyperlink"/>
            <w:rFonts w:ascii="Arial" w:hAnsi="Arial" w:cs="Arial"/>
            <w:szCs w:val="20"/>
          </w:rPr>
          <w:t>https://www.safetyandquality.gov.au/our-work/medicines-safety-and-quality/high-risk-medicines/apinchs-classification-high-risk-medicines</w:t>
        </w:r>
      </w:hyperlink>
      <w:r w:rsidR="00545EBF">
        <w:rPr>
          <w:rFonts w:ascii="Arial" w:hAnsi="Arial" w:cs="Arial"/>
          <w:szCs w:val="20"/>
        </w:rPr>
        <w:t>&gt;</w:t>
      </w:r>
      <w:r w:rsidRPr="002327A5">
        <w:rPr>
          <w:rFonts w:ascii="Arial" w:hAnsi="Arial" w:cs="Arial"/>
          <w:szCs w:val="20"/>
        </w:rPr>
        <w:t>.</w:t>
      </w:r>
    </w:p>
    <w:tbl>
      <w:tblPr>
        <w:tblStyle w:val="TableGrid"/>
        <w:tblW w:w="0" w:type="auto"/>
        <w:tblLook w:val="04A0" w:firstRow="1" w:lastRow="0" w:firstColumn="1" w:lastColumn="0" w:noHBand="0" w:noVBand="1"/>
      </w:tblPr>
      <w:tblGrid>
        <w:gridCol w:w="534"/>
        <w:gridCol w:w="8708"/>
      </w:tblGrid>
      <w:tr w:rsidR="00B57A99" w:rsidRPr="002327A5" w14:paraId="4C91C095" w14:textId="77777777" w:rsidTr="00B60172">
        <w:tc>
          <w:tcPr>
            <w:tcW w:w="534" w:type="dxa"/>
          </w:tcPr>
          <w:p w14:paraId="56EAE999" w14:textId="6A7F02E5" w:rsidR="00B57A99" w:rsidRPr="002327A5" w:rsidRDefault="00B57A99" w:rsidP="00B57A99">
            <w:pPr>
              <w:rPr>
                <w:rFonts w:ascii="Arial" w:hAnsi="Arial" w:cs="Arial"/>
                <w:b/>
                <w:bCs/>
              </w:rPr>
            </w:pPr>
            <w:r w:rsidRPr="002327A5">
              <w:rPr>
                <w:rFonts w:ascii="Arial" w:hAnsi="Arial" w:cs="Arial"/>
                <w:b/>
                <w:bCs/>
              </w:rPr>
              <w:t>A</w:t>
            </w:r>
          </w:p>
        </w:tc>
        <w:tc>
          <w:tcPr>
            <w:tcW w:w="8708" w:type="dxa"/>
          </w:tcPr>
          <w:p w14:paraId="0D107CD5" w14:textId="17FD698A" w:rsidR="00B57A99" w:rsidRPr="002327A5" w:rsidRDefault="00B57A99" w:rsidP="00B57A99">
            <w:pPr>
              <w:rPr>
                <w:rFonts w:ascii="Arial" w:hAnsi="Arial" w:cs="Arial"/>
                <w:szCs w:val="20"/>
              </w:rPr>
            </w:pPr>
            <w:r w:rsidRPr="002327A5">
              <w:rPr>
                <w:rFonts w:ascii="Arial" w:hAnsi="Arial" w:cs="Arial"/>
                <w:szCs w:val="20"/>
              </w:rPr>
              <w:t xml:space="preserve">Antimicrobials (e.g., aminoglycosides </w:t>
            </w:r>
            <w:r w:rsidR="00080ACA">
              <w:rPr>
                <w:rFonts w:ascii="Arial" w:hAnsi="Arial" w:cs="Arial"/>
                <w:szCs w:val="20"/>
              </w:rPr>
              <w:t>such as</w:t>
            </w:r>
            <w:r w:rsidRPr="002327A5">
              <w:rPr>
                <w:rFonts w:ascii="Arial" w:hAnsi="Arial" w:cs="Arial"/>
                <w:szCs w:val="20"/>
              </w:rPr>
              <w:t xml:space="preserve"> gentamicin, tobramycin, amikacin</w:t>
            </w:r>
            <w:r w:rsidR="00CE6643" w:rsidRPr="002327A5">
              <w:rPr>
                <w:rFonts w:ascii="Arial" w:hAnsi="Arial" w:cs="Arial"/>
                <w:szCs w:val="20"/>
              </w:rPr>
              <w:t>,</w:t>
            </w:r>
            <w:r w:rsidRPr="002327A5">
              <w:rPr>
                <w:rFonts w:ascii="Arial" w:hAnsi="Arial" w:cs="Arial"/>
                <w:szCs w:val="20"/>
              </w:rPr>
              <w:t xml:space="preserve"> vancomycin</w:t>
            </w:r>
            <w:r w:rsidR="00CE6643" w:rsidRPr="002327A5">
              <w:rPr>
                <w:rFonts w:ascii="Arial" w:hAnsi="Arial" w:cs="Arial"/>
                <w:szCs w:val="20"/>
              </w:rPr>
              <w:t xml:space="preserve"> and </w:t>
            </w:r>
            <w:r w:rsidRPr="002327A5">
              <w:rPr>
                <w:rFonts w:ascii="Arial" w:hAnsi="Arial" w:cs="Arial"/>
                <w:szCs w:val="20"/>
              </w:rPr>
              <w:t>amphotericin)</w:t>
            </w:r>
          </w:p>
        </w:tc>
      </w:tr>
      <w:tr w:rsidR="00B57A99" w:rsidRPr="002327A5" w14:paraId="757484AD" w14:textId="77777777" w:rsidTr="00B60172">
        <w:tc>
          <w:tcPr>
            <w:tcW w:w="534" w:type="dxa"/>
          </w:tcPr>
          <w:p w14:paraId="0E95FFBB" w14:textId="259F022E" w:rsidR="00B57A99" w:rsidRPr="002327A5" w:rsidRDefault="00B57A99" w:rsidP="00B57A99">
            <w:pPr>
              <w:rPr>
                <w:rFonts w:ascii="Arial" w:hAnsi="Arial" w:cs="Arial"/>
                <w:b/>
                <w:bCs/>
              </w:rPr>
            </w:pPr>
            <w:r w:rsidRPr="002327A5">
              <w:rPr>
                <w:rFonts w:ascii="Arial" w:hAnsi="Arial" w:cs="Arial"/>
                <w:b/>
                <w:bCs/>
              </w:rPr>
              <w:t>P</w:t>
            </w:r>
          </w:p>
        </w:tc>
        <w:tc>
          <w:tcPr>
            <w:tcW w:w="8708" w:type="dxa"/>
          </w:tcPr>
          <w:p w14:paraId="2B80561E" w14:textId="521DB96A" w:rsidR="00B57A99" w:rsidRPr="002327A5" w:rsidRDefault="00B57A99" w:rsidP="00B57A99">
            <w:pPr>
              <w:rPr>
                <w:rFonts w:ascii="Arial" w:hAnsi="Arial" w:cs="Arial"/>
                <w:szCs w:val="20"/>
              </w:rPr>
            </w:pPr>
            <w:r w:rsidRPr="002327A5">
              <w:rPr>
                <w:rFonts w:ascii="Arial" w:hAnsi="Arial" w:cs="Arial"/>
                <w:szCs w:val="20"/>
              </w:rPr>
              <w:t>Potassium and other electrolytes (e.g., injections of concentrated potassium, magnesium, calcium, hypertonic sodium chloride)</w:t>
            </w:r>
          </w:p>
        </w:tc>
      </w:tr>
      <w:tr w:rsidR="00B57A99" w:rsidRPr="002327A5" w14:paraId="362A344C" w14:textId="77777777" w:rsidTr="00B60172">
        <w:tc>
          <w:tcPr>
            <w:tcW w:w="534" w:type="dxa"/>
          </w:tcPr>
          <w:p w14:paraId="1212E181" w14:textId="60236345" w:rsidR="00B57A99" w:rsidRPr="002327A5" w:rsidRDefault="00B57A99" w:rsidP="00B57A99">
            <w:pPr>
              <w:rPr>
                <w:rFonts w:ascii="Arial" w:hAnsi="Arial" w:cs="Arial"/>
                <w:b/>
                <w:bCs/>
              </w:rPr>
            </w:pPr>
            <w:r w:rsidRPr="002327A5">
              <w:rPr>
                <w:rFonts w:ascii="Arial" w:hAnsi="Arial" w:cs="Arial"/>
                <w:b/>
                <w:bCs/>
              </w:rPr>
              <w:t>I</w:t>
            </w:r>
          </w:p>
        </w:tc>
        <w:tc>
          <w:tcPr>
            <w:tcW w:w="8708" w:type="dxa"/>
          </w:tcPr>
          <w:p w14:paraId="7961C0B1" w14:textId="6A3D6BCC" w:rsidR="00B57A99" w:rsidRPr="002327A5" w:rsidRDefault="00B57A99" w:rsidP="00B57A99">
            <w:pPr>
              <w:rPr>
                <w:rFonts w:ascii="Arial" w:hAnsi="Arial" w:cs="Arial"/>
                <w:szCs w:val="20"/>
              </w:rPr>
            </w:pPr>
            <w:r w:rsidRPr="002327A5">
              <w:rPr>
                <w:rFonts w:ascii="Arial" w:hAnsi="Arial" w:cs="Arial"/>
                <w:szCs w:val="20"/>
              </w:rPr>
              <w:t>Insulin</w:t>
            </w:r>
          </w:p>
        </w:tc>
      </w:tr>
      <w:tr w:rsidR="00B57A99" w:rsidRPr="002327A5" w14:paraId="72F842D8" w14:textId="77777777" w:rsidTr="00B60172">
        <w:tc>
          <w:tcPr>
            <w:tcW w:w="534" w:type="dxa"/>
          </w:tcPr>
          <w:p w14:paraId="0C2513F7" w14:textId="48A42F9F" w:rsidR="00B57A99" w:rsidRPr="002327A5" w:rsidRDefault="00B57A99" w:rsidP="00B57A99">
            <w:pPr>
              <w:rPr>
                <w:rFonts w:ascii="Arial" w:hAnsi="Arial" w:cs="Arial"/>
                <w:b/>
                <w:bCs/>
              </w:rPr>
            </w:pPr>
            <w:r w:rsidRPr="002327A5">
              <w:rPr>
                <w:rFonts w:ascii="Arial" w:hAnsi="Arial" w:cs="Arial"/>
                <w:b/>
                <w:bCs/>
              </w:rPr>
              <w:t>N</w:t>
            </w:r>
          </w:p>
        </w:tc>
        <w:tc>
          <w:tcPr>
            <w:tcW w:w="8708" w:type="dxa"/>
          </w:tcPr>
          <w:p w14:paraId="057BA1BB" w14:textId="360F5D43" w:rsidR="00B57A99" w:rsidRPr="002327A5" w:rsidRDefault="00B57A99" w:rsidP="00B60172">
            <w:pPr>
              <w:pStyle w:val="NoSpacing"/>
              <w:rPr>
                <w:rFonts w:ascii="Arial" w:hAnsi="Arial" w:cs="Arial"/>
                <w:sz w:val="20"/>
                <w:szCs w:val="20"/>
              </w:rPr>
            </w:pPr>
            <w:r w:rsidRPr="002327A5">
              <w:rPr>
                <w:rFonts w:ascii="Arial" w:hAnsi="Arial" w:cs="Arial"/>
                <w:sz w:val="20"/>
                <w:szCs w:val="20"/>
              </w:rPr>
              <w:t xml:space="preserve">Narcotics (opioids) and other sedatives (e.g., hydromorphone, oxycodone, morphine, fentanyl, and related sedatives </w:t>
            </w:r>
            <w:r w:rsidR="00080ACA">
              <w:rPr>
                <w:rFonts w:ascii="Arial" w:hAnsi="Arial" w:cs="Arial"/>
                <w:sz w:val="20"/>
                <w:szCs w:val="20"/>
              </w:rPr>
              <w:t>such as</w:t>
            </w:r>
            <w:r w:rsidRPr="002327A5">
              <w:rPr>
                <w:rFonts w:ascii="Arial" w:hAnsi="Arial" w:cs="Arial"/>
                <w:sz w:val="20"/>
                <w:szCs w:val="20"/>
              </w:rPr>
              <w:t xml:space="preserve"> benzodiazepines)</w:t>
            </w:r>
          </w:p>
        </w:tc>
      </w:tr>
      <w:tr w:rsidR="00B57A99" w:rsidRPr="002327A5" w14:paraId="678F554F" w14:textId="77777777" w:rsidTr="00B60172">
        <w:tc>
          <w:tcPr>
            <w:tcW w:w="534" w:type="dxa"/>
          </w:tcPr>
          <w:p w14:paraId="39295659" w14:textId="5DC3D3A2" w:rsidR="00B57A99" w:rsidRPr="002327A5" w:rsidRDefault="00B57A99" w:rsidP="00B57A99">
            <w:pPr>
              <w:rPr>
                <w:rFonts w:ascii="Arial" w:hAnsi="Arial" w:cs="Arial"/>
                <w:b/>
                <w:bCs/>
              </w:rPr>
            </w:pPr>
            <w:r w:rsidRPr="002327A5">
              <w:rPr>
                <w:rFonts w:ascii="Arial" w:hAnsi="Arial" w:cs="Arial"/>
                <w:b/>
                <w:bCs/>
              </w:rPr>
              <w:t>C</w:t>
            </w:r>
          </w:p>
        </w:tc>
        <w:tc>
          <w:tcPr>
            <w:tcW w:w="8708" w:type="dxa"/>
          </w:tcPr>
          <w:p w14:paraId="01E2742B" w14:textId="52A98F35" w:rsidR="00B57A99" w:rsidRPr="002327A5" w:rsidRDefault="00B60172" w:rsidP="00B57A99">
            <w:pPr>
              <w:rPr>
                <w:rFonts w:ascii="Arial" w:hAnsi="Arial" w:cs="Arial"/>
                <w:szCs w:val="20"/>
              </w:rPr>
            </w:pPr>
            <w:r w:rsidRPr="002327A5">
              <w:rPr>
                <w:rFonts w:ascii="Arial" w:hAnsi="Arial" w:cs="Arial"/>
                <w:szCs w:val="20"/>
              </w:rPr>
              <w:t>Chemotherapeutic agents</w:t>
            </w:r>
          </w:p>
        </w:tc>
      </w:tr>
      <w:tr w:rsidR="00B57A99" w:rsidRPr="002327A5" w14:paraId="55B9BA70" w14:textId="77777777" w:rsidTr="00B60172">
        <w:tc>
          <w:tcPr>
            <w:tcW w:w="534" w:type="dxa"/>
          </w:tcPr>
          <w:p w14:paraId="00C8A0AE" w14:textId="561DE21C" w:rsidR="00B57A99" w:rsidRPr="002327A5" w:rsidRDefault="00B57A99" w:rsidP="00B57A99">
            <w:pPr>
              <w:rPr>
                <w:rFonts w:ascii="Arial" w:hAnsi="Arial" w:cs="Arial"/>
                <w:b/>
                <w:bCs/>
              </w:rPr>
            </w:pPr>
            <w:r w:rsidRPr="002327A5">
              <w:rPr>
                <w:rFonts w:ascii="Arial" w:hAnsi="Arial" w:cs="Arial"/>
                <w:b/>
                <w:bCs/>
              </w:rPr>
              <w:t>H</w:t>
            </w:r>
          </w:p>
        </w:tc>
        <w:tc>
          <w:tcPr>
            <w:tcW w:w="8708" w:type="dxa"/>
          </w:tcPr>
          <w:p w14:paraId="2BC8E9AF" w14:textId="4FAD5CE7" w:rsidR="00B57A99" w:rsidRPr="002327A5" w:rsidRDefault="00B60172" w:rsidP="00B57A99">
            <w:pPr>
              <w:rPr>
                <w:rFonts w:ascii="Arial" w:hAnsi="Arial" w:cs="Arial"/>
                <w:szCs w:val="20"/>
              </w:rPr>
            </w:pPr>
            <w:r w:rsidRPr="002327A5">
              <w:rPr>
                <w:rFonts w:ascii="Arial" w:hAnsi="Arial" w:cs="Arial"/>
                <w:szCs w:val="20"/>
              </w:rPr>
              <w:t>Heparin and other anticoagulants (e.g., heparin, low molecular weight heparins, warfarin, direct oral anticoagulants)</w:t>
            </w:r>
          </w:p>
        </w:tc>
      </w:tr>
      <w:tr w:rsidR="00B57A99" w:rsidRPr="002327A5" w14:paraId="585ED5EC" w14:textId="77777777" w:rsidTr="00B60172">
        <w:tc>
          <w:tcPr>
            <w:tcW w:w="534" w:type="dxa"/>
          </w:tcPr>
          <w:p w14:paraId="47069E84" w14:textId="4941B0A0" w:rsidR="00B57A99" w:rsidRPr="002327A5" w:rsidRDefault="00B57A99" w:rsidP="00B57A99">
            <w:pPr>
              <w:rPr>
                <w:rFonts w:ascii="Arial" w:hAnsi="Arial" w:cs="Arial"/>
                <w:b/>
                <w:bCs/>
              </w:rPr>
            </w:pPr>
            <w:r w:rsidRPr="002327A5">
              <w:rPr>
                <w:rFonts w:ascii="Arial" w:hAnsi="Arial" w:cs="Arial"/>
                <w:b/>
                <w:bCs/>
              </w:rPr>
              <w:t>S</w:t>
            </w:r>
          </w:p>
        </w:tc>
        <w:tc>
          <w:tcPr>
            <w:tcW w:w="8708" w:type="dxa"/>
          </w:tcPr>
          <w:p w14:paraId="63FC1281" w14:textId="59DEABE8" w:rsidR="00B57A99" w:rsidRPr="002327A5" w:rsidRDefault="00B60172" w:rsidP="00B60172">
            <w:pPr>
              <w:pStyle w:val="NoSpacing"/>
              <w:rPr>
                <w:rFonts w:ascii="Arial" w:hAnsi="Arial" w:cs="Arial"/>
                <w:sz w:val="20"/>
                <w:szCs w:val="20"/>
              </w:rPr>
            </w:pPr>
            <w:r w:rsidRPr="002327A5">
              <w:rPr>
                <w:rFonts w:ascii="Arial" w:hAnsi="Arial" w:cs="Arial"/>
                <w:sz w:val="20"/>
                <w:szCs w:val="20"/>
              </w:rPr>
              <w:t xml:space="preserve">Systems (e.g., medication safety systems, including independent double checks, standardised </w:t>
            </w:r>
            <w:r w:rsidR="00865D31" w:rsidRPr="00865D31">
              <w:rPr>
                <w:rFonts w:ascii="Arial" w:hAnsi="Arial" w:cs="Arial"/>
                <w:sz w:val="20"/>
                <w:szCs w:val="20"/>
              </w:rPr>
              <w:t xml:space="preserve">clinical order </w:t>
            </w:r>
            <w:r w:rsidR="00360180">
              <w:rPr>
                <w:rFonts w:ascii="Arial" w:hAnsi="Arial" w:cs="Arial"/>
                <w:sz w:val="20"/>
                <w:szCs w:val="20"/>
              </w:rPr>
              <w:t>tools</w:t>
            </w:r>
            <w:r w:rsidRPr="002327A5">
              <w:rPr>
                <w:rFonts w:ascii="Arial" w:hAnsi="Arial" w:cs="Arial"/>
                <w:sz w:val="20"/>
                <w:szCs w:val="20"/>
              </w:rPr>
              <w:t>, and medication charts)</w:t>
            </w:r>
          </w:p>
        </w:tc>
      </w:tr>
    </w:tbl>
    <w:p w14:paraId="68490061" w14:textId="77777777" w:rsidR="005C5A3A" w:rsidRDefault="005C5A3A" w:rsidP="005C5A3A">
      <w:pPr>
        <w:pStyle w:val="NoSpacing"/>
      </w:pPr>
    </w:p>
    <w:p w14:paraId="3B1C2E8A" w14:textId="32DD2108" w:rsidR="0098556F" w:rsidRPr="0098556F" w:rsidRDefault="0098556F" w:rsidP="0098556F">
      <w:pPr>
        <w:rPr>
          <w:rFonts w:ascii="Arial" w:hAnsi="Arial" w:cs="Arial"/>
        </w:rPr>
      </w:pPr>
      <w:r w:rsidRPr="0098556F">
        <w:rPr>
          <w:rFonts w:ascii="Arial" w:hAnsi="Arial" w:cs="Arial"/>
        </w:rPr>
        <w:t xml:space="preserve">The report was centred around the "APINCH" acronym for high-risk </w:t>
      </w:r>
      <w:r w:rsidR="008012F5">
        <w:rPr>
          <w:rFonts w:ascii="Arial" w:hAnsi="Arial" w:cs="Arial"/>
        </w:rPr>
        <w:t>medicines</w:t>
      </w:r>
      <w:r w:rsidRPr="0098556F">
        <w:rPr>
          <w:rFonts w:ascii="Arial" w:hAnsi="Arial" w:cs="Arial"/>
        </w:rPr>
        <w:t xml:space="preserve">, which does not include "Systems." Therefore, this document will also </w:t>
      </w:r>
      <w:r>
        <w:rPr>
          <w:rFonts w:ascii="Arial" w:hAnsi="Arial" w:cs="Arial"/>
        </w:rPr>
        <w:t>follow that</w:t>
      </w:r>
      <w:r w:rsidRPr="0098556F">
        <w:rPr>
          <w:rFonts w:ascii="Arial" w:hAnsi="Arial" w:cs="Arial"/>
        </w:rPr>
        <w:t xml:space="preserve"> framework.</w:t>
      </w:r>
    </w:p>
    <w:p w14:paraId="72BFEBD5" w14:textId="779F75B6" w:rsidR="00FE1D9B" w:rsidRPr="00E71B5D" w:rsidRDefault="00402C06" w:rsidP="00FF4BA9">
      <w:pPr>
        <w:pStyle w:val="Heading1"/>
        <w:rPr>
          <w:rFonts w:ascii="Arial" w:hAnsi="Arial" w:cs="Arial"/>
          <w:b/>
          <w:bCs/>
          <w:sz w:val="36"/>
          <w:szCs w:val="36"/>
        </w:rPr>
      </w:pPr>
      <w:r w:rsidRPr="00E71B5D">
        <w:rPr>
          <w:rFonts w:ascii="Arial" w:hAnsi="Arial" w:cs="Arial"/>
          <w:b/>
          <w:bCs/>
          <w:sz w:val="36"/>
          <w:szCs w:val="36"/>
        </w:rPr>
        <w:lastRenderedPageBreak/>
        <w:t>Recommendations</w:t>
      </w:r>
    </w:p>
    <w:p w14:paraId="69FFB2E7" w14:textId="75D67890" w:rsidR="00E41B2E" w:rsidRPr="000C0AB9" w:rsidRDefault="64C9DE4B" w:rsidP="0087197B">
      <w:pPr>
        <w:rPr>
          <w:rFonts w:ascii="Arial" w:hAnsi="Arial" w:cs="Arial"/>
        </w:rPr>
      </w:pPr>
      <w:r w:rsidRPr="3B7BA401">
        <w:rPr>
          <w:rFonts w:ascii="Arial" w:hAnsi="Arial" w:cs="Arial"/>
        </w:rPr>
        <w:t xml:space="preserve">To ensure the safe management of High-Risk </w:t>
      </w:r>
      <w:r w:rsidR="4CEDDE39" w:rsidRPr="3B7BA401">
        <w:rPr>
          <w:rFonts w:ascii="Arial" w:hAnsi="Arial" w:cs="Arial"/>
        </w:rPr>
        <w:t>Medicines</w:t>
      </w:r>
      <w:r w:rsidRPr="3B7BA401">
        <w:rPr>
          <w:rFonts w:ascii="Arial" w:hAnsi="Arial" w:cs="Arial"/>
        </w:rPr>
        <w:t xml:space="preserve"> (HRMs), it is essential for health services to take a proactive and systematic approach. The National Safety and Quality Health Service (NSQHS) Standard on </w:t>
      </w:r>
      <w:hyperlink r:id="rId18">
        <w:r w:rsidRPr="3B7BA401">
          <w:rPr>
            <w:rStyle w:val="Hyperlink"/>
            <w:rFonts w:ascii="Arial" w:hAnsi="Arial" w:cs="Arial"/>
          </w:rPr>
          <w:t>Medication Safety</w:t>
        </w:r>
      </w:hyperlink>
      <w:r w:rsidR="00713FF6">
        <w:t xml:space="preserve"> </w:t>
      </w:r>
      <w:r w:rsidR="00713FF6" w:rsidRPr="00713FF6">
        <w:rPr>
          <w:rFonts w:ascii="Arial" w:hAnsi="Arial" w:cs="Arial"/>
          <w:szCs w:val="20"/>
        </w:rPr>
        <w:t>&lt;</w:t>
      </w:r>
      <w:hyperlink r:id="rId19" w:history="1">
        <w:r w:rsidR="00713FF6" w:rsidRPr="00713FF6">
          <w:rPr>
            <w:rStyle w:val="Hyperlink"/>
            <w:rFonts w:ascii="Arial" w:hAnsi="Arial" w:cs="Arial"/>
            <w:szCs w:val="20"/>
          </w:rPr>
          <w:t>https://www.safetyandquality.gov.au/standards/nsqhs-standards/medication-safety-standard</w:t>
        </w:r>
      </w:hyperlink>
      <w:r w:rsidR="00713FF6" w:rsidRPr="00713FF6">
        <w:rPr>
          <w:rFonts w:ascii="Arial" w:hAnsi="Arial" w:cs="Arial"/>
          <w:szCs w:val="20"/>
        </w:rPr>
        <w:t>&gt;</w:t>
      </w:r>
      <w:r w:rsidRPr="3B7BA401">
        <w:rPr>
          <w:rFonts w:ascii="Arial" w:hAnsi="Arial" w:cs="Arial"/>
        </w:rPr>
        <w:t xml:space="preserve"> mandates that health services identify HRMs used within their organisation and take appropriate actions to ensure they are stored, prescribed, dispensed, and administered safely. As part of the standard, it is a requirement to </w:t>
      </w:r>
      <w:r w:rsidRPr="00F9075C">
        <w:rPr>
          <w:rFonts w:ascii="Arial" w:hAnsi="Arial" w:cs="Arial"/>
        </w:rPr>
        <w:t>review, measure and assess</w:t>
      </w:r>
      <w:r w:rsidRPr="3B7BA401">
        <w:rPr>
          <w:rFonts w:ascii="Arial" w:hAnsi="Arial" w:cs="Arial"/>
        </w:rPr>
        <w:t xml:space="preserve"> the effectiveness and performance of medication management strategies and practices</w:t>
      </w:r>
      <w:r w:rsidR="675007F0" w:rsidRPr="3B7BA401">
        <w:rPr>
          <w:rFonts w:ascii="Arial" w:hAnsi="Arial" w:cs="Arial"/>
        </w:rPr>
        <w:t>, with clinical systems often serving as key tools for these strategies.</w:t>
      </w:r>
    </w:p>
    <w:p w14:paraId="16F19EB1" w14:textId="2F1B7080" w:rsidR="00000E9A" w:rsidRPr="0087197B" w:rsidRDefault="05A49D3C" w:rsidP="0087197B">
      <w:pPr>
        <w:rPr>
          <w:rFonts w:ascii="Arial" w:hAnsi="Arial" w:cs="Arial"/>
        </w:rPr>
      </w:pPr>
      <w:r w:rsidRPr="3B7BA401">
        <w:rPr>
          <w:rFonts w:ascii="Arial" w:hAnsi="Arial" w:cs="Arial"/>
        </w:rPr>
        <w:t xml:space="preserve">Enhancing the safety of HRMs within clinical software is a complex task that typically requires the implementation of multiple strategies. </w:t>
      </w:r>
      <w:r w:rsidRPr="00F9075C">
        <w:rPr>
          <w:rFonts w:ascii="Arial" w:hAnsi="Arial" w:cs="Arial"/>
        </w:rPr>
        <w:t xml:space="preserve">The </w:t>
      </w:r>
      <w:r w:rsidR="7330091E" w:rsidRPr="00F9075C">
        <w:rPr>
          <w:rFonts w:ascii="Arial" w:hAnsi="Arial" w:cs="Arial"/>
        </w:rPr>
        <w:t>Australian Commission on Safety and Quality in Health Care</w:t>
      </w:r>
      <w:r w:rsidR="7330091E" w:rsidRPr="3B7BA401">
        <w:rPr>
          <w:rFonts w:ascii="Arial" w:hAnsi="Arial" w:cs="Arial"/>
        </w:rPr>
        <w:t xml:space="preserve"> </w:t>
      </w:r>
      <w:r w:rsidR="110B9CCD" w:rsidRPr="3B7BA401">
        <w:rPr>
          <w:rFonts w:ascii="Arial" w:hAnsi="Arial" w:cs="Arial"/>
        </w:rPr>
        <w:t>(</w:t>
      </w:r>
      <w:r w:rsidR="37C51C79" w:rsidRPr="3B7BA401">
        <w:rPr>
          <w:rFonts w:ascii="Arial" w:hAnsi="Arial" w:cs="Arial"/>
        </w:rPr>
        <w:t>ACSQH</w:t>
      </w:r>
      <w:r w:rsidR="24C73740" w:rsidRPr="3B7BA401">
        <w:rPr>
          <w:rFonts w:ascii="Arial" w:hAnsi="Arial" w:cs="Arial"/>
        </w:rPr>
        <w:t>C</w:t>
      </w:r>
      <w:r w:rsidR="110B9CCD" w:rsidRPr="3B7BA401">
        <w:rPr>
          <w:rFonts w:ascii="Arial" w:hAnsi="Arial" w:cs="Arial"/>
        </w:rPr>
        <w:t>)</w:t>
      </w:r>
      <w:r w:rsidR="24C73740" w:rsidRPr="3B7BA401">
        <w:rPr>
          <w:rFonts w:ascii="Arial" w:hAnsi="Arial" w:cs="Arial"/>
        </w:rPr>
        <w:t xml:space="preserve"> </w:t>
      </w:r>
      <w:r w:rsidRPr="3B7BA401">
        <w:rPr>
          <w:rFonts w:ascii="Arial" w:hAnsi="Arial" w:cs="Arial"/>
        </w:rPr>
        <w:t xml:space="preserve">emphasises that a single risk-reduction strategy is rarely enough to prevent patient harm related to HRMs. Therefore, it is crucial for health services to assess how different strategies can be effectively integrated to work cohesively within their </w:t>
      </w:r>
      <w:r w:rsidR="005F1EC8">
        <w:rPr>
          <w:rFonts w:ascii="Arial" w:hAnsi="Arial" w:cs="Arial"/>
        </w:rPr>
        <w:t>clinician</w:t>
      </w:r>
      <w:r w:rsidR="009D05EA">
        <w:rPr>
          <w:rFonts w:ascii="Arial" w:hAnsi="Arial" w:cs="Arial"/>
        </w:rPr>
        <w:t>s’</w:t>
      </w:r>
      <w:r w:rsidRPr="3B7BA401">
        <w:rPr>
          <w:rFonts w:ascii="Arial" w:hAnsi="Arial" w:cs="Arial"/>
        </w:rPr>
        <w:t xml:space="preserve"> workflow</w:t>
      </w:r>
      <w:r w:rsidR="00C93B06">
        <w:rPr>
          <w:rFonts w:ascii="Arial" w:hAnsi="Arial" w:cs="Arial"/>
        </w:rPr>
        <w:t>.</w:t>
      </w:r>
    </w:p>
    <w:p w14:paraId="22FE034F" w14:textId="062F71B5" w:rsidR="000558FD" w:rsidRPr="0087197B" w:rsidRDefault="0024758E" w:rsidP="0087197B">
      <w:pPr>
        <w:rPr>
          <w:rFonts w:ascii="Arial" w:hAnsi="Arial" w:cs="Arial"/>
        </w:rPr>
      </w:pPr>
      <w:r w:rsidRPr="002327A5">
        <w:rPr>
          <w:rFonts w:ascii="Arial" w:hAnsi="Arial" w:cs="Arial"/>
        </w:rPr>
        <w:t>The</w:t>
      </w:r>
      <w:r w:rsidRPr="002327A5">
        <w:rPr>
          <w:rFonts w:ascii="Arial" w:hAnsi="Arial" w:cs="Arial"/>
          <w:i/>
        </w:rPr>
        <w:t xml:space="preserve"> eHealth High Risk Medicine Safety – Rapid Literature Review and Environmental Scan report</w:t>
      </w:r>
      <w:r w:rsidR="00A62976" w:rsidRPr="00A62976">
        <w:rPr>
          <w:rFonts w:ascii="Arial" w:hAnsi="Arial" w:cs="Arial"/>
          <w:vertAlign w:val="superscript"/>
        </w:rPr>
        <w:t>1</w:t>
      </w:r>
      <w:r>
        <w:rPr>
          <w:rFonts w:ascii="Arial" w:hAnsi="Arial" w:cs="Arial"/>
          <w:i/>
        </w:rPr>
        <w:t xml:space="preserve"> </w:t>
      </w:r>
      <w:r w:rsidRPr="002327A5">
        <w:rPr>
          <w:rFonts w:ascii="Arial" w:hAnsi="Arial" w:cs="Arial"/>
        </w:rPr>
        <w:t xml:space="preserve">(the </w:t>
      </w:r>
      <w:r>
        <w:rPr>
          <w:rFonts w:ascii="Arial" w:hAnsi="Arial" w:cs="Arial"/>
        </w:rPr>
        <w:t>r</w:t>
      </w:r>
      <w:r w:rsidRPr="002327A5">
        <w:rPr>
          <w:rFonts w:ascii="Arial" w:hAnsi="Arial" w:cs="Arial"/>
        </w:rPr>
        <w:t>eport)</w:t>
      </w:r>
      <w:r>
        <w:rPr>
          <w:rFonts w:ascii="Arial" w:hAnsi="Arial" w:cs="Arial"/>
        </w:rPr>
        <w:t xml:space="preserve"> </w:t>
      </w:r>
      <w:r w:rsidR="00D4767A">
        <w:rPr>
          <w:rFonts w:ascii="Arial" w:hAnsi="Arial" w:cs="Arial"/>
        </w:rPr>
        <w:t xml:space="preserve">highlights </w:t>
      </w:r>
      <w:r w:rsidR="2AA56800">
        <w:rPr>
          <w:rFonts w:ascii="Arial" w:hAnsi="Arial" w:cs="Arial"/>
        </w:rPr>
        <w:t xml:space="preserve">a </w:t>
      </w:r>
      <w:r w:rsidR="64C9DE4B" w:rsidRPr="3B7BA401">
        <w:rPr>
          <w:rFonts w:ascii="Arial" w:hAnsi="Arial" w:cs="Arial"/>
        </w:rPr>
        <w:t xml:space="preserve">variety of strategies employed by health services across Australia. </w:t>
      </w:r>
      <w:r w:rsidR="24C73740" w:rsidRPr="3B7BA401">
        <w:rPr>
          <w:rFonts w:ascii="Arial" w:hAnsi="Arial" w:cs="Arial"/>
        </w:rPr>
        <w:t>Whil</w:t>
      </w:r>
      <w:r w:rsidR="006D4228">
        <w:rPr>
          <w:rFonts w:ascii="Arial" w:hAnsi="Arial" w:cs="Arial"/>
        </w:rPr>
        <w:t>e</w:t>
      </w:r>
      <w:r w:rsidR="64C9DE4B" w:rsidRPr="3B7BA401">
        <w:rPr>
          <w:rFonts w:ascii="Arial" w:hAnsi="Arial" w:cs="Arial"/>
        </w:rPr>
        <w:t xml:space="preserve"> the report identifies many effective strategies, it notes that few have been thoroughly evaluated, making it challenging to </w:t>
      </w:r>
      <w:r w:rsidR="675007F0" w:rsidRPr="3B7BA401">
        <w:rPr>
          <w:rFonts w:ascii="Arial" w:hAnsi="Arial" w:cs="Arial"/>
        </w:rPr>
        <w:t>recommend</w:t>
      </w:r>
      <w:r w:rsidR="64C9DE4B" w:rsidRPr="3B7BA401">
        <w:rPr>
          <w:rFonts w:ascii="Arial" w:hAnsi="Arial" w:cs="Arial"/>
        </w:rPr>
        <w:t xml:space="preserve"> specific approaches. Instead, the report offers health services the opportunity to review existing strategies and consider implementing those that are most appropriate for their organisation.</w:t>
      </w:r>
    </w:p>
    <w:p w14:paraId="5D1B6F48" w14:textId="242C47B4" w:rsidR="000A08E6" w:rsidRPr="0087197B" w:rsidRDefault="000A08E6" w:rsidP="0087197B">
      <w:pPr>
        <w:rPr>
          <w:rFonts w:ascii="Arial" w:hAnsi="Arial" w:cs="Arial"/>
        </w:rPr>
      </w:pPr>
      <w:r w:rsidRPr="0087197B">
        <w:rPr>
          <w:rFonts w:ascii="Arial" w:hAnsi="Arial" w:cs="Arial"/>
        </w:rPr>
        <w:t>The report makes the following recommendations for hospitals:</w:t>
      </w:r>
    </w:p>
    <w:p w14:paraId="503DB239" w14:textId="1D906F2A" w:rsidR="00794629" w:rsidRPr="009F0ED6" w:rsidRDefault="000A08E6" w:rsidP="00E34841">
      <w:pPr>
        <w:pStyle w:val="ListParagraph"/>
        <w:numPr>
          <w:ilvl w:val="0"/>
          <w:numId w:val="2"/>
        </w:numPr>
        <w:rPr>
          <w:rFonts w:ascii="Arial" w:hAnsi="Arial" w:cs="Arial"/>
        </w:rPr>
      </w:pPr>
      <w:r w:rsidRPr="009F0ED6">
        <w:rPr>
          <w:rFonts w:ascii="Arial" w:hAnsi="Arial" w:cs="Arial"/>
        </w:rPr>
        <w:t>Ensure that features are well-designed and align with user workflows to increase acceptance and effective use of strategies.</w:t>
      </w:r>
    </w:p>
    <w:p w14:paraId="2469846D" w14:textId="0451A0EF" w:rsidR="000A08E6" w:rsidRPr="009F0ED6" w:rsidRDefault="000A08E6" w:rsidP="00E34841">
      <w:pPr>
        <w:pStyle w:val="ListParagraph"/>
        <w:numPr>
          <w:ilvl w:val="0"/>
          <w:numId w:val="2"/>
        </w:numPr>
        <w:rPr>
          <w:rFonts w:ascii="Arial" w:hAnsi="Arial" w:cs="Arial"/>
        </w:rPr>
      </w:pPr>
      <w:r w:rsidRPr="009F0ED6">
        <w:rPr>
          <w:rFonts w:ascii="Arial" w:hAnsi="Arial" w:cs="Arial"/>
        </w:rPr>
        <w:t>Adopt a user-</w:t>
      </w:r>
      <w:r w:rsidR="3BEFD677" w:rsidRPr="009F0ED6">
        <w:rPr>
          <w:rFonts w:ascii="Arial" w:hAnsi="Arial" w:cs="Arial"/>
        </w:rPr>
        <w:t>centred</w:t>
      </w:r>
      <w:r w:rsidRPr="009F0ED6">
        <w:rPr>
          <w:rFonts w:ascii="Arial" w:hAnsi="Arial" w:cs="Arial"/>
        </w:rPr>
        <w:t xml:space="preserve"> approach in the development and implementation of strategies.</w:t>
      </w:r>
    </w:p>
    <w:p w14:paraId="7AB0B5FC" w14:textId="462875FE" w:rsidR="00794629" w:rsidRPr="009F0ED6" w:rsidRDefault="000A08E6" w:rsidP="00E34841">
      <w:pPr>
        <w:pStyle w:val="ListParagraph"/>
        <w:numPr>
          <w:ilvl w:val="0"/>
          <w:numId w:val="2"/>
        </w:numPr>
        <w:rPr>
          <w:rFonts w:ascii="Arial" w:hAnsi="Arial" w:cs="Arial"/>
        </w:rPr>
      </w:pPr>
      <w:r w:rsidRPr="009F0ED6">
        <w:rPr>
          <w:rFonts w:ascii="Arial" w:hAnsi="Arial" w:cs="Arial"/>
        </w:rPr>
        <w:t>Implement clear and effective communication and dissemination strategies when introducing a new strategy.</w:t>
      </w:r>
    </w:p>
    <w:p w14:paraId="153708BA" w14:textId="77777777" w:rsidR="008B3B6C" w:rsidRPr="009F0ED6" w:rsidRDefault="000A08E6" w:rsidP="00E34841">
      <w:pPr>
        <w:pStyle w:val="ListParagraph"/>
        <w:numPr>
          <w:ilvl w:val="0"/>
          <w:numId w:val="2"/>
        </w:numPr>
        <w:rPr>
          <w:rFonts w:ascii="Arial" w:hAnsi="Arial" w:cs="Arial"/>
        </w:rPr>
      </w:pPr>
      <w:r w:rsidRPr="009F0ED6">
        <w:rPr>
          <w:rFonts w:ascii="Arial" w:hAnsi="Arial" w:cs="Arial"/>
        </w:rPr>
        <w:t xml:space="preserve">Exercise caution when implementing new strategies, as there is limited robust evidence, particularly from comparative studies, on their effectiveness in reducing adverse events. </w:t>
      </w:r>
    </w:p>
    <w:p w14:paraId="3098C346" w14:textId="25231766" w:rsidR="00F957A3" w:rsidRPr="009F0ED6" w:rsidRDefault="339EE0D8" w:rsidP="00E34841">
      <w:pPr>
        <w:pStyle w:val="ListParagraph"/>
        <w:numPr>
          <w:ilvl w:val="0"/>
          <w:numId w:val="2"/>
        </w:numPr>
        <w:rPr>
          <w:rFonts w:ascii="Arial" w:hAnsi="Arial" w:cs="Arial"/>
        </w:rPr>
      </w:pPr>
      <w:r w:rsidRPr="009F0ED6">
        <w:rPr>
          <w:rFonts w:ascii="Arial" w:hAnsi="Arial" w:cs="Arial"/>
        </w:rPr>
        <w:t>C</w:t>
      </w:r>
      <w:r w:rsidR="000A08E6" w:rsidRPr="009F0ED6">
        <w:rPr>
          <w:rFonts w:ascii="Arial" w:hAnsi="Arial" w:cs="Arial"/>
        </w:rPr>
        <w:t>onduct initial piloting before scaling up strategies, and have mechanisms in place, such as feedback loops, for ongoing monitoring and evaluation.</w:t>
      </w:r>
    </w:p>
    <w:p w14:paraId="5524CD18" w14:textId="7B8EDC18" w:rsidR="00F957A3" w:rsidRPr="00E71B5D" w:rsidRDefault="00CD1C61" w:rsidP="00E71B5D">
      <w:pPr>
        <w:rPr>
          <w:rFonts w:ascii="Arial" w:hAnsi="Arial" w:cs="Arial"/>
        </w:rPr>
      </w:pPr>
      <w:r w:rsidRPr="1BEA6B21">
        <w:rPr>
          <w:rFonts w:ascii="Arial" w:hAnsi="Arial" w:cs="Arial"/>
        </w:rPr>
        <w:t>The following</w:t>
      </w:r>
      <w:r w:rsidR="00F957A3" w:rsidRPr="1BEA6B21">
        <w:rPr>
          <w:rFonts w:ascii="Arial" w:hAnsi="Arial" w:cs="Arial"/>
        </w:rPr>
        <w:t xml:space="preserve"> provides a summary of the key strategies used for each high-risk </w:t>
      </w:r>
      <w:r w:rsidR="00E44BF9" w:rsidRPr="1BEA6B21">
        <w:rPr>
          <w:rFonts w:ascii="Arial" w:hAnsi="Arial" w:cs="Arial"/>
        </w:rPr>
        <w:t>medicine</w:t>
      </w:r>
      <w:r w:rsidR="00F957A3" w:rsidRPr="1BEA6B21">
        <w:rPr>
          <w:rFonts w:ascii="Arial" w:hAnsi="Arial" w:cs="Arial"/>
        </w:rPr>
        <w:t xml:space="preserve"> included in the ‘APINCH’ acronym. For more information, it is recommended to review the </w:t>
      </w:r>
      <w:r w:rsidR="00221D81" w:rsidRPr="1BEA6B21">
        <w:rPr>
          <w:rFonts w:ascii="Arial" w:hAnsi="Arial" w:cs="Arial"/>
        </w:rPr>
        <w:t>r</w:t>
      </w:r>
      <w:r w:rsidR="00F957A3" w:rsidRPr="1BEA6B21">
        <w:rPr>
          <w:rFonts w:ascii="Arial" w:hAnsi="Arial" w:cs="Arial"/>
        </w:rPr>
        <w:t>eport.</w:t>
      </w:r>
    </w:p>
    <w:p w14:paraId="65D00FE3" w14:textId="67A77184" w:rsidR="007D4AB6" w:rsidRPr="00417645" w:rsidRDefault="007D4AB6" w:rsidP="5AF117D2">
      <w:pPr>
        <w:pStyle w:val="Heading2"/>
        <w:rPr>
          <w:rFonts w:ascii="Arial" w:hAnsi="Arial" w:cs="Arial"/>
          <w:b/>
          <w:bCs/>
          <w:sz w:val="28"/>
          <w:szCs w:val="28"/>
        </w:rPr>
      </w:pPr>
      <w:r w:rsidRPr="5AF117D2">
        <w:rPr>
          <w:rFonts w:ascii="Arial" w:hAnsi="Arial" w:cs="Arial"/>
          <w:b/>
          <w:bCs/>
          <w:sz w:val="28"/>
          <w:szCs w:val="28"/>
        </w:rPr>
        <w:t>Antimicrobials</w:t>
      </w:r>
    </w:p>
    <w:p w14:paraId="643F7CA3" w14:textId="2A1D0C01" w:rsidR="00762672" w:rsidRPr="00417645" w:rsidRDefault="00762672" w:rsidP="5AF117D2">
      <w:pPr>
        <w:rPr>
          <w:rFonts w:ascii="Arial" w:hAnsi="Arial" w:cs="Arial"/>
          <w:b/>
          <w:bCs/>
          <w:sz w:val="24"/>
        </w:rPr>
      </w:pPr>
      <w:r w:rsidRPr="5AF117D2">
        <w:rPr>
          <w:rFonts w:ascii="Arial" w:hAnsi="Arial" w:cs="Arial"/>
          <w:b/>
          <w:bCs/>
          <w:sz w:val="24"/>
        </w:rPr>
        <w:t>Most common strategies</w:t>
      </w:r>
    </w:p>
    <w:tbl>
      <w:tblPr>
        <w:tblStyle w:val="TableGrid"/>
        <w:tblW w:w="0" w:type="auto"/>
        <w:tblLook w:val="04A0" w:firstRow="1" w:lastRow="0" w:firstColumn="1" w:lastColumn="0" w:noHBand="0" w:noVBand="1"/>
      </w:tblPr>
      <w:tblGrid>
        <w:gridCol w:w="2376"/>
        <w:gridCol w:w="6866"/>
      </w:tblGrid>
      <w:tr w:rsidR="00E621AE" w:rsidRPr="00417645" w14:paraId="55BBEC93" w14:textId="77777777" w:rsidTr="5AF117D2">
        <w:tc>
          <w:tcPr>
            <w:tcW w:w="2376" w:type="dxa"/>
          </w:tcPr>
          <w:p w14:paraId="446D2189" w14:textId="64C4DCB8" w:rsidR="00E621AE" w:rsidRPr="00417645" w:rsidRDefault="00E621AE" w:rsidP="5AF117D2">
            <w:pPr>
              <w:rPr>
                <w:rFonts w:ascii="Arial" w:hAnsi="Arial" w:cs="Arial"/>
                <w:b/>
                <w:bCs/>
                <w:sz w:val="24"/>
              </w:rPr>
            </w:pPr>
            <w:r w:rsidRPr="5AF117D2">
              <w:rPr>
                <w:rFonts w:ascii="Arial" w:hAnsi="Arial" w:cs="Arial"/>
                <w:b/>
                <w:bCs/>
                <w:lang w:val="en-US"/>
              </w:rPr>
              <w:t>Presentation</w:t>
            </w:r>
          </w:p>
        </w:tc>
        <w:tc>
          <w:tcPr>
            <w:tcW w:w="6866" w:type="dxa"/>
          </w:tcPr>
          <w:p w14:paraId="29AC656E" w14:textId="63129D08" w:rsidR="00E621AE" w:rsidRPr="00417645" w:rsidRDefault="5EF8A931" w:rsidP="5AF117D2">
            <w:pPr>
              <w:rPr>
                <w:rFonts w:ascii="Arial" w:hAnsi="Arial" w:cs="Arial"/>
                <w:b/>
                <w:bCs/>
              </w:rPr>
            </w:pPr>
            <w:r w:rsidRPr="5AF117D2">
              <w:rPr>
                <w:rFonts w:ascii="Arial" w:hAnsi="Arial" w:cs="Arial"/>
                <w:b/>
                <w:bCs/>
              </w:rPr>
              <w:t xml:space="preserve">Additional </w:t>
            </w:r>
            <w:r w:rsidR="21A984AF" w:rsidRPr="5AF117D2">
              <w:rPr>
                <w:rFonts w:ascii="Arial" w:hAnsi="Arial" w:cs="Arial"/>
                <w:b/>
                <w:bCs/>
              </w:rPr>
              <w:t>information</w:t>
            </w:r>
          </w:p>
        </w:tc>
      </w:tr>
      <w:tr w:rsidR="00E621AE" w:rsidRPr="00417645" w14:paraId="1CCADEA3" w14:textId="77777777" w:rsidTr="5AF117D2">
        <w:tc>
          <w:tcPr>
            <w:tcW w:w="2376" w:type="dxa"/>
          </w:tcPr>
          <w:p w14:paraId="256FA569" w14:textId="7952C371" w:rsidR="00E621AE" w:rsidRPr="00417645" w:rsidRDefault="00E621AE" w:rsidP="5AF117D2">
            <w:pPr>
              <w:rPr>
                <w:rFonts w:ascii="Arial" w:hAnsi="Arial" w:cs="Arial"/>
              </w:rPr>
            </w:pPr>
            <w:r w:rsidRPr="5AF117D2">
              <w:rPr>
                <w:rFonts w:ascii="Arial" w:hAnsi="Arial" w:cs="Arial"/>
              </w:rPr>
              <w:t>Tallman lettering (4*)</w:t>
            </w:r>
          </w:p>
        </w:tc>
        <w:tc>
          <w:tcPr>
            <w:tcW w:w="6866" w:type="dxa"/>
          </w:tcPr>
          <w:p w14:paraId="47297719" w14:textId="5846FFDB" w:rsidR="00E621AE" w:rsidRPr="00417645" w:rsidRDefault="3B8FADE0" w:rsidP="5AF117D2">
            <w:pPr>
              <w:rPr>
                <w:rFonts w:ascii="Arial" w:eastAsia="Arial" w:hAnsi="Arial" w:cs="Arial"/>
              </w:rPr>
            </w:pPr>
            <w:r w:rsidRPr="5AF117D2">
              <w:rPr>
                <w:rFonts w:ascii="Arial" w:eastAsia="Arial" w:hAnsi="Arial" w:cs="Arial"/>
              </w:rPr>
              <w:t>Using</w:t>
            </w:r>
            <w:r w:rsidR="1FD6AE17" w:rsidRPr="5AF117D2">
              <w:rPr>
                <w:rFonts w:ascii="Arial" w:eastAsia="Arial" w:hAnsi="Arial" w:cs="Arial"/>
              </w:rPr>
              <w:t xml:space="preserve"> selective capitalisation (e.g., </w:t>
            </w:r>
            <w:proofErr w:type="spellStart"/>
            <w:r w:rsidR="1FD6AE17" w:rsidRPr="5AF117D2">
              <w:rPr>
                <w:rFonts w:ascii="Arial" w:eastAsia="Arial" w:hAnsi="Arial" w:cs="Arial"/>
              </w:rPr>
              <w:t>cefaLEXin</w:t>
            </w:r>
            <w:proofErr w:type="spellEnd"/>
            <w:r w:rsidR="1FD6AE17" w:rsidRPr="5AF117D2">
              <w:rPr>
                <w:rFonts w:ascii="Arial" w:eastAsia="Arial" w:hAnsi="Arial" w:cs="Arial"/>
              </w:rPr>
              <w:t xml:space="preserve"> and </w:t>
            </w:r>
            <w:proofErr w:type="spellStart"/>
            <w:r w:rsidR="1FD6AE17" w:rsidRPr="5AF117D2">
              <w:rPr>
                <w:rFonts w:ascii="Arial" w:eastAsia="Arial" w:hAnsi="Arial" w:cs="Arial"/>
              </w:rPr>
              <w:t>cefaZOLin</w:t>
            </w:r>
            <w:proofErr w:type="spellEnd"/>
            <w:r w:rsidR="1FD6AE17" w:rsidRPr="5AF117D2">
              <w:rPr>
                <w:rFonts w:ascii="Arial" w:eastAsia="Arial" w:hAnsi="Arial" w:cs="Arial"/>
              </w:rPr>
              <w:t>) to help distinguish between similar</w:t>
            </w:r>
            <w:r w:rsidRPr="5AF117D2">
              <w:rPr>
                <w:rFonts w:ascii="Arial" w:eastAsia="Arial" w:hAnsi="Arial" w:cs="Arial"/>
              </w:rPr>
              <w:t xml:space="preserve"> </w:t>
            </w:r>
            <w:r w:rsidR="1FD6AE17" w:rsidRPr="5AF117D2">
              <w:rPr>
                <w:rFonts w:ascii="Arial" w:eastAsia="Arial" w:hAnsi="Arial" w:cs="Arial"/>
              </w:rPr>
              <w:t xml:space="preserve">sounding </w:t>
            </w:r>
            <w:r w:rsidR="1C5F95FD" w:rsidRPr="5AF117D2">
              <w:rPr>
                <w:rFonts w:ascii="Arial" w:eastAsia="Arial" w:hAnsi="Arial" w:cs="Arial"/>
              </w:rPr>
              <w:t xml:space="preserve">or looking </w:t>
            </w:r>
            <w:r w:rsidR="1FD6AE17" w:rsidRPr="5AF117D2">
              <w:rPr>
                <w:rFonts w:ascii="Arial" w:eastAsia="Arial" w:hAnsi="Arial" w:cs="Arial"/>
              </w:rPr>
              <w:t>antimicrobial names</w:t>
            </w:r>
            <w:r w:rsidRPr="5AF117D2">
              <w:rPr>
                <w:rFonts w:ascii="Arial" w:eastAsia="Arial" w:hAnsi="Arial" w:cs="Arial"/>
              </w:rPr>
              <w:t>. This reduces</w:t>
            </w:r>
            <w:r w:rsidR="1FD6AE17" w:rsidRPr="5AF117D2">
              <w:rPr>
                <w:rFonts w:ascii="Arial" w:eastAsia="Arial" w:hAnsi="Arial" w:cs="Arial"/>
              </w:rPr>
              <w:t xml:space="preserve"> errors</w:t>
            </w:r>
            <w:r w:rsidRPr="5AF117D2">
              <w:rPr>
                <w:rFonts w:ascii="Arial" w:eastAsia="Arial" w:hAnsi="Arial" w:cs="Arial"/>
              </w:rPr>
              <w:t xml:space="preserve"> in selecting the wrong medication</w:t>
            </w:r>
            <w:r w:rsidR="1FD6AE17" w:rsidRPr="5AF117D2">
              <w:rPr>
                <w:rFonts w:ascii="Arial" w:eastAsia="Arial" w:hAnsi="Arial" w:cs="Arial"/>
              </w:rPr>
              <w:t>.</w:t>
            </w:r>
          </w:p>
        </w:tc>
      </w:tr>
    </w:tbl>
    <w:p w14:paraId="63BDA668" w14:textId="77777777" w:rsidR="00E621AE" w:rsidRPr="00417645" w:rsidRDefault="00E621AE" w:rsidP="5AF117D2">
      <w:pPr>
        <w:rPr>
          <w:rFonts w:ascii="Arial" w:hAnsi="Arial" w:cs="Arial"/>
        </w:rPr>
      </w:pPr>
    </w:p>
    <w:tbl>
      <w:tblPr>
        <w:tblStyle w:val="TableGrid"/>
        <w:tblW w:w="9242" w:type="dxa"/>
        <w:tblLook w:val="04A0" w:firstRow="1" w:lastRow="0" w:firstColumn="1" w:lastColumn="0" w:noHBand="0" w:noVBand="1"/>
      </w:tblPr>
      <w:tblGrid>
        <w:gridCol w:w="2376"/>
        <w:gridCol w:w="6866"/>
      </w:tblGrid>
      <w:tr w:rsidR="00955EC4" w:rsidRPr="00417645" w14:paraId="5C2089F4" w14:textId="77777777" w:rsidTr="5AF117D2">
        <w:tc>
          <w:tcPr>
            <w:tcW w:w="2376" w:type="dxa"/>
          </w:tcPr>
          <w:p w14:paraId="5915C38C" w14:textId="5BE61181" w:rsidR="00955EC4" w:rsidRPr="00417645" w:rsidRDefault="5EF8A931" w:rsidP="5AF117D2">
            <w:pPr>
              <w:rPr>
                <w:rFonts w:ascii="Arial" w:hAnsi="Arial" w:cs="Arial"/>
                <w:b/>
                <w:bCs/>
              </w:rPr>
            </w:pPr>
            <w:r w:rsidRPr="5AF117D2">
              <w:rPr>
                <w:rFonts w:ascii="Arial" w:hAnsi="Arial" w:cs="Arial"/>
                <w:b/>
                <w:bCs/>
              </w:rPr>
              <w:t>Management</w:t>
            </w:r>
          </w:p>
        </w:tc>
        <w:tc>
          <w:tcPr>
            <w:tcW w:w="6866" w:type="dxa"/>
          </w:tcPr>
          <w:p w14:paraId="2CA32A61" w14:textId="4C7E4772" w:rsidR="00955EC4" w:rsidRPr="00417645" w:rsidRDefault="5EF8A931" w:rsidP="5AF117D2">
            <w:pPr>
              <w:rPr>
                <w:rFonts w:ascii="Arial" w:hAnsi="Arial" w:cs="Arial"/>
                <w:b/>
                <w:bCs/>
              </w:rPr>
            </w:pPr>
            <w:r w:rsidRPr="5AF117D2">
              <w:rPr>
                <w:rFonts w:ascii="Arial" w:hAnsi="Arial" w:cs="Arial"/>
                <w:b/>
                <w:bCs/>
              </w:rPr>
              <w:t xml:space="preserve">Additional </w:t>
            </w:r>
            <w:r w:rsidR="2EB0442F" w:rsidRPr="5AF117D2">
              <w:rPr>
                <w:rFonts w:ascii="Arial" w:hAnsi="Arial" w:cs="Arial"/>
                <w:b/>
                <w:bCs/>
              </w:rPr>
              <w:t>information</w:t>
            </w:r>
          </w:p>
        </w:tc>
      </w:tr>
      <w:tr w:rsidR="000D404D" w:rsidRPr="00417645" w14:paraId="29FEF726" w14:textId="77777777" w:rsidTr="5AF117D2">
        <w:tc>
          <w:tcPr>
            <w:tcW w:w="2376" w:type="dxa"/>
          </w:tcPr>
          <w:p w14:paraId="4D9C8433" w14:textId="243A7A80" w:rsidR="000D404D" w:rsidRPr="00417645" w:rsidRDefault="71BA354A" w:rsidP="5AF117D2">
            <w:pPr>
              <w:rPr>
                <w:rFonts w:ascii="Arial" w:hAnsi="Arial" w:cs="Arial"/>
              </w:rPr>
            </w:pPr>
            <w:r w:rsidRPr="5AF117D2">
              <w:rPr>
                <w:rFonts w:ascii="Arial" w:hAnsi="Arial" w:cs="Arial"/>
              </w:rPr>
              <w:t>Alerts (14*)</w:t>
            </w:r>
          </w:p>
        </w:tc>
        <w:tc>
          <w:tcPr>
            <w:tcW w:w="6866" w:type="dxa"/>
          </w:tcPr>
          <w:p w14:paraId="6759485B" w14:textId="10DBF36A" w:rsidR="000D404D" w:rsidRPr="00417645" w:rsidRDefault="78D1B26E" w:rsidP="5AF117D2">
            <w:pPr>
              <w:rPr>
                <w:rFonts w:ascii="Arial" w:eastAsia="Arial" w:hAnsi="Arial" w:cs="Arial"/>
              </w:rPr>
            </w:pPr>
            <w:r w:rsidRPr="5AF117D2">
              <w:rPr>
                <w:rFonts w:ascii="Arial" w:eastAsia="Arial" w:hAnsi="Arial" w:cs="Arial"/>
              </w:rPr>
              <w:t>Providing p</w:t>
            </w:r>
            <w:r w:rsidR="660705B8" w:rsidRPr="5AF117D2">
              <w:rPr>
                <w:rFonts w:ascii="Arial" w:eastAsia="Arial" w:hAnsi="Arial" w:cs="Arial"/>
              </w:rPr>
              <w:t xml:space="preserve">rescribing </w:t>
            </w:r>
            <w:r w:rsidR="1B17113D" w:rsidRPr="5AF117D2">
              <w:rPr>
                <w:rFonts w:ascii="Arial" w:eastAsia="Arial" w:hAnsi="Arial" w:cs="Arial"/>
              </w:rPr>
              <w:t xml:space="preserve">prompts for </w:t>
            </w:r>
            <w:r w:rsidR="660705B8" w:rsidRPr="5AF117D2">
              <w:rPr>
                <w:rFonts w:ascii="Arial" w:eastAsia="Arial" w:hAnsi="Arial" w:cs="Arial"/>
              </w:rPr>
              <w:t xml:space="preserve">considerations, </w:t>
            </w:r>
            <w:r w:rsidR="05326547" w:rsidRPr="5AF117D2">
              <w:rPr>
                <w:rFonts w:ascii="Arial" w:eastAsia="Arial" w:hAnsi="Arial" w:cs="Arial"/>
              </w:rPr>
              <w:t>such as</w:t>
            </w:r>
            <w:r w:rsidR="660705B8" w:rsidRPr="5AF117D2">
              <w:rPr>
                <w:rFonts w:ascii="Arial" w:eastAsia="Arial" w:hAnsi="Arial" w:cs="Arial"/>
              </w:rPr>
              <w:t xml:space="preserve"> recommended</w:t>
            </w:r>
            <w:r w:rsidR="1B17113D" w:rsidRPr="5AF117D2">
              <w:rPr>
                <w:rFonts w:ascii="Arial" w:eastAsia="Arial" w:hAnsi="Arial" w:cs="Arial"/>
              </w:rPr>
              <w:t xml:space="preserve"> administration rates, </w:t>
            </w:r>
            <w:r w:rsidR="660705B8" w:rsidRPr="5AF117D2">
              <w:rPr>
                <w:rFonts w:ascii="Arial" w:eastAsia="Arial" w:hAnsi="Arial" w:cs="Arial"/>
              </w:rPr>
              <w:t xml:space="preserve">antimicrobial usage </w:t>
            </w:r>
            <w:r w:rsidR="1B17113D" w:rsidRPr="5AF117D2">
              <w:rPr>
                <w:rFonts w:ascii="Arial" w:eastAsia="Arial" w:hAnsi="Arial" w:cs="Arial"/>
              </w:rPr>
              <w:t xml:space="preserve">restrictions, infection control, IV to oral switching, </w:t>
            </w:r>
            <w:r w:rsidR="660705B8" w:rsidRPr="5AF117D2">
              <w:rPr>
                <w:rFonts w:ascii="Arial" w:eastAsia="Arial" w:hAnsi="Arial" w:cs="Arial"/>
              </w:rPr>
              <w:t xml:space="preserve">and </w:t>
            </w:r>
            <w:r w:rsidR="1B17113D" w:rsidRPr="5AF117D2">
              <w:rPr>
                <w:rFonts w:ascii="Arial" w:eastAsia="Arial" w:hAnsi="Arial" w:cs="Arial"/>
              </w:rPr>
              <w:t>detecting renal impairment.</w:t>
            </w:r>
          </w:p>
        </w:tc>
      </w:tr>
      <w:tr w:rsidR="000D404D" w:rsidRPr="00417645" w14:paraId="6F0402D0" w14:textId="77777777" w:rsidTr="5AF117D2">
        <w:tc>
          <w:tcPr>
            <w:tcW w:w="2376" w:type="dxa"/>
          </w:tcPr>
          <w:p w14:paraId="6C73394C" w14:textId="727A44E8" w:rsidR="000D404D" w:rsidRPr="00417645" w:rsidRDefault="71BA354A" w:rsidP="5AF117D2">
            <w:pPr>
              <w:rPr>
                <w:rFonts w:ascii="Arial" w:hAnsi="Arial" w:cs="Arial"/>
              </w:rPr>
            </w:pPr>
            <w:r w:rsidRPr="5AF117D2">
              <w:rPr>
                <w:rFonts w:ascii="Arial" w:hAnsi="Arial" w:cs="Arial"/>
              </w:rPr>
              <w:t>Forcing functions (14*)</w:t>
            </w:r>
          </w:p>
        </w:tc>
        <w:tc>
          <w:tcPr>
            <w:tcW w:w="6866" w:type="dxa"/>
          </w:tcPr>
          <w:p w14:paraId="355C4452" w14:textId="5E77CE69" w:rsidR="000D404D" w:rsidRPr="00417645" w:rsidRDefault="429F4451" w:rsidP="5AF117D2">
            <w:pPr>
              <w:rPr>
                <w:rFonts w:ascii="Arial" w:eastAsia="Arial" w:hAnsi="Arial" w:cs="Arial"/>
              </w:rPr>
            </w:pPr>
            <w:r w:rsidRPr="5AF117D2">
              <w:rPr>
                <w:rFonts w:ascii="Arial" w:eastAsia="Arial" w:hAnsi="Arial" w:cs="Arial"/>
              </w:rPr>
              <w:t xml:space="preserve">Mandatory fields for documentation </w:t>
            </w:r>
            <w:r w:rsidR="05326547" w:rsidRPr="5AF117D2">
              <w:rPr>
                <w:rFonts w:ascii="Arial" w:eastAsia="Arial" w:hAnsi="Arial" w:cs="Arial"/>
              </w:rPr>
              <w:t>such as</w:t>
            </w:r>
            <w:r w:rsidRPr="5AF117D2">
              <w:rPr>
                <w:rFonts w:ascii="Arial" w:eastAsia="Arial" w:hAnsi="Arial" w:cs="Arial"/>
              </w:rPr>
              <w:t xml:space="preserve"> indication, approval number</w:t>
            </w:r>
            <w:r w:rsidR="4CD74A15" w:rsidRPr="5AF117D2">
              <w:rPr>
                <w:rFonts w:ascii="Arial" w:eastAsia="Arial" w:hAnsi="Arial" w:cs="Arial"/>
              </w:rPr>
              <w:t xml:space="preserve"> </w:t>
            </w:r>
            <w:r w:rsidR="6363B48F" w:rsidRPr="5AF117D2">
              <w:rPr>
                <w:rFonts w:ascii="Arial" w:eastAsia="Arial" w:hAnsi="Arial" w:cs="Arial"/>
              </w:rPr>
              <w:t>or forcing clinicians to indicate if the patient has normal renal function</w:t>
            </w:r>
            <w:r w:rsidR="55E45211" w:rsidRPr="5AF117D2">
              <w:rPr>
                <w:rFonts w:ascii="Arial" w:eastAsia="Arial" w:hAnsi="Arial" w:cs="Arial"/>
              </w:rPr>
              <w:t xml:space="preserve"> before </w:t>
            </w:r>
            <w:r w:rsidR="55E45211" w:rsidRPr="5AF117D2">
              <w:rPr>
                <w:rFonts w:ascii="Arial" w:eastAsia="Arial" w:hAnsi="Arial" w:cs="Arial"/>
              </w:rPr>
              <w:lastRenderedPageBreak/>
              <w:t xml:space="preserve">antimicrobial </w:t>
            </w:r>
            <w:r w:rsidR="0DF7E9DF" w:rsidRPr="5AF117D2">
              <w:rPr>
                <w:rFonts w:ascii="Arial" w:eastAsia="Arial" w:hAnsi="Arial" w:cs="Arial"/>
              </w:rPr>
              <w:t>prescribing or administration.</w:t>
            </w:r>
          </w:p>
        </w:tc>
      </w:tr>
      <w:tr w:rsidR="000D404D" w:rsidRPr="00417645" w14:paraId="456FDFF1" w14:textId="77777777" w:rsidTr="5AF117D2">
        <w:tc>
          <w:tcPr>
            <w:tcW w:w="2376" w:type="dxa"/>
          </w:tcPr>
          <w:p w14:paraId="07407559" w14:textId="5BD2119D" w:rsidR="000D404D" w:rsidRPr="00417645" w:rsidRDefault="00712612" w:rsidP="5AF117D2">
            <w:pPr>
              <w:rPr>
                <w:rFonts w:ascii="Arial" w:hAnsi="Arial" w:cs="Arial"/>
              </w:rPr>
            </w:pPr>
            <w:r w:rsidRPr="5AF117D2">
              <w:rPr>
                <w:rFonts w:ascii="Arial" w:hAnsi="Arial" w:cs="Arial"/>
              </w:rPr>
              <w:lastRenderedPageBreak/>
              <w:t xml:space="preserve">Predefined order instructions </w:t>
            </w:r>
            <w:r w:rsidR="71BA354A" w:rsidRPr="5AF117D2">
              <w:rPr>
                <w:rFonts w:ascii="Arial" w:hAnsi="Arial" w:cs="Arial"/>
              </w:rPr>
              <w:t>(13*)</w:t>
            </w:r>
          </w:p>
        </w:tc>
        <w:tc>
          <w:tcPr>
            <w:tcW w:w="6866" w:type="dxa"/>
          </w:tcPr>
          <w:p w14:paraId="4EE27C0C" w14:textId="43FF4746" w:rsidR="000D404D" w:rsidRPr="00417645" w:rsidRDefault="568D0895" w:rsidP="5AF117D2">
            <w:pPr>
              <w:rPr>
                <w:rFonts w:ascii="Arial" w:eastAsia="Arial" w:hAnsi="Arial" w:cs="Arial"/>
              </w:rPr>
            </w:pPr>
            <w:r w:rsidRPr="5AF117D2">
              <w:rPr>
                <w:rFonts w:ascii="Arial" w:eastAsia="Arial" w:hAnsi="Arial" w:cs="Arial"/>
              </w:rPr>
              <w:t>U</w:t>
            </w:r>
            <w:r w:rsidR="63B0F401" w:rsidRPr="5AF117D2">
              <w:rPr>
                <w:rFonts w:ascii="Arial" w:eastAsia="Arial" w:hAnsi="Arial" w:cs="Arial"/>
              </w:rPr>
              <w:t>se of predefined orders that guide prescribers by specifying details such as dose, route, and frequency.</w:t>
            </w:r>
          </w:p>
        </w:tc>
      </w:tr>
    </w:tbl>
    <w:p w14:paraId="67158ED4" w14:textId="77777777" w:rsidR="000D404D" w:rsidRDefault="000D404D" w:rsidP="5AF117D2">
      <w:pPr>
        <w:rPr>
          <w:rFonts w:ascii="Arial" w:hAnsi="Arial" w:cs="Arial"/>
        </w:rPr>
      </w:pPr>
    </w:p>
    <w:p w14:paraId="14E27618" w14:textId="77777777" w:rsidR="00E85529" w:rsidRPr="00417645" w:rsidRDefault="00E85529" w:rsidP="5AF117D2">
      <w:pPr>
        <w:rPr>
          <w:rFonts w:ascii="Arial" w:hAnsi="Arial" w:cs="Arial"/>
        </w:rPr>
      </w:pPr>
    </w:p>
    <w:tbl>
      <w:tblPr>
        <w:tblStyle w:val="TableGrid"/>
        <w:tblW w:w="0" w:type="auto"/>
        <w:tblLook w:val="04A0" w:firstRow="1" w:lastRow="0" w:firstColumn="1" w:lastColumn="0" w:noHBand="0" w:noVBand="1"/>
      </w:tblPr>
      <w:tblGrid>
        <w:gridCol w:w="2376"/>
        <w:gridCol w:w="6866"/>
      </w:tblGrid>
      <w:tr w:rsidR="00955EC4" w:rsidRPr="00417645" w14:paraId="0206C3C8" w14:textId="77777777" w:rsidTr="5AF117D2">
        <w:tc>
          <w:tcPr>
            <w:tcW w:w="2376" w:type="dxa"/>
          </w:tcPr>
          <w:p w14:paraId="52247C63" w14:textId="6E9E903E" w:rsidR="00955EC4" w:rsidRPr="00417645" w:rsidRDefault="5EF8A931" w:rsidP="5AF117D2">
            <w:pPr>
              <w:rPr>
                <w:rFonts w:ascii="Arial" w:hAnsi="Arial" w:cs="Arial"/>
                <w:b/>
                <w:bCs/>
              </w:rPr>
            </w:pPr>
            <w:r w:rsidRPr="5AF117D2">
              <w:rPr>
                <w:rFonts w:ascii="Arial" w:hAnsi="Arial" w:cs="Arial"/>
                <w:b/>
                <w:bCs/>
              </w:rPr>
              <w:t>Monitoring</w:t>
            </w:r>
          </w:p>
        </w:tc>
        <w:tc>
          <w:tcPr>
            <w:tcW w:w="6866" w:type="dxa"/>
          </w:tcPr>
          <w:p w14:paraId="5CC4B954" w14:textId="2E6BDDA4" w:rsidR="00955EC4" w:rsidRPr="00417645" w:rsidRDefault="5EF8A931" w:rsidP="5AF117D2">
            <w:pPr>
              <w:rPr>
                <w:rFonts w:ascii="Arial" w:hAnsi="Arial" w:cs="Arial"/>
                <w:b/>
                <w:bCs/>
              </w:rPr>
            </w:pPr>
            <w:r w:rsidRPr="5AF117D2">
              <w:rPr>
                <w:rFonts w:ascii="Arial" w:hAnsi="Arial" w:cs="Arial"/>
                <w:b/>
                <w:bCs/>
              </w:rPr>
              <w:t xml:space="preserve">Additional </w:t>
            </w:r>
            <w:r w:rsidR="137989F6" w:rsidRPr="5AF117D2">
              <w:rPr>
                <w:rFonts w:ascii="Arial" w:hAnsi="Arial" w:cs="Arial"/>
                <w:b/>
                <w:bCs/>
              </w:rPr>
              <w:t>information</w:t>
            </w:r>
          </w:p>
        </w:tc>
      </w:tr>
      <w:tr w:rsidR="00955EC4" w:rsidRPr="00417645" w14:paraId="5A85D7B4" w14:textId="77777777" w:rsidTr="5AF117D2">
        <w:tc>
          <w:tcPr>
            <w:tcW w:w="2376" w:type="dxa"/>
          </w:tcPr>
          <w:p w14:paraId="58917139" w14:textId="2844BD8D" w:rsidR="00955EC4" w:rsidRPr="00417645" w:rsidRDefault="5EF8A931" w:rsidP="5AF117D2">
            <w:pPr>
              <w:rPr>
                <w:rFonts w:ascii="Arial" w:hAnsi="Arial" w:cs="Arial"/>
              </w:rPr>
            </w:pPr>
            <w:r w:rsidRPr="5AF117D2">
              <w:rPr>
                <w:rFonts w:ascii="Arial" w:hAnsi="Arial" w:cs="Arial"/>
              </w:rPr>
              <w:t>Dashboards (7*)</w:t>
            </w:r>
            <w:r w:rsidR="2FB8F319" w:rsidRPr="5AF117D2">
              <w:rPr>
                <w:rFonts w:ascii="Arial" w:hAnsi="Arial" w:cs="Arial"/>
              </w:rPr>
              <w:t xml:space="preserve"> and </w:t>
            </w:r>
            <w:r w:rsidR="138A8C0B" w:rsidRPr="5AF117D2">
              <w:rPr>
                <w:rFonts w:ascii="Arial" w:hAnsi="Arial" w:cs="Arial"/>
              </w:rPr>
              <w:t>Re</w:t>
            </w:r>
            <w:r w:rsidR="2FB8F319" w:rsidRPr="5AF117D2">
              <w:rPr>
                <w:rFonts w:ascii="Arial" w:hAnsi="Arial" w:cs="Arial"/>
                <w:lang w:val="en-US"/>
              </w:rPr>
              <w:t>ports (6*)</w:t>
            </w:r>
          </w:p>
        </w:tc>
        <w:tc>
          <w:tcPr>
            <w:tcW w:w="6866" w:type="dxa"/>
          </w:tcPr>
          <w:p w14:paraId="5EB17FEF" w14:textId="3BC0F593" w:rsidR="00955EC4" w:rsidRPr="00417645" w:rsidRDefault="20A18F3B" w:rsidP="5AF117D2">
            <w:pPr>
              <w:rPr>
                <w:rFonts w:ascii="Arial" w:hAnsi="Arial" w:cs="Arial"/>
              </w:rPr>
            </w:pPr>
            <w:r w:rsidRPr="5AF117D2">
              <w:rPr>
                <w:rFonts w:ascii="Arial" w:hAnsi="Arial" w:cs="Arial"/>
              </w:rPr>
              <w:t>Tools used by Antimicrobial Stewardship (AMS) teams to track antimicrobial usage, identify trends, and support targeted interventions.</w:t>
            </w:r>
          </w:p>
        </w:tc>
      </w:tr>
    </w:tbl>
    <w:p w14:paraId="749C44EE" w14:textId="77777777" w:rsidR="00071CE6" w:rsidRPr="00417645" w:rsidRDefault="00071CE6" w:rsidP="5AF117D2">
      <w:pPr>
        <w:pStyle w:val="NoSpacing"/>
        <w:rPr>
          <w:lang w:val="en-US"/>
        </w:rPr>
      </w:pPr>
    </w:p>
    <w:p w14:paraId="782197FD" w14:textId="54E0A67B" w:rsidR="00E0727C" w:rsidRPr="00417645" w:rsidRDefault="00663257" w:rsidP="5AF117D2">
      <w:pPr>
        <w:rPr>
          <w:rFonts w:ascii="Arial" w:hAnsi="Arial" w:cs="Arial"/>
          <w:lang w:val="en-US"/>
        </w:rPr>
      </w:pPr>
      <w:r w:rsidRPr="5AF117D2">
        <w:rPr>
          <w:rFonts w:ascii="Arial" w:hAnsi="Arial" w:cs="Arial"/>
        </w:rPr>
        <w:t xml:space="preserve">The use of </w:t>
      </w:r>
      <w:r w:rsidR="2660533A" w:rsidRPr="5AF117D2">
        <w:rPr>
          <w:rFonts w:ascii="Arial" w:hAnsi="Arial" w:cs="Arial"/>
        </w:rPr>
        <w:t>management strategies contributed to reduced antimicrobial prescribing and improved appropriateness of use, which were associated with positive clinical outcomes</w:t>
      </w:r>
      <w:r w:rsidR="001F23E5" w:rsidRPr="5AF117D2">
        <w:rPr>
          <w:rFonts w:ascii="Arial" w:hAnsi="Arial" w:cs="Arial"/>
        </w:rPr>
        <w:t xml:space="preserve"> (such as reduced length of stay)</w:t>
      </w:r>
      <w:r w:rsidR="2660533A" w:rsidRPr="5AF117D2">
        <w:rPr>
          <w:rFonts w:ascii="Arial" w:hAnsi="Arial" w:cs="Arial"/>
        </w:rPr>
        <w:t>.</w:t>
      </w:r>
      <w:r w:rsidR="1C923B39" w:rsidRPr="5AF117D2">
        <w:rPr>
          <w:rFonts w:ascii="Arial" w:hAnsi="Arial" w:cs="Arial"/>
          <w:lang w:val="en-US"/>
        </w:rPr>
        <w:t xml:space="preserve"> However, there was also evidence that some strategies were either bypassed or abandoned by users.</w:t>
      </w:r>
      <w:r w:rsidR="7D1C78DA" w:rsidRPr="5AF117D2">
        <w:rPr>
          <w:rFonts w:ascii="Arial" w:hAnsi="Arial" w:cs="Arial"/>
          <w:lang w:val="en-US"/>
        </w:rPr>
        <w:t xml:space="preserve"> </w:t>
      </w:r>
      <w:r w:rsidR="00165467" w:rsidRPr="5AF117D2">
        <w:rPr>
          <w:rFonts w:ascii="Arial" w:hAnsi="Arial" w:cs="Arial"/>
          <w:lang w:val="en-US"/>
        </w:rPr>
        <w:t>This highlights the importance of working with stakeholders</w:t>
      </w:r>
      <w:r w:rsidR="592F9E84" w:rsidRPr="5AF117D2">
        <w:rPr>
          <w:rFonts w:ascii="Arial" w:hAnsi="Arial" w:cs="Arial"/>
          <w:lang w:val="en-US"/>
        </w:rPr>
        <w:t>,</w:t>
      </w:r>
      <w:r w:rsidR="00165467" w:rsidRPr="5AF117D2">
        <w:rPr>
          <w:rFonts w:ascii="Arial" w:hAnsi="Arial" w:cs="Arial"/>
          <w:lang w:val="en-US"/>
        </w:rPr>
        <w:t xml:space="preserve"> so </w:t>
      </w:r>
      <w:r w:rsidR="00E621AE" w:rsidRPr="5AF117D2">
        <w:rPr>
          <w:rFonts w:ascii="Arial" w:hAnsi="Arial" w:cs="Arial"/>
          <w:lang w:val="en-US"/>
        </w:rPr>
        <w:t xml:space="preserve">the </w:t>
      </w:r>
      <w:r w:rsidR="00E621AE" w:rsidRPr="5AF117D2">
        <w:rPr>
          <w:rFonts w:ascii="Arial" w:hAnsi="Arial" w:cs="Arial"/>
        </w:rPr>
        <w:t xml:space="preserve">design of clinical decision support tools </w:t>
      </w:r>
      <w:r w:rsidR="00E621AE" w:rsidRPr="5AF117D2">
        <w:rPr>
          <w:rFonts w:ascii="Arial" w:hAnsi="Arial" w:cs="Arial"/>
          <w:lang w:val="en-US"/>
        </w:rPr>
        <w:t>is</w:t>
      </w:r>
      <w:r w:rsidR="00165467" w:rsidRPr="5AF117D2">
        <w:rPr>
          <w:rFonts w:ascii="Arial" w:hAnsi="Arial" w:cs="Arial"/>
          <w:lang w:val="en-US"/>
        </w:rPr>
        <w:t xml:space="preserve"> integrated with workflows.</w:t>
      </w:r>
    </w:p>
    <w:p w14:paraId="580FEE8F" w14:textId="022DC378" w:rsidR="000F57B3" w:rsidRPr="00417645" w:rsidRDefault="005D45F0" w:rsidP="5AF117D2">
      <w:pPr>
        <w:pStyle w:val="Heading2"/>
        <w:rPr>
          <w:rFonts w:ascii="Arial" w:hAnsi="Arial" w:cs="Arial"/>
          <w:b/>
          <w:bCs/>
          <w:sz w:val="28"/>
          <w:szCs w:val="28"/>
        </w:rPr>
      </w:pPr>
      <w:r w:rsidRPr="5AF117D2">
        <w:rPr>
          <w:rFonts w:ascii="Arial" w:hAnsi="Arial" w:cs="Arial"/>
          <w:b/>
          <w:bCs/>
          <w:sz w:val="28"/>
          <w:szCs w:val="28"/>
        </w:rPr>
        <w:t>Potassium and other electrolytes</w:t>
      </w:r>
    </w:p>
    <w:p w14:paraId="6764EDA6" w14:textId="376244D3" w:rsidR="00F97A47" w:rsidRPr="00417645" w:rsidRDefault="008936B9" w:rsidP="5AF117D2">
      <w:pPr>
        <w:rPr>
          <w:rFonts w:ascii="Arial" w:hAnsi="Arial" w:cs="Arial"/>
          <w:b/>
          <w:bCs/>
          <w:sz w:val="24"/>
        </w:rPr>
      </w:pPr>
      <w:r w:rsidRPr="5AF117D2">
        <w:rPr>
          <w:rFonts w:ascii="Arial" w:hAnsi="Arial" w:cs="Arial"/>
          <w:b/>
          <w:bCs/>
          <w:sz w:val="24"/>
        </w:rPr>
        <w:t>Most common strategies</w:t>
      </w:r>
    </w:p>
    <w:tbl>
      <w:tblPr>
        <w:tblStyle w:val="TableGrid"/>
        <w:tblW w:w="0" w:type="auto"/>
        <w:tblLook w:val="04A0" w:firstRow="1" w:lastRow="0" w:firstColumn="1" w:lastColumn="0" w:noHBand="0" w:noVBand="1"/>
      </w:tblPr>
      <w:tblGrid>
        <w:gridCol w:w="2376"/>
        <w:gridCol w:w="6866"/>
      </w:tblGrid>
      <w:tr w:rsidR="00F709E4" w:rsidRPr="00417645" w14:paraId="45E67D06" w14:textId="77777777" w:rsidTr="5AF117D2">
        <w:tc>
          <w:tcPr>
            <w:tcW w:w="2376" w:type="dxa"/>
          </w:tcPr>
          <w:p w14:paraId="53719AE5" w14:textId="77777777" w:rsidR="00F709E4" w:rsidRPr="00417645" w:rsidRDefault="1A2D6B76" w:rsidP="5AF117D2">
            <w:pPr>
              <w:rPr>
                <w:rFonts w:ascii="Arial" w:hAnsi="Arial" w:cs="Arial"/>
                <w:b/>
                <w:bCs/>
                <w:sz w:val="24"/>
              </w:rPr>
            </w:pPr>
            <w:r w:rsidRPr="5AF117D2">
              <w:rPr>
                <w:rFonts w:ascii="Arial" w:hAnsi="Arial" w:cs="Arial"/>
                <w:b/>
                <w:bCs/>
                <w:lang w:val="en-US"/>
              </w:rPr>
              <w:t>Presentation</w:t>
            </w:r>
          </w:p>
        </w:tc>
        <w:tc>
          <w:tcPr>
            <w:tcW w:w="6866" w:type="dxa"/>
          </w:tcPr>
          <w:p w14:paraId="4850269F" w14:textId="4397F1B7" w:rsidR="00F709E4" w:rsidRPr="00417645" w:rsidRDefault="1A2D6B76" w:rsidP="5AF117D2">
            <w:pPr>
              <w:rPr>
                <w:rFonts w:ascii="Arial" w:hAnsi="Arial" w:cs="Arial"/>
                <w:b/>
                <w:bCs/>
              </w:rPr>
            </w:pPr>
            <w:r w:rsidRPr="5AF117D2">
              <w:rPr>
                <w:rFonts w:ascii="Arial" w:hAnsi="Arial" w:cs="Arial"/>
                <w:b/>
                <w:bCs/>
              </w:rPr>
              <w:t xml:space="preserve">Additional </w:t>
            </w:r>
            <w:r w:rsidR="4DB166EA" w:rsidRPr="5AF117D2">
              <w:rPr>
                <w:rFonts w:ascii="Arial" w:hAnsi="Arial" w:cs="Arial"/>
                <w:b/>
                <w:bCs/>
              </w:rPr>
              <w:t>information</w:t>
            </w:r>
          </w:p>
        </w:tc>
      </w:tr>
      <w:tr w:rsidR="00F709E4" w:rsidRPr="00417645" w14:paraId="1AD5E977" w14:textId="77777777" w:rsidTr="5AF117D2">
        <w:tc>
          <w:tcPr>
            <w:tcW w:w="2376" w:type="dxa"/>
          </w:tcPr>
          <w:p w14:paraId="36573229" w14:textId="7698BF84" w:rsidR="00F709E4" w:rsidRPr="00417645" w:rsidRDefault="1A2D6B76" w:rsidP="5AF117D2">
            <w:pPr>
              <w:rPr>
                <w:rFonts w:ascii="Arial" w:hAnsi="Arial" w:cs="Arial"/>
              </w:rPr>
            </w:pPr>
            <w:r w:rsidRPr="5AF117D2">
              <w:rPr>
                <w:rFonts w:ascii="Arial" w:hAnsi="Arial" w:cs="Arial"/>
                <w:lang w:val="en-US"/>
              </w:rPr>
              <w:t xml:space="preserve">Uppercase text (7*) </w:t>
            </w:r>
          </w:p>
        </w:tc>
        <w:tc>
          <w:tcPr>
            <w:tcW w:w="6866" w:type="dxa"/>
          </w:tcPr>
          <w:p w14:paraId="4A2C26B6" w14:textId="57DA91EF" w:rsidR="00F709E4" w:rsidRPr="00417645" w:rsidRDefault="51D3EAAB" w:rsidP="5AF117D2">
            <w:pPr>
              <w:spacing w:after="0"/>
              <w:rPr>
                <w:rFonts w:ascii="Arial" w:eastAsia="Arial" w:hAnsi="Arial" w:cs="Arial"/>
              </w:rPr>
            </w:pPr>
            <w:r w:rsidRPr="5AF117D2">
              <w:rPr>
                <w:rFonts w:ascii="Arial" w:eastAsia="Arial" w:hAnsi="Arial" w:cs="Arial"/>
              </w:rPr>
              <w:t>Electrolytes</w:t>
            </w:r>
            <w:r w:rsidR="1FC76A08" w:rsidRPr="5AF117D2">
              <w:rPr>
                <w:rFonts w:ascii="Arial" w:eastAsia="Arial" w:hAnsi="Arial" w:cs="Arial"/>
              </w:rPr>
              <w:t xml:space="preserve"> (e.g., POTASSIUM) </w:t>
            </w:r>
            <w:r w:rsidRPr="5AF117D2">
              <w:rPr>
                <w:rFonts w:ascii="Arial" w:eastAsia="Arial" w:hAnsi="Arial" w:cs="Arial"/>
              </w:rPr>
              <w:t>are</w:t>
            </w:r>
            <w:r w:rsidR="1FC76A08" w:rsidRPr="5AF117D2">
              <w:rPr>
                <w:rFonts w:ascii="Arial" w:eastAsia="Arial" w:hAnsi="Arial" w:cs="Arial"/>
              </w:rPr>
              <w:t xml:space="preserve"> capitalised to enhance visibility and reduce selection errors.</w:t>
            </w:r>
          </w:p>
        </w:tc>
      </w:tr>
      <w:tr w:rsidR="00F709E4" w:rsidRPr="00417645" w14:paraId="14936C6B" w14:textId="77777777" w:rsidTr="5AF117D2">
        <w:tc>
          <w:tcPr>
            <w:tcW w:w="2376" w:type="dxa"/>
          </w:tcPr>
          <w:p w14:paraId="38401AAC" w14:textId="50FEF7B5" w:rsidR="00F709E4" w:rsidRPr="00417645" w:rsidRDefault="1A2D6B76" w:rsidP="5AF117D2">
            <w:pPr>
              <w:rPr>
                <w:rFonts w:ascii="Arial" w:hAnsi="Arial" w:cs="Arial"/>
              </w:rPr>
            </w:pPr>
            <w:r w:rsidRPr="5AF117D2">
              <w:rPr>
                <w:rFonts w:ascii="Arial" w:hAnsi="Arial" w:cs="Arial"/>
                <w:lang w:val="en-US"/>
              </w:rPr>
              <w:t>Order options (7*)</w:t>
            </w:r>
          </w:p>
        </w:tc>
        <w:tc>
          <w:tcPr>
            <w:tcW w:w="6866" w:type="dxa"/>
          </w:tcPr>
          <w:p w14:paraId="0E4BFF72" w14:textId="45CDA7D5" w:rsidR="00F709E4" w:rsidRPr="00417645" w:rsidRDefault="3B8A68DE" w:rsidP="5AF117D2">
            <w:r w:rsidRPr="5AF117D2">
              <w:rPr>
                <w:rFonts w:ascii="Arial" w:eastAsia="Arial" w:hAnsi="Arial" w:cs="Arial"/>
                <w:lang w:val="en-US"/>
              </w:rPr>
              <w:t>Commonly used</w:t>
            </w:r>
            <w:r w:rsidR="1FC76A08" w:rsidRPr="5AF117D2">
              <w:rPr>
                <w:rFonts w:ascii="Arial" w:eastAsia="Arial" w:hAnsi="Arial" w:cs="Arial"/>
                <w:lang w:val="en-US"/>
              </w:rPr>
              <w:t xml:space="preserve"> orders are placed at the top of selection lists, </w:t>
            </w:r>
            <w:r w:rsidRPr="5AF117D2">
              <w:rPr>
                <w:rFonts w:ascii="Arial" w:eastAsia="Arial" w:hAnsi="Arial" w:cs="Arial"/>
                <w:lang w:val="en-US"/>
              </w:rPr>
              <w:t>making</w:t>
            </w:r>
            <w:r w:rsidR="1FC76A08" w:rsidRPr="5AF117D2">
              <w:rPr>
                <w:rFonts w:ascii="Arial" w:eastAsia="Arial" w:hAnsi="Arial" w:cs="Arial"/>
                <w:lang w:val="en-US"/>
              </w:rPr>
              <w:t xml:space="preserve"> ordering </w:t>
            </w:r>
            <w:r w:rsidRPr="5AF117D2">
              <w:rPr>
                <w:rFonts w:ascii="Arial" w:eastAsia="Arial" w:hAnsi="Arial" w:cs="Arial"/>
                <w:lang w:val="en-US"/>
              </w:rPr>
              <w:t>easier</w:t>
            </w:r>
            <w:r w:rsidR="1FC76A08" w:rsidRPr="5AF117D2">
              <w:rPr>
                <w:rFonts w:ascii="Arial" w:eastAsia="Arial" w:hAnsi="Arial" w:cs="Arial"/>
                <w:lang w:val="en-US"/>
              </w:rPr>
              <w:t xml:space="preserve"> for clinicians.</w:t>
            </w:r>
          </w:p>
        </w:tc>
      </w:tr>
      <w:tr w:rsidR="00F709E4" w:rsidRPr="00417645" w14:paraId="60D61B6D" w14:textId="77777777" w:rsidTr="5AF117D2">
        <w:tc>
          <w:tcPr>
            <w:tcW w:w="2376" w:type="dxa"/>
          </w:tcPr>
          <w:p w14:paraId="1D5AA87A" w14:textId="520BB612" w:rsidR="00F709E4" w:rsidRPr="00417645" w:rsidRDefault="1A2D6B76" w:rsidP="5AF117D2">
            <w:pPr>
              <w:rPr>
                <w:rFonts w:ascii="Arial" w:hAnsi="Arial" w:cs="Arial"/>
              </w:rPr>
            </w:pPr>
            <w:r w:rsidRPr="5AF117D2">
              <w:rPr>
                <w:rFonts w:ascii="Arial" w:hAnsi="Arial" w:cs="Arial"/>
                <w:lang w:val="en-US"/>
              </w:rPr>
              <w:t>Special instructions (5*)</w:t>
            </w:r>
          </w:p>
        </w:tc>
        <w:tc>
          <w:tcPr>
            <w:tcW w:w="6866" w:type="dxa"/>
          </w:tcPr>
          <w:p w14:paraId="39FE036C" w14:textId="784CE1D5" w:rsidR="00F709E4" w:rsidRPr="00417645" w:rsidRDefault="45087678" w:rsidP="5AF117D2">
            <w:r w:rsidRPr="5AF117D2">
              <w:rPr>
                <w:rFonts w:ascii="Arial" w:eastAsia="Arial" w:hAnsi="Arial" w:cs="Arial"/>
                <w:lang w:val="en-US"/>
              </w:rPr>
              <w:t>Using</w:t>
            </w:r>
            <w:r w:rsidR="02D413D2" w:rsidRPr="5AF117D2">
              <w:rPr>
                <w:rFonts w:ascii="Arial" w:eastAsia="Arial" w:hAnsi="Arial" w:cs="Arial"/>
                <w:lang w:val="en-US"/>
              </w:rPr>
              <w:t xml:space="preserve"> labels (e.g., HYPERTONIC, CONCENTRATED) </w:t>
            </w:r>
            <w:r w:rsidR="02B0C379" w:rsidRPr="5AF117D2">
              <w:rPr>
                <w:rFonts w:ascii="Arial" w:eastAsia="Arial" w:hAnsi="Arial" w:cs="Arial"/>
                <w:lang w:val="en-US"/>
              </w:rPr>
              <w:t>to</w:t>
            </w:r>
            <w:r w:rsidR="02D413D2" w:rsidRPr="5AF117D2">
              <w:rPr>
                <w:rFonts w:ascii="Arial" w:eastAsia="Arial" w:hAnsi="Arial" w:cs="Arial"/>
                <w:lang w:val="en-US"/>
              </w:rPr>
              <w:t xml:space="preserve"> accompany high-risk formulations to provide specific handling or dosage </w:t>
            </w:r>
            <w:r w:rsidRPr="5AF117D2">
              <w:rPr>
                <w:rFonts w:ascii="Arial" w:eastAsia="Arial" w:hAnsi="Arial" w:cs="Arial"/>
                <w:lang w:val="en-US"/>
              </w:rPr>
              <w:t>guidance</w:t>
            </w:r>
            <w:r w:rsidR="02D413D2" w:rsidRPr="5AF117D2">
              <w:rPr>
                <w:rFonts w:ascii="Arial" w:eastAsia="Arial" w:hAnsi="Arial" w:cs="Arial"/>
                <w:lang w:val="en-US"/>
              </w:rPr>
              <w:t>.</w:t>
            </w:r>
          </w:p>
        </w:tc>
      </w:tr>
    </w:tbl>
    <w:p w14:paraId="1B6A2970" w14:textId="77777777" w:rsidR="00F709E4" w:rsidRPr="00417645" w:rsidRDefault="00F709E4" w:rsidP="5AF117D2">
      <w:pPr>
        <w:rPr>
          <w:rFonts w:ascii="Arial" w:hAnsi="Arial" w:cs="Arial"/>
        </w:rPr>
      </w:pPr>
    </w:p>
    <w:tbl>
      <w:tblPr>
        <w:tblStyle w:val="TableGrid"/>
        <w:tblW w:w="9242" w:type="dxa"/>
        <w:tblLook w:val="04A0" w:firstRow="1" w:lastRow="0" w:firstColumn="1" w:lastColumn="0" w:noHBand="0" w:noVBand="1"/>
      </w:tblPr>
      <w:tblGrid>
        <w:gridCol w:w="2376"/>
        <w:gridCol w:w="6866"/>
      </w:tblGrid>
      <w:tr w:rsidR="00F709E4" w:rsidRPr="00417645" w14:paraId="3F26AC94" w14:textId="77777777" w:rsidTr="5AF117D2">
        <w:tc>
          <w:tcPr>
            <w:tcW w:w="2376" w:type="dxa"/>
          </w:tcPr>
          <w:p w14:paraId="52C471CC" w14:textId="77777777" w:rsidR="00F709E4" w:rsidRPr="00417645" w:rsidRDefault="1A2D6B76" w:rsidP="5AF117D2">
            <w:pPr>
              <w:rPr>
                <w:rFonts w:ascii="Arial" w:hAnsi="Arial" w:cs="Arial"/>
                <w:b/>
                <w:bCs/>
              </w:rPr>
            </w:pPr>
            <w:r w:rsidRPr="5AF117D2">
              <w:rPr>
                <w:rFonts w:ascii="Arial" w:hAnsi="Arial" w:cs="Arial"/>
                <w:b/>
                <w:bCs/>
              </w:rPr>
              <w:t>Management</w:t>
            </w:r>
          </w:p>
        </w:tc>
        <w:tc>
          <w:tcPr>
            <w:tcW w:w="6866" w:type="dxa"/>
          </w:tcPr>
          <w:p w14:paraId="554E7D38" w14:textId="5F91DA20" w:rsidR="00F709E4" w:rsidRPr="00417645" w:rsidRDefault="1A2D6B76" w:rsidP="5AF117D2">
            <w:pPr>
              <w:rPr>
                <w:rFonts w:ascii="Arial" w:hAnsi="Arial" w:cs="Arial"/>
                <w:b/>
                <w:bCs/>
              </w:rPr>
            </w:pPr>
            <w:r w:rsidRPr="5AF117D2">
              <w:rPr>
                <w:rFonts w:ascii="Arial" w:hAnsi="Arial" w:cs="Arial"/>
                <w:b/>
                <w:bCs/>
              </w:rPr>
              <w:t xml:space="preserve">Additional </w:t>
            </w:r>
            <w:r w:rsidR="3CF0C7BA" w:rsidRPr="5AF117D2">
              <w:rPr>
                <w:rFonts w:ascii="Arial" w:hAnsi="Arial" w:cs="Arial"/>
                <w:b/>
                <w:bCs/>
              </w:rPr>
              <w:t>information</w:t>
            </w:r>
          </w:p>
        </w:tc>
      </w:tr>
      <w:tr w:rsidR="00981F69" w:rsidRPr="00417645" w14:paraId="31BEC61E" w14:textId="77777777" w:rsidTr="5AF117D2">
        <w:tc>
          <w:tcPr>
            <w:tcW w:w="2376" w:type="dxa"/>
          </w:tcPr>
          <w:p w14:paraId="49B77E6F" w14:textId="363AFF17" w:rsidR="00981F69" w:rsidRPr="00417645" w:rsidRDefault="3DFF852F" w:rsidP="5AF117D2">
            <w:pPr>
              <w:rPr>
                <w:rFonts w:ascii="Arial" w:hAnsi="Arial" w:cs="Arial"/>
              </w:rPr>
            </w:pPr>
            <w:r w:rsidRPr="5AF117D2">
              <w:rPr>
                <w:rFonts w:ascii="Arial" w:hAnsi="Arial" w:cs="Arial"/>
                <w:lang w:val="en-US"/>
              </w:rPr>
              <w:t>Restricted to senior clinicians or ICU settings (31*)</w:t>
            </w:r>
          </w:p>
        </w:tc>
        <w:tc>
          <w:tcPr>
            <w:tcW w:w="6866" w:type="dxa"/>
          </w:tcPr>
          <w:p w14:paraId="1F7A4BE8" w14:textId="5DF94216" w:rsidR="00981F69" w:rsidRPr="00417645" w:rsidRDefault="02D413D2" w:rsidP="5AF117D2">
            <w:pPr>
              <w:rPr>
                <w:rFonts w:ascii="Arial" w:hAnsi="Arial" w:cs="Arial"/>
              </w:rPr>
            </w:pPr>
            <w:r w:rsidRPr="5AF117D2">
              <w:rPr>
                <w:rFonts w:ascii="Arial" w:hAnsi="Arial" w:cs="Arial"/>
              </w:rPr>
              <w:t xml:space="preserve">Limits the prescribing rights of high-dose electrolytes to senior clinicians or ICU settings to </w:t>
            </w:r>
            <w:r w:rsidR="26AC5F97" w:rsidRPr="5AF117D2">
              <w:rPr>
                <w:rFonts w:ascii="Arial" w:hAnsi="Arial" w:cs="Arial"/>
              </w:rPr>
              <w:t>minimi</w:t>
            </w:r>
            <w:r w:rsidR="36170598" w:rsidRPr="5AF117D2">
              <w:rPr>
                <w:rFonts w:ascii="Arial" w:hAnsi="Arial" w:cs="Arial"/>
              </w:rPr>
              <w:t>s</w:t>
            </w:r>
            <w:r w:rsidR="26AC5F97" w:rsidRPr="5AF117D2">
              <w:rPr>
                <w:rFonts w:ascii="Arial" w:hAnsi="Arial" w:cs="Arial"/>
              </w:rPr>
              <w:t>e</w:t>
            </w:r>
            <w:r w:rsidRPr="5AF117D2">
              <w:rPr>
                <w:rFonts w:ascii="Arial" w:hAnsi="Arial" w:cs="Arial"/>
              </w:rPr>
              <w:t xml:space="preserve"> risks.</w:t>
            </w:r>
          </w:p>
        </w:tc>
      </w:tr>
      <w:tr w:rsidR="00981F69" w:rsidRPr="00417645" w14:paraId="2BB0971C" w14:textId="77777777" w:rsidTr="5AF117D2">
        <w:tc>
          <w:tcPr>
            <w:tcW w:w="2376" w:type="dxa"/>
          </w:tcPr>
          <w:p w14:paraId="7EC347A2" w14:textId="51085DE4" w:rsidR="00981F69" w:rsidRPr="00417645" w:rsidRDefault="00712612" w:rsidP="5AF117D2">
            <w:pPr>
              <w:rPr>
                <w:rFonts w:ascii="Arial" w:hAnsi="Arial" w:cs="Arial"/>
              </w:rPr>
            </w:pPr>
            <w:r w:rsidRPr="5AF117D2">
              <w:rPr>
                <w:rFonts w:ascii="Arial" w:hAnsi="Arial" w:cs="Arial"/>
              </w:rPr>
              <w:t>Predefined order instructions</w:t>
            </w:r>
            <w:r w:rsidRPr="5AF117D2">
              <w:rPr>
                <w:rFonts w:ascii="Arial" w:hAnsi="Arial" w:cs="Arial"/>
                <w:lang w:val="en-US"/>
              </w:rPr>
              <w:t xml:space="preserve"> </w:t>
            </w:r>
            <w:r w:rsidR="3DFF852F" w:rsidRPr="5AF117D2">
              <w:rPr>
                <w:rFonts w:ascii="Arial" w:hAnsi="Arial" w:cs="Arial"/>
                <w:lang w:val="en-US"/>
              </w:rPr>
              <w:t>(12*)</w:t>
            </w:r>
          </w:p>
        </w:tc>
        <w:tc>
          <w:tcPr>
            <w:tcW w:w="6866" w:type="dxa"/>
          </w:tcPr>
          <w:p w14:paraId="24A010C8" w14:textId="3C75A03E" w:rsidR="00981F69" w:rsidRPr="00417645" w:rsidRDefault="4780A48D" w:rsidP="5AF117D2">
            <w:pPr>
              <w:rPr>
                <w:rFonts w:ascii="Arial" w:eastAsia="Arial" w:hAnsi="Arial" w:cs="Arial"/>
              </w:rPr>
            </w:pPr>
            <w:r w:rsidRPr="5AF117D2">
              <w:rPr>
                <w:rFonts w:ascii="Arial" w:eastAsia="Arial" w:hAnsi="Arial" w:cs="Arial"/>
              </w:rPr>
              <w:t>Use of predefined orders that guide prescribers by specifying details such as dose, route, and frequency.</w:t>
            </w:r>
          </w:p>
        </w:tc>
      </w:tr>
      <w:tr w:rsidR="00981F69" w:rsidRPr="00417645" w14:paraId="1CF10143" w14:textId="77777777" w:rsidTr="5AF117D2">
        <w:tc>
          <w:tcPr>
            <w:tcW w:w="2376" w:type="dxa"/>
          </w:tcPr>
          <w:p w14:paraId="30A1C778" w14:textId="3AEC303B" w:rsidR="00981F69" w:rsidRPr="00417645" w:rsidRDefault="3DFF852F" w:rsidP="5AF117D2">
            <w:pPr>
              <w:rPr>
                <w:rFonts w:ascii="Arial" w:hAnsi="Arial" w:cs="Arial"/>
              </w:rPr>
            </w:pPr>
            <w:r w:rsidRPr="5AF117D2">
              <w:rPr>
                <w:rFonts w:ascii="Arial" w:hAnsi="Arial" w:cs="Arial"/>
                <w:lang w:val="en-US"/>
              </w:rPr>
              <w:t>Alerts (6*)</w:t>
            </w:r>
          </w:p>
        </w:tc>
        <w:tc>
          <w:tcPr>
            <w:tcW w:w="6866" w:type="dxa"/>
          </w:tcPr>
          <w:p w14:paraId="496E0635" w14:textId="05E37B53" w:rsidR="00981F69" w:rsidRPr="00417645" w:rsidRDefault="28E0B9BA" w:rsidP="5AF117D2">
            <w:pPr>
              <w:rPr>
                <w:rFonts w:ascii="Arial" w:eastAsia="Arial" w:hAnsi="Arial" w:cs="Arial"/>
              </w:rPr>
            </w:pPr>
            <w:r w:rsidRPr="5AF117D2">
              <w:rPr>
                <w:rFonts w:ascii="Arial" w:eastAsia="Arial" w:hAnsi="Arial" w:cs="Arial"/>
              </w:rPr>
              <w:t>Providing prescribing</w:t>
            </w:r>
            <w:r w:rsidR="02D413D2" w:rsidRPr="5AF117D2">
              <w:rPr>
                <w:rFonts w:ascii="Arial" w:eastAsia="Arial" w:hAnsi="Arial" w:cs="Arial"/>
              </w:rPr>
              <w:t xml:space="preserve"> prompts </w:t>
            </w:r>
            <w:r w:rsidRPr="5AF117D2">
              <w:rPr>
                <w:rFonts w:ascii="Arial" w:eastAsia="Arial" w:hAnsi="Arial" w:cs="Arial"/>
              </w:rPr>
              <w:t xml:space="preserve">for considerations, </w:t>
            </w:r>
            <w:r w:rsidR="05326547" w:rsidRPr="5AF117D2">
              <w:rPr>
                <w:rFonts w:ascii="Arial" w:eastAsia="Arial" w:hAnsi="Arial" w:cs="Arial"/>
              </w:rPr>
              <w:t>such as</w:t>
            </w:r>
            <w:r w:rsidR="02D413D2" w:rsidRPr="5AF117D2">
              <w:rPr>
                <w:rFonts w:ascii="Arial" w:eastAsia="Arial" w:hAnsi="Arial" w:cs="Arial"/>
              </w:rPr>
              <w:t xml:space="preserve"> warnings for maximum dose rates and reminders to dilute specific formulations.</w:t>
            </w:r>
          </w:p>
        </w:tc>
      </w:tr>
    </w:tbl>
    <w:p w14:paraId="64CA314B" w14:textId="77777777" w:rsidR="00F709E4" w:rsidRPr="00417645" w:rsidRDefault="00F709E4" w:rsidP="5AF117D2">
      <w:pPr>
        <w:rPr>
          <w:rFonts w:ascii="Arial" w:hAnsi="Arial" w:cs="Arial"/>
        </w:rPr>
      </w:pPr>
    </w:p>
    <w:tbl>
      <w:tblPr>
        <w:tblStyle w:val="TableGrid"/>
        <w:tblW w:w="0" w:type="auto"/>
        <w:tblLook w:val="04A0" w:firstRow="1" w:lastRow="0" w:firstColumn="1" w:lastColumn="0" w:noHBand="0" w:noVBand="1"/>
      </w:tblPr>
      <w:tblGrid>
        <w:gridCol w:w="2376"/>
        <w:gridCol w:w="6866"/>
      </w:tblGrid>
      <w:tr w:rsidR="00F709E4" w:rsidRPr="00417645" w14:paraId="76C40682" w14:textId="77777777" w:rsidTr="5AF117D2">
        <w:tc>
          <w:tcPr>
            <w:tcW w:w="2376" w:type="dxa"/>
          </w:tcPr>
          <w:p w14:paraId="3BD1EECD" w14:textId="77777777" w:rsidR="00F709E4" w:rsidRPr="00417645" w:rsidRDefault="1A2D6B76" w:rsidP="5AF117D2">
            <w:pPr>
              <w:rPr>
                <w:rFonts w:ascii="Arial" w:hAnsi="Arial" w:cs="Arial"/>
                <w:b/>
                <w:bCs/>
              </w:rPr>
            </w:pPr>
            <w:r w:rsidRPr="5AF117D2">
              <w:rPr>
                <w:rFonts w:ascii="Arial" w:hAnsi="Arial" w:cs="Arial"/>
                <w:b/>
                <w:bCs/>
              </w:rPr>
              <w:t>Monitoring</w:t>
            </w:r>
          </w:p>
        </w:tc>
        <w:tc>
          <w:tcPr>
            <w:tcW w:w="6866" w:type="dxa"/>
          </w:tcPr>
          <w:p w14:paraId="7FC2FF2B" w14:textId="46849A34" w:rsidR="00F709E4" w:rsidRPr="00417645" w:rsidRDefault="1A2D6B76" w:rsidP="5AF117D2">
            <w:pPr>
              <w:rPr>
                <w:rFonts w:ascii="Arial" w:hAnsi="Arial" w:cs="Arial"/>
                <w:b/>
                <w:bCs/>
              </w:rPr>
            </w:pPr>
            <w:r w:rsidRPr="5AF117D2">
              <w:rPr>
                <w:rFonts w:ascii="Arial" w:hAnsi="Arial" w:cs="Arial"/>
                <w:b/>
                <w:bCs/>
              </w:rPr>
              <w:t xml:space="preserve">Additional </w:t>
            </w:r>
            <w:r w:rsidR="01633C3E" w:rsidRPr="5AF117D2">
              <w:rPr>
                <w:rFonts w:ascii="Arial" w:hAnsi="Arial" w:cs="Arial"/>
                <w:b/>
                <w:bCs/>
              </w:rPr>
              <w:t>information</w:t>
            </w:r>
          </w:p>
        </w:tc>
      </w:tr>
      <w:tr w:rsidR="00C60F2C" w:rsidRPr="00417645" w14:paraId="704284DC" w14:textId="77777777" w:rsidTr="5AF117D2">
        <w:tc>
          <w:tcPr>
            <w:tcW w:w="2376" w:type="dxa"/>
          </w:tcPr>
          <w:p w14:paraId="593AAD06" w14:textId="7213D312" w:rsidR="00C60F2C" w:rsidRPr="00417645" w:rsidRDefault="05F0B37D" w:rsidP="5AF117D2">
            <w:pPr>
              <w:rPr>
                <w:rFonts w:ascii="Arial" w:hAnsi="Arial" w:cs="Arial"/>
              </w:rPr>
            </w:pPr>
            <w:r w:rsidRPr="5AF117D2">
              <w:rPr>
                <w:rFonts w:ascii="Arial" w:hAnsi="Arial" w:cs="Arial"/>
                <w:lang w:val="en-US"/>
              </w:rPr>
              <w:t>Reports (32*)</w:t>
            </w:r>
          </w:p>
        </w:tc>
        <w:tc>
          <w:tcPr>
            <w:tcW w:w="6866" w:type="dxa"/>
          </w:tcPr>
          <w:p w14:paraId="3B0CAC80" w14:textId="6A7A67CC" w:rsidR="00C60F2C" w:rsidRPr="00417645" w:rsidRDefault="21A2237D" w:rsidP="5AF117D2">
            <w:r w:rsidRPr="5AF117D2">
              <w:rPr>
                <w:rFonts w:ascii="Arial" w:eastAsia="Arial" w:hAnsi="Arial" w:cs="Arial"/>
              </w:rPr>
              <w:t>Provides data on electrolyte usage patterns, supporting safe prescribing practices.</w:t>
            </w:r>
          </w:p>
        </w:tc>
      </w:tr>
    </w:tbl>
    <w:p w14:paraId="1A8F0837" w14:textId="77777777" w:rsidR="00F37A47" w:rsidRPr="00417645" w:rsidRDefault="00F37A47" w:rsidP="5AF117D2">
      <w:pPr>
        <w:pStyle w:val="NoSpacing"/>
      </w:pPr>
    </w:p>
    <w:p w14:paraId="718C1EAC" w14:textId="3C9A0C32" w:rsidR="000F57B3" w:rsidRPr="00417645" w:rsidRDefault="008C3F90" w:rsidP="5AF117D2">
      <w:pPr>
        <w:rPr>
          <w:rFonts w:ascii="Arial" w:hAnsi="Arial" w:cs="Arial"/>
        </w:rPr>
      </w:pPr>
      <w:r w:rsidRPr="5AF117D2">
        <w:rPr>
          <w:rFonts w:ascii="Arial" w:hAnsi="Arial" w:cs="Arial"/>
        </w:rPr>
        <w:t>N</w:t>
      </w:r>
      <w:r w:rsidR="007B7B8D" w:rsidRPr="5AF117D2">
        <w:rPr>
          <w:rFonts w:ascii="Arial" w:hAnsi="Arial" w:cs="Arial"/>
        </w:rPr>
        <w:t>o formal evaluations of these strategies were identified during interviews or in the literature review.</w:t>
      </w:r>
      <w:r w:rsidR="00A41A33" w:rsidRPr="5AF117D2">
        <w:rPr>
          <w:rFonts w:ascii="Arial" w:hAnsi="Arial" w:cs="Arial"/>
        </w:rPr>
        <w:t xml:space="preserve"> The grey literature review identified </w:t>
      </w:r>
      <w:r w:rsidR="008D3F7E" w:rsidRPr="5AF117D2">
        <w:rPr>
          <w:rFonts w:ascii="Arial" w:hAnsi="Arial" w:cs="Arial"/>
        </w:rPr>
        <w:t>recommendations</w:t>
      </w:r>
      <w:r w:rsidR="00B37C24" w:rsidRPr="5AF117D2">
        <w:rPr>
          <w:rFonts w:ascii="Arial" w:hAnsi="Arial" w:cs="Arial"/>
        </w:rPr>
        <w:t xml:space="preserve"> to undertaking cardiac monitoring when prescribing and administering potassium</w:t>
      </w:r>
      <w:r w:rsidR="00EF294B" w:rsidRPr="5AF117D2">
        <w:rPr>
          <w:rFonts w:ascii="Arial" w:hAnsi="Arial" w:cs="Arial"/>
        </w:rPr>
        <w:t>,</w:t>
      </w:r>
      <w:r w:rsidR="00A41A33" w:rsidRPr="5AF117D2">
        <w:rPr>
          <w:rFonts w:ascii="Arial" w:hAnsi="Arial" w:cs="Arial"/>
        </w:rPr>
        <w:t xml:space="preserve"> but</w:t>
      </w:r>
      <w:r w:rsidR="008D3F7E" w:rsidRPr="5AF117D2">
        <w:rPr>
          <w:rFonts w:ascii="Arial" w:hAnsi="Arial" w:cs="Arial"/>
        </w:rPr>
        <w:t xml:space="preserve"> </w:t>
      </w:r>
      <w:r w:rsidR="002F4A2B" w:rsidRPr="5AF117D2">
        <w:rPr>
          <w:rFonts w:ascii="Arial" w:hAnsi="Arial" w:cs="Arial"/>
        </w:rPr>
        <w:t>this strategy was not identified in</w:t>
      </w:r>
      <w:r w:rsidR="008D3F7E" w:rsidRPr="5AF117D2">
        <w:rPr>
          <w:rFonts w:ascii="Arial" w:hAnsi="Arial" w:cs="Arial"/>
        </w:rPr>
        <w:t xml:space="preserve"> the structured interviews.</w:t>
      </w:r>
    </w:p>
    <w:p w14:paraId="163A2F13" w14:textId="6AB77C54" w:rsidR="00A47CB3" w:rsidRPr="00417645" w:rsidRDefault="00A47CB3" w:rsidP="5AF117D2">
      <w:pPr>
        <w:pStyle w:val="Heading2"/>
        <w:rPr>
          <w:rFonts w:ascii="Arial" w:hAnsi="Arial" w:cs="Arial"/>
          <w:b/>
          <w:bCs/>
          <w:sz w:val="28"/>
          <w:szCs w:val="28"/>
          <w:lang w:val="en-US"/>
        </w:rPr>
      </w:pPr>
      <w:r w:rsidRPr="5AF117D2">
        <w:rPr>
          <w:rFonts w:ascii="Arial" w:hAnsi="Arial" w:cs="Arial"/>
          <w:b/>
          <w:bCs/>
          <w:sz w:val="28"/>
          <w:szCs w:val="28"/>
          <w:lang w:val="en-US"/>
        </w:rPr>
        <w:t>Insulin</w:t>
      </w:r>
    </w:p>
    <w:p w14:paraId="4173FC3F" w14:textId="591C47D0" w:rsidR="008936B9" w:rsidRPr="00417645" w:rsidRDefault="008936B9" w:rsidP="5AF117D2">
      <w:pPr>
        <w:rPr>
          <w:rFonts w:ascii="Arial" w:hAnsi="Arial" w:cs="Arial"/>
          <w:b/>
          <w:bCs/>
          <w:sz w:val="24"/>
        </w:rPr>
      </w:pPr>
      <w:r w:rsidRPr="5AF117D2">
        <w:rPr>
          <w:rFonts w:ascii="Arial" w:hAnsi="Arial" w:cs="Arial"/>
          <w:b/>
          <w:bCs/>
          <w:sz w:val="24"/>
        </w:rPr>
        <w:t>Most common strategies</w:t>
      </w:r>
    </w:p>
    <w:tbl>
      <w:tblPr>
        <w:tblStyle w:val="TableGrid"/>
        <w:tblW w:w="0" w:type="auto"/>
        <w:tblLook w:val="04A0" w:firstRow="1" w:lastRow="0" w:firstColumn="1" w:lastColumn="0" w:noHBand="0" w:noVBand="1"/>
      </w:tblPr>
      <w:tblGrid>
        <w:gridCol w:w="2376"/>
        <w:gridCol w:w="6866"/>
      </w:tblGrid>
      <w:tr w:rsidR="00102963" w:rsidRPr="00417645" w14:paraId="4F81CC6C" w14:textId="77777777" w:rsidTr="5AF117D2">
        <w:tc>
          <w:tcPr>
            <w:tcW w:w="2376" w:type="dxa"/>
          </w:tcPr>
          <w:p w14:paraId="728583FF" w14:textId="77777777" w:rsidR="00102963" w:rsidRPr="00417645" w:rsidRDefault="36E7BE8E" w:rsidP="5AF117D2">
            <w:pPr>
              <w:rPr>
                <w:rFonts w:ascii="Arial" w:hAnsi="Arial" w:cs="Arial"/>
                <w:b/>
                <w:bCs/>
                <w:sz w:val="24"/>
              </w:rPr>
            </w:pPr>
            <w:r w:rsidRPr="5AF117D2">
              <w:rPr>
                <w:rFonts w:ascii="Arial" w:hAnsi="Arial" w:cs="Arial"/>
                <w:b/>
                <w:bCs/>
                <w:lang w:val="en-US"/>
              </w:rPr>
              <w:lastRenderedPageBreak/>
              <w:t>Presentation</w:t>
            </w:r>
          </w:p>
        </w:tc>
        <w:tc>
          <w:tcPr>
            <w:tcW w:w="6866" w:type="dxa"/>
          </w:tcPr>
          <w:p w14:paraId="0725C84C" w14:textId="59881302" w:rsidR="00102963" w:rsidRPr="00417645" w:rsidRDefault="36E7BE8E" w:rsidP="5AF117D2">
            <w:pPr>
              <w:rPr>
                <w:rFonts w:ascii="Arial" w:hAnsi="Arial" w:cs="Arial"/>
                <w:b/>
                <w:bCs/>
              </w:rPr>
            </w:pPr>
            <w:r w:rsidRPr="5AF117D2">
              <w:rPr>
                <w:rFonts w:ascii="Arial" w:hAnsi="Arial" w:cs="Arial"/>
                <w:b/>
                <w:bCs/>
              </w:rPr>
              <w:t xml:space="preserve">Additional </w:t>
            </w:r>
            <w:r w:rsidR="3ED99C42" w:rsidRPr="5AF117D2">
              <w:rPr>
                <w:rFonts w:ascii="Arial" w:hAnsi="Arial" w:cs="Arial"/>
                <w:b/>
                <w:bCs/>
              </w:rPr>
              <w:t>information</w:t>
            </w:r>
          </w:p>
        </w:tc>
      </w:tr>
      <w:tr w:rsidR="00102963" w:rsidRPr="00417645" w14:paraId="1330EB20" w14:textId="77777777" w:rsidTr="5AF117D2">
        <w:tc>
          <w:tcPr>
            <w:tcW w:w="2376" w:type="dxa"/>
          </w:tcPr>
          <w:p w14:paraId="418C29A5" w14:textId="5D9CD65E" w:rsidR="00102963" w:rsidRPr="00417645" w:rsidRDefault="2C4E7540" w:rsidP="5AF117D2">
            <w:pPr>
              <w:rPr>
                <w:rFonts w:ascii="Arial" w:hAnsi="Arial" w:cs="Arial"/>
              </w:rPr>
            </w:pPr>
            <w:r w:rsidRPr="5AF117D2">
              <w:rPr>
                <w:rFonts w:ascii="Arial" w:hAnsi="Arial" w:cs="Arial"/>
              </w:rPr>
              <w:t>Displays brand, formulation, and concentration (11*)</w:t>
            </w:r>
          </w:p>
        </w:tc>
        <w:tc>
          <w:tcPr>
            <w:tcW w:w="6866" w:type="dxa"/>
          </w:tcPr>
          <w:p w14:paraId="392673B0" w14:textId="52842B23" w:rsidR="00102963" w:rsidRPr="00417645" w:rsidRDefault="2FA881D9" w:rsidP="5AF117D2">
            <w:r w:rsidRPr="5AF117D2">
              <w:rPr>
                <w:rFonts w:ascii="Arial" w:eastAsia="Arial" w:hAnsi="Arial" w:cs="Arial"/>
              </w:rPr>
              <w:t xml:space="preserve">Displays brand, formulation, and concentration </w:t>
            </w:r>
            <w:r w:rsidR="3FB0D537" w:rsidRPr="5AF117D2">
              <w:rPr>
                <w:rFonts w:ascii="Arial" w:eastAsia="Arial" w:hAnsi="Arial" w:cs="Arial"/>
              </w:rPr>
              <w:t>details</w:t>
            </w:r>
            <w:r w:rsidRPr="5AF117D2">
              <w:rPr>
                <w:rFonts w:ascii="Arial" w:eastAsia="Arial" w:hAnsi="Arial" w:cs="Arial"/>
              </w:rPr>
              <w:t xml:space="preserve"> to ensure accurate selection</w:t>
            </w:r>
            <w:r w:rsidR="3FB0D537" w:rsidRPr="5AF117D2">
              <w:rPr>
                <w:rFonts w:ascii="Arial" w:eastAsia="Arial" w:hAnsi="Arial" w:cs="Arial"/>
              </w:rPr>
              <w:t xml:space="preserve"> and avoid confusion</w:t>
            </w:r>
            <w:r w:rsidRPr="5AF117D2">
              <w:rPr>
                <w:rFonts w:ascii="Arial" w:eastAsia="Arial" w:hAnsi="Arial" w:cs="Arial"/>
              </w:rPr>
              <w:t>.</w:t>
            </w:r>
          </w:p>
        </w:tc>
      </w:tr>
    </w:tbl>
    <w:p w14:paraId="12006FF5" w14:textId="77777777" w:rsidR="00102963" w:rsidRPr="00417645" w:rsidRDefault="00102963" w:rsidP="5AF117D2">
      <w:pPr>
        <w:rPr>
          <w:rFonts w:ascii="Arial" w:hAnsi="Arial" w:cs="Arial"/>
        </w:rPr>
      </w:pPr>
    </w:p>
    <w:tbl>
      <w:tblPr>
        <w:tblStyle w:val="TableGrid"/>
        <w:tblW w:w="9242" w:type="dxa"/>
        <w:tblLook w:val="04A0" w:firstRow="1" w:lastRow="0" w:firstColumn="1" w:lastColumn="0" w:noHBand="0" w:noVBand="1"/>
      </w:tblPr>
      <w:tblGrid>
        <w:gridCol w:w="2376"/>
        <w:gridCol w:w="6866"/>
      </w:tblGrid>
      <w:tr w:rsidR="00102963" w:rsidRPr="00417645" w14:paraId="35AA06AF" w14:textId="77777777" w:rsidTr="5AF117D2">
        <w:tc>
          <w:tcPr>
            <w:tcW w:w="2376" w:type="dxa"/>
          </w:tcPr>
          <w:p w14:paraId="35D3BE01" w14:textId="77777777" w:rsidR="00102963" w:rsidRPr="00417645" w:rsidRDefault="36E7BE8E" w:rsidP="5AF117D2">
            <w:pPr>
              <w:rPr>
                <w:rFonts w:ascii="Arial" w:hAnsi="Arial" w:cs="Arial"/>
                <w:b/>
                <w:bCs/>
              </w:rPr>
            </w:pPr>
            <w:r w:rsidRPr="5AF117D2">
              <w:rPr>
                <w:rFonts w:ascii="Arial" w:hAnsi="Arial" w:cs="Arial"/>
                <w:b/>
                <w:bCs/>
              </w:rPr>
              <w:t>Management</w:t>
            </w:r>
          </w:p>
        </w:tc>
        <w:tc>
          <w:tcPr>
            <w:tcW w:w="6866" w:type="dxa"/>
          </w:tcPr>
          <w:p w14:paraId="172D0874" w14:textId="218CCF95" w:rsidR="00102963" w:rsidRPr="00417645" w:rsidRDefault="36E7BE8E" w:rsidP="5AF117D2">
            <w:pPr>
              <w:rPr>
                <w:rFonts w:ascii="Arial" w:hAnsi="Arial" w:cs="Arial"/>
                <w:b/>
                <w:bCs/>
              </w:rPr>
            </w:pPr>
            <w:r w:rsidRPr="5AF117D2">
              <w:rPr>
                <w:rFonts w:ascii="Arial" w:hAnsi="Arial" w:cs="Arial"/>
                <w:b/>
                <w:bCs/>
              </w:rPr>
              <w:t xml:space="preserve">Additional </w:t>
            </w:r>
            <w:r w:rsidR="536157A2" w:rsidRPr="5AF117D2">
              <w:rPr>
                <w:rFonts w:ascii="Arial" w:hAnsi="Arial" w:cs="Arial"/>
                <w:b/>
                <w:bCs/>
              </w:rPr>
              <w:t>information</w:t>
            </w:r>
          </w:p>
        </w:tc>
      </w:tr>
      <w:tr w:rsidR="00246436" w:rsidRPr="00417645" w14:paraId="30EE8839" w14:textId="77777777" w:rsidTr="5AF117D2">
        <w:tc>
          <w:tcPr>
            <w:tcW w:w="2376" w:type="dxa"/>
          </w:tcPr>
          <w:p w14:paraId="56CF386C" w14:textId="048BEA8E" w:rsidR="00246436" w:rsidRPr="00417645" w:rsidRDefault="2C4E7540" w:rsidP="5AF117D2">
            <w:pPr>
              <w:rPr>
                <w:rFonts w:ascii="Arial" w:hAnsi="Arial" w:cs="Arial"/>
              </w:rPr>
            </w:pPr>
            <w:r w:rsidRPr="5AF117D2">
              <w:rPr>
                <w:rFonts w:ascii="Arial" w:hAnsi="Arial" w:cs="Arial"/>
              </w:rPr>
              <w:t>Forcing functions (20*)</w:t>
            </w:r>
          </w:p>
        </w:tc>
        <w:tc>
          <w:tcPr>
            <w:tcW w:w="6866" w:type="dxa"/>
          </w:tcPr>
          <w:p w14:paraId="66B460B2" w14:textId="35563F95" w:rsidR="00246436" w:rsidRPr="00417645" w:rsidRDefault="55686E7E" w:rsidP="5AF117D2">
            <w:r w:rsidRPr="5AF117D2">
              <w:rPr>
                <w:rFonts w:ascii="Arial" w:eastAsia="Arial" w:hAnsi="Arial" w:cs="Arial"/>
              </w:rPr>
              <w:t>Mandatory fields for documentation</w:t>
            </w:r>
            <w:r w:rsidR="51E7B0A9" w:rsidRPr="5AF117D2">
              <w:rPr>
                <w:rFonts w:ascii="Arial" w:eastAsia="Arial" w:hAnsi="Arial" w:cs="Arial"/>
              </w:rPr>
              <w:t xml:space="preserve"> </w:t>
            </w:r>
            <w:r w:rsidR="05326547" w:rsidRPr="5AF117D2">
              <w:rPr>
                <w:rFonts w:ascii="Arial" w:eastAsia="Arial" w:hAnsi="Arial" w:cs="Arial"/>
              </w:rPr>
              <w:t>such as</w:t>
            </w:r>
            <w:r w:rsidR="661C8682" w:rsidRPr="5AF117D2">
              <w:rPr>
                <w:rFonts w:ascii="Arial" w:eastAsia="Arial" w:hAnsi="Arial" w:cs="Arial"/>
              </w:rPr>
              <w:t xml:space="preserve"> dose, form, and relevant lab values (e.g. blood glucose</w:t>
            </w:r>
            <w:r w:rsidR="70913459" w:rsidRPr="5AF117D2">
              <w:rPr>
                <w:rFonts w:ascii="Arial" w:eastAsia="Arial" w:hAnsi="Arial" w:cs="Arial"/>
              </w:rPr>
              <w:t xml:space="preserve">) before insulin </w:t>
            </w:r>
            <w:r w:rsidR="51E7B0A9" w:rsidRPr="5AF117D2">
              <w:rPr>
                <w:rFonts w:ascii="Arial" w:eastAsia="Arial" w:hAnsi="Arial" w:cs="Arial"/>
              </w:rPr>
              <w:t xml:space="preserve">prescribing and </w:t>
            </w:r>
            <w:r w:rsidR="70913459" w:rsidRPr="5AF117D2">
              <w:rPr>
                <w:rFonts w:ascii="Arial" w:eastAsia="Arial" w:hAnsi="Arial" w:cs="Arial"/>
              </w:rPr>
              <w:t>administration.</w:t>
            </w:r>
          </w:p>
        </w:tc>
      </w:tr>
      <w:tr w:rsidR="00246436" w:rsidRPr="00417645" w14:paraId="5F61FF5D" w14:textId="77777777" w:rsidTr="5AF117D2">
        <w:tc>
          <w:tcPr>
            <w:tcW w:w="2376" w:type="dxa"/>
          </w:tcPr>
          <w:p w14:paraId="49ECBA57" w14:textId="32363AE6" w:rsidR="00246436" w:rsidRPr="00417645" w:rsidRDefault="005F4C0E" w:rsidP="5AF117D2">
            <w:pPr>
              <w:rPr>
                <w:rFonts w:ascii="Arial" w:hAnsi="Arial" w:cs="Arial"/>
              </w:rPr>
            </w:pPr>
            <w:r w:rsidRPr="5AF117D2">
              <w:rPr>
                <w:rFonts w:ascii="Arial" w:hAnsi="Arial" w:cs="Arial"/>
              </w:rPr>
              <w:t xml:space="preserve">Clinical order </w:t>
            </w:r>
            <w:r w:rsidR="00360180" w:rsidRPr="5AF117D2">
              <w:rPr>
                <w:rFonts w:ascii="Arial" w:hAnsi="Arial" w:cs="Arial"/>
              </w:rPr>
              <w:t>tools</w:t>
            </w:r>
            <w:r w:rsidRPr="5AF117D2">
              <w:rPr>
                <w:rFonts w:ascii="Arial" w:hAnsi="Arial" w:cs="Arial"/>
              </w:rPr>
              <w:t xml:space="preserve"> </w:t>
            </w:r>
            <w:r w:rsidR="2C4E7540" w:rsidRPr="5AF117D2">
              <w:rPr>
                <w:rFonts w:ascii="Arial" w:hAnsi="Arial" w:cs="Arial"/>
              </w:rPr>
              <w:t>(15*)</w:t>
            </w:r>
          </w:p>
        </w:tc>
        <w:tc>
          <w:tcPr>
            <w:tcW w:w="6866" w:type="dxa"/>
          </w:tcPr>
          <w:p w14:paraId="19B567F6" w14:textId="45806933" w:rsidR="00246436" w:rsidRPr="00417645" w:rsidRDefault="3038E58A" w:rsidP="5AF117D2">
            <w:r w:rsidRPr="5AF117D2">
              <w:rPr>
                <w:rFonts w:ascii="Arial" w:eastAsia="Arial" w:hAnsi="Arial" w:cs="Arial"/>
              </w:rPr>
              <w:t>Predefined orders</w:t>
            </w:r>
            <w:r w:rsidR="00613E26" w:rsidRPr="5AF117D2">
              <w:rPr>
                <w:rFonts w:ascii="Arial" w:eastAsia="Arial" w:hAnsi="Arial" w:cs="Arial"/>
              </w:rPr>
              <w:t xml:space="preserve"> grouped together for specific clinical purposes</w:t>
            </w:r>
            <w:r w:rsidRPr="5AF117D2">
              <w:rPr>
                <w:rFonts w:ascii="Arial" w:eastAsia="Arial" w:hAnsi="Arial" w:cs="Arial"/>
              </w:rPr>
              <w:t xml:space="preserve"> to assist in appropriate prescribing of</w:t>
            </w:r>
            <w:r w:rsidR="24E83063" w:rsidRPr="5AF117D2">
              <w:rPr>
                <w:rFonts w:ascii="Arial" w:eastAsia="Arial" w:hAnsi="Arial" w:cs="Arial"/>
              </w:rPr>
              <w:t xml:space="preserve"> </w:t>
            </w:r>
            <w:r w:rsidR="55C2630D" w:rsidRPr="5AF117D2">
              <w:rPr>
                <w:rFonts w:ascii="Arial" w:eastAsia="Arial" w:hAnsi="Arial" w:cs="Arial"/>
              </w:rPr>
              <w:t>insulin.</w:t>
            </w:r>
          </w:p>
        </w:tc>
      </w:tr>
      <w:tr w:rsidR="00246436" w:rsidRPr="00417645" w14:paraId="0DE2A05A" w14:textId="77777777" w:rsidTr="5AF117D2">
        <w:tc>
          <w:tcPr>
            <w:tcW w:w="2376" w:type="dxa"/>
          </w:tcPr>
          <w:p w14:paraId="4D8E7910" w14:textId="54250AAC" w:rsidR="00246436" w:rsidRPr="00417645" w:rsidRDefault="2C4E7540" w:rsidP="5AF117D2">
            <w:pPr>
              <w:rPr>
                <w:rFonts w:ascii="Arial" w:hAnsi="Arial" w:cs="Arial"/>
              </w:rPr>
            </w:pPr>
            <w:r w:rsidRPr="5AF117D2">
              <w:rPr>
                <w:rFonts w:ascii="Arial" w:hAnsi="Arial" w:cs="Arial"/>
              </w:rPr>
              <w:t>Alerts (14*)</w:t>
            </w:r>
          </w:p>
        </w:tc>
        <w:tc>
          <w:tcPr>
            <w:tcW w:w="6866" w:type="dxa"/>
          </w:tcPr>
          <w:p w14:paraId="6DC73254" w14:textId="5697A1EF" w:rsidR="00246436" w:rsidRPr="00417645" w:rsidRDefault="4E9B6611" w:rsidP="5AF117D2">
            <w:pPr>
              <w:rPr>
                <w:rFonts w:ascii="Arial" w:eastAsia="Arial" w:hAnsi="Arial" w:cs="Arial"/>
              </w:rPr>
            </w:pPr>
            <w:r w:rsidRPr="5AF117D2">
              <w:rPr>
                <w:rFonts w:ascii="Arial" w:eastAsia="Arial" w:hAnsi="Arial" w:cs="Arial"/>
              </w:rPr>
              <w:t>Providing prescribing</w:t>
            </w:r>
            <w:r w:rsidR="4B41B444" w:rsidRPr="5AF117D2">
              <w:rPr>
                <w:rFonts w:ascii="Arial" w:eastAsia="Arial" w:hAnsi="Arial" w:cs="Arial"/>
              </w:rPr>
              <w:t xml:space="preserve"> prompts </w:t>
            </w:r>
            <w:r w:rsidRPr="5AF117D2">
              <w:rPr>
                <w:rFonts w:ascii="Arial" w:eastAsia="Arial" w:hAnsi="Arial" w:cs="Arial"/>
              </w:rPr>
              <w:t xml:space="preserve">for consideration, </w:t>
            </w:r>
            <w:r w:rsidR="05326547" w:rsidRPr="5AF117D2">
              <w:rPr>
                <w:rFonts w:ascii="Arial" w:eastAsia="Arial" w:hAnsi="Arial" w:cs="Arial"/>
              </w:rPr>
              <w:t>such as</w:t>
            </w:r>
            <w:r w:rsidRPr="5AF117D2">
              <w:rPr>
                <w:rFonts w:ascii="Arial" w:eastAsia="Arial" w:hAnsi="Arial" w:cs="Arial"/>
              </w:rPr>
              <w:t xml:space="preserve"> </w:t>
            </w:r>
            <w:r w:rsidR="4B41B444" w:rsidRPr="5AF117D2">
              <w:rPr>
                <w:rFonts w:ascii="Arial" w:eastAsia="Arial" w:hAnsi="Arial" w:cs="Arial"/>
              </w:rPr>
              <w:t xml:space="preserve">to confirm accurate </w:t>
            </w:r>
            <w:r w:rsidRPr="5AF117D2">
              <w:rPr>
                <w:rFonts w:ascii="Arial" w:eastAsia="Arial" w:hAnsi="Arial" w:cs="Arial"/>
              </w:rPr>
              <w:t>dosing</w:t>
            </w:r>
            <w:r w:rsidR="4B41B444" w:rsidRPr="5AF117D2">
              <w:rPr>
                <w:rFonts w:ascii="Arial" w:eastAsia="Arial" w:hAnsi="Arial" w:cs="Arial"/>
              </w:rPr>
              <w:t xml:space="preserve">, detect </w:t>
            </w:r>
            <w:r w:rsidRPr="5AF117D2">
              <w:rPr>
                <w:rFonts w:ascii="Arial" w:eastAsia="Arial" w:hAnsi="Arial" w:cs="Arial"/>
              </w:rPr>
              <w:t>maximum</w:t>
            </w:r>
            <w:r w:rsidR="4B41B444" w:rsidRPr="5AF117D2">
              <w:rPr>
                <w:rFonts w:ascii="Arial" w:eastAsia="Arial" w:hAnsi="Arial" w:cs="Arial"/>
              </w:rPr>
              <w:t xml:space="preserve"> doses, and prevent duplicate orders.</w:t>
            </w:r>
          </w:p>
        </w:tc>
      </w:tr>
    </w:tbl>
    <w:p w14:paraId="4A2E5C76" w14:textId="77777777" w:rsidR="00102963" w:rsidRPr="00417645" w:rsidRDefault="00102963" w:rsidP="5AF117D2">
      <w:pPr>
        <w:rPr>
          <w:rFonts w:ascii="Arial" w:hAnsi="Arial" w:cs="Arial"/>
        </w:rPr>
      </w:pPr>
    </w:p>
    <w:tbl>
      <w:tblPr>
        <w:tblStyle w:val="TableGrid"/>
        <w:tblW w:w="0" w:type="auto"/>
        <w:tblLook w:val="04A0" w:firstRow="1" w:lastRow="0" w:firstColumn="1" w:lastColumn="0" w:noHBand="0" w:noVBand="1"/>
      </w:tblPr>
      <w:tblGrid>
        <w:gridCol w:w="2376"/>
        <w:gridCol w:w="6866"/>
      </w:tblGrid>
      <w:tr w:rsidR="00102963" w:rsidRPr="00417645" w14:paraId="38DE8DCA" w14:textId="77777777" w:rsidTr="00426DB0">
        <w:tc>
          <w:tcPr>
            <w:tcW w:w="2376" w:type="dxa"/>
          </w:tcPr>
          <w:p w14:paraId="6F9DE472" w14:textId="77777777" w:rsidR="00102963" w:rsidRPr="00417645" w:rsidRDefault="36E7BE8E" w:rsidP="5AF117D2">
            <w:pPr>
              <w:rPr>
                <w:rFonts w:ascii="Arial" w:hAnsi="Arial" w:cs="Arial"/>
                <w:b/>
                <w:bCs/>
              </w:rPr>
            </w:pPr>
            <w:r w:rsidRPr="5AF117D2">
              <w:rPr>
                <w:rFonts w:ascii="Arial" w:hAnsi="Arial" w:cs="Arial"/>
                <w:b/>
                <w:bCs/>
              </w:rPr>
              <w:t>Monitoring</w:t>
            </w:r>
          </w:p>
        </w:tc>
        <w:tc>
          <w:tcPr>
            <w:tcW w:w="6866" w:type="dxa"/>
            <w:tcBorders>
              <w:bottom w:val="single" w:sz="4" w:space="0" w:color="auto"/>
            </w:tcBorders>
          </w:tcPr>
          <w:p w14:paraId="1751D17E" w14:textId="6F688B9F" w:rsidR="00102963" w:rsidRPr="00417645" w:rsidRDefault="36E7BE8E" w:rsidP="5AF117D2">
            <w:pPr>
              <w:rPr>
                <w:rFonts w:ascii="Arial" w:hAnsi="Arial" w:cs="Arial"/>
                <w:b/>
                <w:bCs/>
              </w:rPr>
            </w:pPr>
            <w:r w:rsidRPr="5AF117D2">
              <w:rPr>
                <w:rFonts w:ascii="Arial" w:hAnsi="Arial" w:cs="Arial"/>
                <w:b/>
                <w:bCs/>
              </w:rPr>
              <w:t xml:space="preserve">Additional </w:t>
            </w:r>
            <w:r w:rsidR="3E6351C2" w:rsidRPr="5AF117D2">
              <w:rPr>
                <w:rFonts w:ascii="Arial" w:hAnsi="Arial" w:cs="Arial"/>
                <w:b/>
                <w:bCs/>
              </w:rPr>
              <w:t>information</w:t>
            </w:r>
          </w:p>
        </w:tc>
      </w:tr>
      <w:tr w:rsidR="00102963" w:rsidRPr="00417645" w14:paraId="1EF00614" w14:textId="77777777" w:rsidTr="00426DB0">
        <w:tc>
          <w:tcPr>
            <w:tcW w:w="2376" w:type="dxa"/>
            <w:tcBorders>
              <w:right w:val="single" w:sz="4" w:space="0" w:color="auto"/>
            </w:tcBorders>
          </w:tcPr>
          <w:p w14:paraId="4CF24F01" w14:textId="7A7DC107" w:rsidR="00102963" w:rsidRPr="00417645" w:rsidRDefault="2C4E7540" w:rsidP="5AF117D2">
            <w:pPr>
              <w:rPr>
                <w:rFonts w:ascii="Arial" w:hAnsi="Arial" w:cs="Arial"/>
              </w:rPr>
            </w:pPr>
            <w:r w:rsidRPr="5AF117D2">
              <w:rPr>
                <w:rFonts w:ascii="Arial" w:hAnsi="Arial" w:cs="Arial"/>
              </w:rPr>
              <w:t>Dashboards</w:t>
            </w:r>
          </w:p>
        </w:tc>
        <w:tc>
          <w:tcPr>
            <w:tcW w:w="6866" w:type="dxa"/>
            <w:tcBorders>
              <w:top w:val="single" w:sz="4" w:space="0" w:color="auto"/>
              <w:left w:val="single" w:sz="4" w:space="0" w:color="auto"/>
              <w:bottom w:val="single" w:sz="4" w:space="0" w:color="auto"/>
              <w:right w:val="single" w:sz="4" w:space="0" w:color="auto"/>
            </w:tcBorders>
          </w:tcPr>
          <w:p w14:paraId="06CDC44A" w14:textId="0F4291A9" w:rsidR="00102963" w:rsidRPr="00417645" w:rsidRDefault="7BD0F4F1" w:rsidP="5AF117D2">
            <w:r w:rsidRPr="5AF117D2">
              <w:rPr>
                <w:rFonts w:ascii="Arial" w:eastAsia="Arial" w:hAnsi="Arial" w:cs="Arial"/>
              </w:rPr>
              <w:t>Tracks</w:t>
            </w:r>
            <w:r w:rsidR="4B41B444" w:rsidRPr="5AF117D2">
              <w:rPr>
                <w:rFonts w:ascii="Arial" w:eastAsia="Arial" w:hAnsi="Arial" w:cs="Arial"/>
              </w:rPr>
              <w:t xml:space="preserve"> insulin </w:t>
            </w:r>
            <w:proofErr w:type="gramStart"/>
            <w:r w:rsidRPr="5AF117D2">
              <w:rPr>
                <w:rFonts w:ascii="Arial" w:eastAsia="Arial" w:hAnsi="Arial" w:cs="Arial"/>
              </w:rPr>
              <w:t>use</w:t>
            </w:r>
            <w:proofErr w:type="gramEnd"/>
            <w:r w:rsidR="4B41B444" w:rsidRPr="5AF117D2">
              <w:rPr>
                <w:rFonts w:ascii="Arial" w:eastAsia="Arial" w:hAnsi="Arial" w:cs="Arial"/>
              </w:rPr>
              <w:t xml:space="preserve"> and blood glucose trends</w:t>
            </w:r>
            <w:r w:rsidRPr="5AF117D2">
              <w:rPr>
                <w:rFonts w:ascii="Arial" w:eastAsia="Arial" w:hAnsi="Arial" w:cs="Arial"/>
              </w:rPr>
              <w:t xml:space="preserve">, supporting safe administration and </w:t>
            </w:r>
            <w:r w:rsidR="4B41B444" w:rsidRPr="5AF117D2">
              <w:rPr>
                <w:rFonts w:ascii="Arial" w:eastAsia="Arial" w:hAnsi="Arial" w:cs="Arial"/>
              </w:rPr>
              <w:t>oversight.</w:t>
            </w:r>
          </w:p>
        </w:tc>
      </w:tr>
    </w:tbl>
    <w:p w14:paraId="01AF6023" w14:textId="77777777" w:rsidR="002C01E9" w:rsidRPr="00417645" w:rsidRDefault="002C01E9" w:rsidP="5AF117D2">
      <w:pPr>
        <w:pStyle w:val="NoSpacing"/>
        <w:rPr>
          <w:lang w:val="en-US"/>
        </w:rPr>
      </w:pPr>
    </w:p>
    <w:p w14:paraId="3ABE960B" w14:textId="30ED2BE8" w:rsidR="007F0633" w:rsidRPr="00417645" w:rsidRDefault="4D9760C8" w:rsidP="5AF117D2">
      <w:pPr>
        <w:rPr>
          <w:rFonts w:ascii="Arial" w:hAnsi="Arial" w:cs="Arial"/>
          <w:lang w:val="en-US"/>
        </w:rPr>
      </w:pPr>
      <w:r w:rsidRPr="5AF117D2">
        <w:rPr>
          <w:rFonts w:ascii="Arial" w:hAnsi="Arial" w:cs="Arial"/>
          <w:lang w:val="en-US"/>
        </w:rPr>
        <w:t xml:space="preserve">A </w:t>
      </w:r>
      <w:r w:rsidR="45510A4F" w:rsidRPr="5AF117D2">
        <w:rPr>
          <w:rFonts w:ascii="Arial" w:hAnsi="Arial" w:cs="Arial"/>
          <w:lang w:val="en-US"/>
        </w:rPr>
        <w:t>small</w:t>
      </w:r>
      <w:r w:rsidRPr="5AF117D2">
        <w:rPr>
          <w:rFonts w:ascii="Arial" w:hAnsi="Arial" w:cs="Arial"/>
          <w:lang w:val="en-US"/>
        </w:rPr>
        <w:t xml:space="preserve"> number of international evaluations of </w:t>
      </w:r>
      <w:r w:rsidR="005F4C0E" w:rsidRPr="5AF117D2">
        <w:rPr>
          <w:rFonts w:ascii="Arial" w:hAnsi="Arial" w:cs="Arial"/>
        </w:rPr>
        <w:t xml:space="preserve">clinical order </w:t>
      </w:r>
      <w:r w:rsidR="00360180" w:rsidRPr="5AF117D2">
        <w:rPr>
          <w:rFonts w:ascii="Arial" w:hAnsi="Arial" w:cs="Arial"/>
        </w:rPr>
        <w:t>tools</w:t>
      </w:r>
      <w:r w:rsidR="005F4C0E" w:rsidRPr="5AF117D2">
        <w:rPr>
          <w:rFonts w:ascii="Arial" w:hAnsi="Arial" w:cs="Arial"/>
        </w:rPr>
        <w:t xml:space="preserve"> </w:t>
      </w:r>
      <w:r w:rsidRPr="5AF117D2">
        <w:rPr>
          <w:rFonts w:ascii="Arial" w:hAnsi="Arial" w:cs="Arial"/>
          <w:lang w:val="en-US"/>
        </w:rPr>
        <w:t xml:space="preserve">and alerts demonstrated their effectiveness in improving </w:t>
      </w:r>
      <w:r w:rsidR="62645506" w:rsidRPr="5AF117D2">
        <w:rPr>
          <w:rFonts w:ascii="Arial" w:hAnsi="Arial" w:cs="Arial"/>
          <w:lang w:val="en-US"/>
        </w:rPr>
        <w:t>glycemic</w:t>
      </w:r>
      <w:r w:rsidRPr="5AF117D2">
        <w:rPr>
          <w:rFonts w:ascii="Arial" w:hAnsi="Arial" w:cs="Arial"/>
          <w:lang w:val="en-US"/>
        </w:rPr>
        <w:t xml:space="preserve"> control. The requirement for forced entry of information, as supported by grey literature, prompted the review and documentation of blood glucose levels before administration. However, there were no formal evaluations conducted in Australia, and </w:t>
      </w:r>
      <w:r w:rsidR="5C55D011" w:rsidRPr="5AF117D2">
        <w:rPr>
          <w:rFonts w:ascii="Arial" w:hAnsi="Arial" w:cs="Arial"/>
          <w:lang w:val="en-US"/>
        </w:rPr>
        <w:t xml:space="preserve">the local </w:t>
      </w:r>
      <w:r w:rsidRPr="5AF117D2">
        <w:rPr>
          <w:rFonts w:ascii="Arial" w:hAnsi="Arial" w:cs="Arial"/>
          <w:lang w:val="en-US"/>
        </w:rPr>
        <w:t>improvements reported were primarily anecdotal.</w:t>
      </w:r>
    </w:p>
    <w:p w14:paraId="4AD9990A" w14:textId="0A99D7B0" w:rsidR="001E6D07" w:rsidRPr="00417645" w:rsidRDefault="001E6D07" w:rsidP="5AF117D2">
      <w:pPr>
        <w:pStyle w:val="Heading2"/>
        <w:rPr>
          <w:rFonts w:ascii="Arial" w:hAnsi="Arial" w:cs="Arial"/>
          <w:b/>
          <w:bCs/>
          <w:sz w:val="28"/>
          <w:szCs w:val="28"/>
          <w:lang w:val="en-US"/>
        </w:rPr>
      </w:pPr>
      <w:r w:rsidRPr="5AF117D2">
        <w:rPr>
          <w:rFonts w:ascii="Arial" w:hAnsi="Arial" w:cs="Arial"/>
          <w:b/>
          <w:bCs/>
          <w:sz w:val="28"/>
          <w:szCs w:val="28"/>
          <w:lang w:val="en-US"/>
        </w:rPr>
        <w:t>Narcotics, opioids and other sedatives</w:t>
      </w:r>
    </w:p>
    <w:p w14:paraId="0ADA4ACD" w14:textId="57340606" w:rsidR="002A2932" w:rsidRPr="00417645" w:rsidRDefault="002A2932" w:rsidP="5AF117D2">
      <w:pPr>
        <w:rPr>
          <w:lang w:val="en-US"/>
        </w:rPr>
      </w:pPr>
      <w:r w:rsidRPr="5AF117D2">
        <w:rPr>
          <w:rFonts w:ascii="Arial" w:hAnsi="Arial" w:cs="Arial"/>
          <w:b/>
          <w:bCs/>
          <w:sz w:val="24"/>
        </w:rPr>
        <w:t>Most common strategies</w:t>
      </w:r>
    </w:p>
    <w:tbl>
      <w:tblPr>
        <w:tblStyle w:val="TableGrid"/>
        <w:tblW w:w="0" w:type="auto"/>
        <w:tblLook w:val="04A0" w:firstRow="1" w:lastRow="0" w:firstColumn="1" w:lastColumn="0" w:noHBand="0" w:noVBand="1"/>
      </w:tblPr>
      <w:tblGrid>
        <w:gridCol w:w="2376"/>
        <w:gridCol w:w="6866"/>
      </w:tblGrid>
      <w:tr w:rsidR="00102963" w:rsidRPr="00417645" w14:paraId="2935DA11" w14:textId="77777777" w:rsidTr="5AF117D2">
        <w:tc>
          <w:tcPr>
            <w:tcW w:w="2376" w:type="dxa"/>
          </w:tcPr>
          <w:p w14:paraId="4D67AE8E" w14:textId="3AB4CF61" w:rsidR="00102963" w:rsidRPr="00417645" w:rsidRDefault="36E7BE8E" w:rsidP="5AF117D2">
            <w:pPr>
              <w:rPr>
                <w:rFonts w:ascii="Arial" w:hAnsi="Arial" w:cs="Arial"/>
                <w:b/>
                <w:bCs/>
                <w:sz w:val="24"/>
              </w:rPr>
            </w:pPr>
            <w:r w:rsidRPr="5AF117D2">
              <w:rPr>
                <w:rFonts w:ascii="Arial" w:hAnsi="Arial" w:cs="Arial"/>
                <w:b/>
                <w:bCs/>
                <w:lang w:val="en-US"/>
              </w:rPr>
              <w:t>Presentation</w:t>
            </w:r>
          </w:p>
        </w:tc>
        <w:tc>
          <w:tcPr>
            <w:tcW w:w="6866" w:type="dxa"/>
          </w:tcPr>
          <w:p w14:paraId="1DA049A4" w14:textId="75731037" w:rsidR="00102963" w:rsidRPr="00417645" w:rsidRDefault="36E7BE8E" w:rsidP="5AF117D2">
            <w:pPr>
              <w:rPr>
                <w:rFonts w:ascii="Arial" w:hAnsi="Arial" w:cs="Arial"/>
                <w:b/>
                <w:bCs/>
              </w:rPr>
            </w:pPr>
            <w:r w:rsidRPr="5AF117D2">
              <w:rPr>
                <w:rFonts w:ascii="Arial" w:hAnsi="Arial" w:cs="Arial"/>
                <w:b/>
                <w:bCs/>
              </w:rPr>
              <w:t xml:space="preserve">Additional </w:t>
            </w:r>
            <w:r w:rsidR="542805F2" w:rsidRPr="5AF117D2">
              <w:rPr>
                <w:rFonts w:ascii="Arial" w:hAnsi="Arial" w:cs="Arial"/>
                <w:b/>
                <w:bCs/>
              </w:rPr>
              <w:t>information</w:t>
            </w:r>
          </w:p>
        </w:tc>
      </w:tr>
      <w:tr w:rsidR="002A2932" w:rsidRPr="00417645" w14:paraId="6BEDBDCA" w14:textId="77777777" w:rsidTr="5AF117D2">
        <w:tc>
          <w:tcPr>
            <w:tcW w:w="2376" w:type="dxa"/>
          </w:tcPr>
          <w:p w14:paraId="11FB8E94" w14:textId="57A3B76E" w:rsidR="002A2932" w:rsidRPr="00417645" w:rsidRDefault="002A2932" w:rsidP="5AF117D2">
            <w:pPr>
              <w:rPr>
                <w:rFonts w:ascii="Arial" w:hAnsi="Arial" w:cs="Arial"/>
              </w:rPr>
            </w:pPr>
            <w:r w:rsidRPr="5AF117D2">
              <w:rPr>
                <w:rFonts w:ascii="Arial" w:hAnsi="Arial" w:cs="Arial"/>
              </w:rPr>
              <w:t>Text visible on screen (15*)</w:t>
            </w:r>
          </w:p>
        </w:tc>
        <w:tc>
          <w:tcPr>
            <w:tcW w:w="6866" w:type="dxa"/>
          </w:tcPr>
          <w:p w14:paraId="7A99736B" w14:textId="5101680C" w:rsidR="002A2932" w:rsidRPr="00417645" w:rsidRDefault="6F6FBD9A" w:rsidP="5AF117D2">
            <w:pPr>
              <w:rPr>
                <w:rFonts w:ascii="Arial" w:eastAsia="Arial" w:hAnsi="Arial" w:cs="Arial"/>
              </w:rPr>
            </w:pPr>
            <w:r w:rsidRPr="5AF117D2">
              <w:rPr>
                <w:rFonts w:ascii="Arial" w:eastAsia="Arial" w:hAnsi="Arial" w:cs="Arial"/>
              </w:rPr>
              <w:t xml:space="preserve">Including additional text, </w:t>
            </w:r>
            <w:r w:rsidR="05326547" w:rsidRPr="5AF117D2">
              <w:rPr>
                <w:rFonts w:ascii="Arial" w:eastAsia="Arial" w:hAnsi="Arial" w:cs="Arial"/>
              </w:rPr>
              <w:t>such as</w:t>
            </w:r>
            <w:r w:rsidRPr="5AF117D2">
              <w:rPr>
                <w:rFonts w:ascii="Arial" w:eastAsia="Arial" w:hAnsi="Arial" w:cs="Arial"/>
              </w:rPr>
              <w:t xml:space="preserve"> d</w:t>
            </w:r>
            <w:r w:rsidR="31D2A9E7" w:rsidRPr="5AF117D2">
              <w:rPr>
                <w:rFonts w:ascii="Arial" w:eastAsia="Arial" w:hAnsi="Arial" w:cs="Arial"/>
              </w:rPr>
              <w:t>isplay</w:t>
            </w:r>
            <w:r w:rsidR="702E6DFA" w:rsidRPr="5AF117D2">
              <w:rPr>
                <w:rFonts w:ascii="Arial" w:eastAsia="Arial" w:hAnsi="Arial" w:cs="Arial"/>
              </w:rPr>
              <w:t>ing</w:t>
            </w:r>
            <w:r w:rsidR="31D2A9E7" w:rsidRPr="5AF117D2">
              <w:rPr>
                <w:rFonts w:ascii="Arial" w:eastAsia="Arial" w:hAnsi="Arial" w:cs="Arial"/>
              </w:rPr>
              <w:t xml:space="preserve"> both generic and brand names </w:t>
            </w:r>
            <w:r w:rsidR="048DFC6A" w:rsidRPr="5AF117D2">
              <w:rPr>
                <w:rFonts w:ascii="Arial" w:eastAsia="Arial" w:hAnsi="Arial" w:cs="Arial"/>
              </w:rPr>
              <w:t xml:space="preserve">and adding </w:t>
            </w:r>
            <w:r w:rsidR="31D2A9E7" w:rsidRPr="5AF117D2">
              <w:rPr>
                <w:rFonts w:ascii="Arial" w:eastAsia="Arial" w:hAnsi="Arial" w:cs="Arial"/>
              </w:rPr>
              <w:t>a “high risk medicine” label.</w:t>
            </w:r>
          </w:p>
        </w:tc>
      </w:tr>
    </w:tbl>
    <w:p w14:paraId="64B24DC9" w14:textId="77777777" w:rsidR="00102963" w:rsidRPr="00417645" w:rsidRDefault="00102963" w:rsidP="5AF117D2">
      <w:pPr>
        <w:rPr>
          <w:rFonts w:ascii="Arial" w:hAnsi="Arial" w:cs="Arial"/>
        </w:rPr>
      </w:pPr>
    </w:p>
    <w:tbl>
      <w:tblPr>
        <w:tblStyle w:val="TableGrid"/>
        <w:tblW w:w="9242" w:type="dxa"/>
        <w:tblLook w:val="04A0" w:firstRow="1" w:lastRow="0" w:firstColumn="1" w:lastColumn="0" w:noHBand="0" w:noVBand="1"/>
      </w:tblPr>
      <w:tblGrid>
        <w:gridCol w:w="2376"/>
        <w:gridCol w:w="6866"/>
      </w:tblGrid>
      <w:tr w:rsidR="00102963" w:rsidRPr="00417645" w14:paraId="5D3F8867" w14:textId="77777777" w:rsidTr="5AF117D2">
        <w:tc>
          <w:tcPr>
            <w:tcW w:w="2376" w:type="dxa"/>
          </w:tcPr>
          <w:p w14:paraId="275F0EC8" w14:textId="77777777" w:rsidR="00102963" w:rsidRPr="00417645" w:rsidRDefault="36E7BE8E" w:rsidP="5AF117D2">
            <w:pPr>
              <w:rPr>
                <w:rFonts w:ascii="Arial" w:hAnsi="Arial" w:cs="Arial"/>
                <w:b/>
                <w:bCs/>
              </w:rPr>
            </w:pPr>
            <w:r w:rsidRPr="5AF117D2">
              <w:rPr>
                <w:rFonts w:ascii="Arial" w:hAnsi="Arial" w:cs="Arial"/>
                <w:b/>
                <w:bCs/>
              </w:rPr>
              <w:t>Management</w:t>
            </w:r>
          </w:p>
        </w:tc>
        <w:tc>
          <w:tcPr>
            <w:tcW w:w="6866" w:type="dxa"/>
          </w:tcPr>
          <w:p w14:paraId="04C6E4AE" w14:textId="797586C2" w:rsidR="00102963" w:rsidRPr="00417645" w:rsidRDefault="36E7BE8E" w:rsidP="5AF117D2">
            <w:pPr>
              <w:rPr>
                <w:rFonts w:ascii="Arial" w:hAnsi="Arial" w:cs="Arial"/>
                <w:b/>
                <w:bCs/>
              </w:rPr>
            </w:pPr>
            <w:r w:rsidRPr="5AF117D2">
              <w:rPr>
                <w:rFonts w:ascii="Arial" w:hAnsi="Arial" w:cs="Arial"/>
                <w:b/>
                <w:bCs/>
              </w:rPr>
              <w:t xml:space="preserve">Additional </w:t>
            </w:r>
            <w:r w:rsidR="26B1E18E" w:rsidRPr="5AF117D2">
              <w:rPr>
                <w:rFonts w:ascii="Arial" w:hAnsi="Arial" w:cs="Arial"/>
                <w:b/>
                <w:bCs/>
              </w:rPr>
              <w:t>information</w:t>
            </w:r>
          </w:p>
        </w:tc>
      </w:tr>
      <w:tr w:rsidR="002A2932" w:rsidRPr="00417645" w14:paraId="73984F8F" w14:textId="77777777" w:rsidTr="5AF117D2">
        <w:tc>
          <w:tcPr>
            <w:tcW w:w="2376" w:type="dxa"/>
          </w:tcPr>
          <w:p w14:paraId="6960C32A" w14:textId="6FC3F77E" w:rsidR="002A2932" w:rsidRPr="00417645" w:rsidRDefault="002A2932" w:rsidP="5AF117D2">
            <w:pPr>
              <w:rPr>
                <w:rFonts w:ascii="Arial" w:hAnsi="Arial" w:cs="Arial"/>
              </w:rPr>
            </w:pPr>
            <w:r w:rsidRPr="5AF117D2">
              <w:rPr>
                <w:rFonts w:ascii="Arial" w:hAnsi="Arial" w:cs="Arial"/>
              </w:rPr>
              <w:t>Alerts (25*)</w:t>
            </w:r>
          </w:p>
        </w:tc>
        <w:tc>
          <w:tcPr>
            <w:tcW w:w="6866" w:type="dxa"/>
          </w:tcPr>
          <w:p w14:paraId="402C03BD" w14:textId="465FFDC5" w:rsidR="002A2932" w:rsidRPr="00417645" w:rsidRDefault="38166216" w:rsidP="5AF117D2">
            <w:pPr>
              <w:rPr>
                <w:rFonts w:ascii="Arial" w:hAnsi="Arial" w:cs="Arial"/>
              </w:rPr>
            </w:pPr>
            <w:r w:rsidRPr="5AF117D2">
              <w:rPr>
                <w:rFonts w:ascii="Arial" w:eastAsia="Arial" w:hAnsi="Arial" w:cs="Arial"/>
              </w:rPr>
              <w:t>Providing prescribing prompts for consideration,</w:t>
            </w:r>
            <w:r w:rsidRPr="5AF117D2">
              <w:rPr>
                <w:rFonts w:ascii="Arial" w:hAnsi="Arial" w:cs="Arial"/>
              </w:rPr>
              <w:t xml:space="preserve"> </w:t>
            </w:r>
            <w:r w:rsidR="05326547" w:rsidRPr="5AF117D2">
              <w:rPr>
                <w:rFonts w:ascii="Arial" w:hAnsi="Arial" w:cs="Arial"/>
              </w:rPr>
              <w:t>such as</w:t>
            </w:r>
            <w:r w:rsidR="51FA475B" w:rsidRPr="5AF117D2">
              <w:rPr>
                <w:rFonts w:ascii="Arial" w:hAnsi="Arial" w:cs="Arial"/>
              </w:rPr>
              <w:t xml:space="preserve"> prompts that notify prescribers of maximum dose limits, duplication risks, and potential issues with opioid-naïve patients.</w:t>
            </w:r>
          </w:p>
        </w:tc>
      </w:tr>
      <w:tr w:rsidR="007854AF" w:rsidRPr="00417645" w14:paraId="4263DD9E" w14:textId="77777777" w:rsidTr="5AF117D2">
        <w:tc>
          <w:tcPr>
            <w:tcW w:w="2376" w:type="dxa"/>
          </w:tcPr>
          <w:p w14:paraId="3531225A" w14:textId="6B75A0C8" w:rsidR="007854AF" w:rsidRPr="00417645" w:rsidRDefault="005F4C0E" w:rsidP="5AF117D2">
            <w:pPr>
              <w:rPr>
                <w:rFonts w:ascii="Arial" w:hAnsi="Arial" w:cs="Arial"/>
              </w:rPr>
            </w:pPr>
            <w:r w:rsidRPr="5AF117D2">
              <w:rPr>
                <w:rFonts w:ascii="Arial" w:hAnsi="Arial" w:cs="Arial"/>
              </w:rPr>
              <w:t xml:space="preserve">Clinical order </w:t>
            </w:r>
            <w:r w:rsidR="00360180" w:rsidRPr="5AF117D2">
              <w:rPr>
                <w:rFonts w:ascii="Arial" w:hAnsi="Arial" w:cs="Arial"/>
              </w:rPr>
              <w:t>tools</w:t>
            </w:r>
            <w:r w:rsidRPr="5AF117D2">
              <w:rPr>
                <w:rFonts w:ascii="Arial" w:hAnsi="Arial" w:cs="Arial"/>
              </w:rPr>
              <w:t xml:space="preserve"> </w:t>
            </w:r>
            <w:r w:rsidR="51FA475B" w:rsidRPr="5AF117D2">
              <w:rPr>
                <w:rFonts w:ascii="Arial" w:hAnsi="Arial" w:cs="Arial"/>
              </w:rPr>
              <w:t>(22*)</w:t>
            </w:r>
          </w:p>
        </w:tc>
        <w:tc>
          <w:tcPr>
            <w:tcW w:w="6866" w:type="dxa"/>
          </w:tcPr>
          <w:p w14:paraId="38FFA4D9" w14:textId="4AD8486C" w:rsidR="007854AF" w:rsidRPr="00417645" w:rsidRDefault="24E83063" w:rsidP="5AF117D2">
            <w:r w:rsidRPr="5AF117D2">
              <w:rPr>
                <w:rFonts w:ascii="Arial" w:eastAsia="Arial" w:hAnsi="Arial" w:cs="Arial"/>
              </w:rPr>
              <w:t xml:space="preserve">Predefined orders </w:t>
            </w:r>
            <w:r w:rsidR="00613E26" w:rsidRPr="5AF117D2">
              <w:rPr>
                <w:rFonts w:ascii="Arial" w:eastAsia="Arial" w:hAnsi="Arial" w:cs="Arial"/>
              </w:rPr>
              <w:t xml:space="preserve">grouped together for specific clinical purposes </w:t>
            </w:r>
            <w:r w:rsidRPr="5AF117D2">
              <w:rPr>
                <w:rFonts w:ascii="Arial" w:eastAsia="Arial" w:hAnsi="Arial" w:cs="Arial"/>
              </w:rPr>
              <w:t>to assist in appropriate prescribing of</w:t>
            </w:r>
            <w:r w:rsidR="52F8A4FA" w:rsidRPr="5AF117D2">
              <w:rPr>
                <w:rFonts w:ascii="Arial" w:eastAsia="Arial" w:hAnsi="Arial" w:cs="Arial"/>
              </w:rPr>
              <w:t xml:space="preserve"> narcotics, opioids, and sedatives.</w:t>
            </w:r>
          </w:p>
        </w:tc>
      </w:tr>
    </w:tbl>
    <w:p w14:paraId="0F843A6F" w14:textId="77777777" w:rsidR="00102963" w:rsidRPr="00417645" w:rsidRDefault="00102963" w:rsidP="5AF117D2">
      <w:pPr>
        <w:rPr>
          <w:rFonts w:ascii="Arial" w:hAnsi="Arial" w:cs="Arial"/>
        </w:rPr>
      </w:pPr>
    </w:p>
    <w:tbl>
      <w:tblPr>
        <w:tblStyle w:val="TableGrid"/>
        <w:tblW w:w="0" w:type="auto"/>
        <w:tblLook w:val="04A0" w:firstRow="1" w:lastRow="0" w:firstColumn="1" w:lastColumn="0" w:noHBand="0" w:noVBand="1"/>
      </w:tblPr>
      <w:tblGrid>
        <w:gridCol w:w="2376"/>
        <w:gridCol w:w="6866"/>
      </w:tblGrid>
      <w:tr w:rsidR="00102963" w:rsidRPr="00417645" w14:paraId="21D15A20" w14:textId="77777777" w:rsidTr="5AF117D2">
        <w:tc>
          <w:tcPr>
            <w:tcW w:w="2376" w:type="dxa"/>
          </w:tcPr>
          <w:p w14:paraId="5EC27D87" w14:textId="77777777" w:rsidR="00102963" w:rsidRPr="00417645" w:rsidRDefault="36E7BE8E" w:rsidP="5AF117D2">
            <w:pPr>
              <w:rPr>
                <w:rFonts w:ascii="Arial" w:hAnsi="Arial" w:cs="Arial"/>
                <w:b/>
                <w:bCs/>
              </w:rPr>
            </w:pPr>
            <w:r w:rsidRPr="5AF117D2">
              <w:rPr>
                <w:rFonts w:ascii="Arial" w:hAnsi="Arial" w:cs="Arial"/>
                <w:b/>
                <w:bCs/>
              </w:rPr>
              <w:t>Monitoring</w:t>
            </w:r>
          </w:p>
        </w:tc>
        <w:tc>
          <w:tcPr>
            <w:tcW w:w="6866" w:type="dxa"/>
          </w:tcPr>
          <w:p w14:paraId="66568FA3" w14:textId="1676644E" w:rsidR="00102963" w:rsidRPr="00417645" w:rsidRDefault="36E7BE8E" w:rsidP="5AF117D2">
            <w:pPr>
              <w:rPr>
                <w:rFonts w:ascii="Arial" w:hAnsi="Arial" w:cs="Arial"/>
                <w:b/>
                <w:bCs/>
              </w:rPr>
            </w:pPr>
            <w:r w:rsidRPr="5AF117D2">
              <w:rPr>
                <w:rFonts w:ascii="Arial" w:hAnsi="Arial" w:cs="Arial"/>
                <w:b/>
                <w:bCs/>
              </w:rPr>
              <w:t xml:space="preserve">Additional </w:t>
            </w:r>
            <w:r w:rsidR="2E01D916" w:rsidRPr="5AF117D2">
              <w:rPr>
                <w:rFonts w:ascii="Arial" w:hAnsi="Arial" w:cs="Arial"/>
                <w:b/>
                <w:bCs/>
              </w:rPr>
              <w:t>information</w:t>
            </w:r>
          </w:p>
        </w:tc>
      </w:tr>
      <w:tr w:rsidR="00185D7C" w:rsidRPr="00417645" w14:paraId="79BE64BB" w14:textId="77777777" w:rsidTr="5AF117D2">
        <w:tc>
          <w:tcPr>
            <w:tcW w:w="2376" w:type="dxa"/>
          </w:tcPr>
          <w:p w14:paraId="777B4567" w14:textId="26D1F40E" w:rsidR="00185D7C" w:rsidRPr="00417645" w:rsidRDefault="26426CF1" w:rsidP="5AF117D2">
            <w:pPr>
              <w:rPr>
                <w:rFonts w:ascii="Arial" w:hAnsi="Arial" w:cs="Arial"/>
              </w:rPr>
            </w:pPr>
            <w:r w:rsidRPr="5AF117D2">
              <w:rPr>
                <w:rFonts w:ascii="Arial" w:hAnsi="Arial" w:cs="Arial"/>
              </w:rPr>
              <w:t>Dashboards (6*) and Reports (2*)</w:t>
            </w:r>
          </w:p>
        </w:tc>
        <w:tc>
          <w:tcPr>
            <w:tcW w:w="6866" w:type="dxa"/>
          </w:tcPr>
          <w:p w14:paraId="4F228112" w14:textId="1A10375C" w:rsidR="00185D7C" w:rsidRPr="00417645" w:rsidRDefault="07E7BE21" w:rsidP="5AF117D2">
            <w:r w:rsidRPr="5AF117D2">
              <w:rPr>
                <w:rFonts w:ascii="Arial" w:eastAsia="Arial" w:hAnsi="Arial" w:cs="Arial"/>
              </w:rPr>
              <w:t>Provides data on narcotics, opioids, and sedatives usage, supporting safe prescribing practices.</w:t>
            </w:r>
          </w:p>
        </w:tc>
      </w:tr>
    </w:tbl>
    <w:p w14:paraId="7D88DBD0" w14:textId="77777777" w:rsidR="00EE6865" w:rsidRPr="00417645" w:rsidRDefault="00EE6865" w:rsidP="5AF117D2">
      <w:pPr>
        <w:pStyle w:val="NoSpacing"/>
        <w:rPr>
          <w:lang w:val="en-US"/>
        </w:rPr>
      </w:pPr>
    </w:p>
    <w:p w14:paraId="342C9C4E" w14:textId="3144425B" w:rsidR="00706043" w:rsidRPr="00417645" w:rsidRDefault="001A6F61" w:rsidP="5AF117D2">
      <w:pPr>
        <w:rPr>
          <w:rFonts w:ascii="Arial" w:hAnsi="Arial" w:cs="Arial"/>
        </w:rPr>
      </w:pPr>
      <w:r w:rsidRPr="5AF117D2">
        <w:rPr>
          <w:rFonts w:ascii="Arial" w:hAnsi="Arial" w:cs="Arial"/>
        </w:rPr>
        <w:t>The grey literature review highlighted several recommendations to reduce duplication and ensure accurate dosing. These recommendations align with the practices currently used by health services to prevent duplication and overdosing. Although no systematic reviews were identified, a few Australian primary studies were note</w:t>
      </w:r>
      <w:r w:rsidR="5C3194E2" w:rsidRPr="5AF117D2">
        <w:rPr>
          <w:rFonts w:ascii="Arial" w:hAnsi="Arial" w:cs="Arial"/>
        </w:rPr>
        <w:t>d</w:t>
      </w:r>
      <w:r w:rsidR="00021DB4" w:rsidRPr="5AF117D2">
        <w:rPr>
          <w:rFonts w:ascii="Arial" w:hAnsi="Arial" w:cs="Arial"/>
        </w:rPr>
        <w:t xml:space="preserve">, </w:t>
      </w:r>
      <w:r w:rsidRPr="5AF117D2">
        <w:rPr>
          <w:rFonts w:ascii="Arial" w:hAnsi="Arial" w:cs="Arial"/>
        </w:rPr>
        <w:t xml:space="preserve">one focused on making a combination laxative </w:t>
      </w:r>
      <w:r w:rsidR="00712612" w:rsidRPr="5AF117D2">
        <w:rPr>
          <w:rFonts w:ascii="Arial" w:hAnsi="Arial" w:cs="Arial"/>
        </w:rPr>
        <w:t xml:space="preserve">predefined order </w:t>
      </w:r>
      <w:r w:rsidR="00712612" w:rsidRPr="5AF117D2">
        <w:rPr>
          <w:rFonts w:ascii="Arial" w:hAnsi="Arial" w:cs="Arial"/>
        </w:rPr>
        <w:lastRenderedPageBreak/>
        <w:t>instruction</w:t>
      </w:r>
      <w:r w:rsidR="00793EF0" w:rsidRPr="5AF117D2">
        <w:rPr>
          <w:rFonts w:ascii="Arial" w:hAnsi="Arial" w:cs="Arial"/>
        </w:rPr>
        <w:t>s</w:t>
      </w:r>
      <w:r w:rsidR="00712612" w:rsidRPr="5AF117D2">
        <w:rPr>
          <w:rFonts w:ascii="Arial" w:hAnsi="Arial" w:cs="Arial"/>
        </w:rPr>
        <w:t xml:space="preserve"> </w:t>
      </w:r>
      <w:r w:rsidRPr="5AF117D2">
        <w:rPr>
          <w:rFonts w:ascii="Arial" w:hAnsi="Arial" w:cs="Arial"/>
        </w:rPr>
        <w:t>visible when prescribing opioids, and another addressed the completion or update of an opioid management plan.</w:t>
      </w:r>
    </w:p>
    <w:p w14:paraId="286E882B" w14:textId="77777777" w:rsidR="00C60CF2" w:rsidRDefault="00C60CF2" w:rsidP="5AF117D2">
      <w:pPr>
        <w:pStyle w:val="Heading2"/>
        <w:rPr>
          <w:rFonts w:ascii="Arial" w:hAnsi="Arial" w:cs="Arial"/>
          <w:b/>
          <w:bCs/>
          <w:sz w:val="28"/>
          <w:szCs w:val="28"/>
          <w:lang w:val="en-US"/>
        </w:rPr>
      </w:pPr>
    </w:p>
    <w:p w14:paraId="595F51ED" w14:textId="5C50F25C" w:rsidR="00822D06" w:rsidRPr="00417645" w:rsidRDefault="00822D06" w:rsidP="5AF117D2">
      <w:pPr>
        <w:pStyle w:val="Heading2"/>
        <w:rPr>
          <w:rFonts w:ascii="Arial" w:hAnsi="Arial" w:cs="Arial"/>
          <w:b/>
          <w:bCs/>
          <w:sz w:val="28"/>
          <w:szCs w:val="28"/>
          <w:lang w:val="en-US"/>
        </w:rPr>
      </w:pPr>
      <w:r w:rsidRPr="5AF117D2">
        <w:rPr>
          <w:rFonts w:ascii="Arial" w:hAnsi="Arial" w:cs="Arial"/>
          <w:b/>
          <w:bCs/>
          <w:sz w:val="28"/>
          <w:szCs w:val="28"/>
          <w:lang w:val="en-US"/>
        </w:rPr>
        <w:t>Chemotherapy</w:t>
      </w:r>
    </w:p>
    <w:p w14:paraId="37BCBE94" w14:textId="55121922" w:rsidR="008936B9" w:rsidRPr="00417645" w:rsidRDefault="008936B9" w:rsidP="5AF117D2">
      <w:pPr>
        <w:rPr>
          <w:rFonts w:ascii="Arial" w:hAnsi="Arial" w:cs="Arial"/>
          <w:b/>
          <w:bCs/>
          <w:sz w:val="24"/>
        </w:rPr>
      </w:pPr>
      <w:r w:rsidRPr="5AF117D2">
        <w:rPr>
          <w:rFonts w:ascii="Arial" w:hAnsi="Arial" w:cs="Arial"/>
          <w:b/>
          <w:bCs/>
          <w:sz w:val="24"/>
        </w:rPr>
        <w:t>Most common strategies</w:t>
      </w:r>
    </w:p>
    <w:tbl>
      <w:tblPr>
        <w:tblStyle w:val="TableGrid"/>
        <w:tblW w:w="0" w:type="auto"/>
        <w:tblLook w:val="04A0" w:firstRow="1" w:lastRow="0" w:firstColumn="1" w:lastColumn="0" w:noHBand="0" w:noVBand="1"/>
      </w:tblPr>
      <w:tblGrid>
        <w:gridCol w:w="2376"/>
        <w:gridCol w:w="6866"/>
      </w:tblGrid>
      <w:tr w:rsidR="00102963" w:rsidRPr="00417645" w14:paraId="0CA9823D" w14:textId="77777777" w:rsidTr="5AF117D2">
        <w:tc>
          <w:tcPr>
            <w:tcW w:w="2376" w:type="dxa"/>
          </w:tcPr>
          <w:p w14:paraId="32146A7A" w14:textId="77777777" w:rsidR="00102963" w:rsidRPr="00417645" w:rsidRDefault="36E7BE8E" w:rsidP="5AF117D2">
            <w:pPr>
              <w:rPr>
                <w:rFonts w:ascii="Arial" w:hAnsi="Arial" w:cs="Arial"/>
                <w:b/>
                <w:bCs/>
                <w:sz w:val="24"/>
              </w:rPr>
            </w:pPr>
            <w:r w:rsidRPr="5AF117D2">
              <w:rPr>
                <w:rFonts w:ascii="Arial" w:hAnsi="Arial" w:cs="Arial"/>
                <w:b/>
                <w:bCs/>
                <w:lang w:val="en-US"/>
              </w:rPr>
              <w:t>Presentation</w:t>
            </w:r>
          </w:p>
        </w:tc>
        <w:tc>
          <w:tcPr>
            <w:tcW w:w="6866" w:type="dxa"/>
          </w:tcPr>
          <w:p w14:paraId="54459672" w14:textId="25B8C36F" w:rsidR="00102963" w:rsidRPr="00417645" w:rsidRDefault="36E7BE8E" w:rsidP="5AF117D2">
            <w:pPr>
              <w:rPr>
                <w:rFonts w:ascii="Arial" w:hAnsi="Arial" w:cs="Arial"/>
                <w:b/>
                <w:bCs/>
              </w:rPr>
            </w:pPr>
            <w:r w:rsidRPr="5AF117D2">
              <w:rPr>
                <w:rFonts w:ascii="Arial" w:hAnsi="Arial" w:cs="Arial"/>
                <w:b/>
                <w:bCs/>
              </w:rPr>
              <w:t xml:space="preserve">Additional </w:t>
            </w:r>
            <w:r w:rsidR="66199C50" w:rsidRPr="5AF117D2">
              <w:rPr>
                <w:rFonts w:ascii="Arial" w:hAnsi="Arial" w:cs="Arial"/>
                <w:b/>
                <w:bCs/>
              </w:rPr>
              <w:t>information</w:t>
            </w:r>
          </w:p>
        </w:tc>
      </w:tr>
      <w:tr w:rsidR="00185D7C" w:rsidRPr="00417645" w14:paraId="26E1DEA5" w14:textId="77777777" w:rsidTr="5AF117D2">
        <w:tc>
          <w:tcPr>
            <w:tcW w:w="2376" w:type="dxa"/>
          </w:tcPr>
          <w:p w14:paraId="5DF60413" w14:textId="5E58A90F" w:rsidR="00185D7C" w:rsidRPr="00417645" w:rsidRDefault="26426CF1" w:rsidP="5AF117D2">
            <w:pPr>
              <w:rPr>
                <w:rFonts w:ascii="Arial" w:hAnsi="Arial" w:cs="Arial"/>
              </w:rPr>
            </w:pPr>
            <w:r w:rsidRPr="5AF117D2">
              <w:rPr>
                <w:rFonts w:ascii="Arial" w:hAnsi="Arial" w:cs="Arial"/>
              </w:rPr>
              <w:t>Displays clear on-screen text to indicate cytotoxic medicines (9*)</w:t>
            </w:r>
          </w:p>
        </w:tc>
        <w:tc>
          <w:tcPr>
            <w:tcW w:w="6866" w:type="dxa"/>
          </w:tcPr>
          <w:p w14:paraId="4207234B" w14:textId="2C31B536" w:rsidR="00185D7C" w:rsidRPr="00417645" w:rsidRDefault="22AD747A" w:rsidP="5AF117D2">
            <w:r w:rsidRPr="5AF117D2">
              <w:rPr>
                <w:rFonts w:ascii="Arial" w:eastAsia="Arial" w:hAnsi="Arial" w:cs="Arial"/>
              </w:rPr>
              <w:t>Clearly</w:t>
            </w:r>
            <w:r w:rsidR="7C2383EB" w:rsidRPr="5AF117D2">
              <w:rPr>
                <w:rFonts w:ascii="Arial" w:eastAsia="Arial" w:hAnsi="Arial" w:cs="Arial"/>
              </w:rPr>
              <w:t xml:space="preserve"> marked as cytotoxic with handling instructions to reduce </w:t>
            </w:r>
            <w:r w:rsidRPr="5AF117D2">
              <w:rPr>
                <w:rFonts w:ascii="Arial" w:eastAsia="Arial" w:hAnsi="Arial" w:cs="Arial"/>
              </w:rPr>
              <w:t xml:space="preserve">staff </w:t>
            </w:r>
            <w:r w:rsidR="7C2383EB" w:rsidRPr="5AF117D2">
              <w:rPr>
                <w:rFonts w:ascii="Arial" w:eastAsia="Arial" w:hAnsi="Arial" w:cs="Arial"/>
              </w:rPr>
              <w:t>exposure risks.</w:t>
            </w:r>
          </w:p>
        </w:tc>
      </w:tr>
    </w:tbl>
    <w:p w14:paraId="19E3776C" w14:textId="77777777" w:rsidR="00102963" w:rsidRPr="00417645" w:rsidRDefault="00102963" w:rsidP="5AF117D2">
      <w:pPr>
        <w:rPr>
          <w:rFonts w:ascii="Arial" w:hAnsi="Arial" w:cs="Arial"/>
        </w:rPr>
      </w:pPr>
    </w:p>
    <w:tbl>
      <w:tblPr>
        <w:tblStyle w:val="TableGrid"/>
        <w:tblW w:w="9242" w:type="dxa"/>
        <w:tblLook w:val="04A0" w:firstRow="1" w:lastRow="0" w:firstColumn="1" w:lastColumn="0" w:noHBand="0" w:noVBand="1"/>
      </w:tblPr>
      <w:tblGrid>
        <w:gridCol w:w="2376"/>
        <w:gridCol w:w="6866"/>
      </w:tblGrid>
      <w:tr w:rsidR="00102963" w:rsidRPr="00417645" w14:paraId="0F584A60" w14:textId="77777777" w:rsidTr="5AF117D2">
        <w:tc>
          <w:tcPr>
            <w:tcW w:w="2376" w:type="dxa"/>
          </w:tcPr>
          <w:p w14:paraId="466928F3" w14:textId="77777777" w:rsidR="00102963" w:rsidRPr="00417645" w:rsidRDefault="36E7BE8E" w:rsidP="5AF117D2">
            <w:pPr>
              <w:rPr>
                <w:rFonts w:ascii="Arial" w:hAnsi="Arial" w:cs="Arial"/>
                <w:b/>
                <w:bCs/>
              </w:rPr>
            </w:pPr>
            <w:r w:rsidRPr="5AF117D2">
              <w:rPr>
                <w:rFonts w:ascii="Arial" w:hAnsi="Arial" w:cs="Arial"/>
                <w:b/>
                <w:bCs/>
              </w:rPr>
              <w:t>Management</w:t>
            </w:r>
          </w:p>
        </w:tc>
        <w:tc>
          <w:tcPr>
            <w:tcW w:w="6866" w:type="dxa"/>
          </w:tcPr>
          <w:p w14:paraId="4B54CD64" w14:textId="66B56A12" w:rsidR="00102963" w:rsidRPr="00417645" w:rsidRDefault="36E7BE8E" w:rsidP="5AF117D2">
            <w:pPr>
              <w:rPr>
                <w:rFonts w:ascii="Arial" w:hAnsi="Arial" w:cs="Arial"/>
                <w:b/>
                <w:bCs/>
              </w:rPr>
            </w:pPr>
            <w:r w:rsidRPr="5AF117D2">
              <w:rPr>
                <w:rFonts w:ascii="Arial" w:hAnsi="Arial" w:cs="Arial"/>
                <w:b/>
                <w:bCs/>
              </w:rPr>
              <w:t xml:space="preserve">Additional </w:t>
            </w:r>
            <w:r w:rsidR="6FDAC847" w:rsidRPr="5AF117D2">
              <w:rPr>
                <w:rFonts w:ascii="Arial" w:hAnsi="Arial" w:cs="Arial"/>
                <w:b/>
                <w:bCs/>
              </w:rPr>
              <w:t>information</w:t>
            </w:r>
          </w:p>
        </w:tc>
      </w:tr>
      <w:tr w:rsidR="00185D7C" w:rsidRPr="00417645" w14:paraId="121D5277" w14:textId="77777777" w:rsidTr="5AF117D2">
        <w:tc>
          <w:tcPr>
            <w:tcW w:w="2376" w:type="dxa"/>
          </w:tcPr>
          <w:p w14:paraId="4929FE92" w14:textId="4FF5581A" w:rsidR="00185D7C" w:rsidRPr="00417645" w:rsidRDefault="00712612" w:rsidP="5AF117D2">
            <w:pPr>
              <w:rPr>
                <w:rFonts w:ascii="Arial" w:hAnsi="Arial" w:cs="Arial"/>
              </w:rPr>
            </w:pPr>
            <w:r w:rsidRPr="5AF117D2">
              <w:rPr>
                <w:rFonts w:ascii="Arial" w:hAnsi="Arial" w:cs="Arial"/>
              </w:rPr>
              <w:t xml:space="preserve">Predefined order instructions </w:t>
            </w:r>
            <w:r w:rsidR="26426CF1" w:rsidRPr="5AF117D2">
              <w:rPr>
                <w:rFonts w:ascii="Arial" w:hAnsi="Arial" w:cs="Arial"/>
              </w:rPr>
              <w:t>(7*)</w:t>
            </w:r>
          </w:p>
        </w:tc>
        <w:tc>
          <w:tcPr>
            <w:tcW w:w="6866" w:type="dxa"/>
          </w:tcPr>
          <w:p w14:paraId="6B17FBA1" w14:textId="700D5CE1" w:rsidR="00185D7C" w:rsidRPr="00417645" w:rsidRDefault="0F5E2875" w:rsidP="5AF117D2">
            <w:pPr>
              <w:rPr>
                <w:rFonts w:ascii="Arial" w:eastAsia="Arial" w:hAnsi="Arial" w:cs="Arial"/>
              </w:rPr>
            </w:pPr>
            <w:r w:rsidRPr="5AF117D2">
              <w:rPr>
                <w:rFonts w:ascii="Arial" w:eastAsia="Arial" w:hAnsi="Arial" w:cs="Arial"/>
              </w:rPr>
              <w:t>Use of predefined orders that guide prescribers by specifying details such as dose, route, and frequency.</w:t>
            </w:r>
          </w:p>
        </w:tc>
      </w:tr>
      <w:tr w:rsidR="00185D7C" w:rsidRPr="00417645" w14:paraId="0BECA990" w14:textId="77777777" w:rsidTr="5AF117D2">
        <w:tc>
          <w:tcPr>
            <w:tcW w:w="2376" w:type="dxa"/>
          </w:tcPr>
          <w:p w14:paraId="09F16631" w14:textId="0EA49930" w:rsidR="00185D7C" w:rsidRPr="00417645" w:rsidRDefault="26426CF1" w:rsidP="5AF117D2">
            <w:pPr>
              <w:rPr>
                <w:rFonts w:ascii="Arial" w:hAnsi="Arial" w:cs="Arial"/>
              </w:rPr>
            </w:pPr>
            <w:r w:rsidRPr="5AF117D2">
              <w:rPr>
                <w:rFonts w:ascii="Arial" w:hAnsi="Arial" w:cs="Arial"/>
              </w:rPr>
              <w:t>Alerts</w:t>
            </w:r>
            <w:r w:rsidR="381FA260" w:rsidRPr="5AF117D2">
              <w:rPr>
                <w:rFonts w:ascii="Arial" w:hAnsi="Arial" w:cs="Arial"/>
              </w:rPr>
              <w:t xml:space="preserve"> </w:t>
            </w:r>
            <w:r w:rsidRPr="5AF117D2">
              <w:rPr>
                <w:rFonts w:ascii="Arial" w:hAnsi="Arial" w:cs="Arial"/>
              </w:rPr>
              <w:t>(6*)</w:t>
            </w:r>
          </w:p>
        </w:tc>
        <w:tc>
          <w:tcPr>
            <w:tcW w:w="6866" w:type="dxa"/>
          </w:tcPr>
          <w:p w14:paraId="0CEA19CE" w14:textId="406B6983" w:rsidR="00185D7C" w:rsidRPr="00417645" w:rsidRDefault="5CA05220" w:rsidP="5AF117D2">
            <w:pPr>
              <w:rPr>
                <w:rFonts w:ascii="Aptos" w:eastAsia="Aptos" w:hAnsi="Aptos" w:cs="Aptos"/>
              </w:rPr>
            </w:pPr>
            <w:r w:rsidRPr="5AF117D2">
              <w:rPr>
                <w:rFonts w:ascii="Arial" w:eastAsia="Arial" w:hAnsi="Arial" w:cs="Arial"/>
              </w:rPr>
              <w:t xml:space="preserve">Providing prescribing prompts for considerations, </w:t>
            </w:r>
            <w:r w:rsidR="05326547" w:rsidRPr="5AF117D2">
              <w:rPr>
                <w:rFonts w:ascii="Arial" w:eastAsia="Arial" w:hAnsi="Arial" w:cs="Arial"/>
              </w:rPr>
              <w:t>such as</w:t>
            </w:r>
            <w:r w:rsidRPr="5AF117D2">
              <w:rPr>
                <w:rFonts w:ascii="Arial" w:eastAsia="Arial" w:hAnsi="Arial" w:cs="Arial"/>
              </w:rPr>
              <w:t xml:space="preserve"> </w:t>
            </w:r>
            <w:r w:rsidR="7C2383EB" w:rsidRPr="5AF117D2">
              <w:rPr>
                <w:rFonts w:ascii="Arial" w:eastAsia="Arial" w:hAnsi="Arial" w:cs="Arial"/>
              </w:rPr>
              <w:t xml:space="preserve">handling instructions, local policies, and </w:t>
            </w:r>
            <w:r w:rsidRPr="5AF117D2">
              <w:rPr>
                <w:rFonts w:ascii="Arial" w:eastAsia="Arial" w:hAnsi="Arial" w:cs="Arial"/>
              </w:rPr>
              <w:t xml:space="preserve">parameter </w:t>
            </w:r>
            <w:r w:rsidR="7C2383EB" w:rsidRPr="5AF117D2">
              <w:rPr>
                <w:rFonts w:ascii="Arial" w:eastAsia="Arial" w:hAnsi="Arial" w:cs="Arial"/>
              </w:rPr>
              <w:t xml:space="preserve">reminders </w:t>
            </w:r>
            <w:r w:rsidRPr="5AF117D2">
              <w:rPr>
                <w:rFonts w:ascii="Arial" w:eastAsia="Arial" w:hAnsi="Arial" w:cs="Arial"/>
              </w:rPr>
              <w:t xml:space="preserve">(e.g., </w:t>
            </w:r>
            <w:r w:rsidR="7C2383EB" w:rsidRPr="5AF117D2">
              <w:rPr>
                <w:rFonts w:ascii="Arial" w:eastAsia="Arial" w:hAnsi="Arial" w:cs="Arial"/>
              </w:rPr>
              <w:t>weight</w:t>
            </w:r>
            <w:r w:rsidRPr="5AF117D2">
              <w:rPr>
                <w:rFonts w:ascii="Arial" w:eastAsia="Arial" w:hAnsi="Arial" w:cs="Arial"/>
              </w:rPr>
              <w:t>,</w:t>
            </w:r>
            <w:r w:rsidR="7C2383EB" w:rsidRPr="5AF117D2">
              <w:rPr>
                <w:rFonts w:ascii="Arial" w:eastAsia="Arial" w:hAnsi="Arial" w:cs="Arial"/>
              </w:rPr>
              <w:t xml:space="preserve"> height</w:t>
            </w:r>
            <w:r w:rsidRPr="5AF117D2">
              <w:rPr>
                <w:rFonts w:ascii="Arial" w:eastAsia="Arial" w:hAnsi="Arial" w:cs="Arial"/>
              </w:rPr>
              <w:t>) for precise</w:t>
            </w:r>
            <w:r w:rsidR="7C2383EB" w:rsidRPr="5AF117D2">
              <w:rPr>
                <w:rFonts w:ascii="Arial" w:eastAsia="Arial" w:hAnsi="Arial" w:cs="Arial"/>
              </w:rPr>
              <w:t xml:space="preserve"> dosing.</w:t>
            </w:r>
          </w:p>
        </w:tc>
      </w:tr>
      <w:tr w:rsidR="0008484C" w:rsidRPr="00417645" w14:paraId="7E64663E" w14:textId="77777777" w:rsidTr="5AF117D2">
        <w:tc>
          <w:tcPr>
            <w:tcW w:w="2376" w:type="dxa"/>
          </w:tcPr>
          <w:p w14:paraId="1131B5DC" w14:textId="6D081F8C" w:rsidR="0008484C" w:rsidRPr="00417645" w:rsidRDefault="00360180" w:rsidP="5AF117D2">
            <w:pPr>
              <w:rPr>
                <w:rFonts w:ascii="Arial" w:hAnsi="Arial" w:cs="Arial"/>
              </w:rPr>
            </w:pPr>
            <w:r w:rsidRPr="5AF117D2">
              <w:rPr>
                <w:rFonts w:ascii="Arial" w:hAnsi="Arial" w:cs="Arial"/>
              </w:rPr>
              <w:t xml:space="preserve">Clinical order </w:t>
            </w:r>
            <w:r w:rsidR="00613E26" w:rsidRPr="5AF117D2">
              <w:rPr>
                <w:rFonts w:ascii="Arial" w:hAnsi="Arial" w:cs="Arial"/>
              </w:rPr>
              <w:t>tools</w:t>
            </w:r>
            <w:r w:rsidRPr="5AF117D2">
              <w:rPr>
                <w:rFonts w:ascii="Arial" w:hAnsi="Arial" w:cs="Arial"/>
              </w:rPr>
              <w:t xml:space="preserve"> </w:t>
            </w:r>
            <w:r w:rsidR="7C2383EB" w:rsidRPr="5AF117D2">
              <w:rPr>
                <w:rFonts w:ascii="Arial" w:hAnsi="Arial" w:cs="Arial"/>
              </w:rPr>
              <w:t>(6*)</w:t>
            </w:r>
          </w:p>
        </w:tc>
        <w:tc>
          <w:tcPr>
            <w:tcW w:w="6866" w:type="dxa"/>
          </w:tcPr>
          <w:p w14:paraId="3B1A6368" w14:textId="6C58F483" w:rsidR="0008484C" w:rsidRPr="00417645" w:rsidRDefault="24E83063" w:rsidP="5AF117D2">
            <w:pPr>
              <w:rPr>
                <w:rFonts w:ascii="Arial" w:eastAsia="Arial" w:hAnsi="Arial" w:cs="Arial"/>
              </w:rPr>
            </w:pPr>
            <w:r w:rsidRPr="5AF117D2">
              <w:rPr>
                <w:rFonts w:ascii="Arial" w:eastAsia="Arial" w:hAnsi="Arial" w:cs="Arial"/>
              </w:rPr>
              <w:t xml:space="preserve">Predefined orders </w:t>
            </w:r>
            <w:r w:rsidR="00613E26" w:rsidRPr="5AF117D2">
              <w:rPr>
                <w:rFonts w:ascii="Arial" w:eastAsia="Arial" w:hAnsi="Arial" w:cs="Arial"/>
              </w:rPr>
              <w:t xml:space="preserve">grouped together for specific clinical purposes </w:t>
            </w:r>
            <w:r w:rsidRPr="5AF117D2">
              <w:rPr>
                <w:rFonts w:ascii="Arial" w:eastAsia="Arial" w:hAnsi="Arial" w:cs="Arial"/>
              </w:rPr>
              <w:t xml:space="preserve">to assist in appropriate prescribing of </w:t>
            </w:r>
            <w:r w:rsidR="39DE701F" w:rsidRPr="5AF117D2">
              <w:rPr>
                <w:rFonts w:ascii="Arial" w:eastAsia="Arial" w:hAnsi="Arial" w:cs="Arial"/>
              </w:rPr>
              <w:t>chemotherapy.</w:t>
            </w:r>
          </w:p>
        </w:tc>
      </w:tr>
      <w:tr w:rsidR="00154232" w:rsidRPr="00417645" w14:paraId="4307A625" w14:textId="77777777" w:rsidTr="5AF117D2">
        <w:tc>
          <w:tcPr>
            <w:tcW w:w="2376" w:type="dxa"/>
          </w:tcPr>
          <w:p w14:paraId="37F3ABC9" w14:textId="28BF8BC6" w:rsidR="00154232" w:rsidRPr="00417645" w:rsidRDefault="162E2BBA" w:rsidP="5AF117D2">
            <w:pPr>
              <w:rPr>
                <w:rFonts w:ascii="Arial" w:hAnsi="Arial" w:cs="Arial"/>
              </w:rPr>
            </w:pPr>
            <w:r w:rsidRPr="5AF117D2">
              <w:rPr>
                <w:rFonts w:ascii="Arial" w:hAnsi="Arial" w:cs="Arial"/>
                <w:lang w:val="en-US"/>
              </w:rPr>
              <w:t xml:space="preserve">Limited users </w:t>
            </w:r>
            <w:r w:rsidR="54F176C4" w:rsidRPr="5AF117D2">
              <w:rPr>
                <w:rFonts w:ascii="Arial" w:hAnsi="Arial" w:cs="Arial"/>
                <w:lang w:val="en-US"/>
              </w:rPr>
              <w:t>(</w:t>
            </w:r>
            <w:r w:rsidR="2FD7E538" w:rsidRPr="5AF117D2">
              <w:rPr>
                <w:rFonts w:ascii="Arial" w:hAnsi="Arial" w:cs="Arial"/>
                <w:lang w:val="en-US"/>
              </w:rPr>
              <w:t>2</w:t>
            </w:r>
            <w:r w:rsidR="54F176C4" w:rsidRPr="5AF117D2">
              <w:rPr>
                <w:rFonts w:ascii="Arial" w:hAnsi="Arial" w:cs="Arial"/>
                <w:lang w:val="en-US"/>
              </w:rPr>
              <w:t>*)</w:t>
            </w:r>
          </w:p>
        </w:tc>
        <w:tc>
          <w:tcPr>
            <w:tcW w:w="6866" w:type="dxa"/>
          </w:tcPr>
          <w:p w14:paraId="1A1216F6" w14:textId="1C47E435" w:rsidR="00154232" w:rsidRPr="00417645" w:rsidRDefault="54F176C4" w:rsidP="5AF117D2">
            <w:pPr>
              <w:rPr>
                <w:rFonts w:ascii="Arial" w:eastAsia="Arial" w:hAnsi="Arial" w:cs="Arial"/>
              </w:rPr>
            </w:pPr>
            <w:r w:rsidRPr="5AF117D2">
              <w:rPr>
                <w:rFonts w:ascii="Arial" w:hAnsi="Arial" w:cs="Arial"/>
              </w:rPr>
              <w:t xml:space="preserve">Limits </w:t>
            </w:r>
            <w:r w:rsidR="039E0841" w:rsidRPr="5AF117D2">
              <w:rPr>
                <w:rFonts w:ascii="Arial" w:hAnsi="Arial" w:cs="Arial"/>
              </w:rPr>
              <w:t xml:space="preserve">the chemotherapy management to selected </w:t>
            </w:r>
            <w:r w:rsidR="2FD7E538" w:rsidRPr="5AF117D2">
              <w:rPr>
                <w:rFonts w:ascii="Arial" w:hAnsi="Arial" w:cs="Arial"/>
              </w:rPr>
              <w:t>doctors, nurses and pharmacists.</w:t>
            </w:r>
          </w:p>
        </w:tc>
      </w:tr>
    </w:tbl>
    <w:p w14:paraId="603D7DEA" w14:textId="77777777" w:rsidR="00102963" w:rsidRPr="00417645" w:rsidRDefault="00102963" w:rsidP="5AF117D2">
      <w:pPr>
        <w:pStyle w:val="NoSpacing"/>
        <w:rPr>
          <w:lang w:val="en-US"/>
        </w:rPr>
      </w:pPr>
    </w:p>
    <w:p w14:paraId="681CEA2D" w14:textId="48539DC6" w:rsidR="00A5634D" w:rsidRPr="00417645" w:rsidRDefault="00F473CD" w:rsidP="5AF117D2">
      <w:pPr>
        <w:rPr>
          <w:rFonts w:ascii="Arial" w:hAnsi="Arial" w:cs="Arial"/>
        </w:rPr>
      </w:pPr>
      <w:r w:rsidRPr="5AF117D2">
        <w:rPr>
          <w:rFonts w:ascii="Arial" w:hAnsi="Arial" w:cs="Arial"/>
        </w:rPr>
        <w:t xml:space="preserve">The grey literature review identified various presentation and management strategies, including the use of alerts, the development of protocols, and user authorisation systems. While one review explored strategies for chemotherapeutic medicines, it did not report any evaluation outcomes. There was one Australian study </w:t>
      </w:r>
      <w:r w:rsidR="00815BF7" w:rsidRPr="5AF117D2">
        <w:rPr>
          <w:rFonts w:ascii="Arial" w:hAnsi="Arial" w:cs="Arial"/>
        </w:rPr>
        <w:t>which</w:t>
      </w:r>
      <w:r w:rsidRPr="5AF117D2">
        <w:rPr>
          <w:rFonts w:ascii="Arial" w:hAnsi="Arial" w:cs="Arial"/>
        </w:rPr>
        <w:t xml:space="preserve"> describe</w:t>
      </w:r>
      <w:r w:rsidR="00815BF7" w:rsidRPr="5AF117D2">
        <w:rPr>
          <w:rFonts w:ascii="Arial" w:hAnsi="Arial" w:cs="Arial"/>
        </w:rPr>
        <w:t>d</w:t>
      </w:r>
      <w:r w:rsidRPr="5AF117D2">
        <w:rPr>
          <w:rFonts w:ascii="Arial" w:hAnsi="Arial" w:cs="Arial"/>
        </w:rPr>
        <w:t xml:space="preserve"> the use of </w:t>
      </w:r>
      <w:r w:rsidR="00360180" w:rsidRPr="5AF117D2">
        <w:rPr>
          <w:rFonts w:ascii="Arial" w:hAnsi="Arial" w:cs="Arial"/>
        </w:rPr>
        <w:t xml:space="preserve">clinical order </w:t>
      </w:r>
      <w:r w:rsidR="00613E26" w:rsidRPr="5AF117D2">
        <w:rPr>
          <w:rFonts w:ascii="Arial" w:hAnsi="Arial" w:cs="Arial"/>
        </w:rPr>
        <w:t>tools</w:t>
      </w:r>
      <w:r w:rsidR="00360180" w:rsidRPr="5AF117D2">
        <w:rPr>
          <w:rFonts w:ascii="Arial" w:hAnsi="Arial" w:cs="Arial"/>
        </w:rPr>
        <w:t xml:space="preserve"> </w:t>
      </w:r>
      <w:r w:rsidRPr="5AF117D2">
        <w:rPr>
          <w:rFonts w:ascii="Arial" w:hAnsi="Arial" w:cs="Arial"/>
        </w:rPr>
        <w:t>for chemotherapy</w:t>
      </w:r>
      <w:r w:rsidR="55A7851F" w:rsidRPr="5AF117D2">
        <w:rPr>
          <w:rFonts w:ascii="Arial" w:hAnsi="Arial" w:cs="Arial"/>
        </w:rPr>
        <w:t>,</w:t>
      </w:r>
      <w:r w:rsidR="00021DB4" w:rsidRPr="5AF117D2">
        <w:rPr>
          <w:rFonts w:ascii="Arial" w:hAnsi="Arial" w:cs="Arial"/>
        </w:rPr>
        <w:t xml:space="preserve"> but no evaluation of this strategy was performed</w:t>
      </w:r>
      <w:r w:rsidRPr="5AF117D2">
        <w:rPr>
          <w:rFonts w:ascii="Arial" w:hAnsi="Arial" w:cs="Arial"/>
        </w:rPr>
        <w:t>.</w:t>
      </w:r>
    </w:p>
    <w:p w14:paraId="3D0D2F52" w14:textId="58B284FB" w:rsidR="00822D06" w:rsidRPr="00417645" w:rsidRDefault="00822D06" w:rsidP="5AF117D2">
      <w:pPr>
        <w:pStyle w:val="Heading2"/>
        <w:rPr>
          <w:rFonts w:ascii="Arial" w:hAnsi="Arial" w:cs="Arial"/>
          <w:b/>
          <w:bCs/>
          <w:sz w:val="28"/>
          <w:szCs w:val="28"/>
          <w:lang w:val="en-US"/>
        </w:rPr>
      </w:pPr>
      <w:r w:rsidRPr="5AF117D2">
        <w:rPr>
          <w:rFonts w:ascii="Arial" w:hAnsi="Arial" w:cs="Arial"/>
          <w:b/>
          <w:bCs/>
          <w:sz w:val="28"/>
          <w:szCs w:val="28"/>
          <w:lang w:val="en-US"/>
        </w:rPr>
        <w:t>Heparin and other anticoagulants</w:t>
      </w:r>
    </w:p>
    <w:p w14:paraId="65E7B9B3" w14:textId="698EA735" w:rsidR="00F95810" w:rsidRPr="00417645" w:rsidRDefault="008936B9" w:rsidP="5AF117D2">
      <w:pPr>
        <w:rPr>
          <w:rFonts w:ascii="Arial" w:hAnsi="Arial" w:cs="Arial"/>
          <w:b/>
          <w:bCs/>
          <w:sz w:val="24"/>
        </w:rPr>
      </w:pPr>
      <w:r w:rsidRPr="5AF117D2">
        <w:rPr>
          <w:rFonts w:ascii="Arial" w:hAnsi="Arial" w:cs="Arial"/>
          <w:b/>
          <w:bCs/>
          <w:sz w:val="24"/>
        </w:rPr>
        <w:t>Most common strategies</w:t>
      </w:r>
    </w:p>
    <w:tbl>
      <w:tblPr>
        <w:tblStyle w:val="TableGrid"/>
        <w:tblW w:w="0" w:type="auto"/>
        <w:tblLook w:val="04A0" w:firstRow="1" w:lastRow="0" w:firstColumn="1" w:lastColumn="0" w:noHBand="0" w:noVBand="1"/>
      </w:tblPr>
      <w:tblGrid>
        <w:gridCol w:w="2376"/>
        <w:gridCol w:w="6866"/>
      </w:tblGrid>
      <w:tr w:rsidR="00102963" w:rsidRPr="00417645" w14:paraId="41A6761A" w14:textId="77777777" w:rsidTr="5AF117D2">
        <w:tc>
          <w:tcPr>
            <w:tcW w:w="2376" w:type="dxa"/>
          </w:tcPr>
          <w:p w14:paraId="6A2AC80B" w14:textId="77777777" w:rsidR="00102963" w:rsidRPr="00417645" w:rsidRDefault="36E7BE8E" w:rsidP="5AF117D2">
            <w:pPr>
              <w:rPr>
                <w:rFonts w:ascii="Arial" w:hAnsi="Arial" w:cs="Arial"/>
                <w:b/>
                <w:bCs/>
                <w:sz w:val="24"/>
              </w:rPr>
            </w:pPr>
            <w:r w:rsidRPr="5AF117D2">
              <w:rPr>
                <w:rFonts w:ascii="Arial" w:hAnsi="Arial" w:cs="Arial"/>
                <w:b/>
                <w:bCs/>
                <w:lang w:val="en-US"/>
              </w:rPr>
              <w:t>Presentation</w:t>
            </w:r>
          </w:p>
        </w:tc>
        <w:tc>
          <w:tcPr>
            <w:tcW w:w="6866" w:type="dxa"/>
          </w:tcPr>
          <w:p w14:paraId="064935ED" w14:textId="63E8BF24" w:rsidR="00102963" w:rsidRPr="00417645" w:rsidRDefault="36E7BE8E" w:rsidP="5AF117D2">
            <w:pPr>
              <w:rPr>
                <w:rFonts w:ascii="Arial" w:hAnsi="Arial" w:cs="Arial"/>
                <w:b/>
                <w:bCs/>
              </w:rPr>
            </w:pPr>
            <w:r w:rsidRPr="5AF117D2">
              <w:rPr>
                <w:rFonts w:ascii="Arial" w:hAnsi="Arial" w:cs="Arial"/>
                <w:b/>
                <w:bCs/>
              </w:rPr>
              <w:t xml:space="preserve">Additional </w:t>
            </w:r>
            <w:r w:rsidR="7C858112" w:rsidRPr="5AF117D2">
              <w:rPr>
                <w:rFonts w:ascii="Arial" w:hAnsi="Arial" w:cs="Arial"/>
                <w:b/>
                <w:bCs/>
              </w:rPr>
              <w:t>information</w:t>
            </w:r>
          </w:p>
        </w:tc>
      </w:tr>
      <w:tr w:rsidR="006535E1" w:rsidRPr="00417645" w14:paraId="04F317C9" w14:textId="77777777" w:rsidTr="5AF117D2">
        <w:tc>
          <w:tcPr>
            <w:tcW w:w="2376" w:type="dxa"/>
          </w:tcPr>
          <w:p w14:paraId="2A0D9558" w14:textId="347DC45D" w:rsidR="006535E1" w:rsidRPr="00417645" w:rsidRDefault="7853F8FF" w:rsidP="5AF117D2">
            <w:pPr>
              <w:rPr>
                <w:rFonts w:ascii="Arial" w:hAnsi="Arial" w:cs="Arial"/>
              </w:rPr>
            </w:pPr>
            <w:r w:rsidRPr="5AF117D2">
              <w:rPr>
                <w:rFonts w:ascii="Arial" w:hAnsi="Arial" w:cs="Arial"/>
              </w:rPr>
              <w:t>Text visible on screen (8*)</w:t>
            </w:r>
          </w:p>
        </w:tc>
        <w:tc>
          <w:tcPr>
            <w:tcW w:w="6866" w:type="dxa"/>
          </w:tcPr>
          <w:p w14:paraId="662718E6" w14:textId="65D55B56" w:rsidR="006535E1" w:rsidRPr="00417645" w:rsidRDefault="03EAFCCF" w:rsidP="5AF117D2">
            <w:pPr>
              <w:rPr>
                <w:rFonts w:ascii="Arial" w:eastAsia="Arial" w:hAnsi="Arial" w:cs="Arial"/>
              </w:rPr>
            </w:pPr>
            <w:r w:rsidRPr="5AF117D2">
              <w:rPr>
                <w:rFonts w:ascii="Arial" w:eastAsia="Arial" w:hAnsi="Arial" w:cs="Arial"/>
              </w:rPr>
              <w:t xml:space="preserve">Including additional text, </w:t>
            </w:r>
            <w:r w:rsidR="05326547" w:rsidRPr="5AF117D2">
              <w:rPr>
                <w:rFonts w:ascii="Arial" w:eastAsia="Arial" w:hAnsi="Arial" w:cs="Arial"/>
              </w:rPr>
              <w:t>such as</w:t>
            </w:r>
            <w:r w:rsidRPr="5AF117D2">
              <w:rPr>
                <w:rFonts w:ascii="Arial" w:eastAsia="Arial" w:hAnsi="Arial" w:cs="Arial"/>
              </w:rPr>
              <w:t xml:space="preserve"> displaying both generic and brand names and adding </w:t>
            </w:r>
            <w:r w:rsidR="24316928" w:rsidRPr="5AF117D2">
              <w:rPr>
                <w:rFonts w:ascii="Arial" w:eastAsia="Arial" w:hAnsi="Arial" w:cs="Arial"/>
              </w:rPr>
              <w:t>a</w:t>
            </w:r>
            <w:r w:rsidR="0DCE64B4" w:rsidRPr="5AF117D2">
              <w:rPr>
                <w:rFonts w:ascii="Arial" w:eastAsia="Arial" w:hAnsi="Arial" w:cs="Arial"/>
              </w:rPr>
              <w:t>n</w:t>
            </w:r>
            <w:r w:rsidRPr="5AF117D2">
              <w:rPr>
                <w:rFonts w:ascii="Arial" w:eastAsia="Arial" w:hAnsi="Arial" w:cs="Arial"/>
              </w:rPr>
              <w:t xml:space="preserve"> “anticoagulant” label.</w:t>
            </w:r>
          </w:p>
        </w:tc>
      </w:tr>
    </w:tbl>
    <w:p w14:paraId="73A8A64B" w14:textId="77777777" w:rsidR="00102963" w:rsidRPr="00417645" w:rsidRDefault="00102963" w:rsidP="5AF117D2">
      <w:pPr>
        <w:rPr>
          <w:rFonts w:ascii="Arial" w:hAnsi="Arial" w:cs="Arial"/>
        </w:rPr>
      </w:pPr>
    </w:p>
    <w:tbl>
      <w:tblPr>
        <w:tblStyle w:val="TableGrid"/>
        <w:tblW w:w="9242" w:type="dxa"/>
        <w:tblLook w:val="04A0" w:firstRow="1" w:lastRow="0" w:firstColumn="1" w:lastColumn="0" w:noHBand="0" w:noVBand="1"/>
      </w:tblPr>
      <w:tblGrid>
        <w:gridCol w:w="2376"/>
        <w:gridCol w:w="6866"/>
      </w:tblGrid>
      <w:tr w:rsidR="00102963" w:rsidRPr="00417645" w14:paraId="0EC7725E" w14:textId="77777777" w:rsidTr="5AF117D2">
        <w:tc>
          <w:tcPr>
            <w:tcW w:w="2376" w:type="dxa"/>
          </w:tcPr>
          <w:p w14:paraId="28008109" w14:textId="77777777" w:rsidR="00102963" w:rsidRPr="00417645" w:rsidRDefault="36E7BE8E" w:rsidP="5AF117D2">
            <w:pPr>
              <w:rPr>
                <w:rFonts w:ascii="Arial" w:hAnsi="Arial" w:cs="Arial"/>
                <w:b/>
                <w:bCs/>
              </w:rPr>
            </w:pPr>
            <w:r w:rsidRPr="5AF117D2">
              <w:rPr>
                <w:rFonts w:ascii="Arial" w:hAnsi="Arial" w:cs="Arial"/>
                <w:b/>
                <w:bCs/>
              </w:rPr>
              <w:t>Management</w:t>
            </w:r>
          </w:p>
        </w:tc>
        <w:tc>
          <w:tcPr>
            <w:tcW w:w="6866" w:type="dxa"/>
          </w:tcPr>
          <w:p w14:paraId="3662FE6D" w14:textId="13EFBE97" w:rsidR="00102963" w:rsidRPr="00417645" w:rsidRDefault="36E7BE8E" w:rsidP="5AF117D2">
            <w:pPr>
              <w:rPr>
                <w:rFonts w:ascii="Arial" w:hAnsi="Arial" w:cs="Arial"/>
                <w:b/>
                <w:bCs/>
              </w:rPr>
            </w:pPr>
            <w:r w:rsidRPr="5AF117D2">
              <w:rPr>
                <w:rFonts w:ascii="Arial" w:hAnsi="Arial" w:cs="Arial"/>
                <w:b/>
                <w:bCs/>
              </w:rPr>
              <w:t xml:space="preserve">Additional </w:t>
            </w:r>
            <w:r w:rsidR="0E4C9CD6" w:rsidRPr="5AF117D2">
              <w:rPr>
                <w:rFonts w:ascii="Arial" w:hAnsi="Arial" w:cs="Arial"/>
                <w:b/>
                <w:bCs/>
              </w:rPr>
              <w:t>information</w:t>
            </w:r>
          </w:p>
        </w:tc>
      </w:tr>
      <w:tr w:rsidR="006535E1" w:rsidRPr="00417645" w14:paraId="77E92E79" w14:textId="77777777" w:rsidTr="5AF117D2">
        <w:tc>
          <w:tcPr>
            <w:tcW w:w="2376" w:type="dxa"/>
          </w:tcPr>
          <w:p w14:paraId="147B40AA" w14:textId="2B4D6CF6" w:rsidR="006535E1" w:rsidRPr="00417645" w:rsidRDefault="7853F8FF" w:rsidP="5AF117D2">
            <w:pPr>
              <w:rPr>
                <w:rFonts w:ascii="Arial" w:hAnsi="Arial" w:cs="Arial"/>
              </w:rPr>
            </w:pPr>
            <w:r w:rsidRPr="5AF117D2">
              <w:rPr>
                <w:rFonts w:ascii="Arial" w:hAnsi="Arial" w:cs="Arial"/>
              </w:rPr>
              <w:t>Alerts (28*)</w:t>
            </w:r>
          </w:p>
        </w:tc>
        <w:tc>
          <w:tcPr>
            <w:tcW w:w="6866" w:type="dxa"/>
          </w:tcPr>
          <w:p w14:paraId="576C7C4B" w14:textId="05271C18" w:rsidR="006535E1" w:rsidRPr="00417645" w:rsidRDefault="67353B4A" w:rsidP="5AF117D2">
            <w:pPr>
              <w:pStyle w:val="Default"/>
              <w:rPr>
                <w:rFonts w:ascii="Arial" w:eastAsia="Arial" w:hAnsi="Arial" w:cs="Arial"/>
                <w:sz w:val="20"/>
                <w:szCs w:val="20"/>
              </w:rPr>
            </w:pPr>
            <w:r w:rsidRPr="5AF117D2">
              <w:rPr>
                <w:rFonts w:ascii="Arial" w:eastAsia="Arial" w:hAnsi="Arial" w:cs="Arial"/>
                <w:sz w:val="20"/>
                <w:szCs w:val="20"/>
              </w:rPr>
              <w:t xml:space="preserve">Providing prescribing prompts for considerations, </w:t>
            </w:r>
            <w:r w:rsidR="05326547" w:rsidRPr="5AF117D2">
              <w:rPr>
                <w:rFonts w:ascii="Arial" w:eastAsia="Arial" w:hAnsi="Arial" w:cs="Arial"/>
                <w:sz w:val="20"/>
                <w:szCs w:val="20"/>
              </w:rPr>
              <w:t>such as</w:t>
            </w:r>
            <w:r w:rsidR="0EF793A2" w:rsidRPr="5AF117D2">
              <w:rPr>
                <w:rFonts w:ascii="Arial" w:eastAsia="Arial" w:hAnsi="Arial" w:cs="Arial"/>
                <w:sz w:val="20"/>
                <w:szCs w:val="20"/>
              </w:rPr>
              <w:t xml:space="preserve"> </w:t>
            </w:r>
            <w:r w:rsidR="006E7766" w:rsidRPr="006E7766">
              <w:rPr>
                <w:rFonts w:ascii="Arial" w:eastAsia="Arial" w:hAnsi="Arial" w:cs="Arial"/>
                <w:sz w:val="20"/>
                <w:szCs w:val="20"/>
              </w:rPr>
              <w:t xml:space="preserve">Venous thromboembolism </w:t>
            </w:r>
            <w:r w:rsidR="006E7766">
              <w:rPr>
                <w:rFonts w:ascii="Arial" w:eastAsia="Arial" w:hAnsi="Arial" w:cs="Arial"/>
                <w:sz w:val="20"/>
                <w:szCs w:val="20"/>
              </w:rPr>
              <w:t>(</w:t>
            </w:r>
            <w:r w:rsidR="0EF793A2" w:rsidRPr="5AF117D2">
              <w:rPr>
                <w:rFonts w:ascii="Arial" w:eastAsia="Arial" w:hAnsi="Arial" w:cs="Arial"/>
                <w:sz w:val="20"/>
                <w:szCs w:val="20"/>
              </w:rPr>
              <w:t>VTE</w:t>
            </w:r>
            <w:r w:rsidR="006E7766">
              <w:rPr>
                <w:rFonts w:ascii="Arial" w:eastAsia="Arial" w:hAnsi="Arial" w:cs="Arial"/>
                <w:sz w:val="20"/>
                <w:szCs w:val="20"/>
              </w:rPr>
              <w:t>)</w:t>
            </w:r>
            <w:r w:rsidR="0EF793A2" w:rsidRPr="5AF117D2">
              <w:rPr>
                <w:rFonts w:ascii="Arial" w:eastAsia="Arial" w:hAnsi="Arial" w:cs="Arial"/>
                <w:sz w:val="20"/>
                <w:szCs w:val="20"/>
              </w:rPr>
              <w:t xml:space="preserve"> risk assessment reminders, duplication warnings, and </w:t>
            </w:r>
            <w:r w:rsidR="3D560A6B" w:rsidRPr="5AF117D2">
              <w:rPr>
                <w:rFonts w:ascii="Arial" w:eastAsia="Arial" w:hAnsi="Arial" w:cs="Arial"/>
                <w:sz w:val="20"/>
                <w:szCs w:val="20"/>
              </w:rPr>
              <w:t xml:space="preserve">medication reorder </w:t>
            </w:r>
            <w:r w:rsidR="0EF793A2" w:rsidRPr="5AF117D2">
              <w:rPr>
                <w:rFonts w:ascii="Arial" w:eastAsia="Arial" w:hAnsi="Arial" w:cs="Arial"/>
                <w:sz w:val="20"/>
                <w:szCs w:val="20"/>
              </w:rPr>
              <w:t xml:space="preserve">reminders </w:t>
            </w:r>
            <w:r w:rsidR="3D560A6B" w:rsidRPr="5AF117D2">
              <w:rPr>
                <w:rFonts w:ascii="Arial" w:eastAsia="Arial" w:hAnsi="Arial" w:cs="Arial"/>
                <w:sz w:val="20"/>
                <w:szCs w:val="20"/>
              </w:rPr>
              <w:t xml:space="preserve">for </w:t>
            </w:r>
            <w:r w:rsidR="0EF793A2" w:rsidRPr="5AF117D2">
              <w:rPr>
                <w:rFonts w:ascii="Arial" w:eastAsia="Arial" w:hAnsi="Arial" w:cs="Arial"/>
                <w:sz w:val="20"/>
                <w:szCs w:val="20"/>
              </w:rPr>
              <w:t>patients already on anticoagulants</w:t>
            </w:r>
            <w:r w:rsidR="3D560A6B" w:rsidRPr="5AF117D2">
              <w:rPr>
                <w:rFonts w:ascii="Arial" w:eastAsia="Arial" w:hAnsi="Arial" w:cs="Arial"/>
                <w:sz w:val="20"/>
                <w:szCs w:val="20"/>
              </w:rPr>
              <w:t>.</w:t>
            </w:r>
          </w:p>
        </w:tc>
      </w:tr>
      <w:tr w:rsidR="000542D2" w:rsidRPr="00417645" w14:paraId="399B7998" w14:textId="77777777" w:rsidTr="5AF117D2">
        <w:tc>
          <w:tcPr>
            <w:tcW w:w="2376" w:type="dxa"/>
          </w:tcPr>
          <w:p w14:paraId="47A8C102" w14:textId="584A6948" w:rsidR="000542D2" w:rsidRPr="00417645" w:rsidRDefault="00360180" w:rsidP="5AF117D2">
            <w:pPr>
              <w:rPr>
                <w:rFonts w:ascii="Arial" w:hAnsi="Arial" w:cs="Arial"/>
              </w:rPr>
            </w:pPr>
            <w:r w:rsidRPr="5AF117D2">
              <w:rPr>
                <w:rFonts w:ascii="Arial" w:hAnsi="Arial" w:cs="Arial"/>
              </w:rPr>
              <w:t xml:space="preserve">Clinical order </w:t>
            </w:r>
            <w:r w:rsidR="00613E26" w:rsidRPr="5AF117D2">
              <w:rPr>
                <w:rFonts w:ascii="Arial" w:hAnsi="Arial" w:cs="Arial"/>
              </w:rPr>
              <w:t>tools</w:t>
            </w:r>
            <w:r w:rsidRPr="5AF117D2">
              <w:rPr>
                <w:rFonts w:ascii="Arial" w:hAnsi="Arial" w:cs="Arial"/>
              </w:rPr>
              <w:t xml:space="preserve"> </w:t>
            </w:r>
            <w:r w:rsidR="0EF793A2" w:rsidRPr="5AF117D2">
              <w:rPr>
                <w:rFonts w:ascii="Arial" w:hAnsi="Arial" w:cs="Arial"/>
              </w:rPr>
              <w:t>(18*)</w:t>
            </w:r>
          </w:p>
        </w:tc>
        <w:tc>
          <w:tcPr>
            <w:tcW w:w="6866" w:type="dxa"/>
          </w:tcPr>
          <w:p w14:paraId="300136AE" w14:textId="32EFF26D" w:rsidR="000542D2" w:rsidRPr="00417645" w:rsidRDefault="24E83063" w:rsidP="5AF117D2">
            <w:pPr>
              <w:rPr>
                <w:rFonts w:ascii="Arial" w:eastAsia="Arial" w:hAnsi="Arial" w:cs="Arial"/>
              </w:rPr>
            </w:pPr>
            <w:r w:rsidRPr="5AF117D2">
              <w:rPr>
                <w:rFonts w:ascii="Arial" w:eastAsia="Arial" w:hAnsi="Arial" w:cs="Arial"/>
              </w:rPr>
              <w:t xml:space="preserve">Predefined orders </w:t>
            </w:r>
            <w:r w:rsidR="00613E26" w:rsidRPr="5AF117D2">
              <w:rPr>
                <w:rFonts w:ascii="Arial" w:eastAsia="Arial" w:hAnsi="Arial" w:cs="Arial"/>
              </w:rPr>
              <w:t xml:space="preserve">grouped together for specific clinical purposes </w:t>
            </w:r>
            <w:r w:rsidRPr="5AF117D2">
              <w:rPr>
                <w:rFonts w:ascii="Arial" w:eastAsia="Arial" w:hAnsi="Arial" w:cs="Arial"/>
              </w:rPr>
              <w:t xml:space="preserve">to assist in appropriate prescribing of heparin and other </w:t>
            </w:r>
            <w:r w:rsidR="0C6936D6" w:rsidRPr="5AF117D2">
              <w:rPr>
                <w:rFonts w:ascii="Arial" w:eastAsia="Arial" w:hAnsi="Arial" w:cs="Arial"/>
              </w:rPr>
              <w:t>anticoagulant</w:t>
            </w:r>
            <w:r w:rsidRPr="5AF117D2">
              <w:rPr>
                <w:rFonts w:ascii="Arial" w:eastAsia="Arial" w:hAnsi="Arial" w:cs="Arial"/>
              </w:rPr>
              <w:t>s</w:t>
            </w:r>
            <w:r w:rsidR="0C6936D6" w:rsidRPr="5AF117D2">
              <w:rPr>
                <w:rFonts w:ascii="Arial" w:eastAsia="Arial" w:hAnsi="Arial" w:cs="Arial"/>
              </w:rPr>
              <w:t>.</w:t>
            </w:r>
          </w:p>
        </w:tc>
      </w:tr>
      <w:tr w:rsidR="000542D2" w:rsidRPr="00417645" w14:paraId="321B1B9C" w14:textId="77777777" w:rsidTr="5AF117D2">
        <w:tc>
          <w:tcPr>
            <w:tcW w:w="2376" w:type="dxa"/>
          </w:tcPr>
          <w:p w14:paraId="1C948188" w14:textId="181F1D96" w:rsidR="000542D2" w:rsidRPr="00417645" w:rsidRDefault="0EF793A2" w:rsidP="5AF117D2">
            <w:pPr>
              <w:rPr>
                <w:rFonts w:ascii="Arial" w:hAnsi="Arial" w:cs="Arial"/>
              </w:rPr>
            </w:pPr>
            <w:r w:rsidRPr="5AF117D2">
              <w:rPr>
                <w:rFonts w:ascii="Arial" w:hAnsi="Arial" w:cs="Arial"/>
              </w:rPr>
              <w:t>Forcing function (10*)</w:t>
            </w:r>
          </w:p>
        </w:tc>
        <w:tc>
          <w:tcPr>
            <w:tcW w:w="6866" w:type="dxa"/>
          </w:tcPr>
          <w:p w14:paraId="0839F28F" w14:textId="6CA858CB" w:rsidR="000542D2" w:rsidRPr="00417645" w:rsidRDefault="0EF793A2" w:rsidP="5AF117D2">
            <w:pPr>
              <w:rPr>
                <w:rFonts w:ascii="Arial" w:eastAsia="Arial" w:hAnsi="Arial" w:cs="Arial"/>
              </w:rPr>
            </w:pPr>
            <w:r w:rsidRPr="5AF117D2">
              <w:rPr>
                <w:rFonts w:ascii="Arial" w:eastAsia="Arial" w:hAnsi="Arial" w:cs="Arial"/>
              </w:rPr>
              <w:t xml:space="preserve">Mandatory fields </w:t>
            </w:r>
            <w:r w:rsidR="3A397C3F" w:rsidRPr="5AF117D2">
              <w:rPr>
                <w:rFonts w:ascii="Arial" w:eastAsia="Arial" w:hAnsi="Arial" w:cs="Arial"/>
              </w:rPr>
              <w:t>for documentation for</w:t>
            </w:r>
            <w:r w:rsidRPr="5AF117D2">
              <w:rPr>
                <w:rFonts w:ascii="Arial" w:eastAsia="Arial" w:hAnsi="Arial" w:cs="Arial"/>
              </w:rPr>
              <w:t xml:space="preserve"> indications (e.g., treatment vs. prophylaxis), target INR/APTT levels, and therapy duration </w:t>
            </w:r>
            <w:r w:rsidR="3A397C3F" w:rsidRPr="5AF117D2">
              <w:rPr>
                <w:rFonts w:ascii="Arial" w:eastAsia="Arial" w:hAnsi="Arial" w:cs="Arial"/>
              </w:rPr>
              <w:t>for</w:t>
            </w:r>
            <w:r w:rsidRPr="5AF117D2">
              <w:rPr>
                <w:rFonts w:ascii="Arial" w:eastAsia="Arial" w:hAnsi="Arial" w:cs="Arial"/>
              </w:rPr>
              <w:t xml:space="preserve"> comprehensive safety.</w:t>
            </w:r>
          </w:p>
        </w:tc>
      </w:tr>
    </w:tbl>
    <w:p w14:paraId="54FF0A56" w14:textId="77777777" w:rsidR="00102963" w:rsidRPr="00417645" w:rsidRDefault="00102963" w:rsidP="5AF117D2">
      <w:pPr>
        <w:rPr>
          <w:rFonts w:ascii="Arial" w:hAnsi="Arial" w:cs="Arial"/>
        </w:rPr>
      </w:pPr>
    </w:p>
    <w:tbl>
      <w:tblPr>
        <w:tblStyle w:val="TableGrid"/>
        <w:tblW w:w="0" w:type="auto"/>
        <w:tblLook w:val="04A0" w:firstRow="1" w:lastRow="0" w:firstColumn="1" w:lastColumn="0" w:noHBand="0" w:noVBand="1"/>
      </w:tblPr>
      <w:tblGrid>
        <w:gridCol w:w="2376"/>
        <w:gridCol w:w="6866"/>
      </w:tblGrid>
      <w:tr w:rsidR="00102963" w:rsidRPr="00417645" w14:paraId="5DD73563" w14:textId="77777777" w:rsidTr="5AF117D2">
        <w:tc>
          <w:tcPr>
            <w:tcW w:w="2376" w:type="dxa"/>
          </w:tcPr>
          <w:p w14:paraId="573C56D7" w14:textId="77777777" w:rsidR="00102963" w:rsidRPr="00417645" w:rsidRDefault="36E7BE8E" w:rsidP="5AF117D2">
            <w:pPr>
              <w:rPr>
                <w:rFonts w:ascii="Arial" w:hAnsi="Arial" w:cs="Arial"/>
                <w:b/>
                <w:bCs/>
              </w:rPr>
            </w:pPr>
            <w:r w:rsidRPr="5AF117D2">
              <w:rPr>
                <w:rFonts w:ascii="Arial" w:hAnsi="Arial" w:cs="Arial"/>
                <w:b/>
                <w:bCs/>
              </w:rPr>
              <w:t>Monitoring</w:t>
            </w:r>
          </w:p>
        </w:tc>
        <w:tc>
          <w:tcPr>
            <w:tcW w:w="6866" w:type="dxa"/>
          </w:tcPr>
          <w:p w14:paraId="40DC4887" w14:textId="38196CB7" w:rsidR="00102963" w:rsidRPr="00417645" w:rsidRDefault="36E7BE8E" w:rsidP="5AF117D2">
            <w:pPr>
              <w:rPr>
                <w:rFonts w:ascii="Arial" w:hAnsi="Arial" w:cs="Arial"/>
                <w:b/>
                <w:bCs/>
              </w:rPr>
            </w:pPr>
            <w:r w:rsidRPr="5AF117D2">
              <w:rPr>
                <w:rFonts w:ascii="Arial" w:hAnsi="Arial" w:cs="Arial"/>
                <w:b/>
                <w:bCs/>
              </w:rPr>
              <w:t xml:space="preserve">Additional </w:t>
            </w:r>
            <w:r w:rsidR="4D6C5594" w:rsidRPr="5AF117D2">
              <w:rPr>
                <w:rFonts w:ascii="Arial" w:hAnsi="Arial" w:cs="Arial"/>
                <w:b/>
                <w:bCs/>
              </w:rPr>
              <w:t>information</w:t>
            </w:r>
          </w:p>
        </w:tc>
      </w:tr>
      <w:tr w:rsidR="007D19E7" w:rsidRPr="00417645" w14:paraId="4F68A7BD" w14:textId="77777777" w:rsidTr="5AF117D2">
        <w:tc>
          <w:tcPr>
            <w:tcW w:w="2376" w:type="dxa"/>
          </w:tcPr>
          <w:p w14:paraId="242808B5" w14:textId="2872B827" w:rsidR="007D19E7" w:rsidRPr="00417645" w:rsidRDefault="034520A8" w:rsidP="5AF117D2">
            <w:pPr>
              <w:rPr>
                <w:rFonts w:ascii="Arial" w:eastAsia="Arial" w:hAnsi="Arial" w:cs="Arial"/>
              </w:rPr>
            </w:pPr>
            <w:r w:rsidRPr="5AF117D2">
              <w:rPr>
                <w:rFonts w:ascii="Arial" w:eastAsia="Arial" w:hAnsi="Arial" w:cs="Arial"/>
                <w:lang w:val="en-US"/>
              </w:rPr>
              <w:lastRenderedPageBreak/>
              <w:t>Dashboard (6*)</w:t>
            </w:r>
          </w:p>
        </w:tc>
        <w:tc>
          <w:tcPr>
            <w:tcW w:w="6866" w:type="dxa"/>
          </w:tcPr>
          <w:p w14:paraId="2EE2D741" w14:textId="353D4813" w:rsidR="007D19E7" w:rsidRPr="00417645" w:rsidRDefault="54F27968" w:rsidP="5AF117D2">
            <w:pPr>
              <w:rPr>
                <w:rFonts w:ascii="Arial" w:eastAsia="Arial" w:hAnsi="Arial" w:cs="Arial"/>
              </w:rPr>
            </w:pPr>
            <w:r w:rsidRPr="5AF117D2">
              <w:rPr>
                <w:rFonts w:ascii="Arial" w:eastAsia="Arial" w:hAnsi="Arial" w:cs="Arial"/>
              </w:rPr>
              <w:t xml:space="preserve">Provides data on </w:t>
            </w:r>
            <w:r w:rsidR="00613E26" w:rsidRPr="5AF117D2">
              <w:rPr>
                <w:rFonts w:ascii="Arial" w:eastAsia="Arial" w:hAnsi="Arial" w:cs="Arial"/>
              </w:rPr>
              <w:t>heparin</w:t>
            </w:r>
            <w:r w:rsidRPr="5AF117D2">
              <w:rPr>
                <w:rFonts w:ascii="Arial" w:eastAsia="Arial" w:hAnsi="Arial" w:cs="Arial"/>
                <w:lang w:val="en-US"/>
              </w:rPr>
              <w:t xml:space="preserve"> and other anticoagulants</w:t>
            </w:r>
            <w:r w:rsidRPr="5AF117D2">
              <w:rPr>
                <w:rFonts w:ascii="Arial" w:eastAsia="Arial" w:hAnsi="Arial" w:cs="Arial"/>
              </w:rPr>
              <w:t xml:space="preserve"> usage, supporting safe prescribing practices.</w:t>
            </w:r>
          </w:p>
        </w:tc>
      </w:tr>
    </w:tbl>
    <w:p w14:paraId="11A46105" w14:textId="77777777" w:rsidR="00102963" w:rsidRPr="00417645" w:rsidRDefault="00102963" w:rsidP="5AF117D2">
      <w:pPr>
        <w:pStyle w:val="NoSpacing"/>
        <w:rPr>
          <w:lang w:val="en-US"/>
        </w:rPr>
      </w:pPr>
    </w:p>
    <w:p w14:paraId="278D06C8" w14:textId="5A049106" w:rsidR="00797030" w:rsidRPr="0087197B" w:rsidRDefault="00797030" w:rsidP="0087197B">
      <w:pPr>
        <w:rPr>
          <w:rFonts w:ascii="Arial" w:hAnsi="Arial" w:cs="Arial"/>
        </w:rPr>
      </w:pPr>
      <w:r w:rsidRPr="5AF117D2">
        <w:rPr>
          <w:rFonts w:ascii="Arial" w:hAnsi="Arial" w:cs="Arial"/>
        </w:rPr>
        <w:t>Formal evaluations of these strategies were not widely reported. However, one Australian study assessed the impact of patient-specific alerts on the appropriateness of warfarin prescribing at discharge and found that these alerts improved the accuracy of warfarin prescriptions.</w:t>
      </w:r>
    </w:p>
    <w:p w14:paraId="1389FEAD" w14:textId="2C3A6CC0" w:rsidR="00320885" w:rsidRPr="000D30B3" w:rsidRDefault="00320885" w:rsidP="000D30B3">
      <w:pPr>
        <w:pStyle w:val="Heading1"/>
        <w:rPr>
          <w:rFonts w:ascii="Arial" w:hAnsi="Arial" w:cs="Arial"/>
          <w:b/>
          <w:bCs/>
          <w:sz w:val="36"/>
          <w:szCs w:val="36"/>
        </w:rPr>
      </w:pPr>
      <w:r w:rsidRPr="3E967466">
        <w:rPr>
          <w:rFonts w:ascii="Arial" w:hAnsi="Arial" w:cs="Arial"/>
          <w:b/>
          <w:bCs/>
          <w:sz w:val="36"/>
          <w:szCs w:val="36"/>
        </w:rPr>
        <w:t>Local Governance</w:t>
      </w:r>
    </w:p>
    <w:p w14:paraId="53D468E3" w14:textId="1F57CA47" w:rsidR="00D56622" w:rsidRPr="00D56622" w:rsidRDefault="04E39013" w:rsidP="00886AD3">
      <w:pPr>
        <w:rPr>
          <w:rFonts w:ascii="Arial" w:hAnsi="Arial" w:cs="Arial"/>
        </w:rPr>
      </w:pPr>
      <w:r w:rsidRPr="3BA4D45E">
        <w:rPr>
          <w:rFonts w:ascii="Arial" w:hAnsi="Arial" w:cs="Arial"/>
        </w:rPr>
        <w:t>The</w:t>
      </w:r>
      <w:r w:rsidR="00D56622" w:rsidRPr="3BA4D45E">
        <w:rPr>
          <w:rFonts w:ascii="Arial" w:hAnsi="Arial" w:cs="Arial"/>
        </w:rPr>
        <w:t xml:space="preserve"> report does not provide specific recommendations on local governance for EMM systems</w:t>
      </w:r>
      <w:r w:rsidR="46AC98F5" w:rsidRPr="3BA4D45E">
        <w:rPr>
          <w:rFonts w:ascii="Arial" w:hAnsi="Arial" w:cs="Arial"/>
        </w:rPr>
        <w:t xml:space="preserve"> however,</w:t>
      </w:r>
      <w:r w:rsidR="00D56622" w:rsidRPr="3BA4D45E">
        <w:rPr>
          <w:rFonts w:ascii="Arial" w:hAnsi="Arial" w:cs="Arial"/>
        </w:rPr>
        <w:t xml:space="preserve"> the </w:t>
      </w:r>
      <w:hyperlink r:id="rId20">
        <w:r w:rsidR="00D56622" w:rsidRPr="3BA4D45E">
          <w:rPr>
            <w:rStyle w:val="Hyperlink"/>
            <w:rFonts w:ascii="Arial" w:hAnsi="Arial" w:cs="Arial"/>
          </w:rPr>
          <w:t>Electronic Medication Management Systems – A Guide to Safe Implementation</w:t>
        </w:r>
      </w:hyperlink>
      <w:r w:rsidR="00D56622" w:rsidRPr="3BA4D45E">
        <w:rPr>
          <w:rFonts w:ascii="Arial" w:hAnsi="Arial" w:cs="Arial"/>
        </w:rPr>
        <w:t xml:space="preserve"> </w:t>
      </w:r>
      <w:r w:rsidR="316FE44D" w:rsidRPr="3BA4D45E">
        <w:rPr>
          <w:rFonts w:ascii="Arial" w:hAnsi="Arial" w:cs="Arial"/>
        </w:rPr>
        <w:t>&lt;</w:t>
      </w:r>
      <w:hyperlink r:id="rId21">
        <w:r w:rsidR="316FE44D" w:rsidRPr="3BA4D45E">
          <w:rPr>
            <w:rStyle w:val="Hyperlink"/>
            <w:rFonts w:ascii="Arial" w:hAnsi="Arial" w:cs="Arial"/>
          </w:rPr>
          <w:t>https://www.safetyandquality.gov.au/our-work/medicines-safety-and-quality/electronic-medication-management/electronic-medication-management-systems-guide-safe-implementation</w:t>
        </w:r>
      </w:hyperlink>
      <w:r w:rsidR="316FE44D" w:rsidRPr="3BA4D45E">
        <w:rPr>
          <w:rFonts w:ascii="Arial" w:hAnsi="Arial" w:cs="Arial"/>
        </w:rPr>
        <w:t>&gt;</w:t>
      </w:r>
      <w:r w:rsidR="00D56622" w:rsidRPr="3BA4D45E">
        <w:rPr>
          <w:rFonts w:ascii="Arial" w:hAnsi="Arial" w:cs="Arial"/>
        </w:rPr>
        <w:t>by the Australian Commission on Safety and Quality in Health Care offers guidance. The following information has been adapted from their advice, and you are encouraged to refer to the full document for further details.</w:t>
      </w:r>
    </w:p>
    <w:p w14:paraId="4436A0A4" w14:textId="2F70833A" w:rsidR="00886AD3" w:rsidRPr="00886AD3" w:rsidRDefault="00886AD3" w:rsidP="0B928718">
      <w:pPr>
        <w:rPr>
          <w:rFonts w:ascii="Arial" w:hAnsi="Arial" w:cs="Arial"/>
        </w:rPr>
      </w:pPr>
      <w:r w:rsidRPr="0B928718">
        <w:rPr>
          <w:rFonts w:ascii="Arial" w:hAnsi="Arial" w:cs="Arial"/>
        </w:rPr>
        <w:t xml:space="preserve">EMM systems </w:t>
      </w:r>
      <w:r w:rsidR="00295DD4" w:rsidRPr="0B928718">
        <w:rPr>
          <w:rFonts w:ascii="Arial" w:hAnsi="Arial" w:cs="Arial"/>
        </w:rPr>
        <w:t>require</w:t>
      </w:r>
      <w:r w:rsidRPr="0B928718">
        <w:rPr>
          <w:rFonts w:ascii="Arial" w:hAnsi="Arial" w:cs="Arial"/>
        </w:rPr>
        <w:t xml:space="preserve"> ongoing oversight, updates, and enhancements. Governance </w:t>
      </w:r>
      <w:r w:rsidR="003145AE" w:rsidRPr="0B928718">
        <w:rPr>
          <w:rFonts w:ascii="Arial" w:hAnsi="Arial" w:cs="Arial"/>
        </w:rPr>
        <w:t>of EMM systems</w:t>
      </w:r>
      <w:r w:rsidR="00AD660C" w:rsidRPr="0B928718">
        <w:rPr>
          <w:rFonts w:ascii="Arial" w:hAnsi="Arial" w:cs="Arial"/>
        </w:rPr>
        <w:t xml:space="preserve"> should</w:t>
      </w:r>
      <w:r w:rsidRPr="0B928718">
        <w:rPr>
          <w:rFonts w:ascii="Arial" w:hAnsi="Arial" w:cs="Arial"/>
        </w:rPr>
        <w:t xml:space="preserve"> be overseen by the</w:t>
      </w:r>
      <w:r w:rsidR="00AD660C" w:rsidRPr="0B928718">
        <w:rPr>
          <w:rFonts w:ascii="Arial" w:hAnsi="Arial" w:cs="Arial"/>
        </w:rPr>
        <w:t xml:space="preserve"> health service’s</w:t>
      </w:r>
      <w:r w:rsidRPr="0B928718">
        <w:rPr>
          <w:rFonts w:ascii="Arial" w:hAnsi="Arial" w:cs="Arial"/>
        </w:rPr>
        <w:t xml:space="preserve"> </w:t>
      </w:r>
      <w:r w:rsidR="00E847B5" w:rsidRPr="00E847B5">
        <w:rPr>
          <w:rFonts w:ascii="Arial" w:hAnsi="Arial" w:cs="Arial"/>
        </w:rPr>
        <w:t>medicines or clinical governance committee (e.g. Medication Safety Committee or Drug and Therapeutics Committee</w:t>
      </w:r>
      <w:r w:rsidRPr="0B928718">
        <w:rPr>
          <w:rFonts w:ascii="Arial" w:hAnsi="Arial" w:cs="Arial"/>
        </w:rPr>
        <w:t xml:space="preserve">, </w:t>
      </w:r>
      <w:r w:rsidR="00E61AA0" w:rsidRPr="0B928718">
        <w:rPr>
          <w:rFonts w:ascii="Arial" w:hAnsi="Arial" w:cs="Arial"/>
        </w:rPr>
        <w:t>to ensure</w:t>
      </w:r>
      <w:r w:rsidRPr="0B928718">
        <w:rPr>
          <w:rFonts w:ascii="Arial" w:hAnsi="Arial" w:cs="Arial"/>
        </w:rPr>
        <w:t xml:space="preserve"> the system aligns with clinical priorities.</w:t>
      </w:r>
    </w:p>
    <w:p w14:paraId="019AFD73" w14:textId="1D650D20" w:rsidR="00EA3275" w:rsidRPr="00E847B5" w:rsidRDefault="00886AD3" w:rsidP="00E847B5">
      <w:pPr>
        <w:rPr>
          <w:rFonts w:ascii="Arial" w:hAnsi="Arial" w:cs="Arial"/>
        </w:rPr>
      </w:pPr>
      <w:r w:rsidRPr="00E847B5">
        <w:rPr>
          <w:rFonts w:ascii="Arial" w:hAnsi="Arial" w:cs="Arial"/>
        </w:rPr>
        <w:t xml:space="preserve">A dedicated subgroup may be necessary </w:t>
      </w:r>
      <w:r w:rsidR="00E56EEC" w:rsidRPr="00E847B5">
        <w:rPr>
          <w:rFonts w:ascii="Arial" w:hAnsi="Arial" w:cs="Arial"/>
        </w:rPr>
        <w:t>to oversee the detailed management of the EMM system</w:t>
      </w:r>
      <w:r w:rsidRPr="00E847B5">
        <w:rPr>
          <w:rFonts w:ascii="Arial" w:hAnsi="Arial" w:cs="Arial"/>
        </w:rPr>
        <w:t xml:space="preserve">. </w:t>
      </w:r>
      <w:r w:rsidR="00E56EEC" w:rsidRPr="00E847B5">
        <w:rPr>
          <w:rFonts w:ascii="Arial" w:hAnsi="Arial" w:cs="Arial"/>
        </w:rPr>
        <w:t xml:space="preserve">This subgroup </w:t>
      </w:r>
      <w:r w:rsidR="00055C73" w:rsidRPr="00E847B5">
        <w:rPr>
          <w:rFonts w:ascii="Arial" w:hAnsi="Arial" w:cs="Arial"/>
        </w:rPr>
        <w:t>should report regularly</w:t>
      </w:r>
      <w:r w:rsidR="00A86E1D" w:rsidRPr="00E847B5">
        <w:rPr>
          <w:rFonts w:ascii="Arial" w:hAnsi="Arial" w:cs="Arial"/>
        </w:rPr>
        <w:t xml:space="preserve"> to the </w:t>
      </w:r>
      <w:r w:rsidR="00E847B5" w:rsidRPr="00E847B5">
        <w:rPr>
          <w:rFonts w:ascii="Arial" w:hAnsi="Arial" w:cs="Arial"/>
        </w:rPr>
        <w:t xml:space="preserve">governance committee </w:t>
      </w:r>
      <w:r w:rsidR="5EEA7441" w:rsidRPr="00E847B5">
        <w:rPr>
          <w:rFonts w:ascii="Arial" w:hAnsi="Arial" w:cs="Arial"/>
        </w:rPr>
        <w:t xml:space="preserve">to </w:t>
      </w:r>
      <w:r w:rsidRPr="00E847B5">
        <w:rPr>
          <w:rFonts w:ascii="Arial" w:hAnsi="Arial" w:cs="Arial"/>
        </w:rPr>
        <w:t xml:space="preserve">ensure clinical oversight and legitimacy in decision-making. </w:t>
      </w:r>
    </w:p>
    <w:p w14:paraId="531E5A9C" w14:textId="1BD03859" w:rsidR="00B24B76" w:rsidRPr="00B24B76" w:rsidRDefault="006F05EB" w:rsidP="00886AD3">
      <w:pPr>
        <w:pStyle w:val="Heading2"/>
        <w:rPr>
          <w:rFonts w:ascii="Arial" w:hAnsi="Arial" w:cs="Arial"/>
          <w:b/>
          <w:bCs/>
          <w:sz w:val="28"/>
          <w:szCs w:val="28"/>
        </w:rPr>
      </w:pPr>
      <w:r w:rsidRPr="3E967466">
        <w:rPr>
          <w:rFonts w:ascii="Arial" w:hAnsi="Arial" w:cs="Arial"/>
          <w:b/>
          <w:bCs/>
          <w:sz w:val="28"/>
          <w:szCs w:val="28"/>
        </w:rPr>
        <w:t xml:space="preserve">EMM Governance </w:t>
      </w:r>
      <w:r w:rsidR="004659E6" w:rsidRPr="3E967466">
        <w:rPr>
          <w:rFonts w:ascii="Arial" w:hAnsi="Arial" w:cs="Arial"/>
          <w:b/>
          <w:bCs/>
          <w:sz w:val="28"/>
          <w:szCs w:val="28"/>
        </w:rPr>
        <w:t>s</w:t>
      </w:r>
      <w:r w:rsidRPr="3E967466">
        <w:rPr>
          <w:rFonts w:ascii="Arial" w:hAnsi="Arial" w:cs="Arial"/>
          <w:b/>
          <w:bCs/>
          <w:sz w:val="28"/>
          <w:szCs w:val="28"/>
        </w:rPr>
        <w:t>ubgrou</w:t>
      </w:r>
      <w:r w:rsidR="00EF1BF4">
        <w:rPr>
          <w:rFonts w:ascii="Arial" w:hAnsi="Arial" w:cs="Arial"/>
          <w:b/>
          <w:bCs/>
          <w:sz w:val="28"/>
          <w:szCs w:val="28"/>
        </w:rPr>
        <w:t>p</w:t>
      </w:r>
    </w:p>
    <w:p w14:paraId="4E083480" w14:textId="5774B5F5" w:rsidR="00CC1398" w:rsidRDefault="00C85200" w:rsidP="00C85200">
      <w:pPr>
        <w:rPr>
          <w:rFonts w:ascii="Arial" w:hAnsi="Arial" w:cs="Arial"/>
        </w:rPr>
      </w:pPr>
      <w:r w:rsidRPr="00CC1398">
        <w:rPr>
          <w:rFonts w:ascii="Arial" w:hAnsi="Arial" w:cs="Arial"/>
        </w:rPr>
        <w:t xml:space="preserve">The EMM governance subgroup oversees the management </w:t>
      </w:r>
      <w:r w:rsidR="00CC1398" w:rsidRPr="00CC1398">
        <w:rPr>
          <w:rFonts w:ascii="Arial" w:hAnsi="Arial" w:cs="Arial"/>
        </w:rPr>
        <w:t xml:space="preserve">of the EMM system </w:t>
      </w:r>
      <w:r w:rsidRPr="00CC1398">
        <w:rPr>
          <w:rFonts w:ascii="Arial" w:hAnsi="Arial" w:cs="Arial"/>
        </w:rPr>
        <w:t xml:space="preserve">and should operate in close collaboration with the </w:t>
      </w:r>
      <w:r w:rsidR="00E847B5" w:rsidRPr="00E847B5">
        <w:rPr>
          <w:rFonts w:ascii="Arial" w:hAnsi="Arial" w:cs="Arial"/>
        </w:rPr>
        <w:t>governance committee</w:t>
      </w:r>
      <w:r w:rsidRPr="00CC1398">
        <w:rPr>
          <w:rFonts w:ascii="Arial" w:hAnsi="Arial" w:cs="Arial"/>
        </w:rPr>
        <w:t>.</w:t>
      </w:r>
      <w:r w:rsidRPr="00C85200">
        <w:rPr>
          <w:rFonts w:ascii="Arial" w:hAnsi="Arial" w:cs="Arial"/>
        </w:rPr>
        <w:t xml:space="preserve"> </w:t>
      </w:r>
    </w:p>
    <w:p w14:paraId="73763516" w14:textId="2B17DC09" w:rsidR="008C301D" w:rsidRDefault="008C301D" w:rsidP="008C301D">
      <w:pPr>
        <w:rPr>
          <w:rFonts w:ascii="Arial" w:hAnsi="Arial" w:cs="Arial"/>
        </w:rPr>
      </w:pPr>
      <w:r w:rsidRPr="008C301D">
        <w:rPr>
          <w:rFonts w:ascii="Arial" w:hAnsi="Arial" w:cs="Arial"/>
        </w:rPr>
        <w:t xml:space="preserve">Responsibilities of the </w:t>
      </w:r>
      <w:r w:rsidR="00E847B5" w:rsidRPr="00E847B5">
        <w:rPr>
          <w:rFonts w:ascii="Arial" w:hAnsi="Arial" w:cs="Arial"/>
        </w:rPr>
        <w:t xml:space="preserve">governance committee </w:t>
      </w:r>
      <w:r w:rsidRPr="008C301D">
        <w:rPr>
          <w:rFonts w:ascii="Arial" w:hAnsi="Arial" w:cs="Arial"/>
        </w:rPr>
        <w:t xml:space="preserve">should </w:t>
      </w:r>
      <w:proofErr w:type="gramStart"/>
      <w:r w:rsidRPr="008C301D">
        <w:rPr>
          <w:rFonts w:ascii="Arial" w:hAnsi="Arial" w:cs="Arial"/>
        </w:rPr>
        <w:t>include:</w:t>
      </w:r>
      <w:proofErr w:type="gramEnd"/>
      <w:r w:rsidR="000E6A6D" w:rsidRPr="000E6A6D">
        <w:rPr>
          <w:rFonts w:ascii="Arial" w:hAnsi="Arial" w:cs="Arial"/>
          <w:vertAlign w:val="superscript"/>
        </w:rPr>
        <w:t>2</w:t>
      </w:r>
    </w:p>
    <w:p w14:paraId="7979062A" w14:textId="058047DB" w:rsidR="008C301D" w:rsidRPr="008C301D" w:rsidRDefault="008C301D" w:rsidP="00E34841">
      <w:pPr>
        <w:pStyle w:val="ListParagraph"/>
        <w:numPr>
          <w:ilvl w:val="0"/>
          <w:numId w:val="4"/>
        </w:numPr>
        <w:rPr>
          <w:rFonts w:ascii="Arial" w:hAnsi="Arial" w:cs="Arial"/>
        </w:rPr>
      </w:pPr>
      <w:r w:rsidRPr="008C301D">
        <w:rPr>
          <w:rFonts w:ascii="Arial" w:hAnsi="Arial" w:cs="Arial"/>
          <w:szCs w:val="20"/>
        </w:rPr>
        <w:t>Ensuring that regulatory obligations are enforced</w:t>
      </w:r>
    </w:p>
    <w:p w14:paraId="2A70D81D" w14:textId="087239E1" w:rsidR="008C301D" w:rsidRPr="008C301D" w:rsidRDefault="008C301D" w:rsidP="00E34841">
      <w:pPr>
        <w:pStyle w:val="ListParagraph"/>
        <w:numPr>
          <w:ilvl w:val="0"/>
          <w:numId w:val="4"/>
        </w:numPr>
        <w:rPr>
          <w:rFonts w:ascii="Arial" w:hAnsi="Arial" w:cs="Arial"/>
          <w:szCs w:val="20"/>
        </w:rPr>
      </w:pPr>
      <w:r w:rsidRPr="008C301D">
        <w:rPr>
          <w:rFonts w:ascii="Arial" w:hAnsi="Arial" w:cs="Arial"/>
          <w:szCs w:val="20"/>
        </w:rPr>
        <w:t>Approving all changes to EMM system configuration before the changes are introduced</w:t>
      </w:r>
    </w:p>
    <w:p w14:paraId="4393B331" w14:textId="09AD911F" w:rsidR="008C301D" w:rsidRPr="008C301D" w:rsidRDefault="008C301D" w:rsidP="00E34841">
      <w:pPr>
        <w:pStyle w:val="ListParagraph"/>
        <w:numPr>
          <w:ilvl w:val="0"/>
          <w:numId w:val="4"/>
        </w:numPr>
        <w:rPr>
          <w:rFonts w:ascii="Arial" w:hAnsi="Arial" w:cs="Arial"/>
          <w:szCs w:val="20"/>
        </w:rPr>
      </w:pPr>
      <w:r w:rsidRPr="008C301D">
        <w:rPr>
          <w:rFonts w:ascii="Arial" w:hAnsi="Arial" w:cs="Arial"/>
          <w:szCs w:val="20"/>
        </w:rPr>
        <w:t>Approving all communication materials associated with EMM changes</w:t>
      </w:r>
    </w:p>
    <w:p w14:paraId="144E3FE9" w14:textId="66A4C328" w:rsidR="008C301D" w:rsidRPr="008C301D" w:rsidRDefault="008C301D" w:rsidP="00E34841">
      <w:pPr>
        <w:pStyle w:val="ListParagraph"/>
        <w:numPr>
          <w:ilvl w:val="0"/>
          <w:numId w:val="4"/>
        </w:numPr>
        <w:rPr>
          <w:rFonts w:ascii="Arial" w:hAnsi="Arial" w:cs="Arial"/>
          <w:szCs w:val="20"/>
        </w:rPr>
      </w:pPr>
      <w:r w:rsidRPr="008C301D">
        <w:rPr>
          <w:rFonts w:ascii="Arial" w:hAnsi="Arial" w:cs="Arial"/>
          <w:szCs w:val="20"/>
        </w:rPr>
        <w:t>Approving the EMM audit work program</w:t>
      </w:r>
    </w:p>
    <w:p w14:paraId="18F690B5" w14:textId="5D03E28F" w:rsidR="008C301D" w:rsidRPr="008C301D" w:rsidRDefault="008C301D" w:rsidP="00E34841">
      <w:pPr>
        <w:pStyle w:val="ListParagraph"/>
        <w:numPr>
          <w:ilvl w:val="0"/>
          <w:numId w:val="4"/>
        </w:numPr>
        <w:rPr>
          <w:rFonts w:ascii="Arial" w:hAnsi="Arial" w:cs="Arial"/>
          <w:szCs w:val="20"/>
        </w:rPr>
      </w:pPr>
      <w:r w:rsidRPr="008C301D">
        <w:rPr>
          <w:rFonts w:ascii="Arial" w:hAnsi="Arial" w:cs="Arial"/>
          <w:szCs w:val="20"/>
        </w:rPr>
        <w:t>Approving the EMM innovation work program</w:t>
      </w:r>
    </w:p>
    <w:p w14:paraId="6095FA88" w14:textId="7DE61D5F" w:rsidR="008C301D" w:rsidRPr="006E44AC" w:rsidRDefault="008C301D" w:rsidP="00E34841">
      <w:pPr>
        <w:pStyle w:val="ListParagraph"/>
        <w:numPr>
          <w:ilvl w:val="0"/>
          <w:numId w:val="4"/>
        </w:numPr>
        <w:rPr>
          <w:rFonts w:ascii="Arial" w:hAnsi="Arial" w:cs="Arial"/>
          <w:szCs w:val="20"/>
        </w:rPr>
      </w:pPr>
      <w:r w:rsidRPr="008C301D">
        <w:rPr>
          <w:rFonts w:ascii="Arial" w:hAnsi="Arial" w:cs="Arial"/>
          <w:szCs w:val="20"/>
        </w:rPr>
        <w:t>Advising the executive about changes to the EMM system or the EMM workflow</w:t>
      </w:r>
    </w:p>
    <w:p w14:paraId="37C708CF" w14:textId="3A4202BB" w:rsidR="006E44AC" w:rsidRPr="006E44AC" w:rsidRDefault="006E44AC" w:rsidP="006E44AC">
      <w:pPr>
        <w:rPr>
          <w:rFonts w:ascii="Arial" w:hAnsi="Arial" w:cs="Arial"/>
        </w:rPr>
      </w:pPr>
      <w:r w:rsidRPr="006E44AC">
        <w:rPr>
          <w:rFonts w:ascii="Arial" w:hAnsi="Arial" w:cs="Arial"/>
        </w:rPr>
        <w:t>Responsibilities of the EMM governance subgroup</w:t>
      </w:r>
      <w:r>
        <w:rPr>
          <w:rFonts w:ascii="Arial" w:hAnsi="Arial" w:cs="Arial"/>
        </w:rPr>
        <w:t xml:space="preserve"> </w:t>
      </w:r>
      <w:r w:rsidRPr="006E44AC">
        <w:rPr>
          <w:rFonts w:ascii="Arial" w:hAnsi="Arial" w:cs="Arial"/>
        </w:rPr>
        <w:t xml:space="preserve">should </w:t>
      </w:r>
      <w:proofErr w:type="gramStart"/>
      <w:r w:rsidRPr="006E44AC">
        <w:rPr>
          <w:rFonts w:ascii="Arial" w:hAnsi="Arial" w:cs="Arial"/>
        </w:rPr>
        <w:t>include:</w:t>
      </w:r>
      <w:proofErr w:type="gramEnd"/>
      <w:r w:rsidR="000E6A6D" w:rsidRPr="000E6A6D">
        <w:rPr>
          <w:rFonts w:ascii="Arial" w:hAnsi="Arial" w:cs="Arial"/>
          <w:vertAlign w:val="superscript"/>
        </w:rPr>
        <w:t>2</w:t>
      </w:r>
    </w:p>
    <w:p w14:paraId="79BC9E84" w14:textId="10BFB07E" w:rsidR="006E44AC" w:rsidRPr="006E44AC" w:rsidRDefault="006E44AC" w:rsidP="00E34841">
      <w:pPr>
        <w:pStyle w:val="ListParagraph"/>
        <w:numPr>
          <w:ilvl w:val="0"/>
          <w:numId w:val="5"/>
        </w:numPr>
        <w:rPr>
          <w:rFonts w:ascii="Arial" w:hAnsi="Arial" w:cs="Arial"/>
        </w:rPr>
      </w:pPr>
      <w:r w:rsidRPr="006E44AC">
        <w:rPr>
          <w:rFonts w:ascii="Arial" w:hAnsi="Arial" w:cs="Arial"/>
        </w:rPr>
        <w:t>Defining the EMM reporting metrics and target measures that will be used to monitor how the EMM system is being used by the health service organisation</w:t>
      </w:r>
    </w:p>
    <w:p w14:paraId="66A56700" w14:textId="642E891E" w:rsidR="006E44AC" w:rsidRPr="006E44AC" w:rsidRDefault="006E44AC" w:rsidP="00E34841">
      <w:pPr>
        <w:pStyle w:val="ListParagraph"/>
        <w:numPr>
          <w:ilvl w:val="0"/>
          <w:numId w:val="5"/>
        </w:numPr>
        <w:rPr>
          <w:rFonts w:ascii="Arial" w:hAnsi="Arial" w:cs="Arial"/>
        </w:rPr>
      </w:pPr>
      <w:r w:rsidRPr="006E44AC">
        <w:rPr>
          <w:rFonts w:ascii="Arial" w:hAnsi="Arial" w:cs="Arial"/>
        </w:rPr>
        <w:t xml:space="preserve">Prioritising and recommending to the </w:t>
      </w:r>
      <w:r w:rsidR="00E847B5" w:rsidRPr="00E847B5">
        <w:rPr>
          <w:rFonts w:ascii="Arial" w:hAnsi="Arial" w:cs="Arial"/>
        </w:rPr>
        <w:t xml:space="preserve">governance committee </w:t>
      </w:r>
      <w:r w:rsidRPr="006E44AC">
        <w:rPr>
          <w:rFonts w:ascii="Arial" w:hAnsi="Arial" w:cs="Arial"/>
        </w:rPr>
        <w:t>the annual EMM system work programs for audit, innovation and data analytics</w:t>
      </w:r>
    </w:p>
    <w:p w14:paraId="65CB7435" w14:textId="57E2DDA7" w:rsidR="006E44AC" w:rsidRPr="006E44AC" w:rsidRDefault="006E44AC" w:rsidP="00E34841">
      <w:pPr>
        <w:pStyle w:val="ListParagraph"/>
        <w:numPr>
          <w:ilvl w:val="0"/>
          <w:numId w:val="5"/>
        </w:numPr>
        <w:rPr>
          <w:rFonts w:ascii="Arial" w:hAnsi="Arial" w:cs="Arial"/>
        </w:rPr>
      </w:pPr>
      <w:r w:rsidRPr="006E44AC">
        <w:rPr>
          <w:rFonts w:ascii="Arial" w:hAnsi="Arial" w:cs="Arial"/>
        </w:rPr>
        <w:t xml:space="preserve">Monitoring delivery of the approved work programs and reporting work program status to the </w:t>
      </w:r>
      <w:r w:rsidR="00E847B5" w:rsidRPr="00E847B5">
        <w:rPr>
          <w:rFonts w:ascii="Arial" w:hAnsi="Arial" w:cs="Arial"/>
        </w:rPr>
        <w:t>governance committee</w:t>
      </w:r>
    </w:p>
    <w:p w14:paraId="7F3DEFD7" w14:textId="77777777" w:rsidR="006E44AC" w:rsidRPr="006E44AC" w:rsidRDefault="006E44AC" w:rsidP="00E34841">
      <w:pPr>
        <w:pStyle w:val="ListParagraph"/>
        <w:numPr>
          <w:ilvl w:val="0"/>
          <w:numId w:val="5"/>
        </w:numPr>
        <w:rPr>
          <w:rFonts w:ascii="Arial" w:hAnsi="Arial" w:cs="Arial"/>
        </w:rPr>
      </w:pPr>
      <w:r w:rsidRPr="006E44AC">
        <w:rPr>
          <w:rFonts w:ascii="Arial" w:hAnsi="Arial" w:cs="Arial"/>
        </w:rPr>
        <w:t>Reviewing EMM data quality reports, and EMM risk and issue registers</w:t>
      </w:r>
    </w:p>
    <w:p w14:paraId="4C1FFCAC" w14:textId="6513A975" w:rsidR="006E44AC" w:rsidRPr="006E44AC" w:rsidRDefault="006E44AC" w:rsidP="00E34841">
      <w:pPr>
        <w:pStyle w:val="ListParagraph"/>
        <w:numPr>
          <w:ilvl w:val="0"/>
          <w:numId w:val="5"/>
        </w:numPr>
        <w:rPr>
          <w:rFonts w:ascii="Arial" w:hAnsi="Arial" w:cs="Arial"/>
        </w:rPr>
      </w:pPr>
      <w:r w:rsidRPr="006E44AC">
        <w:rPr>
          <w:rFonts w:ascii="Arial" w:hAnsi="Arial" w:cs="Arial"/>
        </w:rPr>
        <w:t>Approving all EMM investigative work and improvements, including recommendations on their sequence during implementation</w:t>
      </w:r>
    </w:p>
    <w:p w14:paraId="1971E4AE" w14:textId="74A11952" w:rsidR="006E44AC" w:rsidRPr="006E44AC" w:rsidRDefault="006E44AC" w:rsidP="00E34841">
      <w:pPr>
        <w:pStyle w:val="ListParagraph"/>
        <w:numPr>
          <w:ilvl w:val="0"/>
          <w:numId w:val="5"/>
        </w:numPr>
        <w:rPr>
          <w:rFonts w:ascii="Arial" w:hAnsi="Arial" w:cs="Arial"/>
        </w:rPr>
      </w:pPr>
      <w:r w:rsidRPr="006E44AC">
        <w:rPr>
          <w:rFonts w:ascii="Arial" w:hAnsi="Arial" w:cs="Arial"/>
        </w:rPr>
        <w:t>Recommending any changes to EMM work programs and EMM workflow</w:t>
      </w:r>
    </w:p>
    <w:p w14:paraId="1D6804AC" w14:textId="2645C406" w:rsidR="006E44AC" w:rsidRPr="006E44AC" w:rsidRDefault="006E44AC" w:rsidP="00E34841">
      <w:pPr>
        <w:pStyle w:val="ListParagraph"/>
        <w:numPr>
          <w:ilvl w:val="0"/>
          <w:numId w:val="5"/>
        </w:numPr>
        <w:rPr>
          <w:rFonts w:ascii="Arial" w:hAnsi="Arial" w:cs="Arial"/>
        </w:rPr>
      </w:pPr>
      <w:r w:rsidRPr="006E44AC">
        <w:rPr>
          <w:rFonts w:ascii="Arial" w:hAnsi="Arial" w:cs="Arial"/>
        </w:rPr>
        <w:t>Reviewing all EMM communication materials associated with EMM changes, and all EMM training materials</w:t>
      </w:r>
    </w:p>
    <w:p w14:paraId="4FA72C88" w14:textId="4E8ECC54" w:rsidR="00B24B76" w:rsidRDefault="00B24B76" w:rsidP="006E44AC">
      <w:pPr>
        <w:rPr>
          <w:rFonts w:ascii="Arial" w:hAnsi="Arial" w:cs="Arial"/>
        </w:rPr>
      </w:pPr>
      <w:r w:rsidRPr="0B928718">
        <w:rPr>
          <w:rFonts w:ascii="Arial" w:hAnsi="Arial" w:cs="Arial"/>
        </w:rPr>
        <w:lastRenderedPageBreak/>
        <w:t>The EMM governance subgroup should consist of key stakeholders who possess both expertise and a strong interest in Electronic Medication Management</w:t>
      </w:r>
      <w:r w:rsidR="33C78012" w:rsidRPr="0B928718">
        <w:rPr>
          <w:rFonts w:ascii="Arial" w:hAnsi="Arial" w:cs="Arial"/>
        </w:rPr>
        <w:t xml:space="preserve"> and medication safety</w:t>
      </w:r>
      <w:r w:rsidRPr="0B928718">
        <w:rPr>
          <w:rFonts w:ascii="Arial" w:hAnsi="Arial" w:cs="Arial"/>
        </w:rPr>
        <w:t>.</w:t>
      </w:r>
    </w:p>
    <w:p w14:paraId="4C1CA649" w14:textId="7D471B02" w:rsidR="006F05EB" w:rsidRPr="006F05EB" w:rsidRDefault="006F05EB" w:rsidP="00B24B76">
      <w:pPr>
        <w:rPr>
          <w:rFonts w:ascii="Arial" w:hAnsi="Arial" w:cs="Arial"/>
          <w:vertAlign w:val="superscript"/>
        </w:rPr>
      </w:pPr>
      <w:r w:rsidRPr="3E967466">
        <w:rPr>
          <w:rFonts w:ascii="Arial" w:hAnsi="Arial" w:cs="Arial"/>
        </w:rPr>
        <w:t xml:space="preserve">Suggested membership </w:t>
      </w:r>
      <w:proofErr w:type="gramStart"/>
      <w:r w:rsidRPr="3E967466">
        <w:rPr>
          <w:rFonts w:ascii="Arial" w:hAnsi="Arial" w:cs="Arial"/>
        </w:rPr>
        <w:t>includes:</w:t>
      </w:r>
      <w:proofErr w:type="gramEnd"/>
      <w:r w:rsidR="00826B73" w:rsidRPr="00826B73">
        <w:rPr>
          <w:rFonts w:ascii="Arial" w:hAnsi="Arial" w:cs="Arial"/>
          <w:vertAlign w:val="superscript"/>
        </w:rPr>
        <w:t>2</w:t>
      </w:r>
    </w:p>
    <w:p w14:paraId="3209BA25" w14:textId="6E6181F2" w:rsidR="00CC07FE" w:rsidRPr="00BC7F8F" w:rsidRDefault="00CC07FE" w:rsidP="00E34841">
      <w:pPr>
        <w:pStyle w:val="ListParagraph"/>
        <w:numPr>
          <w:ilvl w:val="0"/>
          <w:numId w:val="3"/>
        </w:numPr>
        <w:rPr>
          <w:rFonts w:ascii="Arial" w:hAnsi="Arial" w:cs="Arial"/>
        </w:rPr>
      </w:pPr>
      <w:r w:rsidRPr="00BC7F8F">
        <w:rPr>
          <w:rFonts w:ascii="Arial" w:hAnsi="Arial" w:cs="Arial"/>
        </w:rPr>
        <w:t>A member of the executive</w:t>
      </w:r>
    </w:p>
    <w:p w14:paraId="6996D861" w14:textId="07E6DD91" w:rsidR="00CC07FE" w:rsidRPr="00BC7F8F" w:rsidRDefault="00CC07FE" w:rsidP="00E34841">
      <w:pPr>
        <w:pStyle w:val="ListParagraph"/>
        <w:numPr>
          <w:ilvl w:val="0"/>
          <w:numId w:val="3"/>
        </w:numPr>
        <w:rPr>
          <w:rFonts w:ascii="Arial" w:hAnsi="Arial" w:cs="Arial"/>
        </w:rPr>
      </w:pPr>
      <w:r w:rsidRPr="0B928718">
        <w:rPr>
          <w:rFonts w:ascii="Arial" w:hAnsi="Arial" w:cs="Arial"/>
        </w:rPr>
        <w:t xml:space="preserve">One or more members of the </w:t>
      </w:r>
      <w:r w:rsidR="00E847B5" w:rsidRPr="00E847B5">
        <w:rPr>
          <w:rFonts w:ascii="Arial" w:hAnsi="Arial" w:cs="Arial"/>
        </w:rPr>
        <w:t>governance committee</w:t>
      </w:r>
      <w:r w:rsidRPr="0B928718">
        <w:rPr>
          <w:rFonts w:ascii="Arial" w:hAnsi="Arial" w:cs="Arial"/>
        </w:rPr>
        <w:t>, to</w:t>
      </w:r>
      <w:r w:rsidR="00DE71DF" w:rsidRPr="0B928718">
        <w:rPr>
          <w:rFonts w:ascii="Arial" w:hAnsi="Arial" w:cs="Arial"/>
        </w:rPr>
        <w:t xml:space="preserve"> </w:t>
      </w:r>
      <w:r w:rsidRPr="0B928718">
        <w:rPr>
          <w:rFonts w:ascii="Arial" w:hAnsi="Arial" w:cs="Arial"/>
        </w:rPr>
        <w:t>ensure continuity</w:t>
      </w:r>
    </w:p>
    <w:p w14:paraId="73348D92" w14:textId="3EC3E440" w:rsidR="00CC07FE" w:rsidRPr="00BC7F8F" w:rsidRDefault="00CC07FE" w:rsidP="00E34841">
      <w:pPr>
        <w:pStyle w:val="ListParagraph"/>
        <w:numPr>
          <w:ilvl w:val="0"/>
          <w:numId w:val="3"/>
        </w:numPr>
        <w:rPr>
          <w:rFonts w:ascii="Arial" w:hAnsi="Arial" w:cs="Arial"/>
        </w:rPr>
      </w:pPr>
      <w:r w:rsidRPr="00BC7F8F">
        <w:rPr>
          <w:rFonts w:ascii="Arial" w:hAnsi="Arial" w:cs="Arial"/>
        </w:rPr>
        <w:t xml:space="preserve">Senior clinical staff </w:t>
      </w:r>
      <w:r w:rsidR="00E47EA8" w:rsidRPr="00BC7F8F">
        <w:rPr>
          <w:rFonts w:ascii="Arial" w:hAnsi="Arial" w:cs="Arial"/>
        </w:rPr>
        <w:t>including</w:t>
      </w:r>
      <w:r w:rsidRPr="00BC7F8F">
        <w:rPr>
          <w:rFonts w:ascii="Arial" w:hAnsi="Arial" w:cs="Arial"/>
        </w:rPr>
        <w:t xml:space="preserve"> prescribers,</w:t>
      </w:r>
      <w:r w:rsidR="00DE71DF" w:rsidRPr="00BC7F8F">
        <w:rPr>
          <w:rFonts w:ascii="Arial" w:hAnsi="Arial" w:cs="Arial"/>
        </w:rPr>
        <w:t xml:space="preserve"> </w:t>
      </w:r>
      <w:r w:rsidRPr="00BC7F8F">
        <w:rPr>
          <w:rFonts w:ascii="Arial" w:hAnsi="Arial" w:cs="Arial"/>
        </w:rPr>
        <w:t>pharmacists and nurses</w:t>
      </w:r>
    </w:p>
    <w:p w14:paraId="219E129A" w14:textId="1E518360" w:rsidR="00E847B5" w:rsidRDefault="00E847B5" w:rsidP="00E34841">
      <w:pPr>
        <w:pStyle w:val="ListParagraph"/>
        <w:numPr>
          <w:ilvl w:val="0"/>
          <w:numId w:val="3"/>
        </w:numPr>
        <w:rPr>
          <w:rFonts w:ascii="Arial" w:hAnsi="Arial" w:cs="Arial"/>
        </w:rPr>
      </w:pPr>
      <w:r w:rsidRPr="00E847B5">
        <w:rPr>
          <w:rFonts w:ascii="Arial" w:hAnsi="Arial" w:cs="Arial"/>
        </w:rPr>
        <w:t xml:space="preserve">Medication safety pharmacist or a safety and quality representative </w:t>
      </w:r>
    </w:p>
    <w:p w14:paraId="43227A8D" w14:textId="496E2569" w:rsidR="00DE71DF" w:rsidRPr="00BC7F8F" w:rsidRDefault="00CC07FE" w:rsidP="00E34841">
      <w:pPr>
        <w:pStyle w:val="ListParagraph"/>
        <w:numPr>
          <w:ilvl w:val="0"/>
          <w:numId w:val="3"/>
        </w:numPr>
        <w:rPr>
          <w:rFonts w:ascii="Arial" w:hAnsi="Arial" w:cs="Arial"/>
        </w:rPr>
      </w:pPr>
      <w:r w:rsidRPr="00BC7F8F">
        <w:rPr>
          <w:rFonts w:ascii="Arial" w:hAnsi="Arial" w:cs="Arial"/>
        </w:rPr>
        <w:t>The manager of the EMM support team</w:t>
      </w:r>
    </w:p>
    <w:p w14:paraId="7A3A9355" w14:textId="4C259AA7" w:rsidR="00CC07FE" w:rsidRDefault="00CC07FE" w:rsidP="00E34841">
      <w:pPr>
        <w:pStyle w:val="ListParagraph"/>
        <w:numPr>
          <w:ilvl w:val="0"/>
          <w:numId w:val="3"/>
        </w:numPr>
        <w:rPr>
          <w:rFonts w:ascii="Arial" w:hAnsi="Arial" w:cs="Arial"/>
        </w:rPr>
      </w:pPr>
      <w:r w:rsidRPr="00BC7F8F">
        <w:rPr>
          <w:rFonts w:ascii="Arial" w:hAnsi="Arial" w:cs="Arial"/>
        </w:rPr>
        <w:t>A member of the clinical informatics team</w:t>
      </w:r>
    </w:p>
    <w:p w14:paraId="6D2A0462" w14:textId="77777777" w:rsidR="00491A52" w:rsidRPr="00491A52" w:rsidRDefault="00E47EA8" w:rsidP="00491A52">
      <w:pPr>
        <w:pStyle w:val="Heading2"/>
        <w:rPr>
          <w:rFonts w:ascii="Arial" w:hAnsi="Arial" w:cs="Arial"/>
          <w:b/>
          <w:bCs/>
          <w:sz w:val="28"/>
          <w:szCs w:val="28"/>
        </w:rPr>
      </w:pPr>
      <w:r w:rsidRPr="00491A52">
        <w:rPr>
          <w:rFonts w:ascii="Arial" w:hAnsi="Arial" w:cs="Arial"/>
          <w:b/>
          <w:bCs/>
          <w:sz w:val="28"/>
          <w:szCs w:val="28"/>
        </w:rPr>
        <w:t>User input</w:t>
      </w:r>
      <w:r w:rsidR="00F6134D" w:rsidRPr="00491A52">
        <w:rPr>
          <w:rFonts w:ascii="Arial" w:hAnsi="Arial" w:cs="Arial"/>
          <w:b/>
          <w:bCs/>
          <w:sz w:val="28"/>
          <w:szCs w:val="28"/>
        </w:rPr>
        <w:t xml:space="preserve"> and communication</w:t>
      </w:r>
    </w:p>
    <w:p w14:paraId="112CD153" w14:textId="218CCF9E" w:rsidR="00E15D96" w:rsidRDefault="38D24B4F" w:rsidP="00BC7F8F">
      <w:pPr>
        <w:rPr>
          <w:rFonts w:ascii="Arial" w:hAnsi="Arial" w:cs="Arial"/>
        </w:rPr>
      </w:pPr>
      <w:r w:rsidRPr="3B7BA401">
        <w:rPr>
          <w:rFonts w:ascii="Arial" w:hAnsi="Arial" w:cs="Arial"/>
        </w:rPr>
        <w:t xml:space="preserve">The report highlighted that users found some clinical decision support (CDS) tools </w:t>
      </w:r>
      <w:r w:rsidR="57890089" w:rsidRPr="3B7BA401">
        <w:rPr>
          <w:rFonts w:ascii="Arial" w:hAnsi="Arial" w:cs="Arial"/>
        </w:rPr>
        <w:t>were</w:t>
      </w:r>
      <w:r w:rsidRPr="3B7BA401">
        <w:rPr>
          <w:rFonts w:ascii="Arial" w:hAnsi="Arial" w:cs="Arial"/>
        </w:rPr>
        <w:t xml:space="preserve"> disruptive to workflows or caus</w:t>
      </w:r>
      <w:r w:rsidR="6024C06A" w:rsidRPr="3B7BA401">
        <w:rPr>
          <w:rFonts w:ascii="Arial" w:hAnsi="Arial" w:cs="Arial"/>
        </w:rPr>
        <w:t>ed</w:t>
      </w:r>
      <w:r w:rsidRPr="3B7BA401">
        <w:rPr>
          <w:rFonts w:ascii="Arial" w:hAnsi="Arial" w:cs="Arial"/>
        </w:rPr>
        <w:t xml:space="preserve"> delays, leading to instances where these tools were bypassed. </w:t>
      </w:r>
      <w:r w:rsidR="61F63AE4" w:rsidRPr="3B7BA401">
        <w:rPr>
          <w:rFonts w:ascii="Arial" w:hAnsi="Arial" w:cs="Arial"/>
        </w:rPr>
        <w:t xml:space="preserve">This highlights the need for well-designed </w:t>
      </w:r>
      <w:r w:rsidR="47983C99" w:rsidRPr="3B7BA401">
        <w:rPr>
          <w:rFonts w:ascii="Arial" w:hAnsi="Arial" w:cs="Arial"/>
        </w:rPr>
        <w:t xml:space="preserve">EMM systems </w:t>
      </w:r>
      <w:r w:rsidR="61F63AE4" w:rsidRPr="3B7BA401">
        <w:rPr>
          <w:rFonts w:ascii="Arial" w:hAnsi="Arial" w:cs="Arial"/>
        </w:rPr>
        <w:t xml:space="preserve">that integrate with clinical workflows to encourage usage. </w:t>
      </w:r>
      <w:r w:rsidR="6B293016" w:rsidRPr="3B7BA401">
        <w:rPr>
          <w:rFonts w:ascii="Arial" w:hAnsi="Arial" w:cs="Arial"/>
        </w:rPr>
        <w:t>A user-</w:t>
      </w:r>
      <w:r w:rsidR="2D8DF0DE" w:rsidRPr="3B7BA401">
        <w:rPr>
          <w:rFonts w:ascii="Arial" w:hAnsi="Arial" w:cs="Arial"/>
        </w:rPr>
        <w:t>centred</w:t>
      </w:r>
      <w:r w:rsidR="6B293016" w:rsidRPr="3B7BA401">
        <w:rPr>
          <w:rFonts w:ascii="Arial" w:hAnsi="Arial" w:cs="Arial"/>
        </w:rPr>
        <w:t xml:space="preserve"> design approach, involving users in the co-design of CDS tools</w:t>
      </w:r>
      <w:r w:rsidR="7F320267" w:rsidRPr="3B7BA401">
        <w:rPr>
          <w:rFonts w:ascii="Arial" w:hAnsi="Arial" w:cs="Arial"/>
        </w:rPr>
        <w:t xml:space="preserve"> and EMM features more broadly</w:t>
      </w:r>
      <w:r w:rsidR="6B293016" w:rsidRPr="3B7BA401">
        <w:rPr>
          <w:rFonts w:ascii="Arial" w:hAnsi="Arial" w:cs="Arial"/>
        </w:rPr>
        <w:t xml:space="preserve">, can help ensure these systems meet clinical needs and are more likely to be used effectively. </w:t>
      </w:r>
    </w:p>
    <w:p w14:paraId="7D15B05A" w14:textId="409A97B6" w:rsidR="00022000" w:rsidRPr="00022000" w:rsidRDefault="2D8DF0DE" w:rsidP="00022000">
      <w:pPr>
        <w:rPr>
          <w:rFonts w:ascii="Arial" w:hAnsi="Arial" w:cs="Arial"/>
        </w:rPr>
      </w:pPr>
      <w:r w:rsidRPr="3B7BA401">
        <w:rPr>
          <w:rFonts w:ascii="Arial" w:hAnsi="Arial" w:cs="Arial"/>
        </w:rPr>
        <w:t xml:space="preserve">Additionally, </w:t>
      </w:r>
      <w:r w:rsidR="727899BC" w:rsidRPr="3B7BA401">
        <w:rPr>
          <w:rFonts w:ascii="Arial" w:hAnsi="Arial" w:cs="Arial"/>
        </w:rPr>
        <w:t xml:space="preserve">the report identified </w:t>
      </w:r>
      <w:r w:rsidR="3D317DDD" w:rsidRPr="3B7BA401">
        <w:rPr>
          <w:rFonts w:ascii="Arial" w:hAnsi="Arial" w:cs="Arial"/>
        </w:rPr>
        <w:t xml:space="preserve">that </w:t>
      </w:r>
      <w:r w:rsidRPr="3B7BA401">
        <w:rPr>
          <w:rFonts w:ascii="Arial" w:hAnsi="Arial" w:cs="Arial"/>
        </w:rPr>
        <w:t xml:space="preserve">many users </w:t>
      </w:r>
      <w:r w:rsidR="727899BC" w:rsidRPr="3B7BA401">
        <w:rPr>
          <w:rFonts w:ascii="Arial" w:hAnsi="Arial" w:cs="Arial"/>
        </w:rPr>
        <w:t>were</w:t>
      </w:r>
      <w:r w:rsidRPr="3B7BA401">
        <w:rPr>
          <w:rFonts w:ascii="Arial" w:hAnsi="Arial" w:cs="Arial"/>
        </w:rPr>
        <w:t xml:space="preserve"> unaware of existing CDS strategies, leading to low adoption rates. To address this, health services should implement ongoing </w:t>
      </w:r>
      <w:r w:rsidR="67159BFC" w:rsidRPr="3B7BA401">
        <w:rPr>
          <w:rFonts w:ascii="Arial" w:hAnsi="Arial" w:cs="Arial"/>
        </w:rPr>
        <w:t>and refresher training,</w:t>
      </w:r>
      <w:r w:rsidRPr="3B7BA401">
        <w:rPr>
          <w:rFonts w:ascii="Arial" w:hAnsi="Arial" w:cs="Arial"/>
        </w:rPr>
        <w:t xml:space="preserve"> tailored to staff roles and ensure that all training materials and programs are approved by </w:t>
      </w:r>
      <w:r w:rsidR="287C622F" w:rsidRPr="3B7BA401">
        <w:rPr>
          <w:rFonts w:ascii="Arial" w:hAnsi="Arial" w:cs="Arial"/>
        </w:rPr>
        <w:t xml:space="preserve">local </w:t>
      </w:r>
      <w:r w:rsidRPr="3B7BA401">
        <w:rPr>
          <w:rFonts w:ascii="Arial" w:hAnsi="Arial" w:cs="Arial"/>
        </w:rPr>
        <w:t>governance</w:t>
      </w:r>
      <w:r w:rsidR="149992B8" w:rsidRPr="3B7BA401">
        <w:rPr>
          <w:rFonts w:ascii="Arial" w:hAnsi="Arial" w:cs="Arial"/>
        </w:rPr>
        <w:t xml:space="preserve"> groups</w:t>
      </w:r>
      <w:r w:rsidRPr="3B7BA401">
        <w:rPr>
          <w:rFonts w:ascii="Arial" w:hAnsi="Arial" w:cs="Arial"/>
        </w:rPr>
        <w:t>. Clear communication channels should be established to relay updates on CDS tools, system changes, and workflow adjustments. Regular reviews of communication and training materials are necessary to maintain user engagement and optimi</w:t>
      </w:r>
      <w:r w:rsidR="23A18A66" w:rsidRPr="3B7BA401">
        <w:rPr>
          <w:rFonts w:ascii="Arial" w:hAnsi="Arial" w:cs="Arial"/>
        </w:rPr>
        <w:t>s</w:t>
      </w:r>
      <w:r w:rsidRPr="3B7BA401">
        <w:rPr>
          <w:rFonts w:ascii="Arial" w:hAnsi="Arial" w:cs="Arial"/>
        </w:rPr>
        <w:t>e system use.</w:t>
      </w:r>
    </w:p>
    <w:p w14:paraId="6BB57D0E" w14:textId="77777777" w:rsidR="00BC7F8F" w:rsidRDefault="00BC7F8F" w:rsidP="00491A52">
      <w:pPr>
        <w:rPr>
          <w:rFonts w:ascii="Arial" w:eastAsiaTheme="majorEastAsia" w:hAnsi="Arial" w:cs="Arial"/>
          <w:b/>
          <w:bCs/>
          <w:color w:val="0F4761" w:themeColor="accent1" w:themeShade="BF"/>
          <w:sz w:val="28"/>
          <w:szCs w:val="28"/>
        </w:rPr>
      </w:pPr>
      <w:r w:rsidRPr="00BC7F8F">
        <w:rPr>
          <w:rFonts w:ascii="Arial" w:eastAsiaTheme="majorEastAsia" w:hAnsi="Arial" w:cs="Arial"/>
          <w:b/>
          <w:bCs/>
          <w:color w:val="0F4761" w:themeColor="accent1" w:themeShade="BF"/>
          <w:sz w:val="28"/>
          <w:szCs w:val="28"/>
        </w:rPr>
        <w:t>Continuous improvement</w:t>
      </w:r>
    </w:p>
    <w:p w14:paraId="1F331ECE" w14:textId="1A358CCF" w:rsidR="00820115" w:rsidRPr="00820115" w:rsidRDefault="00820115" w:rsidP="00820115">
      <w:pPr>
        <w:rPr>
          <w:rFonts w:ascii="Arial" w:hAnsi="Arial" w:cs="Arial"/>
          <w:lang w:eastAsia="en-AU"/>
        </w:rPr>
      </w:pPr>
      <w:r w:rsidRPr="0B928718">
        <w:rPr>
          <w:rFonts w:ascii="Arial" w:hAnsi="Arial" w:cs="Arial"/>
          <w:lang w:eastAsia="en-AU"/>
        </w:rPr>
        <w:t xml:space="preserve">A continuous quality improvement process should be embedded in the health service’s </w:t>
      </w:r>
      <w:r w:rsidR="003A15C2" w:rsidRPr="0B928718">
        <w:rPr>
          <w:rFonts w:ascii="Arial" w:hAnsi="Arial" w:cs="Arial"/>
          <w:lang w:eastAsia="en-AU"/>
        </w:rPr>
        <w:t>culture</w:t>
      </w:r>
      <w:r w:rsidR="715BF20F" w:rsidRPr="0B928718">
        <w:rPr>
          <w:rFonts w:ascii="Arial" w:hAnsi="Arial" w:cs="Arial"/>
          <w:lang w:eastAsia="en-AU"/>
        </w:rPr>
        <w:t>.</w:t>
      </w:r>
      <w:r w:rsidRPr="0B928718">
        <w:rPr>
          <w:rFonts w:ascii="Arial" w:hAnsi="Arial" w:cs="Arial"/>
          <w:lang w:eastAsia="en-AU"/>
        </w:rPr>
        <w:t xml:space="preserve"> </w:t>
      </w:r>
      <w:r w:rsidR="000F1B02" w:rsidRPr="0B928718">
        <w:rPr>
          <w:rFonts w:ascii="Arial" w:hAnsi="Arial" w:cs="Arial"/>
          <w:lang w:eastAsia="en-AU"/>
        </w:rPr>
        <w:t>A structured</w:t>
      </w:r>
      <w:r w:rsidRPr="0B928718">
        <w:rPr>
          <w:rFonts w:ascii="Arial" w:hAnsi="Arial" w:cs="Arial"/>
          <w:lang w:eastAsia="en-AU"/>
        </w:rPr>
        <w:t xml:space="preserve"> improvement methodology, such as the Plan–Do–Check–Act (PDCA) cycle, should be used to systematically implement </w:t>
      </w:r>
      <w:r w:rsidR="6EE52825" w:rsidRPr="0B928718">
        <w:rPr>
          <w:rFonts w:ascii="Arial" w:hAnsi="Arial" w:cs="Arial"/>
          <w:lang w:eastAsia="en-AU"/>
        </w:rPr>
        <w:t xml:space="preserve">and assess </w:t>
      </w:r>
      <w:r w:rsidRPr="0B928718">
        <w:rPr>
          <w:rFonts w:ascii="Arial" w:hAnsi="Arial" w:cs="Arial"/>
          <w:lang w:eastAsia="en-AU"/>
        </w:rPr>
        <w:t>changes.</w:t>
      </w:r>
    </w:p>
    <w:p w14:paraId="073176AB" w14:textId="1172A3A2" w:rsidR="00820115" w:rsidRPr="00820115" w:rsidRDefault="62DCBA6F" w:rsidP="00820115">
      <w:pPr>
        <w:rPr>
          <w:rFonts w:ascii="Arial" w:hAnsi="Arial" w:cs="Arial"/>
          <w:lang w:eastAsia="en-AU"/>
        </w:rPr>
      </w:pPr>
      <w:r w:rsidRPr="3B7BA401">
        <w:rPr>
          <w:rFonts w:ascii="Arial" w:hAnsi="Arial" w:cs="Arial"/>
          <w:lang w:eastAsia="en-AU"/>
        </w:rPr>
        <w:t xml:space="preserve">Annual improvement plans should be developed in coordination with EMM governance and monitored by the </w:t>
      </w:r>
      <w:r w:rsidR="00E847B5" w:rsidRPr="00E847B5">
        <w:rPr>
          <w:rFonts w:ascii="Arial" w:hAnsi="Arial" w:cs="Arial"/>
        </w:rPr>
        <w:t>governance committee</w:t>
      </w:r>
      <w:r w:rsidRPr="3B7BA401">
        <w:rPr>
          <w:rFonts w:ascii="Arial" w:hAnsi="Arial" w:cs="Arial"/>
          <w:lang w:eastAsia="en-AU"/>
        </w:rPr>
        <w:t xml:space="preserve">. These plans leverage the data generated by EMM systems to </w:t>
      </w:r>
      <w:r w:rsidR="005D380B">
        <w:rPr>
          <w:rFonts w:ascii="Arial" w:hAnsi="Arial" w:cs="Arial"/>
          <w:lang w:eastAsia="en-AU"/>
        </w:rPr>
        <w:t>evaluate key areas</w:t>
      </w:r>
      <w:r w:rsidRPr="3B7BA401">
        <w:rPr>
          <w:rFonts w:ascii="Arial" w:hAnsi="Arial" w:cs="Arial"/>
          <w:lang w:eastAsia="en-AU"/>
        </w:rPr>
        <w:t>, such as alert effectiveness, order set usage, and adherence to policies.</w:t>
      </w:r>
    </w:p>
    <w:p w14:paraId="0FA22995" w14:textId="59D9F64A" w:rsidR="00820115" w:rsidRPr="00820115" w:rsidRDefault="00820115" w:rsidP="00820115">
      <w:pPr>
        <w:rPr>
          <w:rFonts w:ascii="Arial" w:hAnsi="Arial" w:cs="Arial"/>
          <w:lang w:eastAsia="en-AU"/>
        </w:rPr>
      </w:pPr>
      <w:r w:rsidRPr="00820115">
        <w:rPr>
          <w:rFonts w:ascii="Arial" w:hAnsi="Arial" w:cs="Arial"/>
          <w:lang w:eastAsia="en-AU"/>
        </w:rPr>
        <w:t>Key data points to review include</w:t>
      </w:r>
      <w:r w:rsidR="00995D3E">
        <w:rPr>
          <w:rFonts w:ascii="Arial" w:hAnsi="Arial" w:cs="Arial"/>
          <w:lang w:eastAsia="en-AU"/>
        </w:rPr>
        <w:t>:</w:t>
      </w:r>
    </w:p>
    <w:p w14:paraId="273EC592" w14:textId="65C9A10B" w:rsidR="00096260" w:rsidRPr="00096260" w:rsidRDefault="00096260" w:rsidP="00E34841">
      <w:pPr>
        <w:pStyle w:val="ListParagraph"/>
        <w:numPr>
          <w:ilvl w:val="0"/>
          <w:numId w:val="6"/>
        </w:numPr>
        <w:rPr>
          <w:rFonts w:ascii="Arial" w:hAnsi="Arial" w:cs="Arial"/>
          <w:lang w:eastAsia="en-AU"/>
        </w:rPr>
      </w:pPr>
      <w:r w:rsidRPr="00096260">
        <w:rPr>
          <w:rFonts w:ascii="Arial" w:hAnsi="Arial" w:cs="Arial"/>
          <w:lang w:eastAsia="en-AU"/>
        </w:rPr>
        <w:t xml:space="preserve">The number and type of alerts triggered, along with clinician </w:t>
      </w:r>
      <w:r w:rsidR="18158D14" w:rsidRPr="688DA22E">
        <w:rPr>
          <w:rFonts w:ascii="Arial" w:hAnsi="Arial" w:cs="Arial"/>
          <w:lang w:eastAsia="en-AU"/>
        </w:rPr>
        <w:t>actions and</w:t>
      </w:r>
      <w:r w:rsidRPr="688DA22E">
        <w:rPr>
          <w:rFonts w:ascii="Arial" w:hAnsi="Arial" w:cs="Arial"/>
          <w:lang w:eastAsia="en-AU"/>
        </w:rPr>
        <w:t xml:space="preserve"> </w:t>
      </w:r>
      <w:r w:rsidRPr="00096260">
        <w:rPr>
          <w:rFonts w:ascii="Arial" w:hAnsi="Arial" w:cs="Arial"/>
          <w:lang w:eastAsia="en-AU"/>
        </w:rPr>
        <w:t>responses</w:t>
      </w:r>
    </w:p>
    <w:p w14:paraId="2E2E418A" w14:textId="55066A43" w:rsidR="00096260" w:rsidRPr="00096260" w:rsidRDefault="00096260" w:rsidP="00E34841">
      <w:pPr>
        <w:pStyle w:val="ListParagraph"/>
        <w:numPr>
          <w:ilvl w:val="0"/>
          <w:numId w:val="6"/>
        </w:numPr>
        <w:rPr>
          <w:rFonts w:ascii="Arial" w:hAnsi="Arial" w:cs="Arial"/>
          <w:lang w:eastAsia="en-AU"/>
        </w:rPr>
      </w:pPr>
      <w:r w:rsidRPr="00096260">
        <w:rPr>
          <w:rFonts w:ascii="Arial" w:hAnsi="Arial" w:cs="Arial"/>
          <w:lang w:eastAsia="en-AU"/>
        </w:rPr>
        <w:t xml:space="preserve">Usage frequency of </w:t>
      </w:r>
      <w:r w:rsidR="00360180" w:rsidRPr="00360180">
        <w:rPr>
          <w:rFonts w:ascii="Arial" w:hAnsi="Arial" w:cs="Arial"/>
          <w:lang w:eastAsia="en-AU"/>
        </w:rPr>
        <w:t xml:space="preserve">clinical order </w:t>
      </w:r>
      <w:r w:rsidR="00613E26">
        <w:rPr>
          <w:rFonts w:ascii="Arial" w:hAnsi="Arial" w:cs="Arial"/>
          <w:lang w:eastAsia="en-AU"/>
        </w:rPr>
        <w:t>tools</w:t>
      </w:r>
      <w:r w:rsidR="00360180">
        <w:rPr>
          <w:rFonts w:ascii="Arial" w:hAnsi="Arial" w:cs="Arial"/>
          <w:lang w:eastAsia="en-AU"/>
        </w:rPr>
        <w:t xml:space="preserve"> </w:t>
      </w:r>
      <w:r w:rsidRPr="00096260">
        <w:rPr>
          <w:rFonts w:ascii="Arial" w:hAnsi="Arial" w:cs="Arial"/>
          <w:lang w:eastAsia="en-AU"/>
        </w:rPr>
        <w:t>and other clinical decision support (CDS) features</w:t>
      </w:r>
    </w:p>
    <w:p w14:paraId="3F951A42" w14:textId="77777777" w:rsidR="00096260" w:rsidRPr="00096260" w:rsidRDefault="00096260" w:rsidP="00E34841">
      <w:pPr>
        <w:pStyle w:val="ListParagraph"/>
        <w:numPr>
          <w:ilvl w:val="0"/>
          <w:numId w:val="6"/>
        </w:numPr>
        <w:rPr>
          <w:rFonts w:ascii="Arial" w:hAnsi="Arial" w:cs="Arial"/>
          <w:lang w:eastAsia="en-AU"/>
        </w:rPr>
      </w:pPr>
      <w:r w:rsidRPr="00096260">
        <w:rPr>
          <w:rFonts w:ascii="Arial" w:hAnsi="Arial" w:cs="Arial"/>
          <w:lang w:eastAsia="en-AU"/>
        </w:rPr>
        <w:t>Adherence to health service policies and protocols</w:t>
      </w:r>
    </w:p>
    <w:p w14:paraId="0293E226" w14:textId="77777777" w:rsidR="00096260" w:rsidRPr="00096260" w:rsidRDefault="00096260" w:rsidP="00E34841">
      <w:pPr>
        <w:pStyle w:val="ListParagraph"/>
        <w:numPr>
          <w:ilvl w:val="0"/>
          <w:numId w:val="6"/>
        </w:numPr>
        <w:rPr>
          <w:rFonts w:ascii="Arial" w:hAnsi="Arial" w:cs="Arial"/>
          <w:lang w:eastAsia="en-AU"/>
        </w:rPr>
      </w:pPr>
      <w:r w:rsidRPr="00096260">
        <w:rPr>
          <w:rFonts w:ascii="Arial" w:hAnsi="Arial" w:cs="Arial"/>
          <w:lang w:eastAsia="en-AU"/>
        </w:rPr>
        <w:t>Compliance with data entry requirements for forcing functions and mandatory fields</w:t>
      </w:r>
    </w:p>
    <w:p w14:paraId="39C6DFA9" w14:textId="27B5C002" w:rsidR="00820115" w:rsidRPr="00820115" w:rsidRDefault="00820115" w:rsidP="00096260">
      <w:pPr>
        <w:rPr>
          <w:rFonts w:ascii="Arial" w:hAnsi="Arial" w:cs="Arial"/>
          <w:lang w:eastAsia="en-AU"/>
        </w:rPr>
      </w:pPr>
      <w:r w:rsidRPr="00820115">
        <w:rPr>
          <w:rFonts w:ascii="Arial" w:hAnsi="Arial" w:cs="Arial"/>
          <w:lang w:eastAsia="en-AU"/>
        </w:rPr>
        <w:t>Regular analysis of this data supports ongoing system refinement, optimi</w:t>
      </w:r>
      <w:r w:rsidR="00316071">
        <w:rPr>
          <w:rFonts w:ascii="Arial" w:hAnsi="Arial" w:cs="Arial"/>
          <w:lang w:eastAsia="en-AU"/>
        </w:rPr>
        <w:t>s</w:t>
      </w:r>
      <w:r w:rsidRPr="00820115">
        <w:rPr>
          <w:rFonts w:ascii="Arial" w:hAnsi="Arial" w:cs="Arial"/>
          <w:lang w:eastAsia="en-AU"/>
        </w:rPr>
        <w:t>es clinical workflows, and reduces alert fatigue. In addition, feedback from users, whether through surveys, forms, or staff sessions, should inform system adjustments to meet changing needs.</w:t>
      </w:r>
    </w:p>
    <w:p w14:paraId="1D7F2F30" w14:textId="77777777" w:rsidR="00820115" w:rsidRPr="00820115" w:rsidRDefault="00820115" w:rsidP="00820115">
      <w:pPr>
        <w:rPr>
          <w:rFonts w:ascii="Arial" w:hAnsi="Arial" w:cs="Arial"/>
          <w:lang w:eastAsia="en-AU"/>
        </w:rPr>
      </w:pPr>
      <w:r w:rsidRPr="00820115">
        <w:rPr>
          <w:rFonts w:ascii="Arial" w:hAnsi="Arial" w:cs="Arial"/>
          <w:lang w:eastAsia="en-AU"/>
        </w:rPr>
        <w:t>By adhering to these governance and best practice guidelines, health services can effectively manage and continually improve their EMM systems, ensuring their role in safe, efficient clinical decision-making.</w:t>
      </w:r>
    </w:p>
    <w:p w14:paraId="7E5213A5" w14:textId="44A7B5B2" w:rsidR="00D42C9B" w:rsidRPr="008F0728" w:rsidRDefault="00797030" w:rsidP="008F0728">
      <w:pPr>
        <w:pStyle w:val="Heading1"/>
        <w:rPr>
          <w:rFonts w:ascii="Arial" w:hAnsi="Arial" w:cs="Arial"/>
          <w:b/>
          <w:bCs/>
          <w:sz w:val="36"/>
          <w:szCs w:val="36"/>
        </w:rPr>
      </w:pPr>
      <w:r w:rsidRPr="008F0728">
        <w:rPr>
          <w:rFonts w:ascii="Arial" w:hAnsi="Arial" w:cs="Arial"/>
          <w:b/>
          <w:bCs/>
          <w:sz w:val="36"/>
          <w:szCs w:val="36"/>
        </w:rPr>
        <w:t>Conclusion</w:t>
      </w:r>
    </w:p>
    <w:p w14:paraId="62FDE3BC" w14:textId="61079931" w:rsidR="007B1E5D" w:rsidRDefault="0004606F" w:rsidP="00244E42">
      <w:pPr>
        <w:rPr>
          <w:rFonts w:ascii="Arial" w:hAnsi="Arial" w:cs="Arial"/>
        </w:rPr>
      </w:pPr>
      <w:r w:rsidRPr="6934BC0A">
        <w:rPr>
          <w:rFonts w:ascii="Arial" w:hAnsi="Arial" w:cs="Arial"/>
        </w:rPr>
        <w:t xml:space="preserve">Health services must consistently review how high-risk medicines are managed within their clinical software, as </w:t>
      </w:r>
      <w:r w:rsidR="6876AA39" w:rsidRPr="688DA22E">
        <w:rPr>
          <w:rFonts w:ascii="Arial" w:hAnsi="Arial" w:cs="Arial"/>
        </w:rPr>
        <w:t>they</w:t>
      </w:r>
      <w:r w:rsidRPr="6934BC0A">
        <w:rPr>
          <w:rFonts w:ascii="Arial" w:hAnsi="Arial" w:cs="Arial"/>
        </w:rPr>
        <w:t xml:space="preserve"> carry a </w:t>
      </w:r>
      <w:r w:rsidR="6B10F94D" w:rsidRPr="28B4EC2B">
        <w:rPr>
          <w:rFonts w:ascii="Arial" w:hAnsi="Arial" w:cs="Arial"/>
        </w:rPr>
        <w:t>great</w:t>
      </w:r>
      <w:r w:rsidRPr="6934BC0A">
        <w:rPr>
          <w:rFonts w:ascii="Arial" w:hAnsi="Arial" w:cs="Arial"/>
        </w:rPr>
        <w:t xml:space="preserve">er risk of significant patient harm or death if misused or used in error. This document offers health services the </w:t>
      </w:r>
      <w:r w:rsidR="7A0AD0E5" w:rsidRPr="6934BC0A">
        <w:rPr>
          <w:rFonts w:ascii="Arial" w:hAnsi="Arial" w:cs="Arial"/>
        </w:rPr>
        <w:t>opportunity</w:t>
      </w:r>
      <w:r w:rsidRPr="6934BC0A">
        <w:rPr>
          <w:rFonts w:ascii="Arial" w:hAnsi="Arial" w:cs="Arial"/>
        </w:rPr>
        <w:t xml:space="preserve"> to evaluate their current practices and explore </w:t>
      </w:r>
      <w:r w:rsidRPr="6934BC0A">
        <w:rPr>
          <w:rFonts w:ascii="Arial" w:hAnsi="Arial" w:cs="Arial"/>
        </w:rPr>
        <w:lastRenderedPageBreak/>
        <w:t xml:space="preserve">improvements for managing high-risk medicines in clinical systems. It is based on the findings of the </w:t>
      </w:r>
      <w:hyperlink r:id="rId22" w:history="1">
        <w:r w:rsidRPr="00F20E52">
          <w:rPr>
            <w:rStyle w:val="Hyperlink"/>
            <w:rFonts w:ascii="Arial" w:hAnsi="Arial" w:cs="Arial"/>
            <w:i/>
            <w:iCs/>
          </w:rPr>
          <w:t>eHealth High Risk Medicine Safety – Rapid Literature Review and Environmental Scan report</w:t>
        </w:r>
      </w:hyperlink>
      <w:r w:rsidR="00F20E52">
        <w:rPr>
          <w:rFonts w:ascii="Arial" w:hAnsi="Arial" w:cs="Arial"/>
          <w:i/>
          <w:iCs/>
        </w:rPr>
        <w:t xml:space="preserve"> </w:t>
      </w:r>
      <w:r w:rsidR="00F20E52">
        <w:rPr>
          <w:rFonts w:ascii="Arial" w:hAnsi="Arial" w:cs="Arial"/>
        </w:rPr>
        <w:t>&lt;</w:t>
      </w:r>
      <w:r w:rsidR="00F20E52" w:rsidRPr="00F20E52">
        <w:t xml:space="preserve"> </w:t>
      </w:r>
      <w:r w:rsidR="00F20E52" w:rsidRPr="00F20E52">
        <w:rPr>
          <w:rFonts w:ascii="Arial" w:hAnsi="Arial" w:cs="Arial"/>
        </w:rPr>
        <w:t>https://www.health.vic.gov.au/publications/electronic-medication-management-prescribing-high-risk-medicine-guidance</w:t>
      </w:r>
      <w:r w:rsidR="00F20E52">
        <w:rPr>
          <w:rFonts w:ascii="Arial" w:hAnsi="Arial" w:cs="Arial"/>
        </w:rPr>
        <w:t>&gt;</w:t>
      </w:r>
      <w:r w:rsidRPr="6934BC0A">
        <w:rPr>
          <w:rFonts w:ascii="Arial" w:hAnsi="Arial" w:cs="Arial"/>
        </w:rPr>
        <w:t>, which outlines numerous strategies for presenting, managing, and monitoring these medicines in EMM/EMR systems. For detailed information, please refer to the report.</w:t>
      </w:r>
    </w:p>
    <w:p w14:paraId="688409FD" w14:textId="77777777" w:rsidR="004D2347" w:rsidRDefault="004D2347" w:rsidP="00244E42">
      <w:pPr>
        <w:rPr>
          <w:rFonts w:ascii="Arial" w:hAnsi="Arial" w:cs="Arial"/>
        </w:rPr>
      </w:pPr>
    </w:p>
    <w:p w14:paraId="4974818C" w14:textId="77777777" w:rsidR="004D2347" w:rsidRDefault="004D2347" w:rsidP="00244E42">
      <w:pPr>
        <w:rPr>
          <w:rFonts w:ascii="Arial" w:hAnsi="Arial" w:cs="Arial"/>
        </w:rPr>
      </w:pPr>
    </w:p>
    <w:p w14:paraId="647EFE4C" w14:textId="77777777" w:rsidR="00F20E52" w:rsidRDefault="00F20E52" w:rsidP="004D2347">
      <w:pPr>
        <w:pStyle w:val="Accessibilitypara"/>
      </w:pPr>
    </w:p>
    <w:p w14:paraId="3A93FDA7" w14:textId="77777777" w:rsidR="00F20E52" w:rsidRDefault="00F20E52" w:rsidP="004D2347">
      <w:pPr>
        <w:pStyle w:val="Accessibilitypara"/>
      </w:pPr>
    </w:p>
    <w:p w14:paraId="18C4616C" w14:textId="77777777" w:rsidR="00F20E52" w:rsidRDefault="00F20E52" w:rsidP="004D2347">
      <w:pPr>
        <w:pStyle w:val="Accessibilitypara"/>
      </w:pPr>
    </w:p>
    <w:p w14:paraId="0A4D22D0" w14:textId="77777777" w:rsidR="00F20E52" w:rsidRDefault="00F20E52" w:rsidP="004D2347">
      <w:pPr>
        <w:pStyle w:val="Accessibilitypara"/>
      </w:pPr>
    </w:p>
    <w:p w14:paraId="61BC9D95" w14:textId="77777777" w:rsidR="00F20E52" w:rsidRDefault="00F20E52" w:rsidP="004D2347">
      <w:pPr>
        <w:pStyle w:val="Accessibilitypara"/>
      </w:pPr>
    </w:p>
    <w:p w14:paraId="5184C44C" w14:textId="77777777" w:rsidR="00F20E52" w:rsidRDefault="00F20E52" w:rsidP="004D2347">
      <w:pPr>
        <w:pStyle w:val="Accessibilitypara"/>
      </w:pPr>
    </w:p>
    <w:p w14:paraId="4ED2101A" w14:textId="77777777" w:rsidR="00F20E52" w:rsidRDefault="00F20E52" w:rsidP="004D2347">
      <w:pPr>
        <w:pStyle w:val="Accessibilitypara"/>
      </w:pPr>
    </w:p>
    <w:p w14:paraId="57901ACF" w14:textId="77777777" w:rsidR="00F20E52" w:rsidRDefault="00F20E52" w:rsidP="004D2347">
      <w:pPr>
        <w:pStyle w:val="Accessibilitypara"/>
      </w:pPr>
    </w:p>
    <w:p w14:paraId="06E1B923" w14:textId="77777777" w:rsidR="00F20E52" w:rsidRDefault="00F20E52" w:rsidP="004D2347">
      <w:pPr>
        <w:pStyle w:val="Accessibilitypara"/>
      </w:pPr>
    </w:p>
    <w:p w14:paraId="2C8E28E8" w14:textId="77777777" w:rsidR="00F20E52" w:rsidRDefault="00F20E52" w:rsidP="004D2347">
      <w:pPr>
        <w:pStyle w:val="Accessibilitypara"/>
      </w:pPr>
    </w:p>
    <w:p w14:paraId="53BDC785" w14:textId="77777777" w:rsidR="00F20E52" w:rsidRDefault="00F20E52" w:rsidP="004D2347">
      <w:pPr>
        <w:pStyle w:val="Accessibilitypara"/>
      </w:pPr>
    </w:p>
    <w:p w14:paraId="2960EE27" w14:textId="77777777" w:rsidR="00F20E52" w:rsidRDefault="00F20E52" w:rsidP="004D2347">
      <w:pPr>
        <w:pStyle w:val="Accessibilitypara"/>
      </w:pPr>
    </w:p>
    <w:p w14:paraId="5306C993" w14:textId="77777777" w:rsidR="00F20E52" w:rsidRDefault="00F20E52" w:rsidP="004D2347">
      <w:pPr>
        <w:pStyle w:val="Accessibilitypara"/>
      </w:pPr>
    </w:p>
    <w:p w14:paraId="4F115C7C" w14:textId="77777777" w:rsidR="00F20E52" w:rsidRDefault="00F20E52" w:rsidP="004D2347">
      <w:pPr>
        <w:pStyle w:val="Accessibilitypara"/>
      </w:pPr>
    </w:p>
    <w:p w14:paraId="2CF0604E" w14:textId="77777777" w:rsidR="00F20E52" w:rsidRDefault="00F20E52" w:rsidP="004D2347">
      <w:pPr>
        <w:pStyle w:val="Accessibilitypara"/>
      </w:pPr>
    </w:p>
    <w:p w14:paraId="7685587C" w14:textId="77777777" w:rsidR="00F20E52" w:rsidRDefault="00F20E52" w:rsidP="004D2347">
      <w:pPr>
        <w:pStyle w:val="Accessibilitypara"/>
      </w:pPr>
    </w:p>
    <w:p w14:paraId="6B8309AF" w14:textId="1CAB666E" w:rsidR="004D2347" w:rsidRPr="0055119B" w:rsidRDefault="004D2347" w:rsidP="004D2347">
      <w:pPr>
        <w:pStyle w:val="Accessibilitypara"/>
      </w:pPr>
      <w:r w:rsidRPr="0055119B">
        <w:t>To receive this document in another format</w:t>
      </w:r>
      <w:r>
        <w:t>,</w:t>
      </w:r>
      <w:r w:rsidRPr="0055119B">
        <w:t xml:space="preserve"> </w:t>
      </w:r>
      <w:r>
        <w:t>phone</w:t>
      </w:r>
      <w:r w:rsidRPr="0055119B">
        <w:t xml:space="preserve"> the National Relay Service 13 36 77 if required, or </w:t>
      </w:r>
      <w:hyperlink r:id="rId23" w:history="1">
        <w:r w:rsidRPr="00D86715">
          <w:rPr>
            <w:rStyle w:val="Hyperlink"/>
          </w:rPr>
          <w:t xml:space="preserve">email </w:t>
        </w:r>
        <w:r w:rsidRPr="00D86715">
          <w:rPr>
            <w:rStyle w:val="Hyperlink"/>
          </w:rPr>
          <w:t>National Initiatives</w:t>
        </w:r>
      </w:hyperlink>
      <w:r>
        <w:t xml:space="preserve"> &lt;</w:t>
      </w:r>
      <w:r w:rsidRPr="004D2347">
        <w:t>myhealthrecord@health.vic.gov.au</w:t>
      </w:r>
      <w:r>
        <w:t>&gt;.</w:t>
      </w:r>
    </w:p>
    <w:p w14:paraId="1D176E4B" w14:textId="77777777" w:rsidR="004D2347" w:rsidRPr="0055119B" w:rsidRDefault="004D2347" w:rsidP="004D2347">
      <w:pPr>
        <w:pStyle w:val="Imprint"/>
      </w:pPr>
      <w:r w:rsidRPr="0055119B">
        <w:t>Authorised and published by the Victorian Government, 1 Treasury Place, Melbourne.</w:t>
      </w:r>
    </w:p>
    <w:p w14:paraId="26EF067E" w14:textId="4CDD2160" w:rsidR="004D2347" w:rsidRPr="0055119B" w:rsidRDefault="004D2347" w:rsidP="004D2347">
      <w:pPr>
        <w:pStyle w:val="Imprint"/>
      </w:pPr>
      <w:r w:rsidRPr="0055119B">
        <w:t xml:space="preserve">© State of Victoria, Australia, Department </w:t>
      </w:r>
      <w:r w:rsidRPr="001B058F">
        <w:t xml:space="preserve">of </w:t>
      </w:r>
      <w:r>
        <w:t>Health</w:t>
      </w:r>
      <w:r w:rsidRPr="0055119B">
        <w:t>,</w:t>
      </w:r>
      <w:r>
        <w:t xml:space="preserve"> Ju</w:t>
      </w:r>
      <w:r>
        <w:t>ne</w:t>
      </w:r>
      <w:r>
        <w:t xml:space="preserve"> 202</w:t>
      </w:r>
      <w:r>
        <w:t>5</w:t>
      </w:r>
      <w:r w:rsidRPr="0055119B">
        <w:t>.</w:t>
      </w:r>
    </w:p>
    <w:p w14:paraId="6B9FC630" w14:textId="05A9E254" w:rsidR="004D2347" w:rsidRDefault="004D2347" w:rsidP="004D2347">
      <w:pPr>
        <w:rPr>
          <w:rFonts w:ascii="Arial" w:hAnsi="Arial" w:cs="Arial"/>
        </w:rPr>
      </w:pPr>
      <w:bookmarkStart w:id="0" w:name="_Hlk62746129"/>
      <w:r w:rsidRPr="0670E279">
        <w:rPr>
          <w:lang w:val="en-US"/>
        </w:rPr>
        <w:t>Available on the</w:t>
      </w:r>
      <w:r w:rsidR="00D86715">
        <w:rPr>
          <w:lang w:val="en-US"/>
        </w:rPr>
        <w:t xml:space="preserve"> </w:t>
      </w:r>
      <w:hyperlink r:id="rId24" w:history="1">
        <w:r w:rsidR="00D86715" w:rsidRPr="00D86715">
          <w:rPr>
            <w:rStyle w:val="Hyperlink"/>
            <w:lang w:val="en-US"/>
          </w:rPr>
          <w:t>Electronic Medication Management</w:t>
        </w:r>
        <w:r w:rsidR="00D86715">
          <w:rPr>
            <w:rStyle w:val="Hyperlink"/>
            <w:lang w:val="en-US"/>
          </w:rPr>
          <w:t xml:space="preserve"> – prescribing high-risk medicine guidance </w:t>
        </w:r>
        <w:r w:rsidR="00D86715" w:rsidRPr="00D86715">
          <w:rPr>
            <w:rStyle w:val="Hyperlink"/>
            <w:lang w:val="en-US"/>
          </w:rPr>
          <w:t xml:space="preserve"> page</w:t>
        </w:r>
      </w:hyperlink>
      <w:r w:rsidRPr="0670E279">
        <w:rPr>
          <w:lang w:val="en-US"/>
        </w:rPr>
        <w:t>&lt;</w:t>
      </w:r>
      <w:r w:rsidR="00D86715" w:rsidRPr="00D86715">
        <w:t xml:space="preserve"> </w:t>
      </w:r>
      <w:bookmarkEnd w:id="0"/>
      <w:r w:rsidR="00D86715">
        <w:t>&lt;</w:t>
      </w:r>
      <w:r w:rsidR="00D86715" w:rsidRPr="00D86715">
        <w:rPr>
          <w:lang w:val="en-US"/>
        </w:rPr>
        <w:t>https://www.health.vic.gov.au/publications/electronic-medication-management-prescribing-high-risk-medicine-guidance</w:t>
      </w:r>
      <w:r w:rsidR="00D86715">
        <w:rPr>
          <w:lang w:val="en-US"/>
        </w:rPr>
        <w:t>&gt;</w:t>
      </w:r>
    </w:p>
    <w:sectPr w:rsidR="004D2347" w:rsidSect="00EC23E9">
      <w:headerReference w:type="default" r:id="rId25"/>
      <w:footerReference w:type="defaul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B31E" w14:textId="77777777" w:rsidR="000200EF" w:rsidRDefault="000200EF">
      <w:pPr>
        <w:spacing w:after="0" w:line="240" w:lineRule="auto"/>
      </w:pPr>
    </w:p>
  </w:endnote>
  <w:endnote w:type="continuationSeparator" w:id="0">
    <w:p w14:paraId="277CE25D" w14:textId="77777777" w:rsidR="000200EF" w:rsidRDefault="000200EF">
      <w:pPr>
        <w:spacing w:after="0" w:line="240" w:lineRule="auto"/>
      </w:pPr>
    </w:p>
  </w:endnote>
  <w:endnote w:type="continuationNotice" w:id="1">
    <w:p w14:paraId="3C6447EA" w14:textId="77777777" w:rsidR="000200EF" w:rsidRDefault="00020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A645" w14:textId="24C31EE5" w:rsidR="00BC7F8F" w:rsidRPr="001A116A" w:rsidRDefault="00BC7F8F" w:rsidP="00BC7F8F">
    <w:pPr>
      <w:rPr>
        <w:rFonts w:ascii="Arial" w:hAnsi="Arial" w:cs="Arial"/>
        <w:color w:val="808080" w:themeColor="background1" w:themeShade="80"/>
        <w:sz w:val="10"/>
        <w:szCs w:val="14"/>
      </w:rPr>
    </w:pPr>
    <w:r w:rsidRPr="001A116A">
      <w:rPr>
        <w:rFonts w:ascii="Arial" w:hAnsi="Arial" w:cs="Arial"/>
        <w:color w:val="808080" w:themeColor="background1" w:themeShade="80"/>
        <w:sz w:val="10"/>
        <w:szCs w:val="14"/>
      </w:rPr>
      <w:t xml:space="preserve">1 </w:t>
    </w:r>
    <w:r w:rsidR="00C453F6" w:rsidRPr="001A116A">
      <w:rPr>
        <w:rFonts w:ascii="Arial" w:hAnsi="Arial" w:cs="Arial"/>
        <w:color w:val="808080" w:themeColor="background1" w:themeShade="80"/>
        <w:sz w:val="10"/>
        <w:szCs w:val="14"/>
      </w:rPr>
      <w:t>R</w:t>
    </w:r>
    <w:r w:rsidRPr="001A116A">
      <w:rPr>
        <w:rFonts w:ascii="Arial" w:hAnsi="Arial" w:cs="Arial"/>
        <w:color w:val="808080" w:themeColor="background1" w:themeShade="80"/>
        <w:sz w:val="10"/>
        <w:szCs w:val="14"/>
      </w:rPr>
      <w:t>efer to the eHealth High Risk Medicine Safety – Rapid Literature Review and Environmental Scan report for more details</w:t>
    </w:r>
  </w:p>
  <w:p w14:paraId="7997BB4A" w14:textId="4605676F" w:rsidR="00BC7F8F" w:rsidRPr="001A116A" w:rsidRDefault="00BC7F8F" w:rsidP="00BC7F8F">
    <w:pPr>
      <w:rPr>
        <w:rFonts w:ascii="Arial" w:hAnsi="Arial" w:cs="Arial"/>
        <w:color w:val="808080" w:themeColor="background1" w:themeShade="80"/>
        <w:sz w:val="10"/>
        <w:szCs w:val="14"/>
      </w:rPr>
    </w:pPr>
    <w:r w:rsidRPr="001A116A">
      <w:rPr>
        <w:rFonts w:ascii="Arial" w:hAnsi="Arial" w:cs="Arial"/>
        <w:color w:val="808080" w:themeColor="background1" w:themeShade="80"/>
        <w:sz w:val="10"/>
        <w:szCs w:val="14"/>
      </w:rPr>
      <w:t xml:space="preserve">2 </w:t>
    </w:r>
    <w:r w:rsidR="00C453F6" w:rsidRPr="001A116A">
      <w:rPr>
        <w:rFonts w:ascii="Arial" w:hAnsi="Arial" w:cs="Arial"/>
        <w:color w:val="808080" w:themeColor="background1" w:themeShade="80"/>
        <w:sz w:val="10"/>
        <w:szCs w:val="14"/>
      </w:rPr>
      <w:t>T</w:t>
    </w:r>
    <w:r w:rsidRPr="001A116A">
      <w:rPr>
        <w:rFonts w:ascii="Arial" w:hAnsi="Arial" w:cs="Arial"/>
        <w:color w:val="808080" w:themeColor="background1" w:themeShade="80"/>
        <w:sz w:val="10"/>
        <w:szCs w:val="14"/>
      </w:rPr>
      <w:t>he Australian Commission on Safety and Quality in Health Care’s Electronic Medication Management Systems – A Guide to Safe Implementation</w:t>
    </w:r>
  </w:p>
  <w:p w14:paraId="2B246091" w14:textId="43030CD5" w:rsidR="005E4DE1" w:rsidRPr="001A116A" w:rsidRDefault="005E4DE1" w:rsidP="00BC7F8F">
    <w:pPr>
      <w:rPr>
        <w:rFonts w:ascii="Arial" w:hAnsi="Arial" w:cs="Arial"/>
        <w:color w:val="808080" w:themeColor="background1" w:themeShade="80"/>
        <w:sz w:val="10"/>
        <w:szCs w:val="14"/>
      </w:rPr>
    </w:pPr>
    <w:r w:rsidRPr="001A116A">
      <w:rPr>
        <w:rFonts w:ascii="Arial" w:hAnsi="Arial" w:cs="Arial"/>
        <w:color w:val="808080" w:themeColor="background1" w:themeShade="80"/>
        <w:sz w:val="10"/>
        <w:szCs w:val="14"/>
      </w:rPr>
      <w:t>*</w:t>
    </w:r>
    <w:r w:rsidR="00336CEA" w:rsidRPr="001A116A">
      <w:rPr>
        <w:rFonts w:ascii="Arial" w:hAnsi="Arial" w:cs="Arial"/>
        <w:color w:val="808080" w:themeColor="background1" w:themeShade="80"/>
        <w:sz w:val="10"/>
        <w:szCs w:val="14"/>
      </w:rPr>
      <w:t>The frequency with which it was mentioned during the structured interviews in the eHealth High Risk Medicine Safety – Rapid Literature Review and Environmental Scan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BF98" w14:textId="77777777" w:rsidR="000200EF" w:rsidRDefault="000200EF">
      <w:pPr>
        <w:spacing w:after="0" w:line="240" w:lineRule="auto"/>
      </w:pPr>
    </w:p>
  </w:footnote>
  <w:footnote w:type="continuationSeparator" w:id="0">
    <w:p w14:paraId="3127B268" w14:textId="77777777" w:rsidR="000200EF" w:rsidRDefault="000200EF">
      <w:pPr>
        <w:spacing w:after="0" w:line="240" w:lineRule="auto"/>
      </w:pPr>
    </w:p>
  </w:footnote>
  <w:footnote w:type="continuationNotice" w:id="1">
    <w:p w14:paraId="5F47645D" w14:textId="77777777" w:rsidR="000200EF" w:rsidRDefault="000200EF">
      <w:pPr>
        <w:spacing w:after="0" w:line="240" w:lineRule="auto"/>
      </w:pPr>
    </w:p>
  </w:footnote>
  <w:footnote w:id="2">
    <w:p w14:paraId="5970267D" w14:textId="0896086F" w:rsidR="00E66E53" w:rsidRPr="00BC7F8F" w:rsidRDefault="00E66E53" w:rsidP="00BC7F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BD9F0BB" w14:paraId="0AC37241" w14:textId="77777777" w:rsidTr="0BD9F0BB">
      <w:trPr>
        <w:trHeight w:val="300"/>
      </w:trPr>
      <w:tc>
        <w:tcPr>
          <w:tcW w:w="3005" w:type="dxa"/>
        </w:tcPr>
        <w:p w14:paraId="4A4B7F96" w14:textId="159891AA" w:rsidR="0BD9F0BB" w:rsidRDefault="0BD9F0BB" w:rsidP="0BD9F0BB">
          <w:pPr>
            <w:pStyle w:val="Header"/>
            <w:ind w:left="-115"/>
          </w:pPr>
        </w:p>
      </w:tc>
      <w:tc>
        <w:tcPr>
          <w:tcW w:w="3005" w:type="dxa"/>
        </w:tcPr>
        <w:p w14:paraId="7BACB153" w14:textId="7B24177F" w:rsidR="0BD9F0BB" w:rsidRDefault="0BD9F0BB" w:rsidP="0BD9F0BB">
          <w:pPr>
            <w:pStyle w:val="Header"/>
            <w:jc w:val="center"/>
          </w:pPr>
        </w:p>
      </w:tc>
      <w:tc>
        <w:tcPr>
          <w:tcW w:w="3005" w:type="dxa"/>
        </w:tcPr>
        <w:p w14:paraId="3B9AF48E" w14:textId="4D786BE1" w:rsidR="0BD9F0BB" w:rsidRDefault="0BD9F0BB" w:rsidP="0BD9F0BB">
          <w:pPr>
            <w:pStyle w:val="Header"/>
            <w:ind w:right="-115"/>
            <w:jc w:val="right"/>
          </w:pPr>
        </w:p>
      </w:tc>
    </w:tr>
  </w:tbl>
  <w:p w14:paraId="2F632E39" w14:textId="4B51A035" w:rsidR="0BD9F0BB" w:rsidRDefault="0BD9F0BB" w:rsidP="0BD9F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6318"/>
    <w:multiLevelType w:val="hybridMultilevel"/>
    <w:tmpl w:val="C6AA0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CD4C05"/>
    <w:multiLevelType w:val="hybridMultilevel"/>
    <w:tmpl w:val="3310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05A5B"/>
    <w:multiLevelType w:val="hybridMultilevel"/>
    <w:tmpl w:val="26E4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C01779"/>
    <w:multiLevelType w:val="hybridMultilevel"/>
    <w:tmpl w:val="59A0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2D16DA"/>
    <w:multiLevelType w:val="hybridMultilevel"/>
    <w:tmpl w:val="A0323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EB2371"/>
    <w:multiLevelType w:val="hybridMultilevel"/>
    <w:tmpl w:val="A984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0417FC"/>
    <w:multiLevelType w:val="hybridMultilevel"/>
    <w:tmpl w:val="A894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347930">
    <w:abstractNumId w:val="4"/>
  </w:num>
  <w:num w:numId="2" w16cid:durableId="1788039319">
    <w:abstractNumId w:val="6"/>
  </w:num>
  <w:num w:numId="3" w16cid:durableId="889220619">
    <w:abstractNumId w:val="3"/>
  </w:num>
  <w:num w:numId="4" w16cid:durableId="13651492">
    <w:abstractNumId w:val="0"/>
  </w:num>
  <w:num w:numId="5" w16cid:durableId="907686560">
    <w:abstractNumId w:val="2"/>
  </w:num>
  <w:num w:numId="6" w16cid:durableId="1113551605">
    <w:abstractNumId w:val="5"/>
  </w:num>
  <w:num w:numId="7" w16cid:durableId="54305788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Q2MzQzsjAzMjEzNTJX0lEKTi0uzszPAykwNKoFACfBDiItAAAA"/>
  </w:docVars>
  <w:rsids>
    <w:rsidRoot w:val="00FE1D9B"/>
    <w:rsid w:val="00000E9A"/>
    <w:rsid w:val="000043F9"/>
    <w:rsid w:val="00004D32"/>
    <w:rsid w:val="00010FAC"/>
    <w:rsid w:val="000115D3"/>
    <w:rsid w:val="0001264B"/>
    <w:rsid w:val="000164B1"/>
    <w:rsid w:val="00017640"/>
    <w:rsid w:val="000179B0"/>
    <w:rsid w:val="000200EF"/>
    <w:rsid w:val="00021DB4"/>
    <w:rsid w:val="00022000"/>
    <w:rsid w:val="00023502"/>
    <w:rsid w:val="00024A00"/>
    <w:rsid w:val="00025817"/>
    <w:rsid w:val="00026C30"/>
    <w:rsid w:val="00030156"/>
    <w:rsid w:val="00032222"/>
    <w:rsid w:val="00034455"/>
    <w:rsid w:val="00035E5D"/>
    <w:rsid w:val="00036148"/>
    <w:rsid w:val="000376CF"/>
    <w:rsid w:val="00040160"/>
    <w:rsid w:val="00041220"/>
    <w:rsid w:val="00043149"/>
    <w:rsid w:val="00043C05"/>
    <w:rsid w:val="000442BE"/>
    <w:rsid w:val="0004606F"/>
    <w:rsid w:val="00046872"/>
    <w:rsid w:val="000469E1"/>
    <w:rsid w:val="00050E08"/>
    <w:rsid w:val="0005190F"/>
    <w:rsid w:val="000542D2"/>
    <w:rsid w:val="000558FD"/>
    <w:rsid w:val="00055C73"/>
    <w:rsid w:val="00056F86"/>
    <w:rsid w:val="000573AC"/>
    <w:rsid w:val="00065AC1"/>
    <w:rsid w:val="000679CE"/>
    <w:rsid w:val="00070602"/>
    <w:rsid w:val="00070D22"/>
    <w:rsid w:val="00071CE6"/>
    <w:rsid w:val="00072D24"/>
    <w:rsid w:val="00074023"/>
    <w:rsid w:val="00080ACA"/>
    <w:rsid w:val="00082E5D"/>
    <w:rsid w:val="0008484C"/>
    <w:rsid w:val="00085A3A"/>
    <w:rsid w:val="00085A45"/>
    <w:rsid w:val="0008750B"/>
    <w:rsid w:val="00092A1A"/>
    <w:rsid w:val="00094AE2"/>
    <w:rsid w:val="00094AF2"/>
    <w:rsid w:val="000950A2"/>
    <w:rsid w:val="0009527A"/>
    <w:rsid w:val="00095789"/>
    <w:rsid w:val="00096260"/>
    <w:rsid w:val="00097328"/>
    <w:rsid w:val="000979B3"/>
    <w:rsid w:val="00097BD7"/>
    <w:rsid w:val="000A08E6"/>
    <w:rsid w:val="000A3D88"/>
    <w:rsid w:val="000A3DC8"/>
    <w:rsid w:val="000A40FB"/>
    <w:rsid w:val="000A44BF"/>
    <w:rsid w:val="000A48E6"/>
    <w:rsid w:val="000A6D9E"/>
    <w:rsid w:val="000A7095"/>
    <w:rsid w:val="000B269B"/>
    <w:rsid w:val="000B2CB7"/>
    <w:rsid w:val="000B796D"/>
    <w:rsid w:val="000C0AB9"/>
    <w:rsid w:val="000C13A2"/>
    <w:rsid w:val="000C570F"/>
    <w:rsid w:val="000C5B22"/>
    <w:rsid w:val="000C6567"/>
    <w:rsid w:val="000D01E7"/>
    <w:rsid w:val="000D04DD"/>
    <w:rsid w:val="000D1720"/>
    <w:rsid w:val="000D1B6D"/>
    <w:rsid w:val="000D2215"/>
    <w:rsid w:val="000D2F38"/>
    <w:rsid w:val="000D30B3"/>
    <w:rsid w:val="000D404D"/>
    <w:rsid w:val="000D40B8"/>
    <w:rsid w:val="000D6C86"/>
    <w:rsid w:val="000E4721"/>
    <w:rsid w:val="000E499C"/>
    <w:rsid w:val="000E50D1"/>
    <w:rsid w:val="000E6206"/>
    <w:rsid w:val="000E6A6D"/>
    <w:rsid w:val="000E70C4"/>
    <w:rsid w:val="000F1B02"/>
    <w:rsid w:val="000F22D1"/>
    <w:rsid w:val="000F324B"/>
    <w:rsid w:val="000F3CED"/>
    <w:rsid w:val="000F451A"/>
    <w:rsid w:val="000F5689"/>
    <w:rsid w:val="000F57B3"/>
    <w:rsid w:val="000F6FD7"/>
    <w:rsid w:val="00100BCD"/>
    <w:rsid w:val="00101B46"/>
    <w:rsid w:val="00102111"/>
    <w:rsid w:val="001024BE"/>
    <w:rsid w:val="00102963"/>
    <w:rsid w:val="001049FD"/>
    <w:rsid w:val="001064F6"/>
    <w:rsid w:val="00106AFC"/>
    <w:rsid w:val="001114E6"/>
    <w:rsid w:val="00112350"/>
    <w:rsid w:val="00112A14"/>
    <w:rsid w:val="00120514"/>
    <w:rsid w:val="00122C7B"/>
    <w:rsid w:val="00123F5B"/>
    <w:rsid w:val="0012487C"/>
    <w:rsid w:val="00125BE8"/>
    <w:rsid w:val="001269FE"/>
    <w:rsid w:val="00126F33"/>
    <w:rsid w:val="00131B19"/>
    <w:rsid w:val="001327F0"/>
    <w:rsid w:val="00133F6A"/>
    <w:rsid w:val="0013515D"/>
    <w:rsid w:val="0013599E"/>
    <w:rsid w:val="00140300"/>
    <w:rsid w:val="00145096"/>
    <w:rsid w:val="001453D8"/>
    <w:rsid w:val="00145B8C"/>
    <w:rsid w:val="0014608E"/>
    <w:rsid w:val="00150848"/>
    <w:rsid w:val="00151494"/>
    <w:rsid w:val="00153835"/>
    <w:rsid w:val="00154232"/>
    <w:rsid w:val="001545BD"/>
    <w:rsid w:val="001551F5"/>
    <w:rsid w:val="00156F06"/>
    <w:rsid w:val="00157BDD"/>
    <w:rsid w:val="00162E84"/>
    <w:rsid w:val="00165467"/>
    <w:rsid w:val="001666E3"/>
    <w:rsid w:val="00172113"/>
    <w:rsid w:val="00172C83"/>
    <w:rsid w:val="00175846"/>
    <w:rsid w:val="00177A15"/>
    <w:rsid w:val="001821DE"/>
    <w:rsid w:val="001830EC"/>
    <w:rsid w:val="00183723"/>
    <w:rsid w:val="00184866"/>
    <w:rsid w:val="00185D7C"/>
    <w:rsid w:val="001870E1"/>
    <w:rsid w:val="00187334"/>
    <w:rsid w:val="0018799B"/>
    <w:rsid w:val="00187C81"/>
    <w:rsid w:val="0019104A"/>
    <w:rsid w:val="0019180F"/>
    <w:rsid w:val="00191F43"/>
    <w:rsid w:val="00193182"/>
    <w:rsid w:val="00194AA9"/>
    <w:rsid w:val="0019584A"/>
    <w:rsid w:val="00195BCA"/>
    <w:rsid w:val="00197DE7"/>
    <w:rsid w:val="001A116A"/>
    <w:rsid w:val="001A1E02"/>
    <w:rsid w:val="001A3DDD"/>
    <w:rsid w:val="001A6F61"/>
    <w:rsid w:val="001A7E89"/>
    <w:rsid w:val="001C070F"/>
    <w:rsid w:val="001C6810"/>
    <w:rsid w:val="001C753F"/>
    <w:rsid w:val="001D30D6"/>
    <w:rsid w:val="001D4399"/>
    <w:rsid w:val="001D5C63"/>
    <w:rsid w:val="001D79ED"/>
    <w:rsid w:val="001E2881"/>
    <w:rsid w:val="001E2994"/>
    <w:rsid w:val="001E4485"/>
    <w:rsid w:val="001E6D07"/>
    <w:rsid w:val="001E6D60"/>
    <w:rsid w:val="001F23E5"/>
    <w:rsid w:val="001F6588"/>
    <w:rsid w:val="00204756"/>
    <w:rsid w:val="00206AAB"/>
    <w:rsid w:val="0020721A"/>
    <w:rsid w:val="00211074"/>
    <w:rsid w:val="00211C1B"/>
    <w:rsid w:val="00212AA2"/>
    <w:rsid w:val="00212CA8"/>
    <w:rsid w:val="002139C2"/>
    <w:rsid w:val="00213FDB"/>
    <w:rsid w:val="00217141"/>
    <w:rsid w:val="0021749A"/>
    <w:rsid w:val="00221D81"/>
    <w:rsid w:val="00225CFA"/>
    <w:rsid w:val="002263AB"/>
    <w:rsid w:val="00227D48"/>
    <w:rsid w:val="002306C4"/>
    <w:rsid w:val="00231DC6"/>
    <w:rsid w:val="0023258D"/>
    <w:rsid w:val="002327A5"/>
    <w:rsid w:val="00232E8C"/>
    <w:rsid w:val="002335CC"/>
    <w:rsid w:val="00233989"/>
    <w:rsid w:val="0023564D"/>
    <w:rsid w:val="00236EC6"/>
    <w:rsid w:val="00242C00"/>
    <w:rsid w:val="002435DC"/>
    <w:rsid w:val="00244E42"/>
    <w:rsid w:val="00246436"/>
    <w:rsid w:val="002474BE"/>
    <w:rsid w:val="0024758E"/>
    <w:rsid w:val="00250F55"/>
    <w:rsid w:val="00251945"/>
    <w:rsid w:val="00252B99"/>
    <w:rsid w:val="002540E1"/>
    <w:rsid w:val="00254D24"/>
    <w:rsid w:val="0025515C"/>
    <w:rsid w:val="00256518"/>
    <w:rsid w:val="002605A3"/>
    <w:rsid w:val="00261AA1"/>
    <w:rsid w:val="00263E3C"/>
    <w:rsid w:val="00266941"/>
    <w:rsid w:val="002677DC"/>
    <w:rsid w:val="00270B2A"/>
    <w:rsid w:val="00275C01"/>
    <w:rsid w:val="00285FF9"/>
    <w:rsid w:val="00287A4C"/>
    <w:rsid w:val="002936E2"/>
    <w:rsid w:val="00295DD4"/>
    <w:rsid w:val="002A14EA"/>
    <w:rsid w:val="002A2932"/>
    <w:rsid w:val="002A3F4B"/>
    <w:rsid w:val="002A5115"/>
    <w:rsid w:val="002B04B1"/>
    <w:rsid w:val="002B0A39"/>
    <w:rsid w:val="002B1793"/>
    <w:rsid w:val="002B2341"/>
    <w:rsid w:val="002B3D71"/>
    <w:rsid w:val="002B4B12"/>
    <w:rsid w:val="002B520C"/>
    <w:rsid w:val="002B5E79"/>
    <w:rsid w:val="002B6CB5"/>
    <w:rsid w:val="002C01E9"/>
    <w:rsid w:val="002C0921"/>
    <w:rsid w:val="002C1F42"/>
    <w:rsid w:val="002C2B61"/>
    <w:rsid w:val="002C3383"/>
    <w:rsid w:val="002C41FF"/>
    <w:rsid w:val="002C72F0"/>
    <w:rsid w:val="002C7F0B"/>
    <w:rsid w:val="002D593C"/>
    <w:rsid w:val="002E2F69"/>
    <w:rsid w:val="002F107A"/>
    <w:rsid w:val="002F1B74"/>
    <w:rsid w:val="002F21B5"/>
    <w:rsid w:val="002F4A2B"/>
    <w:rsid w:val="002F51E8"/>
    <w:rsid w:val="002F59A5"/>
    <w:rsid w:val="002F6289"/>
    <w:rsid w:val="0030027F"/>
    <w:rsid w:val="00303968"/>
    <w:rsid w:val="0030698B"/>
    <w:rsid w:val="003074D2"/>
    <w:rsid w:val="0030750B"/>
    <w:rsid w:val="003106CE"/>
    <w:rsid w:val="00310D6A"/>
    <w:rsid w:val="00312681"/>
    <w:rsid w:val="00313A6E"/>
    <w:rsid w:val="003145AE"/>
    <w:rsid w:val="00316071"/>
    <w:rsid w:val="00316C78"/>
    <w:rsid w:val="00320885"/>
    <w:rsid w:val="00323CA3"/>
    <w:rsid w:val="003274B9"/>
    <w:rsid w:val="00327F7E"/>
    <w:rsid w:val="00331310"/>
    <w:rsid w:val="0033343E"/>
    <w:rsid w:val="00336CEA"/>
    <w:rsid w:val="0033746E"/>
    <w:rsid w:val="00346F50"/>
    <w:rsid w:val="003515EB"/>
    <w:rsid w:val="00353A66"/>
    <w:rsid w:val="003548F3"/>
    <w:rsid w:val="00355B2D"/>
    <w:rsid w:val="00355C4C"/>
    <w:rsid w:val="00356072"/>
    <w:rsid w:val="00360180"/>
    <w:rsid w:val="003617CF"/>
    <w:rsid w:val="003629DD"/>
    <w:rsid w:val="00364938"/>
    <w:rsid w:val="00364C93"/>
    <w:rsid w:val="003703FA"/>
    <w:rsid w:val="00372C72"/>
    <w:rsid w:val="00373FF0"/>
    <w:rsid w:val="00374007"/>
    <w:rsid w:val="00375532"/>
    <w:rsid w:val="00376481"/>
    <w:rsid w:val="00377C80"/>
    <w:rsid w:val="003858F3"/>
    <w:rsid w:val="00385A22"/>
    <w:rsid w:val="003931DC"/>
    <w:rsid w:val="00396E6A"/>
    <w:rsid w:val="003975A1"/>
    <w:rsid w:val="003A15C2"/>
    <w:rsid w:val="003A295E"/>
    <w:rsid w:val="003A5E44"/>
    <w:rsid w:val="003A7EDC"/>
    <w:rsid w:val="003B0E96"/>
    <w:rsid w:val="003B31CD"/>
    <w:rsid w:val="003B3978"/>
    <w:rsid w:val="003B559C"/>
    <w:rsid w:val="003B6400"/>
    <w:rsid w:val="003C0A10"/>
    <w:rsid w:val="003C1A97"/>
    <w:rsid w:val="003C1EE6"/>
    <w:rsid w:val="003C4107"/>
    <w:rsid w:val="003C7D16"/>
    <w:rsid w:val="003D531B"/>
    <w:rsid w:val="003D7245"/>
    <w:rsid w:val="003E3EB1"/>
    <w:rsid w:val="003E401D"/>
    <w:rsid w:val="003E4699"/>
    <w:rsid w:val="004014A5"/>
    <w:rsid w:val="00402C03"/>
    <w:rsid w:val="00402C06"/>
    <w:rsid w:val="00402FA1"/>
    <w:rsid w:val="00403340"/>
    <w:rsid w:val="004037A1"/>
    <w:rsid w:val="00403AA2"/>
    <w:rsid w:val="00403C3E"/>
    <w:rsid w:val="0040407A"/>
    <w:rsid w:val="004044EA"/>
    <w:rsid w:val="00406015"/>
    <w:rsid w:val="00415A05"/>
    <w:rsid w:val="00416BCF"/>
    <w:rsid w:val="00417645"/>
    <w:rsid w:val="004207C3"/>
    <w:rsid w:val="00423D79"/>
    <w:rsid w:val="004248CB"/>
    <w:rsid w:val="00424ABE"/>
    <w:rsid w:val="00425F8F"/>
    <w:rsid w:val="004264BF"/>
    <w:rsid w:val="00426DB0"/>
    <w:rsid w:val="0043042A"/>
    <w:rsid w:val="004315AC"/>
    <w:rsid w:val="004316D7"/>
    <w:rsid w:val="004329D8"/>
    <w:rsid w:val="00432F41"/>
    <w:rsid w:val="0043637E"/>
    <w:rsid w:val="0043675A"/>
    <w:rsid w:val="004369C3"/>
    <w:rsid w:val="004409AA"/>
    <w:rsid w:val="004426C9"/>
    <w:rsid w:val="00442A58"/>
    <w:rsid w:val="00447471"/>
    <w:rsid w:val="00447486"/>
    <w:rsid w:val="00447565"/>
    <w:rsid w:val="00451479"/>
    <w:rsid w:val="00452B72"/>
    <w:rsid w:val="00452D66"/>
    <w:rsid w:val="00455B45"/>
    <w:rsid w:val="00456A10"/>
    <w:rsid w:val="00456B40"/>
    <w:rsid w:val="004659E6"/>
    <w:rsid w:val="004711AD"/>
    <w:rsid w:val="00473461"/>
    <w:rsid w:val="00473DCC"/>
    <w:rsid w:val="00475D2C"/>
    <w:rsid w:val="00482356"/>
    <w:rsid w:val="00491A52"/>
    <w:rsid w:val="00491D0C"/>
    <w:rsid w:val="004920AE"/>
    <w:rsid w:val="004924D9"/>
    <w:rsid w:val="004932CD"/>
    <w:rsid w:val="0049535D"/>
    <w:rsid w:val="00496415"/>
    <w:rsid w:val="00496730"/>
    <w:rsid w:val="004A174A"/>
    <w:rsid w:val="004A267A"/>
    <w:rsid w:val="004A53FB"/>
    <w:rsid w:val="004A5FE1"/>
    <w:rsid w:val="004A7FD4"/>
    <w:rsid w:val="004B0A3B"/>
    <w:rsid w:val="004B1275"/>
    <w:rsid w:val="004B1648"/>
    <w:rsid w:val="004B3524"/>
    <w:rsid w:val="004B366B"/>
    <w:rsid w:val="004B3E88"/>
    <w:rsid w:val="004B49AC"/>
    <w:rsid w:val="004B63AE"/>
    <w:rsid w:val="004B7839"/>
    <w:rsid w:val="004C250E"/>
    <w:rsid w:val="004C28EE"/>
    <w:rsid w:val="004C477B"/>
    <w:rsid w:val="004C71D8"/>
    <w:rsid w:val="004C744F"/>
    <w:rsid w:val="004C7B6D"/>
    <w:rsid w:val="004D0E6B"/>
    <w:rsid w:val="004D2347"/>
    <w:rsid w:val="004D55C6"/>
    <w:rsid w:val="004D7990"/>
    <w:rsid w:val="004D7BB3"/>
    <w:rsid w:val="004D7EC6"/>
    <w:rsid w:val="004E1674"/>
    <w:rsid w:val="004E18A6"/>
    <w:rsid w:val="004E195E"/>
    <w:rsid w:val="004E2B2B"/>
    <w:rsid w:val="004E4339"/>
    <w:rsid w:val="004E4C66"/>
    <w:rsid w:val="004F4060"/>
    <w:rsid w:val="004F668A"/>
    <w:rsid w:val="004F689B"/>
    <w:rsid w:val="0050358B"/>
    <w:rsid w:val="00506061"/>
    <w:rsid w:val="00506E8D"/>
    <w:rsid w:val="0050761F"/>
    <w:rsid w:val="0050769B"/>
    <w:rsid w:val="00510C9E"/>
    <w:rsid w:val="00511F0D"/>
    <w:rsid w:val="005149DE"/>
    <w:rsid w:val="00516023"/>
    <w:rsid w:val="005168B5"/>
    <w:rsid w:val="0051737E"/>
    <w:rsid w:val="005177DB"/>
    <w:rsid w:val="005216D6"/>
    <w:rsid w:val="005222C9"/>
    <w:rsid w:val="00523F36"/>
    <w:rsid w:val="00524E9A"/>
    <w:rsid w:val="00525EBC"/>
    <w:rsid w:val="00527D71"/>
    <w:rsid w:val="005300D7"/>
    <w:rsid w:val="00530B72"/>
    <w:rsid w:val="005316C9"/>
    <w:rsid w:val="00533825"/>
    <w:rsid w:val="00533DB3"/>
    <w:rsid w:val="00533DFE"/>
    <w:rsid w:val="00534400"/>
    <w:rsid w:val="0053559F"/>
    <w:rsid w:val="0053642B"/>
    <w:rsid w:val="00536651"/>
    <w:rsid w:val="00536EAA"/>
    <w:rsid w:val="00540D8A"/>
    <w:rsid w:val="00541FF8"/>
    <w:rsid w:val="005441EB"/>
    <w:rsid w:val="00545EBF"/>
    <w:rsid w:val="0055079E"/>
    <w:rsid w:val="00550B90"/>
    <w:rsid w:val="00552A88"/>
    <w:rsid w:val="005555B9"/>
    <w:rsid w:val="00556C23"/>
    <w:rsid w:val="005611D9"/>
    <w:rsid w:val="005618FD"/>
    <w:rsid w:val="00561A94"/>
    <w:rsid w:val="00562735"/>
    <w:rsid w:val="00562B97"/>
    <w:rsid w:val="0056476D"/>
    <w:rsid w:val="00565605"/>
    <w:rsid w:val="00572261"/>
    <w:rsid w:val="00572B19"/>
    <w:rsid w:val="0057523B"/>
    <w:rsid w:val="005761FE"/>
    <w:rsid w:val="005849A6"/>
    <w:rsid w:val="00585751"/>
    <w:rsid w:val="00590EF7"/>
    <w:rsid w:val="005924ED"/>
    <w:rsid w:val="005928E3"/>
    <w:rsid w:val="00595373"/>
    <w:rsid w:val="00595EA8"/>
    <w:rsid w:val="00596717"/>
    <w:rsid w:val="00597363"/>
    <w:rsid w:val="005A0200"/>
    <w:rsid w:val="005A174B"/>
    <w:rsid w:val="005A4970"/>
    <w:rsid w:val="005A66D6"/>
    <w:rsid w:val="005A7EC3"/>
    <w:rsid w:val="005B070D"/>
    <w:rsid w:val="005B2249"/>
    <w:rsid w:val="005B3C6D"/>
    <w:rsid w:val="005B51C3"/>
    <w:rsid w:val="005C2DEA"/>
    <w:rsid w:val="005C2E66"/>
    <w:rsid w:val="005C2E68"/>
    <w:rsid w:val="005C559A"/>
    <w:rsid w:val="005C5A3A"/>
    <w:rsid w:val="005D0926"/>
    <w:rsid w:val="005D380B"/>
    <w:rsid w:val="005D45F0"/>
    <w:rsid w:val="005E2C20"/>
    <w:rsid w:val="005E490C"/>
    <w:rsid w:val="005E4B14"/>
    <w:rsid w:val="005E4DE1"/>
    <w:rsid w:val="005E5F0A"/>
    <w:rsid w:val="005E66EA"/>
    <w:rsid w:val="005E75AB"/>
    <w:rsid w:val="005F0E3E"/>
    <w:rsid w:val="005F1EC8"/>
    <w:rsid w:val="005F307F"/>
    <w:rsid w:val="005F4AD6"/>
    <w:rsid w:val="005F4C0E"/>
    <w:rsid w:val="00601982"/>
    <w:rsid w:val="0060336D"/>
    <w:rsid w:val="006046BC"/>
    <w:rsid w:val="0060476C"/>
    <w:rsid w:val="00607D9E"/>
    <w:rsid w:val="0061000C"/>
    <w:rsid w:val="00611508"/>
    <w:rsid w:val="006120DE"/>
    <w:rsid w:val="00613963"/>
    <w:rsid w:val="00613E26"/>
    <w:rsid w:val="00615B98"/>
    <w:rsid w:val="00622C20"/>
    <w:rsid w:val="006242BE"/>
    <w:rsid w:val="006260EE"/>
    <w:rsid w:val="00637A61"/>
    <w:rsid w:val="00637D1C"/>
    <w:rsid w:val="00646F6B"/>
    <w:rsid w:val="00651954"/>
    <w:rsid w:val="006535E1"/>
    <w:rsid w:val="006543B0"/>
    <w:rsid w:val="00661CF3"/>
    <w:rsid w:val="00662D13"/>
    <w:rsid w:val="00663257"/>
    <w:rsid w:val="00663750"/>
    <w:rsid w:val="00663C00"/>
    <w:rsid w:val="00666919"/>
    <w:rsid w:val="00666CA2"/>
    <w:rsid w:val="00667643"/>
    <w:rsid w:val="00667F27"/>
    <w:rsid w:val="00671B3C"/>
    <w:rsid w:val="00673D21"/>
    <w:rsid w:val="00674565"/>
    <w:rsid w:val="00675E10"/>
    <w:rsid w:val="006812CC"/>
    <w:rsid w:val="00684E3D"/>
    <w:rsid w:val="00684EAB"/>
    <w:rsid w:val="00684F78"/>
    <w:rsid w:val="00690F5B"/>
    <w:rsid w:val="0069141D"/>
    <w:rsid w:val="006915A3"/>
    <w:rsid w:val="006921EF"/>
    <w:rsid w:val="006926F8"/>
    <w:rsid w:val="006939F7"/>
    <w:rsid w:val="00694771"/>
    <w:rsid w:val="00695944"/>
    <w:rsid w:val="00695D1E"/>
    <w:rsid w:val="00696087"/>
    <w:rsid w:val="006A0D77"/>
    <w:rsid w:val="006A1681"/>
    <w:rsid w:val="006A2324"/>
    <w:rsid w:val="006A2D55"/>
    <w:rsid w:val="006B4402"/>
    <w:rsid w:val="006B598F"/>
    <w:rsid w:val="006B75ED"/>
    <w:rsid w:val="006C2A7E"/>
    <w:rsid w:val="006C3B1B"/>
    <w:rsid w:val="006C61C9"/>
    <w:rsid w:val="006C6ECF"/>
    <w:rsid w:val="006D09EE"/>
    <w:rsid w:val="006D22E3"/>
    <w:rsid w:val="006D4228"/>
    <w:rsid w:val="006D71B5"/>
    <w:rsid w:val="006E1564"/>
    <w:rsid w:val="006E319C"/>
    <w:rsid w:val="006E44AC"/>
    <w:rsid w:val="006E547F"/>
    <w:rsid w:val="006E70E8"/>
    <w:rsid w:val="006E7766"/>
    <w:rsid w:val="006F05EB"/>
    <w:rsid w:val="006F0913"/>
    <w:rsid w:val="006F5AEA"/>
    <w:rsid w:val="00700B95"/>
    <w:rsid w:val="00703277"/>
    <w:rsid w:val="00705D7F"/>
    <w:rsid w:val="00706043"/>
    <w:rsid w:val="007066E2"/>
    <w:rsid w:val="00706966"/>
    <w:rsid w:val="0071027B"/>
    <w:rsid w:val="0071034E"/>
    <w:rsid w:val="00712612"/>
    <w:rsid w:val="00713FF6"/>
    <w:rsid w:val="00715BD5"/>
    <w:rsid w:val="007213EC"/>
    <w:rsid w:val="007230B7"/>
    <w:rsid w:val="00723123"/>
    <w:rsid w:val="00723349"/>
    <w:rsid w:val="00723836"/>
    <w:rsid w:val="00725D1F"/>
    <w:rsid w:val="00726408"/>
    <w:rsid w:val="00726D91"/>
    <w:rsid w:val="00734598"/>
    <w:rsid w:val="00734964"/>
    <w:rsid w:val="007431AB"/>
    <w:rsid w:val="00744D96"/>
    <w:rsid w:val="0074705A"/>
    <w:rsid w:val="00751487"/>
    <w:rsid w:val="007517FC"/>
    <w:rsid w:val="00752A41"/>
    <w:rsid w:val="00753F67"/>
    <w:rsid w:val="00755681"/>
    <w:rsid w:val="00760901"/>
    <w:rsid w:val="0076206C"/>
    <w:rsid w:val="00762672"/>
    <w:rsid w:val="0076297B"/>
    <w:rsid w:val="00763875"/>
    <w:rsid w:val="00763F66"/>
    <w:rsid w:val="00763FD2"/>
    <w:rsid w:val="00765117"/>
    <w:rsid w:val="00767293"/>
    <w:rsid w:val="00773B69"/>
    <w:rsid w:val="00774DD3"/>
    <w:rsid w:val="00776663"/>
    <w:rsid w:val="00776D90"/>
    <w:rsid w:val="00781BCC"/>
    <w:rsid w:val="00782BCD"/>
    <w:rsid w:val="00783B7E"/>
    <w:rsid w:val="00784FE0"/>
    <w:rsid w:val="007854AF"/>
    <w:rsid w:val="007905D6"/>
    <w:rsid w:val="00791498"/>
    <w:rsid w:val="007929AA"/>
    <w:rsid w:val="007933AC"/>
    <w:rsid w:val="00793EF0"/>
    <w:rsid w:val="00794629"/>
    <w:rsid w:val="00797030"/>
    <w:rsid w:val="0079735A"/>
    <w:rsid w:val="00797580"/>
    <w:rsid w:val="007A226F"/>
    <w:rsid w:val="007A230E"/>
    <w:rsid w:val="007B1E5D"/>
    <w:rsid w:val="007B28BE"/>
    <w:rsid w:val="007B4818"/>
    <w:rsid w:val="007B4BEA"/>
    <w:rsid w:val="007B588D"/>
    <w:rsid w:val="007B7B8D"/>
    <w:rsid w:val="007C0194"/>
    <w:rsid w:val="007C1C32"/>
    <w:rsid w:val="007C29F1"/>
    <w:rsid w:val="007C2B19"/>
    <w:rsid w:val="007C48CA"/>
    <w:rsid w:val="007C6536"/>
    <w:rsid w:val="007C79D7"/>
    <w:rsid w:val="007D13CA"/>
    <w:rsid w:val="007D19E7"/>
    <w:rsid w:val="007D3731"/>
    <w:rsid w:val="007D4AB6"/>
    <w:rsid w:val="007D747C"/>
    <w:rsid w:val="007D7C03"/>
    <w:rsid w:val="007E242A"/>
    <w:rsid w:val="007E3657"/>
    <w:rsid w:val="007E46DC"/>
    <w:rsid w:val="007E54B1"/>
    <w:rsid w:val="007E63D9"/>
    <w:rsid w:val="007E78FF"/>
    <w:rsid w:val="007F0633"/>
    <w:rsid w:val="007F0B52"/>
    <w:rsid w:val="007F190D"/>
    <w:rsid w:val="007F3D17"/>
    <w:rsid w:val="007F5C38"/>
    <w:rsid w:val="007F74C3"/>
    <w:rsid w:val="007F7F30"/>
    <w:rsid w:val="008012F5"/>
    <w:rsid w:val="00802925"/>
    <w:rsid w:val="00803FD1"/>
    <w:rsid w:val="0080668B"/>
    <w:rsid w:val="00806BD0"/>
    <w:rsid w:val="00806DA2"/>
    <w:rsid w:val="00807297"/>
    <w:rsid w:val="00807554"/>
    <w:rsid w:val="00811274"/>
    <w:rsid w:val="00811BAC"/>
    <w:rsid w:val="00815BF7"/>
    <w:rsid w:val="00820115"/>
    <w:rsid w:val="00822177"/>
    <w:rsid w:val="00822D06"/>
    <w:rsid w:val="00823640"/>
    <w:rsid w:val="008239CB"/>
    <w:rsid w:val="00824A65"/>
    <w:rsid w:val="008261ED"/>
    <w:rsid w:val="00826B73"/>
    <w:rsid w:val="008332D7"/>
    <w:rsid w:val="008336F1"/>
    <w:rsid w:val="00834B8E"/>
    <w:rsid w:val="00835ADA"/>
    <w:rsid w:val="00842824"/>
    <w:rsid w:val="00842F63"/>
    <w:rsid w:val="008441C9"/>
    <w:rsid w:val="0084697C"/>
    <w:rsid w:val="00846D43"/>
    <w:rsid w:val="008540F3"/>
    <w:rsid w:val="0085633A"/>
    <w:rsid w:val="00860B87"/>
    <w:rsid w:val="00861625"/>
    <w:rsid w:val="00861E47"/>
    <w:rsid w:val="00865D31"/>
    <w:rsid w:val="00866EE3"/>
    <w:rsid w:val="00867887"/>
    <w:rsid w:val="00870F7D"/>
    <w:rsid w:val="0087197B"/>
    <w:rsid w:val="00874632"/>
    <w:rsid w:val="0087478A"/>
    <w:rsid w:val="00875945"/>
    <w:rsid w:val="00876383"/>
    <w:rsid w:val="00876AC6"/>
    <w:rsid w:val="008774C1"/>
    <w:rsid w:val="00880505"/>
    <w:rsid w:val="008818E1"/>
    <w:rsid w:val="00883B8C"/>
    <w:rsid w:val="008849FB"/>
    <w:rsid w:val="00886AD3"/>
    <w:rsid w:val="00887600"/>
    <w:rsid w:val="00887B7E"/>
    <w:rsid w:val="00890079"/>
    <w:rsid w:val="00890901"/>
    <w:rsid w:val="008926A3"/>
    <w:rsid w:val="00892D5D"/>
    <w:rsid w:val="008936B9"/>
    <w:rsid w:val="008936EE"/>
    <w:rsid w:val="00893B68"/>
    <w:rsid w:val="00897176"/>
    <w:rsid w:val="008A1413"/>
    <w:rsid w:val="008A3444"/>
    <w:rsid w:val="008A37F3"/>
    <w:rsid w:val="008A76F3"/>
    <w:rsid w:val="008B1FC4"/>
    <w:rsid w:val="008B2759"/>
    <w:rsid w:val="008B3B6C"/>
    <w:rsid w:val="008B4980"/>
    <w:rsid w:val="008B5ED2"/>
    <w:rsid w:val="008B6A0C"/>
    <w:rsid w:val="008B7212"/>
    <w:rsid w:val="008C0141"/>
    <w:rsid w:val="008C213E"/>
    <w:rsid w:val="008C301D"/>
    <w:rsid w:val="008C3F90"/>
    <w:rsid w:val="008C4518"/>
    <w:rsid w:val="008C4738"/>
    <w:rsid w:val="008C4D46"/>
    <w:rsid w:val="008C7E92"/>
    <w:rsid w:val="008D3F7E"/>
    <w:rsid w:val="008D6229"/>
    <w:rsid w:val="008D697A"/>
    <w:rsid w:val="008E0432"/>
    <w:rsid w:val="008E2875"/>
    <w:rsid w:val="008E52E5"/>
    <w:rsid w:val="008F0728"/>
    <w:rsid w:val="008F259A"/>
    <w:rsid w:val="008F59DC"/>
    <w:rsid w:val="008F67E8"/>
    <w:rsid w:val="009021AF"/>
    <w:rsid w:val="00907BE0"/>
    <w:rsid w:val="00910682"/>
    <w:rsid w:val="0091091E"/>
    <w:rsid w:val="00912F3A"/>
    <w:rsid w:val="00920BE7"/>
    <w:rsid w:val="00921767"/>
    <w:rsid w:val="009224DD"/>
    <w:rsid w:val="00922A4B"/>
    <w:rsid w:val="00922E6F"/>
    <w:rsid w:val="00925551"/>
    <w:rsid w:val="00925928"/>
    <w:rsid w:val="00926D2D"/>
    <w:rsid w:val="009329CD"/>
    <w:rsid w:val="009343CC"/>
    <w:rsid w:val="00935498"/>
    <w:rsid w:val="009417B1"/>
    <w:rsid w:val="009431A2"/>
    <w:rsid w:val="009433CA"/>
    <w:rsid w:val="00943D55"/>
    <w:rsid w:val="009471AC"/>
    <w:rsid w:val="00952A0C"/>
    <w:rsid w:val="00955EC4"/>
    <w:rsid w:val="009607FE"/>
    <w:rsid w:val="0096131F"/>
    <w:rsid w:val="00962778"/>
    <w:rsid w:val="00971677"/>
    <w:rsid w:val="00971D8B"/>
    <w:rsid w:val="009755BD"/>
    <w:rsid w:val="00975626"/>
    <w:rsid w:val="0097563E"/>
    <w:rsid w:val="0097669D"/>
    <w:rsid w:val="00981CAB"/>
    <w:rsid w:val="00981F69"/>
    <w:rsid w:val="00981FE0"/>
    <w:rsid w:val="00984232"/>
    <w:rsid w:val="0098556F"/>
    <w:rsid w:val="00986838"/>
    <w:rsid w:val="00990C0D"/>
    <w:rsid w:val="0099579E"/>
    <w:rsid w:val="009959B7"/>
    <w:rsid w:val="00995D3E"/>
    <w:rsid w:val="00996AE4"/>
    <w:rsid w:val="0099703E"/>
    <w:rsid w:val="009A677E"/>
    <w:rsid w:val="009A6E65"/>
    <w:rsid w:val="009A78EB"/>
    <w:rsid w:val="009A79EC"/>
    <w:rsid w:val="009B148C"/>
    <w:rsid w:val="009B2151"/>
    <w:rsid w:val="009B22BC"/>
    <w:rsid w:val="009B55E9"/>
    <w:rsid w:val="009B6534"/>
    <w:rsid w:val="009B73EC"/>
    <w:rsid w:val="009B7E5E"/>
    <w:rsid w:val="009C267B"/>
    <w:rsid w:val="009C305D"/>
    <w:rsid w:val="009C37D4"/>
    <w:rsid w:val="009C3BD2"/>
    <w:rsid w:val="009C671D"/>
    <w:rsid w:val="009C68AD"/>
    <w:rsid w:val="009C6FAC"/>
    <w:rsid w:val="009D05EA"/>
    <w:rsid w:val="009D4E2C"/>
    <w:rsid w:val="009D626A"/>
    <w:rsid w:val="009D7397"/>
    <w:rsid w:val="009E0304"/>
    <w:rsid w:val="009E0873"/>
    <w:rsid w:val="009E0D87"/>
    <w:rsid w:val="009E5803"/>
    <w:rsid w:val="009E66FC"/>
    <w:rsid w:val="009F0ED6"/>
    <w:rsid w:val="009F110B"/>
    <w:rsid w:val="009F29B5"/>
    <w:rsid w:val="009F4195"/>
    <w:rsid w:val="00A004AF"/>
    <w:rsid w:val="00A07A21"/>
    <w:rsid w:val="00A10BB0"/>
    <w:rsid w:val="00A1111B"/>
    <w:rsid w:val="00A11AAA"/>
    <w:rsid w:val="00A11E69"/>
    <w:rsid w:val="00A136E2"/>
    <w:rsid w:val="00A145BC"/>
    <w:rsid w:val="00A14C01"/>
    <w:rsid w:val="00A1535F"/>
    <w:rsid w:val="00A20166"/>
    <w:rsid w:val="00A223C0"/>
    <w:rsid w:val="00A23087"/>
    <w:rsid w:val="00A2393F"/>
    <w:rsid w:val="00A24A69"/>
    <w:rsid w:val="00A277B1"/>
    <w:rsid w:val="00A34DB2"/>
    <w:rsid w:val="00A3605E"/>
    <w:rsid w:val="00A40BC3"/>
    <w:rsid w:val="00A419ED"/>
    <w:rsid w:val="00A41A33"/>
    <w:rsid w:val="00A452FA"/>
    <w:rsid w:val="00A454E6"/>
    <w:rsid w:val="00A45733"/>
    <w:rsid w:val="00A46960"/>
    <w:rsid w:val="00A4773E"/>
    <w:rsid w:val="00A47B1A"/>
    <w:rsid w:val="00A47CB3"/>
    <w:rsid w:val="00A53A51"/>
    <w:rsid w:val="00A54700"/>
    <w:rsid w:val="00A55E8D"/>
    <w:rsid w:val="00A5634D"/>
    <w:rsid w:val="00A57DA8"/>
    <w:rsid w:val="00A604D0"/>
    <w:rsid w:val="00A62976"/>
    <w:rsid w:val="00A62C67"/>
    <w:rsid w:val="00A63108"/>
    <w:rsid w:val="00A639A8"/>
    <w:rsid w:val="00A651E8"/>
    <w:rsid w:val="00A72424"/>
    <w:rsid w:val="00A72D76"/>
    <w:rsid w:val="00A72D79"/>
    <w:rsid w:val="00A766FC"/>
    <w:rsid w:val="00A76F7B"/>
    <w:rsid w:val="00A77D35"/>
    <w:rsid w:val="00A81405"/>
    <w:rsid w:val="00A85EE9"/>
    <w:rsid w:val="00A86E1D"/>
    <w:rsid w:val="00A87189"/>
    <w:rsid w:val="00A87980"/>
    <w:rsid w:val="00A87C4A"/>
    <w:rsid w:val="00A91EE1"/>
    <w:rsid w:val="00A96AA8"/>
    <w:rsid w:val="00AA2962"/>
    <w:rsid w:val="00AA35B3"/>
    <w:rsid w:val="00AA46AF"/>
    <w:rsid w:val="00AA6209"/>
    <w:rsid w:val="00AB0135"/>
    <w:rsid w:val="00AB1331"/>
    <w:rsid w:val="00AB20EA"/>
    <w:rsid w:val="00AB2EC0"/>
    <w:rsid w:val="00AB42C6"/>
    <w:rsid w:val="00AB5B02"/>
    <w:rsid w:val="00AB6E00"/>
    <w:rsid w:val="00AC786C"/>
    <w:rsid w:val="00AD0A1E"/>
    <w:rsid w:val="00AD2541"/>
    <w:rsid w:val="00AD29E5"/>
    <w:rsid w:val="00AD625A"/>
    <w:rsid w:val="00AD660C"/>
    <w:rsid w:val="00AD69BA"/>
    <w:rsid w:val="00AD6A32"/>
    <w:rsid w:val="00AE0A76"/>
    <w:rsid w:val="00AE193A"/>
    <w:rsid w:val="00AE4E32"/>
    <w:rsid w:val="00AE5668"/>
    <w:rsid w:val="00AE5900"/>
    <w:rsid w:val="00AE7A83"/>
    <w:rsid w:val="00AF2087"/>
    <w:rsid w:val="00AF2DA9"/>
    <w:rsid w:val="00AF4577"/>
    <w:rsid w:val="00AF4E07"/>
    <w:rsid w:val="00AF6756"/>
    <w:rsid w:val="00B036FC"/>
    <w:rsid w:val="00B04D68"/>
    <w:rsid w:val="00B05EA1"/>
    <w:rsid w:val="00B06CED"/>
    <w:rsid w:val="00B077F3"/>
    <w:rsid w:val="00B1112D"/>
    <w:rsid w:val="00B11D4F"/>
    <w:rsid w:val="00B13964"/>
    <w:rsid w:val="00B14614"/>
    <w:rsid w:val="00B16DD9"/>
    <w:rsid w:val="00B20F27"/>
    <w:rsid w:val="00B22480"/>
    <w:rsid w:val="00B24B2D"/>
    <w:rsid w:val="00B24B76"/>
    <w:rsid w:val="00B2733A"/>
    <w:rsid w:val="00B30C9A"/>
    <w:rsid w:val="00B31DF0"/>
    <w:rsid w:val="00B37C24"/>
    <w:rsid w:val="00B419F6"/>
    <w:rsid w:val="00B43F14"/>
    <w:rsid w:val="00B4682A"/>
    <w:rsid w:val="00B52445"/>
    <w:rsid w:val="00B56283"/>
    <w:rsid w:val="00B57A99"/>
    <w:rsid w:val="00B60172"/>
    <w:rsid w:val="00B60788"/>
    <w:rsid w:val="00B63B1C"/>
    <w:rsid w:val="00B64FFF"/>
    <w:rsid w:val="00B65DFF"/>
    <w:rsid w:val="00B66F54"/>
    <w:rsid w:val="00B703E0"/>
    <w:rsid w:val="00B719D7"/>
    <w:rsid w:val="00B71EEA"/>
    <w:rsid w:val="00B75179"/>
    <w:rsid w:val="00B77B5F"/>
    <w:rsid w:val="00B802A4"/>
    <w:rsid w:val="00B828A0"/>
    <w:rsid w:val="00B83296"/>
    <w:rsid w:val="00B84DE5"/>
    <w:rsid w:val="00B84F5B"/>
    <w:rsid w:val="00B85F38"/>
    <w:rsid w:val="00B87DE6"/>
    <w:rsid w:val="00B91E4B"/>
    <w:rsid w:val="00B92B87"/>
    <w:rsid w:val="00B93486"/>
    <w:rsid w:val="00B94701"/>
    <w:rsid w:val="00B95D7F"/>
    <w:rsid w:val="00B96804"/>
    <w:rsid w:val="00B96E2F"/>
    <w:rsid w:val="00B97C94"/>
    <w:rsid w:val="00BA11D9"/>
    <w:rsid w:val="00BA1B49"/>
    <w:rsid w:val="00BA446F"/>
    <w:rsid w:val="00BA6844"/>
    <w:rsid w:val="00BA68AE"/>
    <w:rsid w:val="00BA7F11"/>
    <w:rsid w:val="00BC11B5"/>
    <w:rsid w:val="00BC14BD"/>
    <w:rsid w:val="00BC1F40"/>
    <w:rsid w:val="00BC2A6D"/>
    <w:rsid w:val="00BC2FB6"/>
    <w:rsid w:val="00BC3F3B"/>
    <w:rsid w:val="00BC60AF"/>
    <w:rsid w:val="00BC6BB7"/>
    <w:rsid w:val="00BC7F8F"/>
    <w:rsid w:val="00BD24EA"/>
    <w:rsid w:val="00BD3139"/>
    <w:rsid w:val="00BD4DA0"/>
    <w:rsid w:val="00BD7066"/>
    <w:rsid w:val="00BE04B3"/>
    <w:rsid w:val="00BE0674"/>
    <w:rsid w:val="00BE3570"/>
    <w:rsid w:val="00BE4D93"/>
    <w:rsid w:val="00BE5840"/>
    <w:rsid w:val="00BE72E3"/>
    <w:rsid w:val="00BF3DD5"/>
    <w:rsid w:val="00BF4BAD"/>
    <w:rsid w:val="00BF5D5A"/>
    <w:rsid w:val="00C00AAD"/>
    <w:rsid w:val="00C05C65"/>
    <w:rsid w:val="00C06DD7"/>
    <w:rsid w:val="00C07066"/>
    <w:rsid w:val="00C07645"/>
    <w:rsid w:val="00C12E5C"/>
    <w:rsid w:val="00C13705"/>
    <w:rsid w:val="00C13EAF"/>
    <w:rsid w:val="00C14AA0"/>
    <w:rsid w:val="00C14FD2"/>
    <w:rsid w:val="00C2012D"/>
    <w:rsid w:val="00C21D57"/>
    <w:rsid w:val="00C2311C"/>
    <w:rsid w:val="00C2539A"/>
    <w:rsid w:val="00C2744F"/>
    <w:rsid w:val="00C31846"/>
    <w:rsid w:val="00C32193"/>
    <w:rsid w:val="00C35F9A"/>
    <w:rsid w:val="00C401C8"/>
    <w:rsid w:val="00C408E5"/>
    <w:rsid w:val="00C40EBB"/>
    <w:rsid w:val="00C453F6"/>
    <w:rsid w:val="00C50527"/>
    <w:rsid w:val="00C50C48"/>
    <w:rsid w:val="00C52781"/>
    <w:rsid w:val="00C5392C"/>
    <w:rsid w:val="00C5430E"/>
    <w:rsid w:val="00C552CE"/>
    <w:rsid w:val="00C5549F"/>
    <w:rsid w:val="00C563A3"/>
    <w:rsid w:val="00C56551"/>
    <w:rsid w:val="00C56B22"/>
    <w:rsid w:val="00C60CF2"/>
    <w:rsid w:val="00C60F2C"/>
    <w:rsid w:val="00C643CC"/>
    <w:rsid w:val="00C6569B"/>
    <w:rsid w:val="00C65CBF"/>
    <w:rsid w:val="00C6606A"/>
    <w:rsid w:val="00C669C4"/>
    <w:rsid w:val="00C67F8A"/>
    <w:rsid w:val="00C67FBD"/>
    <w:rsid w:val="00C705D5"/>
    <w:rsid w:val="00C70A87"/>
    <w:rsid w:val="00C70B71"/>
    <w:rsid w:val="00C70E2A"/>
    <w:rsid w:val="00C72189"/>
    <w:rsid w:val="00C731F5"/>
    <w:rsid w:val="00C814B8"/>
    <w:rsid w:val="00C85200"/>
    <w:rsid w:val="00C85FEB"/>
    <w:rsid w:val="00C8683D"/>
    <w:rsid w:val="00C87D29"/>
    <w:rsid w:val="00C9189E"/>
    <w:rsid w:val="00C93B06"/>
    <w:rsid w:val="00C93B98"/>
    <w:rsid w:val="00C9426D"/>
    <w:rsid w:val="00C95321"/>
    <w:rsid w:val="00C966B2"/>
    <w:rsid w:val="00C978D5"/>
    <w:rsid w:val="00CA26CA"/>
    <w:rsid w:val="00CA4084"/>
    <w:rsid w:val="00CA56FC"/>
    <w:rsid w:val="00CA62DB"/>
    <w:rsid w:val="00CA7959"/>
    <w:rsid w:val="00CB0670"/>
    <w:rsid w:val="00CB0BC5"/>
    <w:rsid w:val="00CB1F02"/>
    <w:rsid w:val="00CB2858"/>
    <w:rsid w:val="00CC0556"/>
    <w:rsid w:val="00CC07FE"/>
    <w:rsid w:val="00CC1398"/>
    <w:rsid w:val="00CC1D1A"/>
    <w:rsid w:val="00CC2B09"/>
    <w:rsid w:val="00CC4ED1"/>
    <w:rsid w:val="00CD072A"/>
    <w:rsid w:val="00CD1C61"/>
    <w:rsid w:val="00CD2886"/>
    <w:rsid w:val="00CD2E46"/>
    <w:rsid w:val="00CD3C3C"/>
    <w:rsid w:val="00CD3C4B"/>
    <w:rsid w:val="00CD4B43"/>
    <w:rsid w:val="00CD5A62"/>
    <w:rsid w:val="00CD7285"/>
    <w:rsid w:val="00CE3412"/>
    <w:rsid w:val="00CE5AE8"/>
    <w:rsid w:val="00CE5E63"/>
    <w:rsid w:val="00CE5FBF"/>
    <w:rsid w:val="00CE6643"/>
    <w:rsid w:val="00CE6FFB"/>
    <w:rsid w:val="00CF1B63"/>
    <w:rsid w:val="00D06732"/>
    <w:rsid w:val="00D126F7"/>
    <w:rsid w:val="00D14ACA"/>
    <w:rsid w:val="00D1759D"/>
    <w:rsid w:val="00D21A3A"/>
    <w:rsid w:val="00D2225C"/>
    <w:rsid w:val="00D229D5"/>
    <w:rsid w:val="00D23722"/>
    <w:rsid w:val="00D23909"/>
    <w:rsid w:val="00D241E7"/>
    <w:rsid w:val="00D24D51"/>
    <w:rsid w:val="00D258D3"/>
    <w:rsid w:val="00D277CA"/>
    <w:rsid w:val="00D31A36"/>
    <w:rsid w:val="00D32040"/>
    <w:rsid w:val="00D32828"/>
    <w:rsid w:val="00D34363"/>
    <w:rsid w:val="00D35990"/>
    <w:rsid w:val="00D36FC2"/>
    <w:rsid w:val="00D42C9B"/>
    <w:rsid w:val="00D43BE2"/>
    <w:rsid w:val="00D46B42"/>
    <w:rsid w:val="00D4767A"/>
    <w:rsid w:val="00D51C00"/>
    <w:rsid w:val="00D53203"/>
    <w:rsid w:val="00D547B6"/>
    <w:rsid w:val="00D55361"/>
    <w:rsid w:val="00D557DE"/>
    <w:rsid w:val="00D56622"/>
    <w:rsid w:val="00D56F24"/>
    <w:rsid w:val="00D57416"/>
    <w:rsid w:val="00D60205"/>
    <w:rsid w:val="00D60C47"/>
    <w:rsid w:val="00D72BEF"/>
    <w:rsid w:val="00D77564"/>
    <w:rsid w:val="00D80B94"/>
    <w:rsid w:val="00D82FA6"/>
    <w:rsid w:val="00D84A19"/>
    <w:rsid w:val="00D85FCF"/>
    <w:rsid w:val="00D86715"/>
    <w:rsid w:val="00D9011C"/>
    <w:rsid w:val="00D9048F"/>
    <w:rsid w:val="00D93113"/>
    <w:rsid w:val="00D96573"/>
    <w:rsid w:val="00D97230"/>
    <w:rsid w:val="00DA05D1"/>
    <w:rsid w:val="00DA3ABA"/>
    <w:rsid w:val="00DA58FB"/>
    <w:rsid w:val="00DB06DB"/>
    <w:rsid w:val="00DB095F"/>
    <w:rsid w:val="00DB3237"/>
    <w:rsid w:val="00DB445B"/>
    <w:rsid w:val="00DB4917"/>
    <w:rsid w:val="00DB59EB"/>
    <w:rsid w:val="00DB65A5"/>
    <w:rsid w:val="00DC1D50"/>
    <w:rsid w:val="00DC1DFB"/>
    <w:rsid w:val="00DC230D"/>
    <w:rsid w:val="00DC3309"/>
    <w:rsid w:val="00DC4053"/>
    <w:rsid w:val="00DC4A09"/>
    <w:rsid w:val="00DD2DFB"/>
    <w:rsid w:val="00DD33B8"/>
    <w:rsid w:val="00DD37B5"/>
    <w:rsid w:val="00DD388E"/>
    <w:rsid w:val="00DD3FAF"/>
    <w:rsid w:val="00DE37E5"/>
    <w:rsid w:val="00DE4002"/>
    <w:rsid w:val="00DE71DF"/>
    <w:rsid w:val="00DF3E3E"/>
    <w:rsid w:val="00DF5CB3"/>
    <w:rsid w:val="00DF61B8"/>
    <w:rsid w:val="00DF78E3"/>
    <w:rsid w:val="00E00566"/>
    <w:rsid w:val="00E013B9"/>
    <w:rsid w:val="00E02BF3"/>
    <w:rsid w:val="00E0518A"/>
    <w:rsid w:val="00E05969"/>
    <w:rsid w:val="00E0727C"/>
    <w:rsid w:val="00E13B5D"/>
    <w:rsid w:val="00E15D96"/>
    <w:rsid w:val="00E16B8E"/>
    <w:rsid w:val="00E17038"/>
    <w:rsid w:val="00E17C30"/>
    <w:rsid w:val="00E17D99"/>
    <w:rsid w:val="00E20465"/>
    <w:rsid w:val="00E21339"/>
    <w:rsid w:val="00E21823"/>
    <w:rsid w:val="00E2187C"/>
    <w:rsid w:val="00E23AD0"/>
    <w:rsid w:val="00E23F01"/>
    <w:rsid w:val="00E2505D"/>
    <w:rsid w:val="00E254D1"/>
    <w:rsid w:val="00E27D83"/>
    <w:rsid w:val="00E33C3B"/>
    <w:rsid w:val="00E34841"/>
    <w:rsid w:val="00E34E2C"/>
    <w:rsid w:val="00E365D4"/>
    <w:rsid w:val="00E36941"/>
    <w:rsid w:val="00E37154"/>
    <w:rsid w:val="00E4069A"/>
    <w:rsid w:val="00E41B2E"/>
    <w:rsid w:val="00E41F80"/>
    <w:rsid w:val="00E44BDB"/>
    <w:rsid w:val="00E44BF9"/>
    <w:rsid w:val="00E44C34"/>
    <w:rsid w:val="00E47113"/>
    <w:rsid w:val="00E47EA8"/>
    <w:rsid w:val="00E51D1F"/>
    <w:rsid w:val="00E5211D"/>
    <w:rsid w:val="00E53386"/>
    <w:rsid w:val="00E543B0"/>
    <w:rsid w:val="00E56EEC"/>
    <w:rsid w:val="00E6139A"/>
    <w:rsid w:val="00E61AA0"/>
    <w:rsid w:val="00E621AE"/>
    <w:rsid w:val="00E64213"/>
    <w:rsid w:val="00E64739"/>
    <w:rsid w:val="00E65C38"/>
    <w:rsid w:val="00E66E53"/>
    <w:rsid w:val="00E66E70"/>
    <w:rsid w:val="00E67C2D"/>
    <w:rsid w:val="00E705FD"/>
    <w:rsid w:val="00E71B5D"/>
    <w:rsid w:val="00E71E72"/>
    <w:rsid w:val="00E73AC3"/>
    <w:rsid w:val="00E73B2E"/>
    <w:rsid w:val="00E80258"/>
    <w:rsid w:val="00E815DF"/>
    <w:rsid w:val="00E827D2"/>
    <w:rsid w:val="00E847B5"/>
    <w:rsid w:val="00E85529"/>
    <w:rsid w:val="00E856A9"/>
    <w:rsid w:val="00E90867"/>
    <w:rsid w:val="00E93F66"/>
    <w:rsid w:val="00E94E41"/>
    <w:rsid w:val="00E957D3"/>
    <w:rsid w:val="00E9792E"/>
    <w:rsid w:val="00EA1139"/>
    <w:rsid w:val="00EA1F5F"/>
    <w:rsid w:val="00EA2E45"/>
    <w:rsid w:val="00EA3275"/>
    <w:rsid w:val="00EA7E19"/>
    <w:rsid w:val="00EB071D"/>
    <w:rsid w:val="00EB2D1E"/>
    <w:rsid w:val="00EB30A2"/>
    <w:rsid w:val="00EB4860"/>
    <w:rsid w:val="00EB52E5"/>
    <w:rsid w:val="00EB5993"/>
    <w:rsid w:val="00EB769C"/>
    <w:rsid w:val="00EB77D3"/>
    <w:rsid w:val="00EC23E9"/>
    <w:rsid w:val="00EC359C"/>
    <w:rsid w:val="00EC4C21"/>
    <w:rsid w:val="00EC54A1"/>
    <w:rsid w:val="00EC57BF"/>
    <w:rsid w:val="00EC58C3"/>
    <w:rsid w:val="00EC73E9"/>
    <w:rsid w:val="00ED2B2A"/>
    <w:rsid w:val="00EE067A"/>
    <w:rsid w:val="00EE18AA"/>
    <w:rsid w:val="00EE6865"/>
    <w:rsid w:val="00EE68AD"/>
    <w:rsid w:val="00EE7A93"/>
    <w:rsid w:val="00EF1BF4"/>
    <w:rsid w:val="00EF294B"/>
    <w:rsid w:val="00EF2C59"/>
    <w:rsid w:val="00EF4F5A"/>
    <w:rsid w:val="00EF606A"/>
    <w:rsid w:val="00EF6972"/>
    <w:rsid w:val="00EF766A"/>
    <w:rsid w:val="00F008E3"/>
    <w:rsid w:val="00F01ADB"/>
    <w:rsid w:val="00F034A2"/>
    <w:rsid w:val="00F10E51"/>
    <w:rsid w:val="00F12290"/>
    <w:rsid w:val="00F20E52"/>
    <w:rsid w:val="00F21A25"/>
    <w:rsid w:val="00F257BD"/>
    <w:rsid w:val="00F31165"/>
    <w:rsid w:val="00F320CF"/>
    <w:rsid w:val="00F32F26"/>
    <w:rsid w:val="00F3435A"/>
    <w:rsid w:val="00F377EA"/>
    <w:rsid w:val="00F37A47"/>
    <w:rsid w:val="00F4076E"/>
    <w:rsid w:val="00F4228A"/>
    <w:rsid w:val="00F42B25"/>
    <w:rsid w:val="00F42BC8"/>
    <w:rsid w:val="00F469A3"/>
    <w:rsid w:val="00F473CD"/>
    <w:rsid w:val="00F50CFC"/>
    <w:rsid w:val="00F525FA"/>
    <w:rsid w:val="00F52C97"/>
    <w:rsid w:val="00F54078"/>
    <w:rsid w:val="00F55C59"/>
    <w:rsid w:val="00F56260"/>
    <w:rsid w:val="00F57AAA"/>
    <w:rsid w:val="00F60F9D"/>
    <w:rsid w:val="00F6134D"/>
    <w:rsid w:val="00F62E0E"/>
    <w:rsid w:val="00F64C86"/>
    <w:rsid w:val="00F668CC"/>
    <w:rsid w:val="00F67824"/>
    <w:rsid w:val="00F709E4"/>
    <w:rsid w:val="00F7101D"/>
    <w:rsid w:val="00F7623D"/>
    <w:rsid w:val="00F81A5C"/>
    <w:rsid w:val="00F82336"/>
    <w:rsid w:val="00F8304D"/>
    <w:rsid w:val="00F87BAD"/>
    <w:rsid w:val="00F9075C"/>
    <w:rsid w:val="00F9209B"/>
    <w:rsid w:val="00F9330D"/>
    <w:rsid w:val="00F946FD"/>
    <w:rsid w:val="00F94C6A"/>
    <w:rsid w:val="00F957A3"/>
    <w:rsid w:val="00F95810"/>
    <w:rsid w:val="00F97A47"/>
    <w:rsid w:val="00FA0EED"/>
    <w:rsid w:val="00FA5DF2"/>
    <w:rsid w:val="00FA72E9"/>
    <w:rsid w:val="00FA7A7D"/>
    <w:rsid w:val="00FA7EAF"/>
    <w:rsid w:val="00FB0616"/>
    <w:rsid w:val="00FB2A0F"/>
    <w:rsid w:val="00FB3BE8"/>
    <w:rsid w:val="00FC10CE"/>
    <w:rsid w:val="00FC258E"/>
    <w:rsid w:val="00FC4DD4"/>
    <w:rsid w:val="00FC7AE5"/>
    <w:rsid w:val="00FD03EC"/>
    <w:rsid w:val="00FD1910"/>
    <w:rsid w:val="00FD1995"/>
    <w:rsid w:val="00FD282C"/>
    <w:rsid w:val="00FD2A21"/>
    <w:rsid w:val="00FD3135"/>
    <w:rsid w:val="00FD3E2D"/>
    <w:rsid w:val="00FD41E6"/>
    <w:rsid w:val="00FD4E12"/>
    <w:rsid w:val="00FD5E05"/>
    <w:rsid w:val="00FD5EDA"/>
    <w:rsid w:val="00FD7153"/>
    <w:rsid w:val="00FE164B"/>
    <w:rsid w:val="00FE1A5F"/>
    <w:rsid w:val="00FE1D9B"/>
    <w:rsid w:val="00FF0962"/>
    <w:rsid w:val="00FF2277"/>
    <w:rsid w:val="00FF4BA9"/>
    <w:rsid w:val="00FF6464"/>
    <w:rsid w:val="00FF746C"/>
    <w:rsid w:val="01633C3E"/>
    <w:rsid w:val="017F16CD"/>
    <w:rsid w:val="01BD557F"/>
    <w:rsid w:val="02B07F23"/>
    <w:rsid w:val="02B0C379"/>
    <w:rsid w:val="02D3243D"/>
    <w:rsid w:val="02D413D2"/>
    <w:rsid w:val="02DB3056"/>
    <w:rsid w:val="03387857"/>
    <w:rsid w:val="034520A8"/>
    <w:rsid w:val="039E0841"/>
    <w:rsid w:val="03EAFCCF"/>
    <w:rsid w:val="048DFC6A"/>
    <w:rsid w:val="049F1039"/>
    <w:rsid w:val="04B09089"/>
    <w:rsid w:val="04E39013"/>
    <w:rsid w:val="04F85BDD"/>
    <w:rsid w:val="050544DC"/>
    <w:rsid w:val="05326547"/>
    <w:rsid w:val="053AFE97"/>
    <w:rsid w:val="055A5C9B"/>
    <w:rsid w:val="05657F4E"/>
    <w:rsid w:val="05940A87"/>
    <w:rsid w:val="05A49D3C"/>
    <w:rsid w:val="05A7E3C7"/>
    <w:rsid w:val="05F0B37D"/>
    <w:rsid w:val="07062FF2"/>
    <w:rsid w:val="07251483"/>
    <w:rsid w:val="078AEB28"/>
    <w:rsid w:val="07AC6B96"/>
    <w:rsid w:val="07B512B8"/>
    <w:rsid w:val="07E7BE21"/>
    <w:rsid w:val="07F8E655"/>
    <w:rsid w:val="082B288E"/>
    <w:rsid w:val="08A18F5A"/>
    <w:rsid w:val="09ECC4F5"/>
    <w:rsid w:val="0AAB50C0"/>
    <w:rsid w:val="0AE2C74B"/>
    <w:rsid w:val="0AEC2B4B"/>
    <w:rsid w:val="0B04E5C0"/>
    <w:rsid w:val="0B0677BA"/>
    <w:rsid w:val="0B0BB79D"/>
    <w:rsid w:val="0B4A6FAE"/>
    <w:rsid w:val="0B928718"/>
    <w:rsid w:val="0BD9F0BB"/>
    <w:rsid w:val="0BEED73D"/>
    <w:rsid w:val="0C6936D6"/>
    <w:rsid w:val="0C6B1F54"/>
    <w:rsid w:val="0DCE64B4"/>
    <w:rsid w:val="0DF7E9DF"/>
    <w:rsid w:val="0E3E01C1"/>
    <w:rsid w:val="0E4C9CD6"/>
    <w:rsid w:val="0E656B7D"/>
    <w:rsid w:val="0EF16618"/>
    <w:rsid w:val="0EF793A2"/>
    <w:rsid w:val="0F2DBC85"/>
    <w:rsid w:val="0F3A5701"/>
    <w:rsid w:val="0F512452"/>
    <w:rsid w:val="0F5E2875"/>
    <w:rsid w:val="0FDB0A73"/>
    <w:rsid w:val="0FE1ED25"/>
    <w:rsid w:val="106EE0CB"/>
    <w:rsid w:val="107B0EA2"/>
    <w:rsid w:val="108F58D9"/>
    <w:rsid w:val="10B43DFC"/>
    <w:rsid w:val="110B9CCD"/>
    <w:rsid w:val="113FE39D"/>
    <w:rsid w:val="1182FF04"/>
    <w:rsid w:val="118F2611"/>
    <w:rsid w:val="11965C5A"/>
    <w:rsid w:val="119D2573"/>
    <w:rsid w:val="11A632B3"/>
    <w:rsid w:val="1243B4A5"/>
    <w:rsid w:val="12DBFB7A"/>
    <w:rsid w:val="12DCDAC7"/>
    <w:rsid w:val="133E4094"/>
    <w:rsid w:val="133F5257"/>
    <w:rsid w:val="1343C2C6"/>
    <w:rsid w:val="137989F6"/>
    <w:rsid w:val="13837E90"/>
    <w:rsid w:val="138A8C0B"/>
    <w:rsid w:val="13B1EE93"/>
    <w:rsid w:val="147C8E9A"/>
    <w:rsid w:val="147D275C"/>
    <w:rsid w:val="1496E9D9"/>
    <w:rsid w:val="149992B8"/>
    <w:rsid w:val="14CC32EA"/>
    <w:rsid w:val="14D5F236"/>
    <w:rsid w:val="14FE3868"/>
    <w:rsid w:val="15237737"/>
    <w:rsid w:val="162E2BBA"/>
    <w:rsid w:val="16596B75"/>
    <w:rsid w:val="18158D14"/>
    <w:rsid w:val="1844B43F"/>
    <w:rsid w:val="185C99E4"/>
    <w:rsid w:val="18BDABE3"/>
    <w:rsid w:val="19172567"/>
    <w:rsid w:val="195B153A"/>
    <w:rsid w:val="19A3E778"/>
    <w:rsid w:val="19DB865F"/>
    <w:rsid w:val="19F69183"/>
    <w:rsid w:val="1A27C7F6"/>
    <w:rsid w:val="1A2D6B76"/>
    <w:rsid w:val="1A32EE31"/>
    <w:rsid w:val="1A6AFB12"/>
    <w:rsid w:val="1A97E0AE"/>
    <w:rsid w:val="1B17113D"/>
    <w:rsid w:val="1B828693"/>
    <w:rsid w:val="1B976EAD"/>
    <w:rsid w:val="1BC33BFC"/>
    <w:rsid w:val="1BEA6B21"/>
    <w:rsid w:val="1C48F554"/>
    <w:rsid w:val="1C5E6585"/>
    <w:rsid w:val="1C5F95FD"/>
    <w:rsid w:val="1C923B39"/>
    <w:rsid w:val="1CD1CD59"/>
    <w:rsid w:val="1D527879"/>
    <w:rsid w:val="1D832A06"/>
    <w:rsid w:val="1D95C657"/>
    <w:rsid w:val="1DD94FCF"/>
    <w:rsid w:val="1DFCA3A0"/>
    <w:rsid w:val="1F31910D"/>
    <w:rsid w:val="1FA96636"/>
    <w:rsid w:val="1FC76A08"/>
    <w:rsid w:val="1FD6AE17"/>
    <w:rsid w:val="1FE63610"/>
    <w:rsid w:val="208B2C7F"/>
    <w:rsid w:val="209049FE"/>
    <w:rsid w:val="20A18F3B"/>
    <w:rsid w:val="213654C9"/>
    <w:rsid w:val="21A2237D"/>
    <w:rsid w:val="21A984AF"/>
    <w:rsid w:val="21CE17DD"/>
    <w:rsid w:val="22AD747A"/>
    <w:rsid w:val="2368822D"/>
    <w:rsid w:val="236A057E"/>
    <w:rsid w:val="23A18A66"/>
    <w:rsid w:val="24316928"/>
    <w:rsid w:val="24C73740"/>
    <w:rsid w:val="24E83063"/>
    <w:rsid w:val="25002E82"/>
    <w:rsid w:val="255D1AFF"/>
    <w:rsid w:val="2576C90A"/>
    <w:rsid w:val="25CF896F"/>
    <w:rsid w:val="26426CF1"/>
    <w:rsid w:val="2660533A"/>
    <w:rsid w:val="269CEE43"/>
    <w:rsid w:val="26AC5F97"/>
    <w:rsid w:val="26B1E18E"/>
    <w:rsid w:val="273A70CC"/>
    <w:rsid w:val="27CB4164"/>
    <w:rsid w:val="280287B2"/>
    <w:rsid w:val="287C622F"/>
    <w:rsid w:val="28A9FD1F"/>
    <w:rsid w:val="28B4EC2B"/>
    <w:rsid w:val="28E0B9BA"/>
    <w:rsid w:val="2900D391"/>
    <w:rsid w:val="2904A62E"/>
    <w:rsid w:val="299DE2D8"/>
    <w:rsid w:val="29FFB3D5"/>
    <w:rsid w:val="2A13A354"/>
    <w:rsid w:val="2A18FA7E"/>
    <w:rsid w:val="2A71154C"/>
    <w:rsid w:val="2AA56800"/>
    <w:rsid w:val="2AFBC459"/>
    <w:rsid w:val="2B19E5DB"/>
    <w:rsid w:val="2B963145"/>
    <w:rsid w:val="2BD4A038"/>
    <w:rsid w:val="2C3AF703"/>
    <w:rsid w:val="2C4E7540"/>
    <w:rsid w:val="2CF7E9DC"/>
    <w:rsid w:val="2D24171D"/>
    <w:rsid w:val="2D692854"/>
    <w:rsid w:val="2D8DF0DE"/>
    <w:rsid w:val="2DAD1464"/>
    <w:rsid w:val="2E01D916"/>
    <w:rsid w:val="2EB0442F"/>
    <w:rsid w:val="2EC65877"/>
    <w:rsid w:val="2F274699"/>
    <w:rsid w:val="2F6E1A92"/>
    <w:rsid w:val="2FA881D9"/>
    <w:rsid w:val="2FB8F319"/>
    <w:rsid w:val="2FD7E538"/>
    <w:rsid w:val="2FD831EF"/>
    <w:rsid w:val="2FFA8244"/>
    <w:rsid w:val="3038E58A"/>
    <w:rsid w:val="304DCE4E"/>
    <w:rsid w:val="30CB9008"/>
    <w:rsid w:val="312BBAA2"/>
    <w:rsid w:val="31313622"/>
    <w:rsid w:val="313A18FC"/>
    <w:rsid w:val="314F1375"/>
    <w:rsid w:val="316FE44D"/>
    <w:rsid w:val="31CB1294"/>
    <w:rsid w:val="31D2A9E7"/>
    <w:rsid w:val="323243BF"/>
    <w:rsid w:val="32C759ED"/>
    <w:rsid w:val="3302BE8A"/>
    <w:rsid w:val="3317EF8A"/>
    <w:rsid w:val="335CFCB3"/>
    <w:rsid w:val="336D1F4C"/>
    <w:rsid w:val="339EE0D8"/>
    <w:rsid w:val="33C78012"/>
    <w:rsid w:val="34026AAB"/>
    <w:rsid w:val="3404A9B3"/>
    <w:rsid w:val="340A6AEC"/>
    <w:rsid w:val="341CDE53"/>
    <w:rsid w:val="345A0244"/>
    <w:rsid w:val="345D2EA1"/>
    <w:rsid w:val="35FD3485"/>
    <w:rsid w:val="36170598"/>
    <w:rsid w:val="36358407"/>
    <w:rsid w:val="369B687E"/>
    <w:rsid w:val="36E7BE8E"/>
    <w:rsid w:val="3712ED6A"/>
    <w:rsid w:val="37521DE0"/>
    <w:rsid w:val="3784B2FD"/>
    <w:rsid w:val="37C51C79"/>
    <w:rsid w:val="37E73A1F"/>
    <w:rsid w:val="37F38A6F"/>
    <w:rsid w:val="380BA36C"/>
    <w:rsid w:val="38166216"/>
    <w:rsid w:val="381FA260"/>
    <w:rsid w:val="385ADDAD"/>
    <w:rsid w:val="38B9001E"/>
    <w:rsid w:val="38D24B4F"/>
    <w:rsid w:val="399E7DDB"/>
    <w:rsid w:val="39B503F9"/>
    <w:rsid w:val="39DE701F"/>
    <w:rsid w:val="39E857BC"/>
    <w:rsid w:val="3A397C3F"/>
    <w:rsid w:val="3A4A8B5E"/>
    <w:rsid w:val="3A937E16"/>
    <w:rsid w:val="3AF5A42A"/>
    <w:rsid w:val="3B1A9092"/>
    <w:rsid w:val="3B357854"/>
    <w:rsid w:val="3B5A7A3C"/>
    <w:rsid w:val="3B7BA401"/>
    <w:rsid w:val="3B8A68DE"/>
    <w:rsid w:val="3B8FADE0"/>
    <w:rsid w:val="3BA4D45E"/>
    <w:rsid w:val="3BEFD677"/>
    <w:rsid w:val="3C9AF033"/>
    <w:rsid w:val="3CEAD59E"/>
    <w:rsid w:val="3CEFF555"/>
    <w:rsid w:val="3CF0C7BA"/>
    <w:rsid w:val="3D1F5404"/>
    <w:rsid w:val="3D317DDD"/>
    <w:rsid w:val="3D560A6B"/>
    <w:rsid w:val="3DD20415"/>
    <w:rsid w:val="3DFF852F"/>
    <w:rsid w:val="3E17052C"/>
    <w:rsid w:val="3E45F002"/>
    <w:rsid w:val="3E46CC47"/>
    <w:rsid w:val="3E6351C2"/>
    <w:rsid w:val="3E967466"/>
    <w:rsid w:val="3ED99C42"/>
    <w:rsid w:val="3EFE9BF7"/>
    <w:rsid w:val="3F4E23DA"/>
    <w:rsid w:val="3F5362C9"/>
    <w:rsid w:val="3F8B60EE"/>
    <w:rsid w:val="3FB0D537"/>
    <w:rsid w:val="3FBE3718"/>
    <w:rsid w:val="3FF8105A"/>
    <w:rsid w:val="4013C246"/>
    <w:rsid w:val="4050053B"/>
    <w:rsid w:val="406B71B3"/>
    <w:rsid w:val="40961014"/>
    <w:rsid w:val="40A7C266"/>
    <w:rsid w:val="4119679F"/>
    <w:rsid w:val="41B431CA"/>
    <w:rsid w:val="421CB825"/>
    <w:rsid w:val="4245A995"/>
    <w:rsid w:val="429F4451"/>
    <w:rsid w:val="42A88C4F"/>
    <w:rsid w:val="42DE1FE2"/>
    <w:rsid w:val="430DFA3B"/>
    <w:rsid w:val="4326C158"/>
    <w:rsid w:val="4371C9C8"/>
    <w:rsid w:val="43FCB255"/>
    <w:rsid w:val="440128A4"/>
    <w:rsid w:val="4473422F"/>
    <w:rsid w:val="44ADFA8E"/>
    <w:rsid w:val="45087678"/>
    <w:rsid w:val="451E44AD"/>
    <w:rsid w:val="45510A4F"/>
    <w:rsid w:val="459AD263"/>
    <w:rsid w:val="45CB59F7"/>
    <w:rsid w:val="460B239B"/>
    <w:rsid w:val="46402E10"/>
    <w:rsid w:val="46743D90"/>
    <w:rsid w:val="46AC98F5"/>
    <w:rsid w:val="46B755B4"/>
    <w:rsid w:val="46DC33A4"/>
    <w:rsid w:val="46F6AD82"/>
    <w:rsid w:val="4700E9FE"/>
    <w:rsid w:val="47480E49"/>
    <w:rsid w:val="47551B56"/>
    <w:rsid w:val="4780A48D"/>
    <w:rsid w:val="47983C99"/>
    <w:rsid w:val="47F325F7"/>
    <w:rsid w:val="49DC6FDA"/>
    <w:rsid w:val="49F6B40B"/>
    <w:rsid w:val="4A638ADC"/>
    <w:rsid w:val="4AB88C33"/>
    <w:rsid w:val="4AC75410"/>
    <w:rsid w:val="4AE443F5"/>
    <w:rsid w:val="4B01F0F4"/>
    <w:rsid w:val="4B04A549"/>
    <w:rsid w:val="4B288AD5"/>
    <w:rsid w:val="4B2E46AB"/>
    <w:rsid w:val="4B35754E"/>
    <w:rsid w:val="4B41B444"/>
    <w:rsid w:val="4B43ED1F"/>
    <w:rsid w:val="4C1291DD"/>
    <w:rsid w:val="4CAB0532"/>
    <w:rsid w:val="4CD74A15"/>
    <w:rsid w:val="4CEDDE39"/>
    <w:rsid w:val="4D630A7F"/>
    <w:rsid w:val="4D6C5594"/>
    <w:rsid w:val="4D85B953"/>
    <w:rsid w:val="4D9760C8"/>
    <w:rsid w:val="4DB166EA"/>
    <w:rsid w:val="4E04BB03"/>
    <w:rsid w:val="4E0C9C1B"/>
    <w:rsid w:val="4E44296D"/>
    <w:rsid w:val="4E5BD972"/>
    <w:rsid w:val="4E5F9532"/>
    <w:rsid w:val="4E9B6611"/>
    <w:rsid w:val="4F41445F"/>
    <w:rsid w:val="4F4ABE8C"/>
    <w:rsid w:val="4F58491B"/>
    <w:rsid w:val="4FF47024"/>
    <w:rsid w:val="5042AEA4"/>
    <w:rsid w:val="50441BED"/>
    <w:rsid w:val="50B2C0FE"/>
    <w:rsid w:val="50B676FE"/>
    <w:rsid w:val="50CB1C28"/>
    <w:rsid w:val="5106F07C"/>
    <w:rsid w:val="518F3978"/>
    <w:rsid w:val="51D3EAAB"/>
    <w:rsid w:val="51E7B0A9"/>
    <w:rsid w:val="51FA475B"/>
    <w:rsid w:val="520DB4C5"/>
    <w:rsid w:val="522ED461"/>
    <w:rsid w:val="52F8A4FA"/>
    <w:rsid w:val="536157A2"/>
    <w:rsid w:val="539950D5"/>
    <w:rsid w:val="542805F2"/>
    <w:rsid w:val="542B7866"/>
    <w:rsid w:val="54E0CC65"/>
    <w:rsid w:val="54F176C4"/>
    <w:rsid w:val="54F27968"/>
    <w:rsid w:val="554106CD"/>
    <w:rsid w:val="55552C37"/>
    <w:rsid w:val="55686E7E"/>
    <w:rsid w:val="55A7851F"/>
    <w:rsid w:val="55C2630D"/>
    <w:rsid w:val="55E45211"/>
    <w:rsid w:val="56382762"/>
    <w:rsid w:val="5669813D"/>
    <w:rsid w:val="568D0895"/>
    <w:rsid w:val="569B5307"/>
    <w:rsid w:val="5728197C"/>
    <w:rsid w:val="57890089"/>
    <w:rsid w:val="57BD1DA5"/>
    <w:rsid w:val="58128D15"/>
    <w:rsid w:val="582DEFFC"/>
    <w:rsid w:val="58346126"/>
    <w:rsid w:val="587CCE71"/>
    <w:rsid w:val="58F01A30"/>
    <w:rsid w:val="5915C6C4"/>
    <w:rsid w:val="59234ECE"/>
    <w:rsid w:val="592F9E84"/>
    <w:rsid w:val="59A7F39A"/>
    <w:rsid w:val="5A3C87DC"/>
    <w:rsid w:val="5AD4B9B0"/>
    <w:rsid w:val="5AED54BA"/>
    <w:rsid w:val="5AF117D2"/>
    <w:rsid w:val="5B5A4397"/>
    <w:rsid w:val="5B62D295"/>
    <w:rsid w:val="5BA76EF4"/>
    <w:rsid w:val="5BA77FCE"/>
    <w:rsid w:val="5BD2ED19"/>
    <w:rsid w:val="5BD532DE"/>
    <w:rsid w:val="5BEAC2A2"/>
    <w:rsid w:val="5C3194E2"/>
    <w:rsid w:val="5C55D011"/>
    <w:rsid w:val="5C7B39DB"/>
    <w:rsid w:val="5C8A35E5"/>
    <w:rsid w:val="5CA05220"/>
    <w:rsid w:val="5CE6A786"/>
    <w:rsid w:val="5D47BF52"/>
    <w:rsid w:val="5DCC036A"/>
    <w:rsid w:val="5DF45B5F"/>
    <w:rsid w:val="5DFF2DB6"/>
    <w:rsid w:val="5EC4D408"/>
    <w:rsid w:val="5EE8D1C9"/>
    <w:rsid w:val="5EEA7441"/>
    <w:rsid w:val="5EF8A931"/>
    <w:rsid w:val="5F06138A"/>
    <w:rsid w:val="5F552537"/>
    <w:rsid w:val="5F58B913"/>
    <w:rsid w:val="5F8C18EA"/>
    <w:rsid w:val="5F937D1B"/>
    <w:rsid w:val="5FA52762"/>
    <w:rsid w:val="6024C06A"/>
    <w:rsid w:val="6075B75B"/>
    <w:rsid w:val="60A0D117"/>
    <w:rsid w:val="619CBDA3"/>
    <w:rsid w:val="61F63AE4"/>
    <w:rsid w:val="62645506"/>
    <w:rsid w:val="626B2E93"/>
    <w:rsid w:val="62A6361C"/>
    <w:rsid w:val="62AB9769"/>
    <w:rsid w:val="62DCBA6F"/>
    <w:rsid w:val="6310FD89"/>
    <w:rsid w:val="6363B48F"/>
    <w:rsid w:val="63730D63"/>
    <w:rsid w:val="6394B91B"/>
    <w:rsid w:val="6397AEFC"/>
    <w:rsid w:val="63B0F401"/>
    <w:rsid w:val="63E0516C"/>
    <w:rsid w:val="64091070"/>
    <w:rsid w:val="647A346E"/>
    <w:rsid w:val="648B9D80"/>
    <w:rsid w:val="64C9DE4B"/>
    <w:rsid w:val="65446700"/>
    <w:rsid w:val="656E8A45"/>
    <w:rsid w:val="658E378B"/>
    <w:rsid w:val="65B11093"/>
    <w:rsid w:val="65CCC650"/>
    <w:rsid w:val="66038AA0"/>
    <w:rsid w:val="660705B8"/>
    <w:rsid w:val="661653A6"/>
    <w:rsid w:val="66199C50"/>
    <w:rsid w:val="661C8682"/>
    <w:rsid w:val="66512B63"/>
    <w:rsid w:val="66B123A1"/>
    <w:rsid w:val="67159BFC"/>
    <w:rsid w:val="67353B4A"/>
    <w:rsid w:val="67383B84"/>
    <w:rsid w:val="675007F0"/>
    <w:rsid w:val="6859D9C8"/>
    <w:rsid w:val="68607F08"/>
    <w:rsid w:val="6876AA39"/>
    <w:rsid w:val="6882C689"/>
    <w:rsid w:val="688DA22E"/>
    <w:rsid w:val="68A37B48"/>
    <w:rsid w:val="68B3F36B"/>
    <w:rsid w:val="68E26E12"/>
    <w:rsid w:val="69031DAB"/>
    <w:rsid w:val="6934BC0A"/>
    <w:rsid w:val="69410D4B"/>
    <w:rsid w:val="69DA1590"/>
    <w:rsid w:val="69E1E321"/>
    <w:rsid w:val="69F7891D"/>
    <w:rsid w:val="6ACB5FE4"/>
    <w:rsid w:val="6ACD51EE"/>
    <w:rsid w:val="6AEE8E77"/>
    <w:rsid w:val="6B10F94D"/>
    <w:rsid w:val="6B293016"/>
    <w:rsid w:val="6B2C2EFC"/>
    <w:rsid w:val="6B30B04C"/>
    <w:rsid w:val="6B6378F5"/>
    <w:rsid w:val="6B719AFE"/>
    <w:rsid w:val="6C3FB6F0"/>
    <w:rsid w:val="6C95848B"/>
    <w:rsid w:val="6CAB551B"/>
    <w:rsid w:val="6D235673"/>
    <w:rsid w:val="6D2A8B40"/>
    <w:rsid w:val="6DEB9ECB"/>
    <w:rsid w:val="6ED5C2DD"/>
    <w:rsid w:val="6EE52825"/>
    <w:rsid w:val="6EEED26D"/>
    <w:rsid w:val="6F6FBD9A"/>
    <w:rsid w:val="6F93ED25"/>
    <w:rsid w:val="6FDAC847"/>
    <w:rsid w:val="702E6DFA"/>
    <w:rsid w:val="704E1138"/>
    <w:rsid w:val="70913459"/>
    <w:rsid w:val="70BC2FA8"/>
    <w:rsid w:val="70C95203"/>
    <w:rsid w:val="70CB965B"/>
    <w:rsid w:val="70ECFADB"/>
    <w:rsid w:val="7112C2D3"/>
    <w:rsid w:val="71511DAE"/>
    <w:rsid w:val="7155148E"/>
    <w:rsid w:val="715BF20F"/>
    <w:rsid w:val="7171BF71"/>
    <w:rsid w:val="719B7DA7"/>
    <w:rsid w:val="71BA354A"/>
    <w:rsid w:val="72219EF6"/>
    <w:rsid w:val="72464664"/>
    <w:rsid w:val="724A7FBC"/>
    <w:rsid w:val="727899BC"/>
    <w:rsid w:val="7330091E"/>
    <w:rsid w:val="73ED53A8"/>
    <w:rsid w:val="740359F1"/>
    <w:rsid w:val="74C3691F"/>
    <w:rsid w:val="74F40F23"/>
    <w:rsid w:val="75124681"/>
    <w:rsid w:val="7586570A"/>
    <w:rsid w:val="759C30DA"/>
    <w:rsid w:val="76209313"/>
    <w:rsid w:val="7631E173"/>
    <w:rsid w:val="764A6AFB"/>
    <w:rsid w:val="765240DC"/>
    <w:rsid w:val="76BFE830"/>
    <w:rsid w:val="7710BA14"/>
    <w:rsid w:val="77B05590"/>
    <w:rsid w:val="7853F8FF"/>
    <w:rsid w:val="789C9828"/>
    <w:rsid w:val="78D1B26E"/>
    <w:rsid w:val="7A0AD0E5"/>
    <w:rsid w:val="7A101FA7"/>
    <w:rsid w:val="7A401F23"/>
    <w:rsid w:val="7A6F734A"/>
    <w:rsid w:val="7A96DD2D"/>
    <w:rsid w:val="7B071C05"/>
    <w:rsid w:val="7BB04661"/>
    <w:rsid w:val="7BD0F4F1"/>
    <w:rsid w:val="7C234A96"/>
    <w:rsid w:val="7C2383EB"/>
    <w:rsid w:val="7C743177"/>
    <w:rsid w:val="7C858112"/>
    <w:rsid w:val="7C99FAA2"/>
    <w:rsid w:val="7D1C78DA"/>
    <w:rsid w:val="7D427B05"/>
    <w:rsid w:val="7DBCC782"/>
    <w:rsid w:val="7DD6F295"/>
    <w:rsid w:val="7E0884BC"/>
    <w:rsid w:val="7E12F33C"/>
    <w:rsid w:val="7E67C60F"/>
    <w:rsid w:val="7ED24029"/>
    <w:rsid w:val="7F22E3B5"/>
    <w:rsid w:val="7F235E67"/>
    <w:rsid w:val="7F320267"/>
    <w:rsid w:val="7F55E7D3"/>
    <w:rsid w:val="7F59A096"/>
    <w:rsid w:val="7FA858C7"/>
    <w:rsid w:val="7FA934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1262"/>
  <w15:docId w15:val="{B8CE9CDD-1C37-446E-9882-400A9663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E9A"/>
    <w:pPr>
      <w:spacing w:after="120"/>
    </w:pPr>
    <w:rPr>
      <w:sz w:val="20"/>
    </w:rPr>
  </w:style>
  <w:style w:type="paragraph" w:styleId="Heading1">
    <w:name w:val="heading 1"/>
    <w:basedOn w:val="Normal"/>
    <w:next w:val="Normal"/>
    <w:link w:val="Heading1Char"/>
    <w:uiPriority w:val="9"/>
    <w:qFormat/>
    <w:rsid w:val="00FE1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1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1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1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1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D9B"/>
    <w:rPr>
      <w:rFonts w:eastAsiaTheme="majorEastAsia" w:cstheme="majorBidi"/>
      <w:color w:val="272727" w:themeColor="text1" w:themeTint="D8"/>
    </w:rPr>
  </w:style>
  <w:style w:type="paragraph" w:styleId="Title">
    <w:name w:val="Title"/>
    <w:basedOn w:val="Normal"/>
    <w:next w:val="Normal"/>
    <w:link w:val="TitleChar"/>
    <w:uiPriority w:val="10"/>
    <w:qFormat/>
    <w:rsid w:val="00FE1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D9B"/>
    <w:pPr>
      <w:spacing w:before="160"/>
      <w:jc w:val="center"/>
    </w:pPr>
    <w:rPr>
      <w:i/>
      <w:iCs/>
      <w:color w:val="404040" w:themeColor="text1" w:themeTint="BF"/>
    </w:rPr>
  </w:style>
  <w:style w:type="character" w:customStyle="1" w:styleId="QuoteChar">
    <w:name w:val="Quote Char"/>
    <w:basedOn w:val="DefaultParagraphFont"/>
    <w:link w:val="Quote"/>
    <w:uiPriority w:val="29"/>
    <w:rsid w:val="00FE1D9B"/>
    <w:rPr>
      <w:i/>
      <w:iCs/>
      <w:color w:val="404040" w:themeColor="text1" w:themeTint="BF"/>
    </w:rPr>
  </w:style>
  <w:style w:type="paragraph" w:styleId="ListParagraph">
    <w:name w:val="List Paragraph"/>
    <w:basedOn w:val="Normal"/>
    <w:uiPriority w:val="34"/>
    <w:qFormat/>
    <w:rsid w:val="00FE1D9B"/>
    <w:pPr>
      <w:ind w:left="720"/>
      <w:contextualSpacing/>
    </w:pPr>
  </w:style>
  <w:style w:type="character" w:styleId="IntenseEmphasis">
    <w:name w:val="Intense Emphasis"/>
    <w:basedOn w:val="DefaultParagraphFont"/>
    <w:uiPriority w:val="21"/>
    <w:qFormat/>
    <w:rsid w:val="00FE1D9B"/>
    <w:rPr>
      <w:i/>
      <w:iCs/>
      <w:color w:val="0F4761" w:themeColor="accent1" w:themeShade="BF"/>
    </w:rPr>
  </w:style>
  <w:style w:type="paragraph" w:styleId="IntenseQuote">
    <w:name w:val="Intense Quote"/>
    <w:basedOn w:val="Normal"/>
    <w:next w:val="Normal"/>
    <w:link w:val="IntenseQuoteChar"/>
    <w:uiPriority w:val="30"/>
    <w:qFormat/>
    <w:rsid w:val="00FE1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D9B"/>
    <w:rPr>
      <w:i/>
      <w:iCs/>
      <w:color w:val="0F4761" w:themeColor="accent1" w:themeShade="BF"/>
    </w:rPr>
  </w:style>
  <w:style w:type="character" w:styleId="IntenseReference">
    <w:name w:val="Intense Reference"/>
    <w:basedOn w:val="DefaultParagraphFont"/>
    <w:uiPriority w:val="32"/>
    <w:qFormat/>
    <w:rsid w:val="00FE1D9B"/>
    <w:rPr>
      <w:b/>
      <w:bCs/>
      <w:smallCaps/>
      <w:color w:val="0F4761" w:themeColor="accent1" w:themeShade="BF"/>
      <w:spacing w:val="5"/>
    </w:rPr>
  </w:style>
  <w:style w:type="paragraph" w:styleId="NormalWeb">
    <w:name w:val="Normal (Web)"/>
    <w:basedOn w:val="Normal"/>
    <w:uiPriority w:val="99"/>
    <w:unhideWhenUsed/>
    <w:rsid w:val="008E287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F257BD"/>
  </w:style>
  <w:style w:type="character" w:customStyle="1" w:styleId="eop">
    <w:name w:val="eop"/>
    <w:basedOn w:val="DefaultParagraphFont"/>
    <w:rsid w:val="00F257BD"/>
  </w:style>
  <w:style w:type="paragraph" w:styleId="NoSpacing">
    <w:name w:val="No Spacing"/>
    <w:uiPriority w:val="1"/>
    <w:qFormat/>
    <w:rsid w:val="000A08E6"/>
    <w:pPr>
      <w:spacing w:after="0" w:line="240" w:lineRule="auto"/>
    </w:pPr>
  </w:style>
  <w:style w:type="paragraph" w:customStyle="1" w:styleId="paragraph">
    <w:name w:val="paragraph"/>
    <w:basedOn w:val="Normal"/>
    <w:rsid w:val="00B13964"/>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table" w:styleId="TableGrid">
    <w:name w:val="Table Grid"/>
    <w:basedOn w:val="TableNormal"/>
    <w:uiPriority w:val="39"/>
    <w:rsid w:val="00FA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8"/>
    <w:unhideWhenUsed/>
    <w:rsid w:val="00AE5668"/>
    <w:pPr>
      <w:tabs>
        <w:tab w:val="center" w:pos="4513"/>
        <w:tab w:val="right" w:pos="9026"/>
      </w:tabs>
      <w:spacing w:after="0" w:line="240" w:lineRule="auto"/>
    </w:pPr>
  </w:style>
  <w:style w:type="character" w:customStyle="1" w:styleId="FooterChar">
    <w:name w:val="Footer Char"/>
    <w:basedOn w:val="DefaultParagraphFont"/>
    <w:link w:val="Footer"/>
    <w:uiPriority w:val="8"/>
    <w:rsid w:val="00AE5668"/>
  </w:style>
  <w:style w:type="paragraph" w:styleId="Header">
    <w:name w:val="header"/>
    <w:basedOn w:val="Normal"/>
    <w:link w:val="HeaderChar"/>
    <w:uiPriority w:val="10"/>
    <w:unhideWhenUsed/>
    <w:rsid w:val="00A454E6"/>
    <w:pPr>
      <w:tabs>
        <w:tab w:val="center" w:pos="4513"/>
        <w:tab w:val="right" w:pos="9026"/>
      </w:tabs>
      <w:spacing w:after="0" w:line="240" w:lineRule="auto"/>
    </w:pPr>
  </w:style>
  <w:style w:type="character" w:customStyle="1" w:styleId="HeaderChar">
    <w:name w:val="Header Char"/>
    <w:basedOn w:val="DefaultParagraphFont"/>
    <w:link w:val="Header"/>
    <w:uiPriority w:val="10"/>
    <w:rsid w:val="00A454E6"/>
  </w:style>
  <w:style w:type="character" w:styleId="Strong">
    <w:name w:val="Strong"/>
    <w:basedOn w:val="DefaultParagraphFont"/>
    <w:uiPriority w:val="22"/>
    <w:qFormat/>
    <w:rsid w:val="00897176"/>
    <w:rPr>
      <w:b/>
      <w:bCs/>
    </w:rPr>
  </w:style>
  <w:style w:type="paragraph" w:styleId="CommentText">
    <w:name w:val="annotation text"/>
    <w:basedOn w:val="Normal"/>
    <w:link w:val="CommentTextChar"/>
    <w:uiPriority w:val="99"/>
    <w:unhideWhenUsed/>
    <w:rsid w:val="009C68AD"/>
    <w:pPr>
      <w:spacing w:line="240" w:lineRule="auto"/>
    </w:pPr>
    <w:rPr>
      <w:szCs w:val="20"/>
    </w:rPr>
  </w:style>
  <w:style w:type="character" w:customStyle="1" w:styleId="CommentTextChar">
    <w:name w:val="Comment Text Char"/>
    <w:basedOn w:val="DefaultParagraphFont"/>
    <w:link w:val="CommentText"/>
    <w:uiPriority w:val="99"/>
    <w:rsid w:val="009C68AD"/>
    <w:rPr>
      <w:sz w:val="20"/>
      <w:szCs w:val="20"/>
    </w:rPr>
  </w:style>
  <w:style w:type="character" w:styleId="CommentReference">
    <w:name w:val="annotation reference"/>
    <w:basedOn w:val="DefaultParagraphFont"/>
    <w:uiPriority w:val="99"/>
    <w:semiHidden/>
    <w:unhideWhenUsed/>
    <w:rsid w:val="009C68AD"/>
    <w:rPr>
      <w:sz w:val="16"/>
      <w:szCs w:val="16"/>
    </w:rPr>
  </w:style>
  <w:style w:type="character" w:styleId="Hyperlink">
    <w:name w:val="Hyperlink"/>
    <w:basedOn w:val="DefaultParagraphFont"/>
    <w:uiPriority w:val="99"/>
    <w:unhideWhenUsed/>
    <w:rsid w:val="00835ADA"/>
    <w:rPr>
      <w:color w:val="467886" w:themeColor="hyperlink"/>
      <w:u w:val="single"/>
    </w:rPr>
  </w:style>
  <w:style w:type="character" w:styleId="UnresolvedMention">
    <w:name w:val="Unresolved Mention"/>
    <w:basedOn w:val="DefaultParagraphFont"/>
    <w:uiPriority w:val="99"/>
    <w:semiHidden/>
    <w:unhideWhenUsed/>
    <w:rsid w:val="00835ADA"/>
    <w:rPr>
      <w:color w:val="605E5C"/>
      <w:shd w:val="clear" w:color="auto" w:fill="E1DFDD"/>
    </w:rPr>
  </w:style>
  <w:style w:type="character" w:styleId="FollowedHyperlink">
    <w:name w:val="FollowedHyperlink"/>
    <w:basedOn w:val="DefaultParagraphFont"/>
    <w:uiPriority w:val="99"/>
    <w:semiHidden/>
    <w:unhideWhenUsed/>
    <w:rsid w:val="00DD388E"/>
    <w:rPr>
      <w:color w:val="96607D" w:themeColor="followedHyperlink"/>
      <w:u w:val="single"/>
    </w:rPr>
  </w:style>
  <w:style w:type="paragraph" w:styleId="Revision">
    <w:name w:val="Revision"/>
    <w:hidden/>
    <w:uiPriority w:val="99"/>
    <w:semiHidden/>
    <w:rsid w:val="00BD7066"/>
    <w:pPr>
      <w:spacing w:after="0" w:line="240" w:lineRule="auto"/>
    </w:pPr>
  </w:style>
  <w:style w:type="character" w:customStyle="1" w:styleId="au-header-heading">
    <w:name w:val="au-header-heading"/>
    <w:basedOn w:val="DefaultParagraphFont"/>
    <w:rsid w:val="00FD5EDA"/>
  </w:style>
  <w:style w:type="character" w:customStyle="1" w:styleId="overflow-hidden">
    <w:name w:val="overflow-hidden"/>
    <w:basedOn w:val="DefaultParagraphFont"/>
    <w:rsid w:val="00CC1D1A"/>
  </w:style>
  <w:style w:type="paragraph" w:styleId="z-TopofForm">
    <w:name w:val="HTML Top of Form"/>
    <w:basedOn w:val="Normal"/>
    <w:next w:val="Normal"/>
    <w:link w:val="z-TopofFormChar"/>
    <w:hidden/>
    <w:uiPriority w:val="99"/>
    <w:semiHidden/>
    <w:unhideWhenUsed/>
    <w:rsid w:val="00CC1D1A"/>
    <w:pPr>
      <w:pBdr>
        <w:bottom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CC1D1A"/>
    <w:rPr>
      <w:rFonts w:ascii="Arial" w:eastAsia="Times New Roman" w:hAnsi="Arial" w:cs="Arial"/>
      <w:vanish/>
      <w:kern w:val="0"/>
      <w:sz w:val="16"/>
      <w:szCs w:val="16"/>
      <w:lang w:eastAsia="en-AU"/>
    </w:rPr>
  </w:style>
  <w:style w:type="paragraph" w:styleId="z-BottomofForm">
    <w:name w:val="HTML Bottom of Form"/>
    <w:basedOn w:val="Normal"/>
    <w:next w:val="Normal"/>
    <w:link w:val="z-BottomofFormChar"/>
    <w:hidden/>
    <w:uiPriority w:val="99"/>
    <w:semiHidden/>
    <w:unhideWhenUsed/>
    <w:rsid w:val="00CC1D1A"/>
    <w:pPr>
      <w:pBdr>
        <w:top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CC1D1A"/>
    <w:rPr>
      <w:rFonts w:ascii="Arial" w:eastAsia="Times New Roman" w:hAnsi="Arial" w:cs="Arial"/>
      <w:vanish/>
      <w:kern w:val="0"/>
      <w:sz w:val="16"/>
      <w:szCs w:val="16"/>
      <w:lang w:eastAsia="en-AU"/>
    </w:rPr>
  </w:style>
  <w:style w:type="paragraph" w:customStyle="1" w:styleId="Bodyafterbullets">
    <w:name w:val="Body after bullets"/>
    <w:basedOn w:val="Normal"/>
    <w:uiPriority w:val="11"/>
    <w:rsid w:val="00EA2E45"/>
    <w:pPr>
      <w:spacing w:before="120" w:line="280" w:lineRule="atLeast"/>
    </w:pPr>
    <w:rPr>
      <w:rFonts w:ascii="Arial" w:eastAsia="Times" w:hAnsi="Arial" w:cs="Times New Roman"/>
      <w:kern w:val="0"/>
      <w:sz w:val="21"/>
      <w:szCs w:val="20"/>
    </w:rPr>
  </w:style>
  <w:style w:type="paragraph" w:customStyle="1" w:styleId="Sectionbreakfirstpage">
    <w:name w:val="Section break first page"/>
    <w:basedOn w:val="Normal"/>
    <w:uiPriority w:val="5"/>
    <w:rsid w:val="00EA2E45"/>
    <w:pPr>
      <w:spacing w:after="0" w:line="240" w:lineRule="auto"/>
    </w:pPr>
    <w:rPr>
      <w:rFonts w:ascii="Arial" w:eastAsia="Times" w:hAnsi="Arial" w:cs="Times New Roman"/>
      <w:noProof/>
      <w:kern w:val="0"/>
      <w:sz w:val="12"/>
      <w:szCs w:val="20"/>
    </w:rPr>
  </w:style>
  <w:style w:type="paragraph" w:customStyle="1" w:styleId="Bannermarking">
    <w:name w:val="Banner marking"/>
    <w:basedOn w:val="Normal"/>
    <w:uiPriority w:val="11"/>
    <w:rsid w:val="00EA2E45"/>
    <w:pPr>
      <w:spacing w:after="0" w:line="280" w:lineRule="atLeast"/>
    </w:pPr>
    <w:rPr>
      <w:rFonts w:ascii="Arial" w:eastAsia="Times" w:hAnsi="Arial" w:cs="Times New Roman"/>
      <w:b/>
      <w:bCs/>
      <w:color w:val="000000" w:themeColor="text1"/>
      <w:kern w:val="0"/>
      <w:sz w:val="21"/>
      <w:szCs w:val="20"/>
    </w:rPr>
  </w:style>
  <w:style w:type="paragraph" w:styleId="FootnoteText">
    <w:name w:val="footnote text"/>
    <w:basedOn w:val="Normal"/>
    <w:link w:val="FootnoteTextChar"/>
    <w:uiPriority w:val="99"/>
    <w:semiHidden/>
    <w:unhideWhenUsed/>
    <w:rsid w:val="00EA2E45"/>
    <w:pPr>
      <w:spacing w:after="0" w:line="240" w:lineRule="auto"/>
    </w:pPr>
    <w:rPr>
      <w:szCs w:val="20"/>
    </w:rPr>
  </w:style>
  <w:style w:type="character" w:customStyle="1" w:styleId="FootnoteTextChar">
    <w:name w:val="Footnote Text Char"/>
    <w:basedOn w:val="DefaultParagraphFont"/>
    <w:link w:val="FootnoteText"/>
    <w:uiPriority w:val="99"/>
    <w:semiHidden/>
    <w:rsid w:val="00EA2E45"/>
    <w:rPr>
      <w:sz w:val="20"/>
      <w:szCs w:val="20"/>
    </w:rPr>
  </w:style>
  <w:style w:type="character" w:styleId="FootnoteReference">
    <w:name w:val="footnote reference"/>
    <w:basedOn w:val="DefaultParagraphFont"/>
    <w:uiPriority w:val="99"/>
    <w:semiHidden/>
    <w:unhideWhenUsed/>
    <w:rsid w:val="00EA2E45"/>
    <w:rPr>
      <w:vertAlign w:val="superscript"/>
    </w:rPr>
  </w:style>
  <w:style w:type="character" w:styleId="Emphasis">
    <w:name w:val="Emphasis"/>
    <w:basedOn w:val="DefaultParagraphFont"/>
    <w:uiPriority w:val="20"/>
    <w:qFormat/>
    <w:rsid w:val="00D56622"/>
    <w:rPr>
      <w:i/>
      <w:iCs/>
    </w:rPr>
  </w:style>
  <w:style w:type="character" w:customStyle="1" w:styleId="cf01">
    <w:name w:val="cf01"/>
    <w:basedOn w:val="DefaultParagraphFont"/>
    <w:rsid w:val="00E847B5"/>
    <w:rPr>
      <w:rFonts w:ascii="Segoe UI" w:hAnsi="Segoe UI" w:cs="Segoe UI" w:hint="default"/>
      <w:sz w:val="18"/>
      <w:szCs w:val="18"/>
    </w:rPr>
  </w:style>
  <w:style w:type="paragraph" w:customStyle="1" w:styleId="Default">
    <w:name w:val="Default"/>
    <w:rsid w:val="00187334"/>
    <w:pPr>
      <w:autoSpaceDE w:val="0"/>
      <w:autoSpaceDN w:val="0"/>
      <w:adjustRightInd w:val="0"/>
      <w:spacing w:after="0" w:line="240" w:lineRule="auto"/>
    </w:pPr>
    <w:rPr>
      <w:rFonts w:ascii="Times New Roman" w:hAnsi="Times New Roman" w:cs="Times New Roman"/>
      <w:color w:val="000000"/>
      <w:kern w:val="0"/>
    </w:rPr>
  </w:style>
  <w:style w:type="paragraph" w:styleId="CommentSubject">
    <w:name w:val="annotation subject"/>
    <w:basedOn w:val="CommentText"/>
    <w:next w:val="CommentText"/>
    <w:link w:val="CommentSubjectChar"/>
    <w:uiPriority w:val="99"/>
    <w:semiHidden/>
    <w:unhideWhenUsed/>
    <w:rsid w:val="000A48E6"/>
    <w:rPr>
      <w:b/>
      <w:bCs/>
    </w:rPr>
  </w:style>
  <w:style w:type="character" w:customStyle="1" w:styleId="CommentSubjectChar">
    <w:name w:val="Comment Subject Char"/>
    <w:basedOn w:val="CommentTextChar"/>
    <w:link w:val="CommentSubject"/>
    <w:uiPriority w:val="99"/>
    <w:semiHidden/>
    <w:rsid w:val="000A48E6"/>
    <w:rPr>
      <w:b/>
      <w:bCs/>
      <w:sz w:val="20"/>
      <w:szCs w:val="20"/>
    </w:rPr>
  </w:style>
  <w:style w:type="paragraph" w:customStyle="1" w:styleId="Accessibilitypara">
    <w:name w:val="Accessibility para"/>
    <w:uiPriority w:val="8"/>
    <w:rsid w:val="004D2347"/>
    <w:pPr>
      <w:spacing w:before="240" w:after="200" w:line="300" w:lineRule="atLeast"/>
    </w:pPr>
    <w:rPr>
      <w:rFonts w:ascii="Arial" w:eastAsia="Times" w:hAnsi="Arial" w:cs="Times New Roman"/>
      <w:kern w:val="0"/>
      <w:szCs w:val="19"/>
    </w:rPr>
  </w:style>
  <w:style w:type="paragraph" w:customStyle="1" w:styleId="Imprint">
    <w:name w:val="Imprint"/>
    <w:basedOn w:val="Normal"/>
    <w:uiPriority w:val="11"/>
    <w:rsid w:val="004D2347"/>
    <w:pPr>
      <w:spacing w:after="60" w:line="270" w:lineRule="atLeast"/>
    </w:pPr>
    <w:rPr>
      <w:rFonts w:ascii="Arial" w:eastAsia="Times" w:hAnsi="Arial" w:cs="Times New Roman"/>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9273">
      <w:bodyDiv w:val="1"/>
      <w:marLeft w:val="0"/>
      <w:marRight w:val="0"/>
      <w:marTop w:val="0"/>
      <w:marBottom w:val="0"/>
      <w:divBdr>
        <w:top w:val="none" w:sz="0" w:space="0" w:color="auto"/>
        <w:left w:val="none" w:sz="0" w:space="0" w:color="auto"/>
        <w:bottom w:val="none" w:sz="0" w:space="0" w:color="auto"/>
        <w:right w:val="none" w:sz="0" w:space="0" w:color="auto"/>
      </w:divBdr>
    </w:div>
    <w:div w:id="101346425">
      <w:bodyDiv w:val="1"/>
      <w:marLeft w:val="0"/>
      <w:marRight w:val="0"/>
      <w:marTop w:val="0"/>
      <w:marBottom w:val="0"/>
      <w:divBdr>
        <w:top w:val="none" w:sz="0" w:space="0" w:color="auto"/>
        <w:left w:val="none" w:sz="0" w:space="0" w:color="auto"/>
        <w:bottom w:val="none" w:sz="0" w:space="0" w:color="auto"/>
        <w:right w:val="none" w:sz="0" w:space="0" w:color="auto"/>
      </w:divBdr>
    </w:div>
    <w:div w:id="202452142">
      <w:bodyDiv w:val="1"/>
      <w:marLeft w:val="0"/>
      <w:marRight w:val="0"/>
      <w:marTop w:val="0"/>
      <w:marBottom w:val="0"/>
      <w:divBdr>
        <w:top w:val="none" w:sz="0" w:space="0" w:color="auto"/>
        <w:left w:val="none" w:sz="0" w:space="0" w:color="auto"/>
        <w:bottom w:val="none" w:sz="0" w:space="0" w:color="auto"/>
        <w:right w:val="none" w:sz="0" w:space="0" w:color="auto"/>
      </w:divBdr>
      <w:divsChild>
        <w:div w:id="877470315">
          <w:marLeft w:val="0"/>
          <w:marRight w:val="0"/>
          <w:marTop w:val="0"/>
          <w:marBottom w:val="0"/>
          <w:divBdr>
            <w:top w:val="none" w:sz="0" w:space="0" w:color="auto"/>
            <w:left w:val="none" w:sz="0" w:space="0" w:color="auto"/>
            <w:bottom w:val="none" w:sz="0" w:space="0" w:color="auto"/>
            <w:right w:val="none" w:sz="0" w:space="0" w:color="auto"/>
          </w:divBdr>
          <w:divsChild>
            <w:div w:id="969631909">
              <w:marLeft w:val="0"/>
              <w:marRight w:val="0"/>
              <w:marTop w:val="0"/>
              <w:marBottom w:val="0"/>
              <w:divBdr>
                <w:top w:val="none" w:sz="0" w:space="0" w:color="auto"/>
                <w:left w:val="none" w:sz="0" w:space="0" w:color="auto"/>
                <w:bottom w:val="none" w:sz="0" w:space="0" w:color="auto"/>
                <w:right w:val="none" w:sz="0" w:space="0" w:color="auto"/>
              </w:divBdr>
              <w:divsChild>
                <w:div w:id="1418601019">
                  <w:marLeft w:val="0"/>
                  <w:marRight w:val="0"/>
                  <w:marTop w:val="0"/>
                  <w:marBottom w:val="0"/>
                  <w:divBdr>
                    <w:top w:val="none" w:sz="0" w:space="0" w:color="auto"/>
                    <w:left w:val="none" w:sz="0" w:space="0" w:color="auto"/>
                    <w:bottom w:val="none" w:sz="0" w:space="0" w:color="auto"/>
                    <w:right w:val="none" w:sz="0" w:space="0" w:color="auto"/>
                  </w:divBdr>
                  <w:divsChild>
                    <w:div w:id="1504658769">
                      <w:marLeft w:val="0"/>
                      <w:marRight w:val="0"/>
                      <w:marTop w:val="0"/>
                      <w:marBottom w:val="0"/>
                      <w:divBdr>
                        <w:top w:val="none" w:sz="0" w:space="0" w:color="auto"/>
                        <w:left w:val="none" w:sz="0" w:space="0" w:color="auto"/>
                        <w:bottom w:val="none" w:sz="0" w:space="0" w:color="auto"/>
                        <w:right w:val="none" w:sz="0" w:space="0" w:color="auto"/>
                      </w:divBdr>
                      <w:divsChild>
                        <w:div w:id="1288047913">
                          <w:marLeft w:val="0"/>
                          <w:marRight w:val="0"/>
                          <w:marTop w:val="0"/>
                          <w:marBottom w:val="0"/>
                          <w:divBdr>
                            <w:top w:val="none" w:sz="0" w:space="0" w:color="auto"/>
                            <w:left w:val="none" w:sz="0" w:space="0" w:color="auto"/>
                            <w:bottom w:val="none" w:sz="0" w:space="0" w:color="auto"/>
                            <w:right w:val="none" w:sz="0" w:space="0" w:color="auto"/>
                          </w:divBdr>
                          <w:divsChild>
                            <w:div w:id="586185842">
                              <w:marLeft w:val="0"/>
                              <w:marRight w:val="0"/>
                              <w:marTop w:val="0"/>
                              <w:marBottom w:val="0"/>
                              <w:divBdr>
                                <w:top w:val="none" w:sz="0" w:space="0" w:color="auto"/>
                                <w:left w:val="none" w:sz="0" w:space="0" w:color="auto"/>
                                <w:bottom w:val="none" w:sz="0" w:space="0" w:color="auto"/>
                                <w:right w:val="none" w:sz="0" w:space="0" w:color="auto"/>
                              </w:divBdr>
                              <w:divsChild>
                                <w:div w:id="1840385956">
                                  <w:marLeft w:val="0"/>
                                  <w:marRight w:val="0"/>
                                  <w:marTop w:val="0"/>
                                  <w:marBottom w:val="0"/>
                                  <w:divBdr>
                                    <w:top w:val="none" w:sz="0" w:space="0" w:color="auto"/>
                                    <w:left w:val="none" w:sz="0" w:space="0" w:color="auto"/>
                                    <w:bottom w:val="none" w:sz="0" w:space="0" w:color="auto"/>
                                    <w:right w:val="none" w:sz="0" w:space="0" w:color="auto"/>
                                  </w:divBdr>
                                  <w:divsChild>
                                    <w:div w:id="1858762857">
                                      <w:marLeft w:val="0"/>
                                      <w:marRight w:val="0"/>
                                      <w:marTop w:val="0"/>
                                      <w:marBottom w:val="0"/>
                                      <w:divBdr>
                                        <w:top w:val="none" w:sz="0" w:space="0" w:color="auto"/>
                                        <w:left w:val="none" w:sz="0" w:space="0" w:color="auto"/>
                                        <w:bottom w:val="none" w:sz="0" w:space="0" w:color="auto"/>
                                        <w:right w:val="none" w:sz="0" w:space="0" w:color="auto"/>
                                      </w:divBdr>
                                      <w:divsChild>
                                        <w:div w:id="1504053658">
                                          <w:marLeft w:val="0"/>
                                          <w:marRight w:val="0"/>
                                          <w:marTop w:val="0"/>
                                          <w:marBottom w:val="0"/>
                                          <w:divBdr>
                                            <w:top w:val="none" w:sz="0" w:space="0" w:color="auto"/>
                                            <w:left w:val="none" w:sz="0" w:space="0" w:color="auto"/>
                                            <w:bottom w:val="none" w:sz="0" w:space="0" w:color="auto"/>
                                            <w:right w:val="none" w:sz="0" w:space="0" w:color="auto"/>
                                          </w:divBdr>
                                          <w:divsChild>
                                            <w:div w:id="200167108">
                                              <w:marLeft w:val="0"/>
                                              <w:marRight w:val="0"/>
                                              <w:marTop w:val="0"/>
                                              <w:marBottom w:val="0"/>
                                              <w:divBdr>
                                                <w:top w:val="none" w:sz="0" w:space="0" w:color="auto"/>
                                                <w:left w:val="none" w:sz="0" w:space="0" w:color="auto"/>
                                                <w:bottom w:val="none" w:sz="0" w:space="0" w:color="auto"/>
                                                <w:right w:val="none" w:sz="0" w:space="0" w:color="auto"/>
                                              </w:divBdr>
                                              <w:divsChild>
                                                <w:div w:id="471681043">
                                                  <w:marLeft w:val="0"/>
                                                  <w:marRight w:val="0"/>
                                                  <w:marTop w:val="0"/>
                                                  <w:marBottom w:val="0"/>
                                                  <w:divBdr>
                                                    <w:top w:val="none" w:sz="0" w:space="0" w:color="auto"/>
                                                    <w:left w:val="none" w:sz="0" w:space="0" w:color="auto"/>
                                                    <w:bottom w:val="none" w:sz="0" w:space="0" w:color="auto"/>
                                                    <w:right w:val="none" w:sz="0" w:space="0" w:color="auto"/>
                                                  </w:divBdr>
                                                  <w:divsChild>
                                                    <w:div w:id="1388459573">
                                                      <w:marLeft w:val="0"/>
                                                      <w:marRight w:val="0"/>
                                                      <w:marTop w:val="0"/>
                                                      <w:marBottom w:val="0"/>
                                                      <w:divBdr>
                                                        <w:top w:val="none" w:sz="0" w:space="0" w:color="auto"/>
                                                        <w:left w:val="none" w:sz="0" w:space="0" w:color="auto"/>
                                                        <w:bottom w:val="none" w:sz="0" w:space="0" w:color="auto"/>
                                                        <w:right w:val="none" w:sz="0" w:space="0" w:color="auto"/>
                                                      </w:divBdr>
                                                      <w:divsChild>
                                                        <w:div w:id="7437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8435">
                                              <w:marLeft w:val="0"/>
                                              <w:marRight w:val="0"/>
                                              <w:marTop w:val="0"/>
                                              <w:marBottom w:val="0"/>
                                              <w:divBdr>
                                                <w:top w:val="none" w:sz="0" w:space="0" w:color="auto"/>
                                                <w:left w:val="none" w:sz="0" w:space="0" w:color="auto"/>
                                                <w:bottom w:val="none" w:sz="0" w:space="0" w:color="auto"/>
                                                <w:right w:val="none" w:sz="0" w:space="0" w:color="auto"/>
                                              </w:divBdr>
                                              <w:divsChild>
                                                <w:div w:id="364184035">
                                                  <w:marLeft w:val="0"/>
                                                  <w:marRight w:val="0"/>
                                                  <w:marTop w:val="0"/>
                                                  <w:marBottom w:val="0"/>
                                                  <w:divBdr>
                                                    <w:top w:val="none" w:sz="0" w:space="0" w:color="auto"/>
                                                    <w:left w:val="none" w:sz="0" w:space="0" w:color="auto"/>
                                                    <w:bottom w:val="none" w:sz="0" w:space="0" w:color="auto"/>
                                                    <w:right w:val="none" w:sz="0" w:space="0" w:color="auto"/>
                                                  </w:divBdr>
                                                  <w:divsChild>
                                                    <w:div w:id="627053046">
                                                      <w:marLeft w:val="0"/>
                                                      <w:marRight w:val="0"/>
                                                      <w:marTop w:val="0"/>
                                                      <w:marBottom w:val="0"/>
                                                      <w:divBdr>
                                                        <w:top w:val="none" w:sz="0" w:space="0" w:color="auto"/>
                                                        <w:left w:val="none" w:sz="0" w:space="0" w:color="auto"/>
                                                        <w:bottom w:val="none" w:sz="0" w:space="0" w:color="auto"/>
                                                        <w:right w:val="none" w:sz="0" w:space="0" w:color="auto"/>
                                                      </w:divBdr>
                                                      <w:divsChild>
                                                        <w:div w:id="1465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269838">
          <w:marLeft w:val="0"/>
          <w:marRight w:val="0"/>
          <w:marTop w:val="0"/>
          <w:marBottom w:val="0"/>
          <w:divBdr>
            <w:top w:val="none" w:sz="0" w:space="0" w:color="auto"/>
            <w:left w:val="none" w:sz="0" w:space="0" w:color="auto"/>
            <w:bottom w:val="none" w:sz="0" w:space="0" w:color="auto"/>
            <w:right w:val="none" w:sz="0" w:space="0" w:color="auto"/>
          </w:divBdr>
          <w:divsChild>
            <w:div w:id="1477138197">
              <w:marLeft w:val="0"/>
              <w:marRight w:val="0"/>
              <w:marTop w:val="0"/>
              <w:marBottom w:val="0"/>
              <w:divBdr>
                <w:top w:val="none" w:sz="0" w:space="0" w:color="auto"/>
                <w:left w:val="none" w:sz="0" w:space="0" w:color="auto"/>
                <w:bottom w:val="none" w:sz="0" w:space="0" w:color="auto"/>
                <w:right w:val="none" w:sz="0" w:space="0" w:color="auto"/>
              </w:divBdr>
              <w:divsChild>
                <w:div w:id="738752176">
                  <w:marLeft w:val="0"/>
                  <w:marRight w:val="0"/>
                  <w:marTop w:val="0"/>
                  <w:marBottom w:val="0"/>
                  <w:divBdr>
                    <w:top w:val="none" w:sz="0" w:space="0" w:color="auto"/>
                    <w:left w:val="none" w:sz="0" w:space="0" w:color="auto"/>
                    <w:bottom w:val="none" w:sz="0" w:space="0" w:color="auto"/>
                    <w:right w:val="none" w:sz="0" w:space="0" w:color="auto"/>
                  </w:divBdr>
                  <w:divsChild>
                    <w:div w:id="16822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6993">
      <w:bodyDiv w:val="1"/>
      <w:marLeft w:val="0"/>
      <w:marRight w:val="0"/>
      <w:marTop w:val="0"/>
      <w:marBottom w:val="0"/>
      <w:divBdr>
        <w:top w:val="none" w:sz="0" w:space="0" w:color="auto"/>
        <w:left w:val="none" w:sz="0" w:space="0" w:color="auto"/>
        <w:bottom w:val="none" w:sz="0" w:space="0" w:color="auto"/>
        <w:right w:val="none" w:sz="0" w:space="0" w:color="auto"/>
      </w:divBdr>
      <w:divsChild>
        <w:div w:id="302737579">
          <w:marLeft w:val="0"/>
          <w:marRight w:val="0"/>
          <w:marTop w:val="0"/>
          <w:marBottom w:val="0"/>
          <w:divBdr>
            <w:top w:val="none" w:sz="0" w:space="0" w:color="auto"/>
            <w:left w:val="none" w:sz="0" w:space="0" w:color="auto"/>
            <w:bottom w:val="none" w:sz="0" w:space="0" w:color="auto"/>
            <w:right w:val="none" w:sz="0" w:space="0" w:color="auto"/>
          </w:divBdr>
          <w:divsChild>
            <w:div w:id="660039898">
              <w:marLeft w:val="0"/>
              <w:marRight w:val="0"/>
              <w:marTop w:val="0"/>
              <w:marBottom w:val="0"/>
              <w:divBdr>
                <w:top w:val="none" w:sz="0" w:space="0" w:color="auto"/>
                <w:left w:val="none" w:sz="0" w:space="0" w:color="auto"/>
                <w:bottom w:val="none" w:sz="0" w:space="0" w:color="auto"/>
                <w:right w:val="none" w:sz="0" w:space="0" w:color="auto"/>
              </w:divBdr>
              <w:divsChild>
                <w:div w:id="1557665181">
                  <w:marLeft w:val="0"/>
                  <w:marRight w:val="0"/>
                  <w:marTop w:val="0"/>
                  <w:marBottom w:val="0"/>
                  <w:divBdr>
                    <w:top w:val="none" w:sz="0" w:space="0" w:color="auto"/>
                    <w:left w:val="none" w:sz="0" w:space="0" w:color="auto"/>
                    <w:bottom w:val="none" w:sz="0" w:space="0" w:color="auto"/>
                    <w:right w:val="none" w:sz="0" w:space="0" w:color="auto"/>
                  </w:divBdr>
                  <w:divsChild>
                    <w:div w:id="4685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4288">
      <w:bodyDiv w:val="1"/>
      <w:marLeft w:val="0"/>
      <w:marRight w:val="0"/>
      <w:marTop w:val="0"/>
      <w:marBottom w:val="0"/>
      <w:divBdr>
        <w:top w:val="none" w:sz="0" w:space="0" w:color="auto"/>
        <w:left w:val="none" w:sz="0" w:space="0" w:color="auto"/>
        <w:bottom w:val="none" w:sz="0" w:space="0" w:color="auto"/>
        <w:right w:val="none" w:sz="0" w:space="0" w:color="auto"/>
      </w:divBdr>
    </w:div>
    <w:div w:id="315843178">
      <w:bodyDiv w:val="1"/>
      <w:marLeft w:val="0"/>
      <w:marRight w:val="0"/>
      <w:marTop w:val="0"/>
      <w:marBottom w:val="0"/>
      <w:divBdr>
        <w:top w:val="none" w:sz="0" w:space="0" w:color="auto"/>
        <w:left w:val="none" w:sz="0" w:space="0" w:color="auto"/>
        <w:bottom w:val="none" w:sz="0" w:space="0" w:color="auto"/>
        <w:right w:val="none" w:sz="0" w:space="0" w:color="auto"/>
      </w:divBdr>
    </w:div>
    <w:div w:id="400250702">
      <w:bodyDiv w:val="1"/>
      <w:marLeft w:val="0"/>
      <w:marRight w:val="0"/>
      <w:marTop w:val="0"/>
      <w:marBottom w:val="0"/>
      <w:divBdr>
        <w:top w:val="none" w:sz="0" w:space="0" w:color="auto"/>
        <w:left w:val="none" w:sz="0" w:space="0" w:color="auto"/>
        <w:bottom w:val="none" w:sz="0" w:space="0" w:color="auto"/>
        <w:right w:val="none" w:sz="0" w:space="0" w:color="auto"/>
      </w:divBdr>
    </w:div>
    <w:div w:id="868958759">
      <w:bodyDiv w:val="1"/>
      <w:marLeft w:val="0"/>
      <w:marRight w:val="0"/>
      <w:marTop w:val="0"/>
      <w:marBottom w:val="0"/>
      <w:divBdr>
        <w:top w:val="none" w:sz="0" w:space="0" w:color="auto"/>
        <w:left w:val="none" w:sz="0" w:space="0" w:color="auto"/>
        <w:bottom w:val="none" w:sz="0" w:space="0" w:color="auto"/>
        <w:right w:val="none" w:sz="0" w:space="0" w:color="auto"/>
      </w:divBdr>
      <w:divsChild>
        <w:div w:id="641927821">
          <w:marLeft w:val="0"/>
          <w:marRight w:val="0"/>
          <w:marTop w:val="0"/>
          <w:marBottom w:val="0"/>
          <w:divBdr>
            <w:top w:val="none" w:sz="0" w:space="0" w:color="auto"/>
            <w:left w:val="none" w:sz="0" w:space="0" w:color="auto"/>
            <w:bottom w:val="none" w:sz="0" w:space="0" w:color="auto"/>
            <w:right w:val="none" w:sz="0" w:space="0" w:color="auto"/>
          </w:divBdr>
        </w:div>
      </w:divsChild>
    </w:div>
    <w:div w:id="981497257">
      <w:bodyDiv w:val="1"/>
      <w:marLeft w:val="0"/>
      <w:marRight w:val="0"/>
      <w:marTop w:val="0"/>
      <w:marBottom w:val="0"/>
      <w:divBdr>
        <w:top w:val="none" w:sz="0" w:space="0" w:color="auto"/>
        <w:left w:val="none" w:sz="0" w:space="0" w:color="auto"/>
        <w:bottom w:val="none" w:sz="0" w:space="0" w:color="auto"/>
        <w:right w:val="none" w:sz="0" w:space="0" w:color="auto"/>
      </w:divBdr>
    </w:div>
    <w:div w:id="1041171148">
      <w:bodyDiv w:val="1"/>
      <w:marLeft w:val="0"/>
      <w:marRight w:val="0"/>
      <w:marTop w:val="0"/>
      <w:marBottom w:val="0"/>
      <w:divBdr>
        <w:top w:val="none" w:sz="0" w:space="0" w:color="auto"/>
        <w:left w:val="none" w:sz="0" w:space="0" w:color="auto"/>
        <w:bottom w:val="none" w:sz="0" w:space="0" w:color="auto"/>
        <w:right w:val="none" w:sz="0" w:space="0" w:color="auto"/>
      </w:divBdr>
      <w:divsChild>
        <w:div w:id="801927159">
          <w:marLeft w:val="0"/>
          <w:marRight w:val="0"/>
          <w:marTop w:val="0"/>
          <w:marBottom w:val="0"/>
          <w:divBdr>
            <w:top w:val="none" w:sz="0" w:space="0" w:color="auto"/>
            <w:left w:val="none" w:sz="0" w:space="0" w:color="auto"/>
            <w:bottom w:val="none" w:sz="0" w:space="0" w:color="auto"/>
            <w:right w:val="none" w:sz="0" w:space="0" w:color="auto"/>
          </w:divBdr>
        </w:div>
        <w:div w:id="1627658043">
          <w:marLeft w:val="0"/>
          <w:marRight w:val="0"/>
          <w:marTop w:val="0"/>
          <w:marBottom w:val="0"/>
          <w:divBdr>
            <w:top w:val="none" w:sz="0" w:space="0" w:color="auto"/>
            <w:left w:val="none" w:sz="0" w:space="0" w:color="auto"/>
            <w:bottom w:val="none" w:sz="0" w:space="0" w:color="auto"/>
            <w:right w:val="none" w:sz="0" w:space="0" w:color="auto"/>
          </w:divBdr>
          <w:divsChild>
            <w:div w:id="21129361">
              <w:marLeft w:val="0"/>
              <w:marRight w:val="0"/>
              <w:marTop w:val="0"/>
              <w:marBottom w:val="0"/>
              <w:divBdr>
                <w:top w:val="none" w:sz="0" w:space="0" w:color="auto"/>
                <w:left w:val="none" w:sz="0" w:space="0" w:color="auto"/>
                <w:bottom w:val="none" w:sz="0" w:space="0" w:color="auto"/>
                <w:right w:val="none" w:sz="0" w:space="0" w:color="auto"/>
              </w:divBdr>
            </w:div>
            <w:div w:id="153644519">
              <w:marLeft w:val="0"/>
              <w:marRight w:val="0"/>
              <w:marTop w:val="0"/>
              <w:marBottom w:val="0"/>
              <w:divBdr>
                <w:top w:val="none" w:sz="0" w:space="0" w:color="auto"/>
                <w:left w:val="none" w:sz="0" w:space="0" w:color="auto"/>
                <w:bottom w:val="none" w:sz="0" w:space="0" w:color="auto"/>
                <w:right w:val="none" w:sz="0" w:space="0" w:color="auto"/>
              </w:divBdr>
            </w:div>
            <w:div w:id="293104233">
              <w:marLeft w:val="0"/>
              <w:marRight w:val="0"/>
              <w:marTop w:val="0"/>
              <w:marBottom w:val="0"/>
              <w:divBdr>
                <w:top w:val="none" w:sz="0" w:space="0" w:color="auto"/>
                <w:left w:val="none" w:sz="0" w:space="0" w:color="auto"/>
                <w:bottom w:val="none" w:sz="0" w:space="0" w:color="auto"/>
                <w:right w:val="none" w:sz="0" w:space="0" w:color="auto"/>
              </w:divBdr>
            </w:div>
            <w:div w:id="1544709430">
              <w:marLeft w:val="0"/>
              <w:marRight w:val="0"/>
              <w:marTop w:val="0"/>
              <w:marBottom w:val="0"/>
              <w:divBdr>
                <w:top w:val="none" w:sz="0" w:space="0" w:color="auto"/>
                <w:left w:val="none" w:sz="0" w:space="0" w:color="auto"/>
                <w:bottom w:val="none" w:sz="0" w:space="0" w:color="auto"/>
                <w:right w:val="none" w:sz="0" w:space="0" w:color="auto"/>
              </w:divBdr>
            </w:div>
            <w:div w:id="1572278921">
              <w:marLeft w:val="0"/>
              <w:marRight w:val="0"/>
              <w:marTop w:val="0"/>
              <w:marBottom w:val="0"/>
              <w:divBdr>
                <w:top w:val="none" w:sz="0" w:space="0" w:color="auto"/>
                <w:left w:val="none" w:sz="0" w:space="0" w:color="auto"/>
                <w:bottom w:val="none" w:sz="0" w:space="0" w:color="auto"/>
                <w:right w:val="none" w:sz="0" w:space="0" w:color="auto"/>
              </w:divBdr>
            </w:div>
            <w:div w:id="1609121145">
              <w:marLeft w:val="0"/>
              <w:marRight w:val="0"/>
              <w:marTop w:val="0"/>
              <w:marBottom w:val="0"/>
              <w:divBdr>
                <w:top w:val="none" w:sz="0" w:space="0" w:color="auto"/>
                <w:left w:val="none" w:sz="0" w:space="0" w:color="auto"/>
                <w:bottom w:val="none" w:sz="0" w:space="0" w:color="auto"/>
                <w:right w:val="none" w:sz="0" w:space="0" w:color="auto"/>
              </w:divBdr>
            </w:div>
            <w:div w:id="1662999932">
              <w:marLeft w:val="0"/>
              <w:marRight w:val="0"/>
              <w:marTop w:val="0"/>
              <w:marBottom w:val="0"/>
              <w:divBdr>
                <w:top w:val="none" w:sz="0" w:space="0" w:color="auto"/>
                <w:left w:val="none" w:sz="0" w:space="0" w:color="auto"/>
                <w:bottom w:val="none" w:sz="0" w:space="0" w:color="auto"/>
                <w:right w:val="none" w:sz="0" w:space="0" w:color="auto"/>
              </w:divBdr>
            </w:div>
            <w:div w:id="1678925014">
              <w:marLeft w:val="0"/>
              <w:marRight w:val="0"/>
              <w:marTop w:val="0"/>
              <w:marBottom w:val="0"/>
              <w:divBdr>
                <w:top w:val="none" w:sz="0" w:space="0" w:color="auto"/>
                <w:left w:val="none" w:sz="0" w:space="0" w:color="auto"/>
                <w:bottom w:val="none" w:sz="0" w:space="0" w:color="auto"/>
                <w:right w:val="none" w:sz="0" w:space="0" w:color="auto"/>
              </w:divBdr>
            </w:div>
            <w:div w:id="1805544726">
              <w:marLeft w:val="0"/>
              <w:marRight w:val="0"/>
              <w:marTop w:val="0"/>
              <w:marBottom w:val="0"/>
              <w:divBdr>
                <w:top w:val="none" w:sz="0" w:space="0" w:color="auto"/>
                <w:left w:val="none" w:sz="0" w:space="0" w:color="auto"/>
                <w:bottom w:val="none" w:sz="0" w:space="0" w:color="auto"/>
                <w:right w:val="none" w:sz="0" w:space="0" w:color="auto"/>
              </w:divBdr>
            </w:div>
            <w:div w:id="1863670332">
              <w:marLeft w:val="0"/>
              <w:marRight w:val="0"/>
              <w:marTop w:val="0"/>
              <w:marBottom w:val="0"/>
              <w:divBdr>
                <w:top w:val="none" w:sz="0" w:space="0" w:color="auto"/>
                <w:left w:val="none" w:sz="0" w:space="0" w:color="auto"/>
                <w:bottom w:val="none" w:sz="0" w:space="0" w:color="auto"/>
                <w:right w:val="none" w:sz="0" w:space="0" w:color="auto"/>
              </w:divBdr>
            </w:div>
            <w:div w:id="19729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522">
      <w:bodyDiv w:val="1"/>
      <w:marLeft w:val="0"/>
      <w:marRight w:val="0"/>
      <w:marTop w:val="0"/>
      <w:marBottom w:val="0"/>
      <w:divBdr>
        <w:top w:val="none" w:sz="0" w:space="0" w:color="auto"/>
        <w:left w:val="none" w:sz="0" w:space="0" w:color="auto"/>
        <w:bottom w:val="none" w:sz="0" w:space="0" w:color="auto"/>
        <w:right w:val="none" w:sz="0" w:space="0" w:color="auto"/>
      </w:divBdr>
    </w:div>
    <w:div w:id="1146897689">
      <w:bodyDiv w:val="1"/>
      <w:marLeft w:val="0"/>
      <w:marRight w:val="0"/>
      <w:marTop w:val="0"/>
      <w:marBottom w:val="0"/>
      <w:divBdr>
        <w:top w:val="none" w:sz="0" w:space="0" w:color="auto"/>
        <w:left w:val="none" w:sz="0" w:space="0" w:color="auto"/>
        <w:bottom w:val="none" w:sz="0" w:space="0" w:color="auto"/>
        <w:right w:val="none" w:sz="0" w:space="0" w:color="auto"/>
      </w:divBdr>
    </w:div>
    <w:div w:id="1196699515">
      <w:bodyDiv w:val="1"/>
      <w:marLeft w:val="0"/>
      <w:marRight w:val="0"/>
      <w:marTop w:val="0"/>
      <w:marBottom w:val="0"/>
      <w:divBdr>
        <w:top w:val="none" w:sz="0" w:space="0" w:color="auto"/>
        <w:left w:val="none" w:sz="0" w:space="0" w:color="auto"/>
        <w:bottom w:val="none" w:sz="0" w:space="0" w:color="auto"/>
        <w:right w:val="none" w:sz="0" w:space="0" w:color="auto"/>
      </w:divBdr>
    </w:div>
    <w:div w:id="1222643809">
      <w:bodyDiv w:val="1"/>
      <w:marLeft w:val="0"/>
      <w:marRight w:val="0"/>
      <w:marTop w:val="0"/>
      <w:marBottom w:val="0"/>
      <w:divBdr>
        <w:top w:val="none" w:sz="0" w:space="0" w:color="auto"/>
        <w:left w:val="none" w:sz="0" w:space="0" w:color="auto"/>
        <w:bottom w:val="none" w:sz="0" w:space="0" w:color="auto"/>
        <w:right w:val="none" w:sz="0" w:space="0" w:color="auto"/>
      </w:divBdr>
    </w:div>
    <w:div w:id="1337804955">
      <w:bodyDiv w:val="1"/>
      <w:marLeft w:val="0"/>
      <w:marRight w:val="0"/>
      <w:marTop w:val="0"/>
      <w:marBottom w:val="0"/>
      <w:divBdr>
        <w:top w:val="none" w:sz="0" w:space="0" w:color="auto"/>
        <w:left w:val="none" w:sz="0" w:space="0" w:color="auto"/>
        <w:bottom w:val="none" w:sz="0" w:space="0" w:color="auto"/>
        <w:right w:val="none" w:sz="0" w:space="0" w:color="auto"/>
      </w:divBdr>
      <w:divsChild>
        <w:div w:id="743257254">
          <w:marLeft w:val="0"/>
          <w:marRight w:val="0"/>
          <w:marTop w:val="0"/>
          <w:marBottom w:val="0"/>
          <w:divBdr>
            <w:top w:val="none" w:sz="0" w:space="0" w:color="auto"/>
            <w:left w:val="none" w:sz="0" w:space="0" w:color="auto"/>
            <w:bottom w:val="none" w:sz="0" w:space="0" w:color="auto"/>
            <w:right w:val="none" w:sz="0" w:space="0" w:color="auto"/>
          </w:divBdr>
          <w:divsChild>
            <w:div w:id="1936859273">
              <w:marLeft w:val="0"/>
              <w:marRight w:val="0"/>
              <w:marTop w:val="0"/>
              <w:marBottom w:val="0"/>
              <w:divBdr>
                <w:top w:val="none" w:sz="0" w:space="0" w:color="auto"/>
                <w:left w:val="none" w:sz="0" w:space="0" w:color="auto"/>
                <w:bottom w:val="none" w:sz="0" w:space="0" w:color="auto"/>
                <w:right w:val="none" w:sz="0" w:space="0" w:color="auto"/>
              </w:divBdr>
              <w:divsChild>
                <w:div w:id="1276601501">
                  <w:marLeft w:val="0"/>
                  <w:marRight w:val="0"/>
                  <w:marTop w:val="0"/>
                  <w:marBottom w:val="0"/>
                  <w:divBdr>
                    <w:top w:val="none" w:sz="0" w:space="0" w:color="auto"/>
                    <w:left w:val="none" w:sz="0" w:space="0" w:color="auto"/>
                    <w:bottom w:val="none" w:sz="0" w:space="0" w:color="auto"/>
                    <w:right w:val="none" w:sz="0" w:space="0" w:color="auto"/>
                  </w:divBdr>
                  <w:divsChild>
                    <w:div w:id="431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8690">
      <w:bodyDiv w:val="1"/>
      <w:marLeft w:val="0"/>
      <w:marRight w:val="0"/>
      <w:marTop w:val="0"/>
      <w:marBottom w:val="0"/>
      <w:divBdr>
        <w:top w:val="none" w:sz="0" w:space="0" w:color="auto"/>
        <w:left w:val="none" w:sz="0" w:space="0" w:color="auto"/>
        <w:bottom w:val="none" w:sz="0" w:space="0" w:color="auto"/>
        <w:right w:val="none" w:sz="0" w:space="0" w:color="auto"/>
      </w:divBdr>
    </w:div>
    <w:div w:id="1525485624">
      <w:bodyDiv w:val="1"/>
      <w:marLeft w:val="0"/>
      <w:marRight w:val="0"/>
      <w:marTop w:val="0"/>
      <w:marBottom w:val="0"/>
      <w:divBdr>
        <w:top w:val="none" w:sz="0" w:space="0" w:color="auto"/>
        <w:left w:val="none" w:sz="0" w:space="0" w:color="auto"/>
        <w:bottom w:val="none" w:sz="0" w:space="0" w:color="auto"/>
        <w:right w:val="none" w:sz="0" w:space="0" w:color="auto"/>
      </w:divBdr>
    </w:div>
    <w:div w:id="1640380533">
      <w:bodyDiv w:val="1"/>
      <w:marLeft w:val="0"/>
      <w:marRight w:val="0"/>
      <w:marTop w:val="0"/>
      <w:marBottom w:val="0"/>
      <w:divBdr>
        <w:top w:val="none" w:sz="0" w:space="0" w:color="auto"/>
        <w:left w:val="none" w:sz="0" w:space="0" w:color="auto"/>
        <w:bottom w:val="none" w:sz="0" w:space="0" w:color="auto"/>
        <w:right w:val="none" w:sz="0" w:space="0" w:color="auto"/>
      </w:divBdr>
      <w:divsChild>
        <w:div w:id="651836096">
          <w:marLeft w:val="0"/>
          <w:marRight w:val="0"/>
          <w:marTop w:val="0"/>
          <w:marBottom w:val="0"/>
          <w:divBdr>
            <w:top w:val="none" w:sz="0" w:space="0" w:color="auto"/>
            <w:left w:val="none" w:sz="0" w:space="0" w:color="auto"/>
            <w:bottom w:val="none" w:sz="0" w:space="0" w:color="auto"/>
            <w:right w:val="none" w:sz="0" w:space="0" w:color="auto"/>
          </w:divBdr>
          <w:divsChild>
            <w:div w:id="188422203">
              <w:marLeft w:val="0"/>
              <w:marRight w:val="0"/>
              <w:marTop w:val="0"/>
              <w:marBottom w:val="0"/>
              <w:divBdr>
                <w:top w:val="none" w:sz="0" w:space="0" w:color="auto"/>
                <w:left w:val="none" w:sz="0" w:space="0" w:color="auto"/>
                <w:bottom w:val="none" w:sz="0" w:space="0" w:color="auto"/>
                <w:right w:val="none" w:sz="0" w:space="0" w:color="auto"/>
              </w:divBdr>
              <w:divsChild>
                <w:div w:id="1350521859">
                  <w:marLeft w:val="0"/>
                  <w:marRight w:val="0"/>
                  <w:marTop w:val="0"/>
                  <w:marBottom w:val="0"/>
                  <w:divBdr>
                    <w:top w:val="none" w:sz="0" w:space="0" w:color="auto"/>
                    <w:left w:val="none" w:sz="0" w:space="0" w:color="auto"/>
                    <w:bottom w:val="none" w:sz="0" w:space="0" w:color="auto"/>
                    <w:right w:val="none" w:sz="0" w:space="0" w:color="auto"/>
                  </w:divBdr>
                  <w:divsChild>
                    <w:div w:id="19016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78909">
      <w:bodyDiv w:val="1"/>
      <w:marLeft w:val="0"/>
      <w:marRight w:val="0"/>
      <w:marTop w:val="0"/>
      <w:marBottom w:val="0"/>
      <w:divBdr>
        <w:top w:val="none" w:sz="0" w:space="0" w:color="auto"/>
        <w:left w:val="none" w:sz="0" w:space="0" w:color="auto"/>
        <w:bottom w:val="none" w:sz="0" w:space="0" w:color="auto"/>
        <w:right w:val="none" w:sz="0" w:space="0" w:color="auto"/>
      </w:divBdr>
    </w:div>
    <w:div w:id="1697467040">
      <w:bodyDiv w:val="1"/>
      <w:marLeft w:val="0"/>
      <w:marRight w:val="0"/>
      <w:marTop w:val="0"/>
      <w:marBottom w:val="0"/>
      <w:divBdr>
        <w:top w:val="none" w:sz="0" w:space="0" w:color="auto"/>
        <w:left w:val="none" w:sz="0" w:space="0" w:color="auto"/>
        <w:bottom w:val="none" w:sz="0" w:space="0" w:color="auto"/>
        <w:right w:val="none" w:sz="0" w:space="0" w:color="auto"/>
      </w:divBdr>
    </w:div>
    <w:div w:id="1743913054">
      <w:bodyDiv w:val="1"/>
      <w:marLeft w:val="0"/>
      <w:marRight w:val="0"/>
      <w:marTop w:val="0"/>
      <w:marBottom w:val="0"/>
      <w:divBdr>
        <w:top w:val="none" w:sz="0" w:space="0" w:color="auto"/>
        <w:left w:val="none" w:sz="0" w:space="0" w:color="auto"/>
        <w:bottom w:val="none" w:sz="0" w:space="0" w:color="auto"/>
        <w:right w:val="none" w:sz="0" w:space="0" w:color="auto"/>
      </w:divBdr>
    </w:div>
    <w:div w:id="1754622409">
      <w:bodyDiv w:val="1"/>
      <w:marLeft w:val="0"/>
      <w:marRight w:val="0"/>
      <w:marTop w:val="0"/>
      <w:marBottom w:val="0"/>
      <w:divBdr>
        <w:top w:val="none" w:sz="0" w:space="0" w:color="auto"/>
        <w:left w:val="none" w:sz="0" w:space="0" w:color="auto"/>
        <w:bottom w:val="none" w:sz="0" w:space="0" w:color="auto"/>
        <w:right w:val="none" w:sz="0" w:space="0" w:color="auto"/>
      </w:divBdr>
    </w:div>
    <w:div w:id="1776947994">
      <w:bodyDiv w:val="1"/>
      <w:marLeft w:val="0"/>
      <w:marRight w:val="0"/>
      <w:marTop w:val="0"/>
      <w:marBottom w:val="0"/>
      <w:divBdr>
        <w:top w:val="none" w:sz="0" w:space="0" w:color="auto"/>
        <w:left w:val="none" w:sz="0" w:space="0" w:color="auto"/>
        <w:bottom w:val="none" w:sz="0" w:space="0" w:color="auto"/>
        <w:right w:val="none" w:sz="0" w:space="0" w:color="auto"/>
      </w:divBdr>
      <w:divsChild>
        <w:div w:id="1598245863">
          <w:marLeft w:val="0"/>
          <w:marRight w:val="0"/>
          <w:marTop w:val="0"/>
          <w:marBottom w:val="0"/>
          <w:divBdr>
            <w:top w:val="none" w:sz="0" w:space="0" w:color="auto"/>
            <w:left w:val="none" w:sz="0" w:space="0" w:color="auto"/>
            <w:bottom w:val="none" w:sz="0" w:space="0" w:color="auto"/>
            <w:right w:val="none" w:sz="0" w:space="0" w:color="auto"/>
          </w:divBdr>
          <w:divsChild>
            <w:div w:id="384985908">
              <w:marLeft w:val="0"/>
              <w:marRight w:val="0"/>
              <w:marTop w:val="0"/>
              <w:marBottom w:val="0"/>
              <w:divBdr>
                <w:top w:val="none" w:sz="0" w:space="0" w:color="auto"/>
                <w:left w:val="none" w:sz="0" w:space="0" w:color="auto"/>
                <w:bottom w:val="none" w:sz="0" w:space="0" w:color="auto"/>
                <w:right w:val="none" w:sz="0" w:space="0" w:color="auto"/>
              </w:divBdr>
              <w:divsChild>
                <w:div w:id="248850011">
                  <w:marLeft w:val="0"/>
                  <w:marRight w:val="0"/>
                  <w:marTop w:val="0"/>
                  <w:marBottom w:val="0"/>
                  <w:divBdr>
                    <w:top w:val="none" w:sz="0" w:space="0" w:color="auto"/>
                    <w:left w:val="none" w:sz="0" w:space="0" w:color="auto"/>
                    <w:bottom w:val="none" w:sz="0" w:space="0" w:color="auto"/>
                    <w:right w:val="none" w:sz="0" w:space="0" w:color="auto"/>
                  </w:divBdr>
                  <w:divsChild>
                    <w:div w:id="8745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5999">
      <w:bodyDiv w:val="1"/>
      <w:marLeft w:val="0"/>
      <w:marRight w:val="0"/>
      <w:marTop w:val="0"/>
      <w:marBottom w:val="0"/>
      <w:divBdr>
        <w:top w:val="none" w:sz="0" w:space="0" w:color="auto"/>
        <w:left w:val="none" w:sz="0" w:space="0" w:color="auto"/>
        <w:bottom w:val="none" w:sz="0" w:space="0" w:color="auto"/>
        <w:right w:val="none" w:sz="0" w:space="0" w:color="auto"/>
      </w:divBdr>
    </w:div>
    <w:div w:id="203322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onerscourt.vic.gov.au/sites/default/files/2021-05/IanFraser_692119.pdf" TargetMode="External"/><Relationship Id="rId18" Type="http://schemas.openxmlformats.org/officeDocument/2006/relationships/hyperlink" Target="https://www.safetyandquality.gov.au/standards/nsqhs-standards/medication-safety-standar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afetyandquality.gov.au/our-work/medicines-safety-and-quality/electronic-medication-management/electronic-medication-management-systems-guide-safe-implementation" TargetMode="External"/><Relationship Id="rId7" Type="http://schemas.openxmlformats.org/officeDocument/2006/relationships/settings" Target="settings.xml"/><Relationship Id="rId12" Type="http://schemas.openxmlformats.org/officeDocument/2006/relationships/hyperlink" Target="https://www.coronerscourt.vic.gov.au/sites/default/files/2021-05/IanFraser_692119.pdf" TargetMode="External"/><Relationship Id="rId17" Type="http://schemas.openxmlformats.org/officeDocument/2006/relationships/hyperlink" Target="https://www.safetyandquality.gov.au/our-work/medicines-safety-and-quality/high-risk-medicines/apinchs-classification-high-risk-medicin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tyandquality.gov.au/our-work/medication-safety/high-risk-medicines/apinchs-classification-high-risk-medicines" TargetMode="External"/><Relationship Id="rId20" Type="http://schemas.openxmlformats.org/officeDocument/2006/relationships/hyperlink" Target="https://www.safetyandquality.gov.au/our-work/medication-safety/electronic-medication-management/electronic-medication-management-systems-guide-safe-implem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electronic-medication-management-prescribing-high-risk-medicine-guidance" TargetMode="External"/><Relationship Id="rId5" Type="http://schemas.openxmlformats.org/officeDocument/2006/relationships/numbering" Target="numbering.xml"/><Relationship Id="rId15" Type="http://schemas.openxmlformats.org/officeDocument/2006/relationships/hyperlink" Target="https://www.coronerscourt.vic.gov.au/sites/default/files/FINDING_SALVESON.pdf" TargetMode="External"/><Relationship Id="rId23" Type="http://schemas.openxmlformats.org/officeDocument/2006/relationships/hyperlink" Target="mailto:myhealthrecord@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tyandquality.gov.au/standards/nsqhs-standards/medication-safety-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onerscourt.vic.gov.au/sites/default/files/FINDING_SALVESON.pdf" TargetMode="External"/><Relationship Id="rId22" Type="http://schemas.openxmlformats.org/officeDocument/2006/relationships/hyperlink" Target="https://www.health.vic.gov.au/publications/electronic-medication-management-prescribing-high-risk-medicine-guid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ec1398ba-5a60-46a3-8146-eb897584b7aa" xsi:nil="true"/>
    <_Flow_SignoffStatus xmlns="ec1398ba-5a60-46a3-8146-eb897584b7aa" xsi:nil="true"/>
    <TaxCatchAll xmlns="5ce0f2b5-5be5-4508-bce9-d7011ece0659" xsi:nil="true"/>
    <lcf76f155ced4ddcb4097134ff3c332f xmlns="ec1398ba-5a60-46a3-8146-eb897584b7aa">
      <Terms xmlns="http://schemas.microsoft.com/office/infopath/2007/PartnerControls"/>
    </lcf76f155ced4ddcb4097134ff3c332f>
    <DocType xmlns="ec1398ba-5a60-46a3-8146-eb897584b7aa" xsi:nil="true"/>
    <TRIM xmlns="ec1398ba-5a60-46a3-8146-eb897584b7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23" ma:contentTypeDescription="Create a new document." ma:contentTypeScope="" ma:versionID="85cec60681e08614cb856cfe65811aa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8d196633e8b8a31d9014c9ce4b233f5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TRIM" minOccurs="0"/>
                <xsd:element ref="ns2:_Flow_SignoffStatus" minOccurs="0"/>
                <xsd:element ref="ns2:MediaServiceLocation" minOccurs="0"/>
                <xsd:element ref="ns2:DocType" minOccurs="0"/>
                <xsd:element ref="ns2:Projec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 ma:index="23" nillable="true" ma:displayName="TRIM" ma:description="HHSF/21/12073" ma:format="Dropdown" ma:internalName="TRIM">
      <xsd:simpleType>
        <xsd:restriction base="dms:Text">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DocType" ma:index="26" nillable="true" ma:displayName="Doc Type" ma:description="Categorise the type of document for this meeting" ma:format="Dropdown" ma:internalName="DocType">
      <xsd:simpleType>
        <xsd:restriction base="dms:Choice">
          <xsd:enumeration value="Agenda"/>
          <xsd:enumeration value="Minutes"/>
          <xsd:enumeration value="Presentation"/>
          <xsd:enumeration value="Paper"/>
          <xsd:enumeration value="Governance"/>
          <xsd:enumeration value="Report"/>
          <xsd:enumeration value="Briefing"/>
          <xsd:enumeration value="Administration"/>
        </xsd:restriction>
      </xsd:simpleType>
    </xsd:element>
    <xsd:element name="Project" ma:index="27" nillable="true" ma:displayName="Project" ma:format="Dropdown" ma:internalName="Projec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f7f9b2-3623-4cc5-b4b6-dab3ee4a1c2b}"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44AF-604A-476B-B6EC-06249361B516}">
  <ds:schemaRefs>
    <ds:schemaRef ds:uri="http://schemas.microsoft.com/sharepoint/v3/contenttype/forms"/>
  </ds:schemaRefs>
</ds:datastoreItem>
</file>

<file path=customXml/itemProps2.xml><?xml version="1.0" encoding="utf-8"?>
<ds:datastoreItem xmlns:ds="http://schemas.openxmlformats.org/officeDocument/2006/customXml" ds:itemID="{02472FDF-AF02-41A7-BDED-29FA3C9D8C7C}">
  <ds:schemaRefs>
    <ds:schemaRef ds:uri="http://schemas.microsoft.com/office/2006/metadata/properties"/>
    <ds:schemaRef ds:uri="http://schemas.microsoft.com/office/infopath/2007/PartnerControls"/>
    <ds:schemaRef ds:uri="ec1398ba-5a60-46a3-8146-eb897584b7aa"/>
    <ds:schemaRef ds:uri="5ce0f2b5-5be5-4508-bce9-d7011ece0659"/>
  </ds:schemaRefs>
</ds:datastoreItem>
</file>

<file path=customXml/itemProps3.xml><?xml version="1.0" encoding="utf-8"?>
<ds:datastoreItem xmlns:ds="http://schemas.openxmlformats.org/officeDocument/2006/customXml" ds:itemID="{A76C26F0-E0D7-4A12-868F-84DAECD1A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AA989-EFDB-4A99-A8B6-BF654F41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Electronic Medication Management – Prescribing High-Risk Medicine Guidance</vt:lpstr>
    </vt:vector>
  </TitlesOfParts>
  <Company>Department of Health</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Medication Management – Prescribing High-Risk Medicine Guidance</dc:title>
  <dc:subject/>
  <dc:creator>eHealth</dc:creator>
  <cp:keywords/>
  <dc:description/>
  <cp:lastModifiedBy>Tyler McPherson (Health)</cp:lastModifiedBy>
  <cp:revision>3</cp:revision>
  <dcterms:created xsi:type="dcterms:W3CDTF">2025-06-17T05:48:00Z</dcterms:created>
  <dcterms:modified xsi:type="dcterms:W3CDTF">2025-06-17T06:13:00Z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2024-08-27T01:55:19Z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084c74a1-0329-4ec3-8b36-f6335608e093</vt:lpwstr>
  </property>
  <property fmtid="{D5CDD505-2E9C-101B-9397-08002B2CF9AE}" pid="8" name="MSIP_Label_43e64453-338c-4f93-8a4d-0039a0a41f2a_ContentBits">
    <vt:lpwstr>2</vt:lpwstr>
  </property>
  <property fmtid="{D5CDD505-2E9C-101B-9397-08002B2CF9AE}" pid="9" name="ContentTypeId">
    <vt:lpwstr>0x0101002034AE7E069AEE4FB0313CB30B42D859</vt:lpwstr>
  </property>
  <property fmtid="{D5CDD505-2E9C-101B-9397-08002B2CF9AE}" pid="10" name="MediaServiceImageTags">
    <vt:lpwstr/>
  </property>
</Properties>
</file>