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C61F2" w14:textId="77777777" w:rsidR="00056EC4" w:rsidRDefault="00E9042A" w:rsidP="00056EC4">
      <w:pPr>
        <w:pStyle w:val="Body"/>
      </w:pPr>
      <w:r>
        <w:rPr>
          <w:noProof/>
        </w:rPr>
        <w:drawing>
          <wp:anchor distT="0" distB="0" distL="114300" distR="114300" simplePos="0" relativeHeight="251658240" behindDoc="1" locked="1" layoutInCell="1" allowOverlap="0" wp14:anchorId="37DAC5F4" wp14:editId="5EE904D8">
            <wp:simplePos x="0" y="0"/>
            <wp:positionH relativeFrom="page">
              <wp:posOffset>0</wp:posOffset>
            </wp:positionH>
            <wp:positionV relativeFrom="page">
              <wp:posOffset>0</wp:posOffset>
            </wp:positionV>
            <wp:extent cx="7555865" cy="10146665"/>
            <wp:effectExtent l="0" t="0" r="635" b="635"/>
            <wp:wrapNone/>
            <wp:docPr id="3" name="Picture 3" descr="Victoria State Government Department of Healt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 Department of Health">
                      <a:extLst>
                        <a:ext uri="{C183D7F6-B498-43B3-948B-1728B52AA6E4}">
                          <adec:decorative xmlns:adec="http://schemas.microsoft.com/office/drawing/2017/decorative" val="0"/>
                        </a:ext>
                      </a:extLst>
                    </pic:cNvPr>
                    <pic:cNvPicPr/>
                  </pic:nvPicPr>
                  <pic:blipFill>
                    <a:blip r:embed="rId11"/>
                    <a:stretch>
                      <a:fillRect/>
                    </a:stretch>
                  </pic:blipFill>
                  <pic:spPr>
                    <a:xfrm>
                      <a:off x="0" y="0"/>
                      <a:ext cx="7555865" cy="1014666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7503DCB3" w14:textId="77777777" w:rsidTr="00431F42">
        <w:trPr>
          <w:cantSplit/>
        </w:trPr>
        <w:tc>
          <w:tcPr>
            <w:tcW w:w="0" w:type="auto"/>
            <w:tcMar>
              <w:top w:w="0" w:type="dxa"/>
              <w:left w:w="0" w:type="dxa"/>
              <w:right w:w="0" w:type="dxa"/>
            </w:tcMar>
          </w:tcPr>
          <w:p w14:paraId="4CC67859" w14:textId="587327E9" w:rsidR="00AD784C" w:rsidRPr="00431F42" w:rsidRDefault="006D2DE3" w:rsidP="00CC3BB0">
            <w:pPr>
              <w:pStyle w:val="Documenttitle"/>
            </w:pPr>
            <w:r>
              <w:t xml:space="preserve">Community Health – Health Promotion </w:t>
            </w:r>
            <w:r w:rsidR="004626BE">
              <w:t xml:space="preserve">Program </w:t>
            </w:r>
            <w:r>
              <w:t>Guidelines 2025-2029</w:t>
            </w:r>
          </w:p>
        </w:tc>
      </w:tr>
      <w:tr w:rsidR="00AD784C" w14:paraId="3CC68977" w14:textId="77777777" w:rsidTr="00431F42">
        <w:trPr>
          <w:cantSplit/>
        </w:trPr>
        <w:tc>
          <w:tcPr>
            <w:tcW w:w="0" w:type="auto"/>
          </w:tcPr>
          <w:p w14:paraId="3036AE39" w14:textId="040695BF" w:rsidR="00386109" w:rsidRPr="00A1389F" w:rsidRDefault="00386109" w:rsidP="009315BE">
            <w:pPr>
              <w:pStyle w:val="Documentsubtitle"/>
            </w:pPr>
          </w:p>
        </w:tc>
      </w:tr>
      <w:tr w:rsidR="00430393" w14:paraId="019AF1BB" w14:textId="77777777" w:rsidTr="00431F42">
        <w:trPr>
          <w:cantSplit/>
        </w:trPr>
        <w:tc>
          <w:tcPr>
            <w:tcW w:w="0" w:type="auto"/>
          </w:tcPr>
          <w:p w14:paraId="27945C05" w14:textId="77777777" w:rsidR="00430393" w:rsidRDefault="006260B0" w:rsidP="00430393">
            <w:pPr>
              <w:pStyle w:val="Bannermarking"/>
            </w:pPr>
            <w:fldSimple w:instr=" FILLIN  &quot;Type the protective marking&quot; \d OFFICIAL \o  \* MERGEFORMAT ">
              <w:r>
                <w:t>OFFICIAL</w:t>
              </w:r>
            </w:fldSimple>
          </w:p>
        </w:tc>
      </w:tr>
    </w:tbl>
    <w:p w14:paraId="3038321B" w14:textId="77777777" w:rsidR="00FE4081" w:rsidRDefault="00FE4081" w:rsidP="00FE4081">
      <w:pPr>
        <w:pStyle w:val="Body"/>
      </w:pPr>
    </w:p>
    <w:p w14:paraId="76E6FEDD" w14:textId="77777777" w:rsidR="00FE4081" w:rsidRPr="00FE4081" w:rsidRDefault="00FE4081" w:rsidP="00FE4081">
      <w:pPr>
        <w:pStyle w:val="Body"/>
        <w:sectPr w:rsidR="00FE4081" w:rsidRPr="00FE4081" w:rsidSect="002C5B7C">
          <w:footerReference w:type="even" r:id="rId12"/>
          <w:footerReference w:type="default" r:id="rId13"/>
          <w:footerReference w:type="first" r:id="rId14"/>
          <w:type w:val="continuous"/>
          <w:pgSz w:w="11906" w:h="16838" w:code="9"/>
          <w:pgMar w:top="3969" w:right="1304" w:bottom="1418" w:left="1304" w:header="680" w:footer="851" w:gutter="0"/>
          <w:cols w:space="340"/>
          <w:docGrid w:linePitch="360"/>
        </w:sectPr>
      </w:pPr>
    </w:p>
    <w:p w14:paraId="16CC4D73" w14:textId="77777777" w:rsidR="00431F42" w:rsidRDefault="00431F42" w:rsidP="00431F42">
      <w:pPr>
        <w:pStyle w:val="Body"/>
      </w:pPr>
      <w:r>
        <w:lastRenderedPageBreak/>
        <w:br w:type="page"/>
      </w:r>
    </w:p>
    <w:tbl>
      <w:tblPr>
        <w:tblStyle w:val="TableGrid"/>
        <w:tblW w:w="7598"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598"/>
      </w:tblGrid>
      <w:tr w:rsidR="00431F42" w14:paraId="26ACB8A3" w14:textId="77777777" w:rsidTr="00431F42">
        <w:trPr>
          <w:trHeight w:val="7371"/>
        </w:trPr>
        <w:tc>
          <w:tcPr>
            <w:tcW w:w="7598" w:type="dxa"/>
            <w:vAlign w:val="center"/>
          </w:tcPr>
          <w:p w14:paraId="36C3F8E3" w14:textId="30516C01" w:rsidR="00431F42" w:rsidRDefault="004626BE" w:rsidP="00431F42">
            <w:pPr>
              <w:pStyle w:val="Documenttitle"/>
            </w:pPr>
            <w:r>
              <w:lastRenderedPageBreak/>
              <w:t>Community Health – Health Promotion Program Guidelines 2025-2029</w:t>
            </w:r>
          </w:p>
          <w:p w14:paraId="172FFA94" w14:textId="3EA92FB1" w:rsidR="00431F42" w:rsidRDefault="00431F42" w:rsidP="00431F42">
            <w:pPr>
              <w:pStyle w:val="Documentsubtitle"/>
            </w:pPr>
          </w:p>
        </w:tc>
      </w:tr>
      <w:tr w:rsidR="00431F42" w14:paraId="28D1D6AF" w14:textId="77777777" w:rsidTr="00431F42">
        <w:tc>
          <w:tcPr>
            <w:tcW w:w="7598" w:type="dxa"/>
          </w:tcPr>
          <w:p w14:paraId="4B3419E2" w14:textId="77777777" w:rsidR="00431F42" w:rsidRDefault="00431F42" w:rsidP="00431F42">
            <w:pPr>
              <w:pStyle w:val="Body"/>
            </w:pPr>
          </w:p>
        </w:tc>
      </w:tr>
    </w:tbl>
    <w:p w14:paraId="1525BA6A" w14:textId="77777777" w:rsidR="000D2ABA" w:rsidRDefault="000D2ABA" w:rsidP="00431F42">
      <w:pPr>
        <w:pStyle w:val="Body"/>
      </w:pPr>
      <w:r>
        <w:br w:type="page"/>
      </w:r>
    </w:p>
    <w:p w14:paraId="636D28E1" w14:textId="77777777" w:rsidR="009F2182" w:rsidRDefault="009F2182" w:rsidP="009F2182">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0461B075" w14:textId="77777777" w:rsidTr="00562507">
        <w:trPr>
          <w:cantSplit/>
          <w:trHeight w:val="7088"/>
        </w:trPr>
        <w:tc>
          <w:tcPr>
            <w:tcW w:w="9288" w:type="dxa"/>
          </w:tcPr>
          <w:p w14:paraId="66CA9276" w14:textId="664AA2D9" w:rsidR="009F2182" w:rsidRPr="00BA26F6" w:rsidRDefault="009F2182" w:rsidP="00BA26F6">
            <w:pPr>
              <w:pStyle w:val="Body"/>
              <w:rPr>
                <w:rFonts w:eastAsia="Times New Roman"/>
                <w:color w:val="87189D"/>
                <w:sz w:val="24"/>
                <w:szCs w:val="24"/>
              </w:rPr>
            </w:pPr>
          </w:p>
        </w:tc>
      </w:tr>
      <w:tr w:rsidR="009F2182" w14:paraId="7F4187CA" w14:textId="77777777" w:rsidTr="00562507">
        <w:trPr>
          <w:cantSplit/>
          <w:trHeight w:val="5103"/>
        </w:trPr>
        <w:tc>
          <w:tcPr>
            <w:tcW w:w="9288" w:type="dxa"/>
            <w:vAlign w:val="bottom"/>
          </w:tcPr>
          <w:p w14:paraId="32BB2816" w14:textId="3918BEC9" w:rsidR="009F2182" w:rsidRPr="0055119B" w:rsidRDefault="009F2182" w:rsidP="009F2182">
            <w:pPr>
              <w:pStyle w:val="Accessibilitypara"/>
            </w:pPr>
            <w:r w:rsidRPr="0055119B">
              <w:t>To receive this document in another format</w:t>
            </w:r>
            <w:r>
              <w:t>,</w:t>
            </w:r>
            <w:r w:rsidRPr="0055119B">
              <w:t xml:space="preserve"> </w:t>
            </w:r>
            <w:hyperlink r:id="rId15" w:history="1">
              <w:r w:rsidRPr="00BF7D43">
                <w:rPr>
                  <w:rStyle w:val="Hyperlink"/>
                </w:rPr>
                <w:t>email</w:t>
              </w:r>
            </w:hyperlink>
            <w:r w:rsidRPr="0055119B">
              <w:t xml:space="preserve"> </w:t>
            </w:r>
            <w:r w:rsidR="00293E93">
              <w:t xml:space="preserve">the Public Health Promotion Programs </w:t>
            </w:r>
            <w:r w:rsidR="00562028">
              <w:t xml:space="preserve">team </w:t>
            </w:r>
            <w:r w:rsidRPr="0055119B">
              <w:t>&lt;</w:t>
            </w:r>
            <w:r w:rsidR="00BF7D43">
              <w:t>prevention@health.vic.gov.au</w:t>
            </w:r>
            <w:r w:rsidRPr="0055119B">
              <w:t>&gt;.</w:t>
            </w:r>
          </w:p>
          <w:p w14:paraId="50FD9494" w14:textId="77777777" w:rsidR="009F2182" w:rsidRPr="0055119B" w:rsidRDefault="009F2182" w:rsidP="009F2182">
            <w:pPr>
              <w:pStyle w:val="Imprint"/>
            </w:pPr>
            <w:r w:rsidRPr="0055119B">
              <w:t>Authorised and published by the Victorian Government, 1 Treasury Place, Melbourne.</w:t>
            </w:r>
          </w:p>
          <w:p w14:paraId="2B39E1A3" w14:textId="5593999F" w:rsidR="009F2182" w:rsidRPr="0055119B" w:rsidRDefault="009F2182" w:rsidP="009F2182">
            <w:pPr>
              <w:pStyle w:val="Imprint"/>
            </w:pPr>
            <w:r w:rsidRPr="0055119B">
              <w:t xml:space="preserve">© State of Victoria, Australia, Department </w:t>
            </w:r>
            <w:r w:rsidRPr="001B058F">
              <w:t xml:space="preserve">of </w:t>
            </w:r>
            <w:r w:rsidR="00D76ECC">
              <w:t>Health</w:t>
            </w:r>
            <w:r w:rsidRPr="0055119B">
              <w:t xml:space="preserve">, </w:t>
            </w:r>
            <w:r w:rsidR="00BF7D43" w:rsidRPr="00781714">
              <w:t>April 2025</w:t>
            </w:r>
          </w:p>
          <w:p w14:paraId="6691E4F5" w14:textId="1A79465A" w:rsidR="009F2182" w:rsidRPr="0095143C" w:rsidRDefault="009F2182" w:rsidP="009F2182">
            <w:pPr>
              <w:pStyle w:val="Imprint"/>
            </w:pPr>
            <w:bookmarkStart w:id="0" w:name="_Hlk62746129"/>
            <w:r w:rsidRPr="0095143C">
              <w:t xml:space="preserve">Except where otherwise indicated, the images in this document show models and illustrative settings only, and do not necessarily depict actual services, facilities or recipients of services. </w:t>
            </w:r>
          </w:p>
          <w:p w14:paraId="5AF3F4F1" w14:textId="77777777" w:rsidR="0095143C" w:rsidRPr="0095143C" w:rsidRDefault="0095143C" w:rsidP="009F2182">
            <w:pPr>
              <w:pStyle w:val="Imprint"/>
            </w:pPr>
            <w:r w:rsidRPr="0095143C">
              <w:t xml:space="preserve">In this document, ‘First Peoples’ refers to both Aboriginal and Torres Strait Islander people when used in the context of First People’ Assembly of Victoria and Treaty. ‘Aboriginal’, ‘Torres Strait Islander’, ‘Indigenous’ or ‘Koori/Koorie’ is retained when part of the title of a report, program or quotation.   </w:t>
            </w:r>
          </w:p>
          <w:p w14:paraId="11063BBB" w14:textId="2D194A9E" w:rsidR="009F2182" w:rsidRPr="0055119B" w:rsidRDefault="009F2182" w:rsidP="009F2182">
            <w:pPr>
              <w:pStyle w:val="Imprint"/>
            </w:pPr>
            <w:r w:rsidRPr="0055119B">
              <w:t>Available a</w:t>
            </w:r>
            <w:r w:rsidR="00C8119A">
              <w:t xml:space="preserve">t </w:t>
            </w:r>
            <w:hyperlink r:id="rId16" w:history="1">
              <w:r w:rsidR="00C8119A" w:rsidRPr="00C8119A">
                <w:rPr>
                  <w:rStyle w:val="Hyperlink"/>
                </w:rPr>
                <w:t>Community Health - Health Promotion program 2021-25</w:t>
              </w:r>
            </w:hyperlink>
            <w:r w:rsidR="00C8119A" w:rsidRPr="00C8119A">
              <w:t xml:space="preserve"> &lt;</w:t>
            </w:r>
            <w:r w:rsidR="00C8119A" w:rsidRPr="00B342FC">
              <w:t>https://www.health.vic.gov.au/publications/community-health-health-promotion-2021-25</w:t>
            </w:r>
            <w:r w:rsidR="00C8119A" w:rsidRPr="00C8119A">
              <w:t>&gt;</w:t>
            </w:r>
          </w:p>
          <w:bookmarkEnd w:id="0"/>
          <w:p w14:paraId="372E1DFF" w14:textId="05CC1D37" w:rsidR="009F2182" w:rsidRDefault="009F2182" w:rsidP="009F2182">
            <w:pPr>
              <w:pStyle w:val="Body"/>
            </w:pPr>
          </w:p>
        </w:tc>
      </w:tr>
      <w:tr w:rsidR="0008204A" w14:paraId="69C1819D" w14:textId="77777777" w:rsidTr="0008204A">
        <w:trPr>
          <w:cantSplit/>
        </w:trPr>
        <w:tc>
          <w:tcPr>
            <w:tcW w:w="9288" w:type="dxa"/>
          </w:tcPr>
          <w:p w14:paraId="10034D84" w14:textId="77777777" w:rsidR="0008204A" w:rsidRPr="0055119B" w:rsidRDefault="0008204A" w:rsidP="0008204A">
            <w:pPr>
              <w:pStyle w:val="Body"/>
            </w:pPr>
          </w:p>
        </w:tc>
      </w:tr>
    </w:tbl>
    <w:p w14:paraId="3F965ADF" w14:textId="77777777" w:rsidR="0008204A" w:rsidRPr="0008204A" w:rsidRDefault="0008204A" w:rsidP="0008204A">
      <w:pPr>
        <w:pStyle w:val="Body"/>
      </w:pPr>
      <w:r w:rsidRPr="0008204A">
        <w:br w:type="page"/>
      </w:r>
    </w:p>
    <w:p w14:paraId="0628FA00" w14:textId="77777777" w:rsidR="00AD784C" w:rsidRPr="00B57329" w:rsidRDefault="00AD784C" w:rsidP="002365B4">
      <w:pPr>
        <w:pStyle w:val="TOCheadingreport"/>
      </w:pPr>
      <w:r w:rsidRPr="00B57329">
        <w:lastRenderedPageBreak/>
        <w:t>Contents</w:t>
      </w:r>
    </w:p>
    <w:p w14:paraId="3504C007" w14:textId="68C15EC0" w:rsidR="00AB186E" w:rsidRDefault="00AD784C">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anchor="_Toc194663075" w:history="1">
        <w:r w:rsidR="00AB186E" w:rsidRPr="001F2267">
          <w:rPr>
            <w:rStyle w:val="Hyperlink"/>
          </w:rPr>
          <w:t>Introduction</w:t>
        </w:r>
        <w:r w:rsidR="00AB186E">
          <w:rPr>
            <w:webHidden/>
          </w:rPr>
          <w:tab/>
        </w:r>
        <w:r w:rsidR="00AB186E">
          <w:rPr>
            <w:webHidden/>
          </w:rPr>
          <w:fldChar w:fldCharType="begin"/>
        </w:r>
        <w:r w:rsidR="00AB186E">
          <w:rPr>
            <w:webHidden/>
          </w:rPr>
          <w:instrText xml:space="preserve"> PAGEREF _Toc194663075 \h </w:instrText>
        </w:r>
        <w:r w:rsidR="00AB186E">
          <w:rPr>
            <w:webHidden/>
          </w:rPr>
        </w:r>
        <w:r w:rsidR="00AB186E">
          <w:rPr>
            <w:webHidden/>
          </w:rPr>
          <w:fldChar w:fldCharType="separate"/>
        </w:r>
        <w:r w:rsidR="00AB186E">
          <w:rPr>
            <w:webHidden/>
          </w:rPr>
          <w:t>7</w:t>
        </w:r>
        <w:r w:rsidR="00AB186E">
          <w:rPr>
            <w:webHidden/>
          </w:rPr>
          <w:fldChar w:fldCharType="end"/>
        </w:r>
      </w:hyperlink>
    </w:p>
    <w:p w14:paraId="1247A736" w14:textId="5A9CE0EF" w:rsidR="00AB186E" w:rsidRDefault="00AB186E">
      <w:pPr>
        <w:pStyle w:val="TOC1"/>
        <w:rPr>
          <w:rFonts w:asciiTheme="minorHAnsi" w:eastAsiaTheme="minorEastAsia" w:hAnsiTheme="minorHAnsi" w:cstheme="minorBidi"/>
          <w:b w:val="0"/>
          <w:kern w:val="2"/>
          <w:sz w:val="24"/>
          <w:szCs w:val="24"/>
          <w:lang w:eastAsia="en-AU"/>
          <w14:ligatures w14:val="standardContextual"/>
        </w:rPr>
      </w:pPr>
      <w:hyperlink w:anchor="_Toc194663076" w:history="1">
        <w:r w:rsidRPr="001F2267">
          <w:rPr>
            <w:rStyle w:val="Hyperlink"/>
          </w:rPr>
          <w:t>Victoria’s prevention eco-system</w:t>
        </w:r>
        <w:r>
          <w:rPr>
            <w:webHidden/>
          </w:rPr>
          <w:tab/>
        </w:r>
        <w:r>
          <w:rPr>
            <w:webHidden/>
          </w:rPr>
          <w:fldChar w:fldCharType="begin"/>
        </w:r>
        <w:r>
          <w:rPr>
            <w:webHidden/>
          </w:rPr>
          <w:instrText xml:space="preserve"> PAGEREF _Toc194663076 \h </w:instrText>
        </w:r>
        <w:r>
          <w:rPr>
            <w:webHidden/>
          </w:rPr>
        </w:r>
        <w:r>
          <w:rPr>
            <w:webHidden/>
          </w:rPr>
          <w:fldChar w:fldCharType="separate"/>
        </w:r>
        <w:r>
          <w:rPr>
            <w:webHidden/>
          </w:rPr>
          <w:t>7</w:t>
        </w:r>
        <w:r>
          <w:rPr>
            <w:webHidden/>
          </w:rPr>
          <w:fldChar w:fldCharType="end"/>
        </w:r>
      </w:hyperlink>
    </w:p>
    <w:p w14:paraId="61E66DD9" w14:textId="3754DCD1" w:rsidR="00AB186E" w:rsidRDefault="00AB186E">
      <w:pPr>
        <w:pStyle w:val="TOC2"/>
        <w:rPr>
          <w:rFonts w:asciiTheme="minorHAnsi" w:eastAsiaTheme="minorEastAsia" w:hAnsiTheme="minorHAnsi" w:cstheme="minorBidi"/>
          <w:kern w:val="2"/>
          <w:sz w:val="24"/>
          <w:szCs w:val="24"/>
          <w:lang w:eastAsia="en-AU"/>
          <w14:ligatures w14:val="standardContextual"/>
        </w:rPr>
      </w:pPr>
      <w:hyperlink w:anchor="_Toc194663077" w:history="1">
        <w:r w:rsidRPr="001F2267">
          <w:rPr>
            <w:rStyle w:val="Hyperlink"/>
          </w:rPr>
          <w:t>Public health vision</w:t>
        </w:r>
        <w:r>
          <w:rPr>
            <w:webHidden/>
          </w:rPr>
          <w:tab/>
        </w:r>
        <w:r>
          <w:rPr>
            <w:webHidden/>
          </w:rPr>
          <w:fldChar w:fldCharType="begin"/>
        </w:r>
        <w:r>
          <w:rPr>
            <w:webHidden/>
          </w:rPr>
          <w:instrText xml:space="preserve"> PAGEREF _Toc194663077 \h </w:instrText>
        </w:r>
        <w:r>
          <w:rPr>
            <w:webHidden/>
          </w:rPr>
        </w:r>
        <w:r>
          <w:rPr>
            <w:webHidden/>
          </w:rPr>
          <w:fldChar w:fldCharType="separate"/>
        </w:r>
        <w:r>
          <w:rPr>
            <w:webHidden/>
          </w:rPr>
          <w:t>7</w:t>
        </w:r>
        <w:r>
          <w:rPr>
            <w:webHidden/>
          </w:rPr>
          <w:fldChar w:fldCharType="end"/>
        </w:r>
      </w:hyperlink>
    </w:p>
    <w:p w14:paraId="6011169D" w14:textId="096F9CFC" w:rsidR="00AB186E" w:rsidRDefault="00AB186E">
      <w:pPr>
        <w:pStyle w:val="TOC2"/>
        <w:rPr>
          <w:rFonts w:asciiTheme="minorHAnsi" w:eastAsiaTheme="minorEastAsia" w:hAnsiTheme="minorHAnsi" w:cstheme="minorBidi"/>
          <w:kern w:val="2"/>
          <w:sz w:val="24"/>
          <w:szCs w:val="24"/>
          <w:lang w:eastAsia="en-AU"/>
          <w14:ligatures w14:val="standardContextual"/>
        </w:rPr>
      </w:pPr>
      <w:hyperlink w:anchor="_Toc194663078" w:history="1">
        <w:r w:rsidRPr="001F2267">
          <w:rPr>
            <w:rStyle w:val="Hyperlink"/>
          </w:rPr>
          <w:t>Statewide policy</w:t>
        </w:r>
        <w:r>
          <w:rPr>
            <w:webHidden/>
          </w:rPr>
          <w:tab/>
        </w:r>
        <w:r>
          <w:rPr>
            <w:webHidden/>
          </w:rPr>
          <w:fldChar w:fldCharType="begin"/>
        </w:r>
        <w:r>
          <w:rPr>
            <w:webHidden/>
          </w:rPr>
          <w:instrText xml:space="preserve"> PAGEREF _Toc194663078 \h </w:instrText>
        </w:r>
        <w:r>
          <w:rPr>
            <w:webHidden/>
          </w:rPr>
        </w:r>
        <w:r>
          <w:rPr>
            <w:webHidden/>
          </w:rPr>
          <w:fldChar w:fldCharType="separate"/>
        </w:r>
        <w:r>
          <w:rPr>
            <w:webHidden/>
          </w:rPr>
          <w:t>8</w:t>
        </w:r>
        <w:r>
          <w:rPr>
            <w:webHidden/>
          </w:rPr>
          <w:fldChar w:fldCharType="end"/>
        </w:r>
      </w:hyperlink>
    </w:p>
    <w:p w14:paraId="0A9D7DC0" w14:textId="7448A5A1" w:rsidR="00AB186E" w:rsidRDefault="00AB186E">
      <w:pPr>
        <w:pStyle w:val="TOC2"/>
        <w:rPr>
          <w:rFonts w:asciiTheme="minorHAnsi" w:eastAsiaTheme="minorEastAsia" w:hAnsiTheme="minorHAnsi" w:cstheme="minorBidi"/>
          <w:kern w:val="2"/>
          <w:sz w:val="24"/>
          <w:szCs w:val="24"/>
          <w:lang w:eastAsia="en-AU"/>
          <w14:ligatures w14:val="standardContextual"/>
        </w:rPr>
      </w:pPr>
      <w:hyperlink w:anchor="_Toc194663079" w:history="1">
        <w:r w:rsidRPr="001F2267">
          <w:rPr>
            <w:rStyle w:val="Hyperlink"/>
          </w:rPr>
          <w:t>Statewide priorities</w:t>
        </w:r>
        <w:r>
          <w:rPr>
            <w:webHidden/>
          </w:rPr>
          <w:tab/>
        </w:r>
        <w:r>
          <w:rPr>
            <w:webHidden/>
          </w:rPr>
          <w:fldChar w:fldCharType="begin"/>
        </w:r>
        <w:r>
          <w:rPr>
            <w:webHidden/>
          </w:rPr>
          <w:instrText xml:space="preserve"> PAGEREF _Toc194663079 \h </w:instrText>
        </w:r>
        <w:r>
          <w:rPr>
            <w:webHidden/>
          </w:rPr>
        </w:r>
        <w:r>
          <w:rPr>
            <w:webHidden/>
          </w:rPr>
          <w:fldChar w:fldCharType="separate"/>
        </w:r>
        <w:r>
          <w:rPr>
            <w:webHidden/>
          </w:rPr>
          <w:t>8</w:t>
        </w:r>
        <w:r>
          <w:rPr>
            <w:webHidden/>
          </w:rPr>
          <w:fldChar w:fldCharType="end"/>
        </w:r>
      </w:hyperlink>
    </w:p>
    <w:p w14:paraId="56EDD3C3" w14:textId="5002B7E7" w:rsidR="00AB186E" w:rsidRDefault="00AB186E">
      <w:pPr>
        <w:pStyle w:val="TOC1"/>
        <w:rPr>
          <w:rFonts w:asciiTheme="minorHAnsi" w:eastAsiaTheme="minorEastAsia" w:hAnsiTheme="minorHAnsi" w:cstheme="minorBidi"/>
          <w:b w:val="0"/>
          <w:kern w:val="2"/>
          <w:sz w:val="24"/>
          <w:szCs w:val="24"/>
          <w:lang w:eastAsia="en-AU"/>
          <w14:ligatures w14:val="standardContextual"/>
        </w:rPr>
      </w:pPr>
      <w:hyperlink w:anchor="_Toc194663080" w:history="1">
        <w:r w:rsidRPr="001F2267">
          <w:rPr>
            <w:rStyle w:val="Hyperlink"/>
          </w:rPr>
          <w:t>Community Health – Health Promotion program focus</w:t>
        </w:r>
        <w:r>
          <w:rPr>
            <w:webHidden/>
          </w:rPr>
          <w:tab/>
        </w:r>
        <w:r>
          <w:rPr>
            <w:webHidden/>
          </w:rPr>
          <w:fldChar w:fldCharType="begin"/>
        </w:r>
        <w:r>
          <w:rPr>
            <w:webHidden/>
          </w:rPr>
          <w:instrText xml:space="preserve"> PAGEREF _Toc194663080 \h </w:instrText>
        </w:r>
        <w:r>
          <w:rPr>
            <w:webHidden/>
          </w:rPr>
        </w:r>
        <w:r>
          <w:rPr>
            <w:webHidden/>
          </w:rPr>
          <w:fldChar w:fldCharType="separate"/>
        </w:r>
        <w:r>
          <w:rPr>
            <w:webHidden/>
          </w:rPr>
          <w:t>9</w:t>
        </w:r>
        <w:r>
          <w:rPr>
            <w:webHidden/>
          </w:rPr>
          <w:fldChar w:fldCharType="end"/>
        </w:r>
      </w:hyperlink>
    </w:p>
    <w:p w14:paraId="7CE1D5B3" w14:textId="64D6EF1B" w:rsidR="00AB186E" w:rsidRDefault="00AB186E">
      <w:pPr>
        <w:pStyle w:val="TOC2"/>
        <w:rPr>
          <w:rFonts w:asciiTheme="minorHAnsi" w:eastAsiaTheme="minorEastAsia" w:hAnsiTheme="minorHAnsi" w:cstheme="minorBidi"/>
          <w:kern w:val="2"/>
          <w:sz w:val="24"/>
          <w:szCs w:val="24"/>
          <w:lang w:eastAsia="en-AU"/>
          <w14:ligatures w14:val="standardContextual"/>
        </w:rPr>
      </w:pPr>
      <w:hyperlink w:anchor="_Toc194663081" w:history="1">
        <w:r w:rsidRPr="001F2267">
          <w:rPr>
            <w:rStyle w:val="Hyperlink"/>
          </w:rPr>
          <w:t>Program purpose</w:t>
        </w:r>
        <w:r>
          <w:rPr>
            <w:webHidden/>
          </w:rPr>
          <w:tab/>
        </w:r>
        <w:r>
          <w:rPr>
            <w:webHidden/>
          </w:rPr>
          <w:fldChar w:fldCharType="begin"/>
        </w:r>
        <w:r>
          <w:rPr>
            <w:webHidden/>
          </w:rPr>
          <w:instrText xml:space="preserve"> PAGEREF _Toc194663081 \h </w:instrText>
        </w:r>
        <w:r>
          <w:rPr>
            <w:webHidden/>
          </w:rPr>
        </w:r>
        <w:r>
          <w:rPr>
            <w:webHidden/>
          </w:rPr>
          <w:fldChar w:fldCharType="separate"/>
        </w:r>
        <w:r>
          <w:rPr>
            <w:webHidden/>
          </w:rPr>
          <w:t>9</w:t>
        </w:r>
        <w:r>
          <w:rPr>
            <w:webHidden/>
          </w:rPr>
          <w:fldChar w:fldCharType="end"/>
        </w:r>
      </w:hyperlink>
    </w:p>
    <w:p w14:paraId="7ED02983" w14:textId="44C0F5B5" w:rsidR="00AB186E" w:rsidRDefault="00AB186E">
      <w:pPr>
        <w:pStyle w:val="TOC2"/>
        <w:rPr>
          <w:rFonts w:asciiTheme="minorHAnsi" w:eastAsiaTheme="minorEastAsia" w:hAnsiTheme="minorHAnsi" w:cstheme="minorBidi"/>
          <w:kern w:val="2"/>
          <w:sz w:val="24"/>
          <w:szCs w:val="24"/>
          <w:lang w:eastAsia="en-AU"/>
          <w14:ligatures w14:val="standardContextual"/>
        </w:rPr>
      </w:pPr>
      <w:hyperlink w:anchor="_Toc194663082" w:history="1">
        <w:r w:rsidRPr="001F2267">
          <w:rPr>
            <w:rStyle w:val="Hyperlink"/>
          </w:rPr>
          <w:t>Program logic overview</w:t>
        </w:r>
        <w:r>
          <w:rPr>
            <w:webHidden/>
          </w:rPr>
          <w:tab/>
        </w:r>
        <w:r>
          <w:rPr>
            <w:webHidden/>
          </w:rPr>
          <w:fldChar w:fldCharType="begin"/>
        </w:r>
        <w:r>
          <w:rPr>
            <w:webHidden/>
          </w:rPr>
          <w:instrText xml:space="preserve"> PAGEREF _Toc194663082 \h </w:instrText>
        </w:r>
        <w:r>
          <w:rPr>
            <w:webHidden/>
          </w:rPr>
        </w:r>
        <w:r>
          <w:rPr>
            <w:webHidden/>
          </w:rPr>
          <w:fldChar w:fldCharType="separate"/>
        </w:r>
        <w:r>
          <w:rPr>
            <w:webHidden/>
          </w:rPr>
          <w:t>10</w:t>
        </w:r>
        <w:r>
          <w:rPr>
            <w:webHidden/>
          </w:rPr>
          <w:fldChar w:fldCharType="end"/>
        </w:r>
      </w:hyperlink>
    </w:p>
    <w:p w14:paraId="12D57F9A" w14:textId="38AB7398" w:rsidR="00AB186E" w:rsidRDefault="00AB186E">
      <w:pPr>
        <w:pStyle w:val="TOC2"/>
        <w:rPr>
          <w:rFonts w:asciiTheme="minorHAnsi" w:eastAsiaTheme="minorEastAsia" w:hAnsiTheme="minorHAnsi" w:cstheme="minorBidi"/>
          <w:kern w:val="2"/>
          <w:sz w:val="24"/>
          <w:szCs w:val="24"/>
          <w:lang w:eastAsia="en-AU"/>
          <w14:ligatures w14:val="standardContextual"/>
        </w:rPr>
      </w:pPr>
      <w:hyperlink w:anchor="_Toc194663083" w:history="1">
        <w:r w:rsidRPr="001F2267">
          <w:rPr>
            <w:rStyle w:val="Hyperlink"/>
          </w:rPr>
          <w:t>Community Health – Health Promotion program logic</w:t>
        </w:r>
        <w:r>
          <w:rPr>
            <w:webHidden/>
          </w:rPr>
          <w:tab/>
        </w:r>
        <w:r>
          <w:rPr>
            <w:webHidden/>
          </w:rPr>
          <w:fldChar w:fldCharType="begin"/>
        </w:r>
        <w:r>
          <w:rPr>
            <w:webHidden/>
          </w:rPr>
          <w:instrText xml:space="preserve"> PAGEREF _Toc194663083 \h </w:instrText>
        </w:r>
        <w:r>
          <w:rPr>
            <w:webHidden/>
          </w:rPr>
        </w:r>
        <w:r>
          <w:rPr>
            <w:webHidden/>
          </w:rPr>
          <w:fldChar w:fldCharType="separate"/>
        </w:r>
        <w:r>
          <w:rPr>
            <w:webHidden/>
          </w:rPr>
          <w:t>11</w:t>
        </w:r>
        <w:r>
          <w:rPr>
            <w:webHidden/>
          </w:rPr>
          <w:fldChar w:fldCharType="end"/>
        </w:r>
      </w:hyperlink>
    </w:p>
    <w:p w14:paraId="238CF7E9" w14:textId="2A77D97B" w:rsidR="00AB186E" w:rsidRDefault="00AB186E">
      <w:pPr>
        <w:pStyle w:val="TOC2"/>
        <w:rPr>
          <w:rFonts w:asciiTheme="minorHAnsi" w:eastAsiaTheme="minorEastAsia" w:hAnsiTheme="minorHAnsi" w:cstheme="minorBidi"/>
          <w:kern w:val="2"/>
          <w:sz w:val="24"/>
          <w:szCs w:val="24"/>
          <w:lang w:eastAsia="en-AU"/>
          <w14:ligatures w14:val="standardContextual"/>
        </w:rPr>
      </w:pPr>
      <w:hyperlink w:anchor="_Toc194663084" w:history="1">
        <w:r w:rsidRPr="001F2267">
          <w:rPr>
            <w:rStyle w:val="Hyperlink"/>
          </w:rPr>
          <w:t>Organisations funded for a specific purpose</w:t>
        </w:r>
        <w:r>
          <w:rPr>
            <w:webHidden/>
          </w:rPr>
          <w:tab/>
        </w:r>
        <w:r>
          <w:rPr>
            <w:webHidden/>
          </w:rPr>
          <w:fldChar w:fldCharType="begin"/>
        </w:r>
        <w:r>
          <w:rPr>
            <w:webHidden/>
          </w:rPr>
          <w:instrText xml:space="preserve"> PAGEREF _Toc194663084 \h </w:instrText>
        </w:r>
        <w:r>
          <w:rPr>
            <w:webHidden/>
          </w:rPr>
        </w:r>
        <w:r>
          <w:rPr>
            <w:webHidden/>
          </w:rPr>
          <w:fldChar w:fldCharType="separate"/>
        </w:r>
        <w:r>
          <w:rPr>
            <w:webHidden/>
          </w:rPr>
          <w:t>14</w:t>
        </w:r>
        <w:r>
          <w:rPr>
            <w:webHidden/>
          </w:rPr>
          <w:fldChar w:fldCharType="end"/>
        </w:r>
      </w:hyperlink>
    </w:p>
    <w:p w14:paraId="720F6BA0" w14:textId="1E04292B" w:rsidR="00AB186E" w:rsidRDefault="00AB186E">
      <w:pPr>
        <w:pStyle w:val="TOC2"/>
        <w:rPr>
          <w:rFonts w:asciiTheme="minorHAnsi" w:eastAsiaTheme="minorEastAsia" w:hAnsiTheme="minorHAnsi" w:cstheme="minorBidi"/>
          <w:kern w:val="2"/>
          <w:sz w:val="24"/>
          <w:szCs w:val="24"/>
          <w:lang w:eastAsia="en-AU"/>
          <w14:ligatures w14:val="standardContextual"/>
        </w:rPr>
      </w:pPr>
      <w:hyperlink w:anchor="_Toc194663085" w:history="1">
        <w:r w:rsidRPr="001F2267">
          <w:rPr>
            <w:rStyle w:val="Hyperlink"/>
          </w:rPr>
          <w:t>Small organisation requirements</w:t>
        </w:r>
        <w:r>
          <w:rPr>
            <w:webHidden/>
          </w:rPr>
          <w:tab/>
        </w:r>
        <w:r>
          <w:rPr>
            <w:webHidden/>
          </w:rPr>
          <w:fldChar w:fldCharType="begin"/>
        </w:r>
        <w:r>
          <w:rPr>
            <w:webHidden/>
          </w:rPr>
          <w:instrText xml:space="preserve"> PAGEREF _Toc194663085 \h </w:instrText>
        </w:r>
        <w:r>
          <w:rPr>
            <w:webHidden/>
          </w:rPr>
        </w:r>
        <w:r>
          <w:rPr>
            <w:webHidden/>
          </w:rPr>
          <w:fldChar w:fldCharType="separate"/>
        </w:r>
        <w:r>
          <w:rPr>
            <w:webHidden/>
          </w:rPr>
          <w:t>14</w:t>
        </w:r>
        <w:r>
          <w:rPr>
            <w:webHidden/>
          </w:rPr>
          <w:fldChar w:fldCharType="end"/>
        </w:r>
      </w:hyperlink>
    </w:p>
    <w:p w14:paraId="54A0CBFD" w14:textId="32DA72EF" w:rsidR="00AB186E" w:rsidRDefault="00AB186E">
      <w:pPr>
        <w:pStyle w:val="TOC2"/>
        <w:rPr>
          <w:rFonts w:asciiTheme="minorHAnsi" w:eastAsiaTheme="minorEastAsia" w:hAnsiTheme="minorHAnsi" w:cstheme="minorBidi"/>
          <w:kern w:val="2"/>
          <w:sz w:val="24"/>
          <w:szCs w:val="24"/>
          <w:lang w:eastAsia="en-AU"/>
          <w14:ligatures w14:val="standardContextual"/>
        </w:rPr>
      </w:pPr>
      <w:hyperlink w:anchor="_Toc194663086" w:history="1">
        <w:r w:rsidRPr="001F2267">
          <w:rPr>
            <w:rStyle w:val="Hyperlink"/>
          </w:rPr>
          <w:t>2025-2029 70/30 per cent plus incremental steps</w:t>
        </w:r>
        <w:r>
          <w:rPr>
            <w:webHidden/>
          </w:rPr>
          <w:tab/>
        </w:r>
        <w:r>
          <w:rPr>
            <w:webHidden/>
          </w:rPr>
          <w:fldChar w:fldCharType="begin"/>
        </w:r>
        <w:r>
          <w:rPr>
            <w:webHidden/>
          </w:rPr>
          <w:instrText xml:space="preserve"> PAGEREF _Toc194663086 \h </w:instrText>
        </w:r>
        <w:r>
          <w:rPr>
            <w:webHidden/>
          </w:rPr>
        </w:r>
        <w:r>
          <w:rPr>
            <w:webHidden/>
          </w:rPr>
          <w:fldChar w:fldCharType="separate"/>
        </w:r>
        <w:r>
          <w:rPr>
            <w:webHidden/>
          </w:rPr>
          <w:t>14</w:t>
        </w:r>
        <w:r>
          <w:rPr>
            <w:webHidden/>
          </w:rPr>
          <w:fldChar w:fldCharType="end"/>
        </w:r>
      </w:hyperlink>
    </w:p>
    <w:p w14:paraId="37BE9449" w14:textId="631B2C6A" w:rsidR="00AB186E" w:rsidRDefault="00AB186E">
      <w:pPr>
        <w:pStyle w:val="TOC2"/>
        <w:rPr>
          <w:rFonts w:asciiTheme="minorHAnsi" w:eastAsiaTheme="minorEastAsia" w:hAnsiTheme="minorHAnsi" w:cstheme="minorBidi"/>
          <w:kern w:val="2"/>
          <w:sz w:val="24"/>
          <w:szCs w:val="24"/>
          <w:lang w:eastAsia="en-AU"/>
          <w14:ligatures w14:val="standardContextual"/>
        </w:rPr>
      </w:pPr>
      <w:hyperlink w:anchor="_Toc194663087" w:history="1">
        <w:r w:rsidRPr="001F2267">
          <w:rPr>
            <w:rStyle w:val="Hyperlink"/>
          </w:rPr>
          <w:t>Program frameworks</w:t>
        </w:r>
        <w:r>
          <w:rPr>
            <w:webHidden/>
          </w:rPr>
          <w:tab/>
        </w:r>
        <w:r>
          <w:rPr>
            <w:webHidden/>
          </w:rPr>
          <w:fldChar w:fldCharType="begin"/>
        </w:r>
        <w:r>
          <w:rPr>
            <w:webHidden/>
          </w:rPr>
          <w:instrText xml:space="preserve"> PAGEREF _Toc194663087 \h </w:instrText>
        </w:r>
        <w:r>
          <w:rPr>
            <w:webHidden/>
          </w:rPr>
        </w:r>
        <w:r>
          <w:rPr>
            <w:webHidden/>
          </w:rPr>
          <w:fldChar w:fldCharType="separate"/>
        </w:r>
        <w:r>
          <w:rPr>
            <w:webHidden/>
          </w:rPr>
          <w:t>15</w:t>
        </w:r>
        <w:r>
          <w:rPr>
            <w:webHidden/>
          </w:rPr>
          <w:fldChar w:fldCharType="end"/>
        </w:r>
      </w:hyperlink>
    </w:p>
    <w:p w14:paraId="254B7329" w14:textId="11437413" w:rsidR="00AB186E" w:rsidRDefault="00AB186E">
      <w:pPr>
        <w:pStyle w:val="TOC2"/>
        <w:rPr>
          <w:rFonts w:asciiTheme="minorHAnsi" w:eastAsiaTheme="minorEastAsia" w:hAnsiTheme="minorHAnsi" w:cstheme="minorBidi"/>
          <w:kern w:val="2"/>
          <w:sz w:val="24"/>
          <w:szCs w:val="24"/>
          <w:lang w:eastAsia="en-AU"/>
          <w14:ligatures w14:val="standardContextual"/>
        </w:rPr>
      </w:pPr>
      <w:hyperlink w:anchor="_Toc194663088" w:history="1">
        <w:r w:rsidRPr="001F2267">
          <w:rPr>
            <w:rStyle w:val="Hyperlink"/>
          </w:rPr>
          <w:t>Practice principles</w:t>
        </w:r>
        <w:r>
          <w:rPr>
            <w:webHidden/>
          </w:rPr>
          <w:tab/>
        </w:r>
        <w:r>
          <w:rPr>
            <w:webHidden/>
          </w:rPr>
          <w:fldChar w:fldCharType="begin"/>
        </w:r>
        <w:r>
          <w:rPr>
            <w:webHidden/>
          </w:rPr>
          <w:instrText xml:space="preserve"> PAGEREF _Toc194663088 \h </w:instrText>
        </w:r>
        <w:r>
          <w:rPr>
            <w:webHidden/>
          </w:rPr>
        </w:r>
        <w:r>
          <w:rPr>
            <w:webHidden/>
          </w:rPr>
          <w:fldChar w:fldCharType="separate"/>
        </w:r>
        <w:r>
          <w:rPr>
            <w:webHidden/>
          </w:rPr>
          <w:t>23</w:t>
        </w:r>
        <w:r>
          <w:rPr>
            <w:webHidden/>
          </w:rPr>
          <w:fldChar w:fldCharType="end"/>
        </w:r>
      </w:hyperlink>
    </w:p>
    <w:p w14:paraId="5A8DC00A" w14:textId="225A7074" w:rsidR="00AB186E" w:rsidRDefault="00AB186E">
      <w:pPr>
        <w:pStyle w:val="TOC2"/>
        <w:rPr>
          <w:rFonts w:asciiTheme="minorHAnsi" w:eastAsiaTheme="minorEastAsia" w:hAnsiTheme="minorHAnsi" w:cstheme="minorBidi"/>
          <w:kern w:val="2"/>
          <w:sz w:val="24"/>
          <w:szCs w:val="24"/>
          <w:lang w:eastAsia="en-AU"/>
          <w14:ligatures w14:val="standardContextual"/>
        </w:rPr>
      </w:pPr>
      <w:hyperlink w:anchor="_Toc194663089" w:history="1">
        <w:r w:rsidRPr="001F2267">
          <w:rPr>
            <w:rStyle w:val="Hyperlink"/>
          </w:rPr>
          <w:t>Delivering outcomes-based health promotion and measuring impact</w:t>
        </w:r>
        <w:r>
          <w:rPr>
            <w:webHidden/>
          </w:rPr>
          <w:tab/>
        </w:r>
        <w:r>
          <w:rPr>
            <w:webHidden/>
          </w:rPr>
          <w:fldChar w:fldCharType="begin"/>
        </w:r>
        <w:r>
          <w:rPr>
            <w:webHidden/>
          </w:rPr>
          <w:instrText xml:space="preserve"> PAGEREF _Toc194663089 \h </w:instrText>
        </w:r>
        <w:r>
          <w:rPr>
            <w:webHidden/>
          </w:rPr>
        </w:r>
        <w:r>
          <w:rPr>
            <w:webHidden/>
          </w:rPr>
          <w:fldChar w:fldCharType="separate"/>
        </w:r>
        <w:r>
          <w:rPr>
            <w:webHidden/>
          </w:rPr>
          <w:t>26</w:t>
        </w:r>
        <w:r>
          <w:rPr>
            <w:webHidden/>
          </w:rPr>
          <w:fldChar w:fldCharType="end"/>
        </w:r>
      </w:hyperlink>
    </w:p>
    <w:p w14:paraId="0B0D18CD" w14:textId="5015A2EA" w:rsidR="00AB186E" w:rsidRDefault="00AB186E">
      <w:pPr>
        <w:pStyle w:val="TOC2"/>
        <w:rPr>
          <w:rFonts w:asciiTheme="minorHAnsi" w:eastAsiaTheme="minorEastAsia" w:hAnsiTheme="minorHAnsi" w:cstheme="minorBidi"/>
          <w:kern w:val="2"/>
          <w:sz w:val="24"/>
          <w:szCs w:val="24"/>
          <w:lang w:eastAsia="en-AU"/>
          <w14:ligatures w14:val="standardContextual"/>
        </w:rPr>
      </w:pPr>
      <w:hyperlink w:anchor="_Toc194663090" w:history="1">
        <w:r w:rsidRPr="001F2267">
          <w:rPr>
            <w:rStyle w:val="Hyperlink"/>
          </w:rPr>
          <w:t>Reporting</w:t>
        </w:r>
        <w:r>
          <w:rPr>
            <w:webHidden/>
          </w:rPr>
          <w:tab/>
        </w:r>
        <w:r>
          <w:rPr>
            <w:webHidden/>
          </w:rPr>
          <w:fldChar w:fldCharType="begin"/>
        </w:r>
        <w:r>
          <w:rPr>
            <w:webHidden/>
          </w:rPr>
          <w:instrText xml:space="preserve"> PAGEREF _Toc194663090 \h </w:instrText>
        </w:r>
        <w:r>
          <w:rPr>
            <w:webHidden/>
          </w:rPr>
        </w:r>
        <w:r>
          <w:rPr>
            <w:webHidden/>
          </w:rPr>
          <w:fldChar w:fldCharType="separate"/>
        </w:r>
        <w:r>
          <w:rPr>
            <w:webHidden/>
          </w:rPr>
          <w:t>28</w:t>
        </w:r>
        <w:r>
          <w:rPr>
            <w:webHidden/>
          </w:rPr>
          <w:fldChar w:fldCharType="end"/>
        </w:r>
      </w:hyperlink>
    </w:p>
    <w:p w14:paraId="107D29CC" w14:textId="1827928E" w:rsidR="00AB186E" w:rsidRDefault="00AB186E">
      <w:pPr>
        <w:pStyle w:val="TOC2"/>
        <w:rPr>
          <w:rFonts w:asciiTheme="minorHAnsi" w:eastAsiaTheme="minorEastAsia" w:hAnsiTheme="minorHAnsi" w:cstheme="minorBidi"/>
          <w:kern w:val="2"/>
          <w:sz w:val="24"/>
          <w:szCs w:val="24"/>
          <w:lang w:eastAsia="en-AU"/>
          <w14:ligatures w14:val="standardContextual"/>
        </w:rPr>
      </w:pPr>
      <w:hyperlink w:anchor="_Toc194663091" w:history="1">
        <w:r w:rsidRPr="001F2267">
          <w:rPr>
            <w:rStyle w:val="Hyperlink"/>
          </w:rPr>
          <w:t>Annual plans</w:t>
        </w:r>
        <w:r>
          <w:rPr>
            <w:webHidden/>
          </w:rPr>
          <w:tab/>
        </w:r>
        <w:r>
          <w:rPr>
            <w:webHidden/>
          </w:rPr>
          <w:fldChar w:fldCharType="begin"/>
        </w:r>
        <w:r>
          <w:rPr>
            <w:webHidden/>
          </w:rPr>
          <w:instrText xml:space="preserve"> PAGEREF _Toc194663091 \h </w:instrText>
        </w:r>
        <w:r>
          <w:rPr>
            <w:webHidden/>
          </w:rPr>
        </w:r>
        <w:r>
          <w:rPr>
            <w:webHidden/>
          </w:rPr>
          <w:fldChar w:fldCharType="separate"/>
        </w:r>
        <w:r>
          <w:rPr>
            <w:webHidden/>
          </w:rPr>
          <w:t>29</w:t>
        </w:r>
        <w:r>
          <w:rPr>
            <w:webHidden/>
          </w:rPr>
          <w:fldChar w:fldCharType="end"/>
        </w:r>
      </w:hyperlink>
    </w:p>
    <w:p w14:paraId="2CB928DD" w14:textId="442884E3" w:rsidR="00AB186E" w:rsidRDefault="00AB186E">
      <w:pPr>
        <w:pStyle w:val="TOC1"/>
        <w:rPr>
          <w:rFonts w:asciiTheme="minorHAnsi" w:eastAsiaTheme="minorEastAsia" w:hAnsiTheme="minorHAnsi" w:cstheme="minorBidi"/>
          <w:b w:val="0"/>
          <w:kern w:val="2"/>
          <w:sz w:val="24"/>
          <w:szCs w:val="24"/>
          <w:lang w:eastAsia="en-AU"/>
          <w14:ligatures w14:val="standardContextual"/>
        </w:rPr>
      </w:pPr>
      <w:hyperlink w:anchor="_Toc194663092" w:history="1">
        <w:r w:rsidRPr="001F2267">
          <w:rPr>
            <w:rStyle w:val="Hyperlink"/>
          </w:rPr>
          <w:t>Appendix one: State-wide health and wellbeing initiatives</w:t>
        </w:r>
        <w:r>
          <w:rPr>
            <w:webHidden/>
          </w:rPr>
          <w:tab/>
        </w:r>
        <w:r>
          <w:rPr>
            <w:webHidden/>
          </w:rPr>
          <w:fldChar w:fldCharType="begin"/>
        </w:r>
        <w:r>
          <w:rPr>
            <w:webHidden/>
          </w:rPr>
          <w:instrText xml:space="preserve"> PAGEREF _Toc194663092 \h </w:instrText>
        </w:r>
        <w:r>
          <w:rPr>
            <w:webHidden/>
          </w:rPr>
        </w:r>
        <w:r>
          <w:rPr>
            <w:webHidden/>
          </w:rPr>
          <w:fldChar w:fldCharType="separate"/>
        </w:r>
        <w:r>
          <w:rPr>
            <w:webHidden/>
          </w:rPr>
          <w:t>30</w:t>
        </w:r>
        <w:r>
          <w:rPr>
            <w:webHidden/>
          </w:rPr>
          <w:fldChar w:fldCharType="end"/>
        </w:r>
      </w:hyperlink>
    </w:p>
    <w:p w14:paraId="56617123" w14:textId="7959B543" w:rsidR="00AB186E" w:rsidRDefault="00AB186E">
      <w:pPr>
        <w:pStyle w:val="TOC1"/>
        <w:rPr>
          <w:rFonts w:asciiTheme="minorHAnsi" w:eastAsiaTheme="minorEastAsia" w:hAnsiTheme="minorHAnsi" w:cstheme="minorBidi"/>
          <w:b w:val="0"/>
          <w:kern w:val="2"/>
          <w:sz w:val="24"/>
          <w:szCs w:val="24"/>
          <w:lang w:eastAsia="en-AU"/>
          <w14:ligatures w14:val="standardContextual"/>
        </w:rPr>
      </w:pPr>
      <w:hyperlink w:anchor="_Toc194663093" w:history="1">
        <w:r w:rsidRPr="001F2267">
          <w:rPr>
            <w:rStyle w:val="Hyperlink"/>
          </w:rPr>
          <w:t>Appendix two: Socio-ecological model of health</w:t>
        </w:r>
        <w:r>
          <w:rPr>
            <w:webHidden/>
          </w:rPr>
          <w:tab/>
        </w:r>
        <w:r>
          <w:rPr>
            <w:webHidden/>
          </w:rPr>
          <w:fldChar w:fldCharType="begin"/>
        </w:r>
        <w:r>
          <w:rPr>
            <w:webHidden/>
          </w:rPr>
          <w:instrText xml:space="preserve"> PAGEREF _Toc194663093 \h </w:instrText>
        </w:r>
        <w:r>
          <w:rPr>
            <w:webHidden/>
          </w:rPr>
        </w:r>
        <w:r>
          <w:rPr>
            <w:webHidden/>
          </w:rPr>
          <w:fldChar w:fldCharType="separate"/>
        </w:r>
        <w:r>
          <w:rPr>
            <w:webHidden/>
          </w:rPr>
          <w:t>33</w:t>
        </w:r>
        <w:r>
          <w:rPr>
            <w:webHidden/>
          </w:rPr>
          <w:fldChar w:fldCharType="end"/>
        </w:r>
      </w:hyperlink>
    </w:p>
    <w:p w14:paraId="733E3729" w14:textId="1CB96E89" w:rsidR="00AB186E" w:rsidRDefault="00AB186E">
      <w:pPr>
        <w:pStyle w:val="TOC1"/>
        <w:rPr>
          <w:rFonts w:asciiTheme="minorHAnsi" w:eastAsiaTheme="minorEastAsia" w:hAnsiTheme="minorHAnsi" w:cstheme="minorBidi"/>
          <w:b w:val="0"/>
          <w:kern w:val="2"/>
          <w:sz w:val="24"/>
          <w:szCs w:val="24"/>
          <w:lang w:eastAsia="en-AU"/>
          <w14:ligatures w14:val="standardContextual"/>
        </w:rPr>
      </w:pPr>
      <w:hyperlink w:anchor="_Toc194663094" w:history="1">
        <w:r w:rsidRPr="001F2267">
          <w:rPr>
            <w:rStyle w:val="Hyperlink"/>
          </w:rPr>
          <w:t>Appendix three: Aboriginal and Torres Strait Islander self-determination</w:t>
        </w:r>
        <w:r>
          <w:rPr>
            <w:webHidden/>
          </w:rPr>
          <w:tab/>
        </w:r>
        <w:r>
          <w:rPr>
            <w:webHidden/>
          </w:rPr>
          <w:fldChar w:fldCharType="begin"/>
        </w:r>
        <w:r>
          <w:rPr>
            <w:webHidden/>
          </w:rPr>
          <w:instrText xml:space="preserve"> PAGEREF _Toc194663094 \h </w:instrText>
        </w:r>
        <w:r>
          <w:rPr>
            <w:webHidden/>
          </w:rPr>
        </w:r>
        <w:r>
          <w:rPr>
            <w:webHidden/>
          </w:rPr>
          <w:fldChar w:fldCharType="separate"/>
        </w:r>
        <w:r>
          <w:rPr>
            <w:webHidden/>
          </w:rPr>
          <w:t>34</w:t>
        </w:r>
        <w:r>
          <w:rPr>
            <w:webHidden/>
          </w:rPr>
          <w:fldChar w:fldCharType="end"/>
        </w:r>
      </w:hyperlink>
    </w:p>
    <w:p w14:paraId="34D70BDE" w14:textId="21EA93DE" w:rsidR="00AB186E" w:rsidRDefault="00AB186E">
      <w:pPr>
        <w:pStyle w:val="TOC1"/>
        <w:rPr>
          <w:rFonts w:asciiTheme="minorHAnsi" w:eastAsiaTheme="minorEastAsia" w:hAnsiTheme="minorHAnsi" w:cstheme="minorBidi"/>
          <w:b w:val="0"/>
          <w:kern w:val="2"/>
          <w:sz w:val="24"/>
          <w:szCs w:val="24"/>
          <w:lang w:eastAsia="en-AU"/>
          <w14:ligatures w14:val="standardContextual"/>
        </w:rPr>
      </w:pPr>
      <w:hyperlink w:anchor="_Toc194663095" w:history="1">
        <w:r w:rsidRPr="001F2267">
          <w:rPr>
            <w:rStyle w:val="Hyperlink"/>
          </w:rPr>
          <w:t>Appendix four: Program logic template</w:t>
        </w:r>
        <w:r>
          <w:rPr>
            <w:webHidden/>
          </w:rPr>
          <w:tab/>
        </w:r>
        <w:r>
          <w:rPr>
            <w:webHidden/>
          </w:rPr>
          <w:fldChar w:fldCharType="begin"/>
        </w:r>
        <w:r>
          <w:rPr>
            <w:webHidden/>
          </w:rPr>
          <w:instrText xml:space="preserve"> PAGEREF _Toc194663095 \h </w:instrText>
        </w:r>
        <w:r>
          <w:rPr>
            <w:webHidden/>
          </w:rPr>
        </w:r>
        <w:r>
          <w:rPr>
            <w:webHidden/>
          </w:rPr>
          <w:fldChar w:fldCharType="separate"/>
        </w:r>
        <w:r>
          <w:rPr>
            <w:webHidden/>
          </w:rPr>
          <w:t>36</w:t>
        </w:r>
        <w:r>
          <w:rPr>
            <w:webHidden/>
          </w:rPr>
          <w:fldChar w:fldCharType="end"/>
        </w:r>
      </w:hyperlink>
    </w:p>
    <w:p w14:paraId="38EF13BF" w14:textId="1F204353" w:rsidR="00AB186E" w:rsidRDefault="00AB186E">
      <w:pPr>
        <w:pStyle w:val="TOC1"/>
        <w:rPr>
          <w:rFonts w:asciiTheme="minorHAnsi" w:eastAsiaTheme="minorEastAsia" w:hAnsiTheme="minorHAnsi" w:cstheme="minorBidi"/>
          <w:b w:val="0"/>
          <w:kern w:val="2"/>
          <w:sz w:val="24"/>
          <w:szCs w:val="24"/>
          <w:lang w:eastAsia="en-AU"/>
          <w14:ligatures w14:val="standardContextual"/>
        </w:rPr>
      </w:pPr>
      <w:hyperlink w:anchor="_Toc194663096" w:history="1">
        <w:r w:rsidRPr="001F2267">
          <w:rPr>
            <w:rStyle w:val="Hyperlink"/>
          </w:rPr>
          <w:t>Appendix five: Budget forecast and acquittal template</w:t>
        </w:r>
        <w:r>
          <w:rPr>
            <w:webHidden/>
          </w:rPr>
          <w:tab/>
        </w:r>
        <w:r>
          <w:rPr>
            <w:webHidden/>
          </w:rPr>
          <w:fldChar w:fldCharType="begin"/>
        </w:r>
        <w:r>
          <w:rPr>
            <w:webHidden/>
          </w:rPr>
          <w:instrText xml:space="preserve"> PAGEREF _Toc194663096 \h </w:instrText>
        </w:r>
        <w:r>
          <w:rPr>
            <w:webHidden/>
          </w:rPr>
        </w:r>
        <w:r>
          <w:rPr>
            <w:webHidden/>
          </w:rPr>
          <w:fldChar w:fldCharType="separate"/>
        </w:r>
        <w:r>
          <w:rPr>
            <w:webHidden/>
          </w:rPr>
          <w:t>36</w:t>
        </w:r>
        <w:r>
          <w:rPr>
            <w:webHidden/>
          </w:rPr>
          <w:fldChar w:fldCharType="end"/>
        </w:r>
      </w:hyperlink>
    </w:p>
    <w:p w14:paraId="46D566E5" w14:textId="704304D0" w:rsidR="00AB186E" w:rsidRDefault="00AB186E">
      <w:pPr>
        <w:pStyle w:val="TOC1"/>
        <w:rPr>
          <w:rFonts w:asciiTheme="minorHAnsi" w:eastAsiaTheme="minorEastAsia" w:hAnsiTheme="minorHAnsi" w:cstheme="minorBidi"/>
          <w:b w:val="0"/>
          <w:kern w:val="2"/>
          <w:sz w:val="24"/>
          <w:szCs w:val="24"/>
          <w:lang w:eastAsia="en-AU"/>
          <w14:ligatures w14:val="standardContextual"/>
        </w:rPr>
      </w:pPr>
      <w:hyperlink w:anchor="_Toc194663097" w:history="1">
        <w:r w:rsidRPr="001F2267">
          <w:rPr>
            <w:rStyle w:val="Hyperlink"/>
          </w:rPr>
          <w:t>Appendix six: Narrative report template</w:t>
        </w:r>
        <w:r>
          <w:rPr>
            <w:webHidden/>
          </w:rPr>
          <w:tab/>
        </w:r>
        <w:r>
          <w:rPr>
            <w:webHidden/>
          </w:rPr>
          <w:fldChar w:fldCharType="begin"/>
        </w:r>
        <w:r>
          <w:rPr>
            <w:webHidden/>
          </w:rPr>
          <w:instrText xml:space="preserve"> PAGEREF _Toc194663097 \h </w:instrText>
        </w:r>
        <w:r>
          <w:rPr>
            <w:webHidden/>
          </w:rPr>
        </w:r>
        <w:r>
          <w:rPr>
            <w:webHidden/>
          </w:rPr>
          <w:fldChar w:fldCharType="separate"/>
        </w:r>
        <w:r>
          <w:rPr>
            <w:webHidden/>
          </w:rPr>
          <w:t>40</w:t>
        </w:r>
        <w:r>
          <w:rPr>
            <w:webHidden/>
          </w:rPr>
          <w:fldChar w:fldCharType="end"/>
        </w:r>
      </w:hyperlink>
    </w:p>
    <w:p w14:paraId="03D9373C" w14:textId="0694C4F0" w:rsidR="00AB186E" w:rsidRDefault="00AB186E">
      <w:pPr>
        <w:pStyle w:val="TOC1"/>
        <w:rPr>
          <w:rFonts w:asciiTheme="minorHAnsi" w:eastAsiaTheme="minorEastAsia" w:hAnsiTheme="minorHAnsi" w:cstheme="minorBidi"/>
          <w:b w:val="0"/>
          <w:kern w:val="2"/>
          <w:sz w:val="24"/>
          <w:szCs w:val="24"/>
          <w:lang w:eastAsia="en-AU"/>
          <w14:ligatures w14:val="standardContextual"/>
        </w:rPr>
      </w:pPr>
      <w:hyperlink w:anchor="_Toc194663098" w:history="1">
        <w:r w:rsidRPr="001F2267">
          <w:rPr>
            <w:rStyle w:val="Hyperlink"/>
          </w:rPr>
          <w:t>References</w:t>
        </w:r>
        <w:r>
          <w:rPr>
            <w:webHidden/>
          </w:rPr>
          <w:tab/>
        </w:r>
        <w:r>
          <w:rPr>
            <w:webHidden/>
          </w:rPr>
          <w:fldChar w:fldCharType="begin"/>
        </w:r>
        <w:r>
          <w:rPr>
            <w:webHidden/>
          </w:rPr>
          <w:instrText xml:space="preserve"> PAGEREF _Toc194663098 \h </w:instrText>
        </w:r>
        <w:r>
          <w:rPr>
            <w:webHidden/>
          </w:rPr>
        </w:r>
        <w:r>
          <w:rPr>
            <w:webHidden/>
          </w:rPr>
          <w:fldChar w:fldCharType="separate"/>
        </w:r>
        <w:r>
          <w:rPr>
            <w:webHidden/>
          </w:rPr>
          <w:t>44</w:t>
        </w:r>
        <w:r>
          <w:rPr>
            <w:webHidden/>
          </w:rPr>
          <w:fldChar w:fldCharType="end"/>
        </w:r>
      </w:hyperlink>
    </w:p>
    <w:p w14:paraId="28A08444" w14:textId="3F28BCAF" w:rsidR="00FB1F6E" w:rsidRDefault="00AD784C" w:rsidP="00D079AA">
      <w:pPr>
        <w:pStyle w:val="Body"/>
      </w:pPr>
      <w:r>
        <w:fldChar w:fldCharType="end"/>
      </w:r>
    </w:p>
    <w:p w14:paraId="30FEF960" w14:textId="77777777" w:rsidR="00FB1F6E" w:rsidRDefault="00FB1F6E">
      <w:pPr>
        <w:spacing w:after="0" w:line="240" w:lineRule="auto"/>
        <w:rPr>
          <w:rFonts w:eastAsia="Times"/>
        </w:rPr>
      </w:pPr>
      <w:r>
        <w:br w:type="page"/>
      </w:r>
    </w:p>
    <w:p w14:paraId="40B19517" w14:textId="77777777" w:rsidR="00454A7D" w:rsidRDefault="00454A7D">
      <w:pPr>
        <w:spacing w:after="0" w:line="240" w:lineRule="auto"/>
        <w:rPr>
          <w:rFonts w:eastAsia="MS Gothic" w:cs="Arial"/>
          <w:bCs/>
          <w:color w:val="53565A"/>
          <w:kern w:val="32"/>
          <w:sz w:val="44"/>
          <w:szCs w:val="44"/>
        </w:rPr>
      </w:pPr>
      <w:r>
        <w:lastRenderedPageBreak/>
        <w:br w:type="page"/>
      </w:r>
    </w:p>
    <w:p w14:paraId="77B17C8D" w14:textId="01FD2B51" w:rsidR="00EE29AD" w:rsidRPr="00A71CE4" w:rsidRDefault="003660AB" w:rsidP="00562811">
      <w:pPr>
        <w:pStyle w:val="Heading1"/>
        <w:spacing w:before="0"/>
      </w:pPr>
      <w:bookmarkStart w:id="1" w:name="_Toc194663075"/>
      <w:bookmarkStart w:id="2" w:name="_Hlk66712316"/>
      <w:r>
        <w:lastRenderedPageBreak/>
        <w:t>Introduction</w:t>
      </w:r>
      <w:bookmarkEnd w:id="1"/>
    </w:p>
    <w:p w14:paraId="4D97DFED" w14:textId="77777777" w:rsidR="001753B9" w:rsidRPr="00A6336A" w:rsidRDefault="00225D16" w:rsidP="00CD0ACF">
      <w:pPr>
        <w:pStyle w:val="Body"/>
      </w:pPr>
      <w:bookmarkStart w:id="3" w:name="_Hlk63948051"/>
      <w:r w:rsidRPr="00A6336A">
        <w:t xml:space="preserve">The Community Health - Health Promotion program (the program) funds agencies to develop and implement local prevention and health promotion initiatives, contributing to the departments’ vision for supporting Victorians to be the healthiest people in the world. The program’s focus is aligned to priority areas of the </w:t>
      </w:r>
      <w:hyperlink r:id="rId17" w:history="1">
        <w:r w:rsidRPr="00CD0ACF">
          <w:rPr>
            <w:rStyle w:val="Hyperlink"/>
            <w:rFonts w:eastAsia="MS Gothic" w:cs="Arial"/>
            <w:i/>
            <w:iCs/>
            <w:color w:val="auto"/>
            <w:szCs w:val="21"/>
            <w:u w:val="none"/>
          </w:rPr>
          <w:t>Victorian public health and wellbeing plan 2023-27</w:t>
        </w:r>
      </w:hyperlink>
      <w:r w:rsidRPr="00CD0ACF">
        <w:rPr>
          <w:i/>
          <w:iCs/>
        </w:rPr>
        <w:t xml:space="preserve"> </w:t>
      </w:r>
      <w:r w:rsidR="0067578D" w:rsidRPr="00CD0ACF">
        <w:rPr>
          <w:i/>
          <w:iCs/>
        </w:rPr>
        <w:t xml:space="preserve">        </w:t>
      </w:r>
      <w:r w:rsidR="0067578D" w:rsidRPr="00A6336A">
        <w:t xml:space="preserve">                                      &lt;</w:t>
      </w:r>
      <w:hyperlink r:id="rId18" w:history="1">
        <w:r w:rsidR="00DB73B9" w:rsidRPr="00A6336A">
          <w:rPr>
            <w:rStyle w:val="Hyperlink"/>
            <w:rFonts w:cs="Arial"/>
            <w:color w:val="auto"/>
            <w:szCs w:val="21"/>
            <w:u w:val="none"/>
          </w:rPr>
          <w:t>https://www.health.vic.gov.au/victorian-public-health-and-wellbeing-plan-2023-27</w:t>
        </w:r>
      </w:hyperlink>
      <w:r w:rsidR="0067578D" w:rsidRPr="00A6336A">
        <w:t xml:space="preserve">&gt; </w:t>
      </w:r>
      <w:r w:rsidRPr="00A6336A">
        <w:t>to address the significant contributors to the burden of disease with a focus on more equitable outcomes across the Victorian population.  </w:t>
      </w:r>
    </w:p>
    <w:p w14:paraId="35B2E1A8" w14:textId="18C0CBED" w:rsidR="0024507C" w:rsidRPr="00A6336A" w:rsidRDefault="00225D16" w:rsidP="00CD0ACF">
      <w:pPr>
        <w:pStyle w:val="Body"/>
      </w:pPr>
      <w:r w:rsidRPr="00A6336A">
        <w:t>Addressing drivers of the burden of disease requires multiple, complementary and focused actions capable of reaching a broad range of settings such as schools, workplaces, retail outlets, sporting clubs, and health services.  </w:t>
      </w:r>
    </w:p>
    <w:p w14:paraId="342A626E" w14:textId="49188DCA" w:rsidR="0024507C" w:rsidRPr="00A6336A" w:rsidRDefault="00225D16" w:rsidP="00CD0ACF">
      <w:pPr>
        <w:pStyle w:val="Body"/>
      </w:pPr>
      <w:r w:rsidRPr="00A6336A">
        <w:t>The department acknowledges the collaborative work undertaken with the sector and internal departmental program areas in 2021-2023 to develop the Community Health – Health Promotion Program Guidelines (the guidelines) and associated impact measures. To meet requirements of the Victorian Gender Equality Act 2020, the department led a gender impact assessment of the guidelines in 2022, which incorporated key recommendations to emphasise the importance of considering gender equity and principles of intersectionality. </w:t>
      </w:r>
    </w:p>
    <w:p w14:paraId="01469325" w14:textId="77777777" w:rsidR="00225D16" w:rsidRPr="00A6336A" w:rsidRDefault="00225D16" w:rsidP="00CD0ACF">
      <w:pPr>
        <w:pStyle w:val="Body"/>
      </w:pPr>
      <w:r w:rsidRPr="00A6336A">
        <w:t>The guidelines have been updated with minor revisions to outline the 2025-2029 requirements for funded agencies (Activity 28085) and the Small Rural Primary Health Flexible Services program (Activity 35048, Grant 289 - PCCP - Flexible Services - Health Promotion). </w:t>
      </w:r>
    </w:p>
    <w:p w14:paraId="31E4BF40" w14:textId="418136F9" w:rsidR="00104CCA" w:rsidRDefault="00104CCA" w:rsidP="00104CCA">
      <w:pPr>
        <w:pStyle w:val="Heading1"/>
        <w:spacing w:before="0"/>
      </w:pPr>
      <w:bookmarkStart w:id="4" w:name="_Toc194663076"/>
      <w:bookmarkEnd w:id="3"/>
      <w:r>
        <w:t>Victoria’s prevention eco-system</w:t>
      </w:r>
      <w:bookmarkEnd w:id="4"/>
    </w:p>
    <w:p w14:paraId="3164595D" w14:textId="15CB4362" w:rsidR="00ED7762" w:rsidRDefault="00EE7813" w:rsidP="00B94C5E">
      <w:pPr>
        <w:pStyle w:val="Heading2"/>
      </w:pPr>
      <w:bookmarkStart w:id="5" w:name="_Toc194663077"/>
      <w:r>
        <w:t>Public health vision</w:t>
      </w:r>
      <w:bookmarkEnd w:id="5"/>
      <w:r>
        <w:t xml:space="preserve"> </w:t>
      </w:r>
    </w:p>
    <w:p w14:paraId="2F2D7C8C" w14:textId="77777777" w:rsidR="009003C1" w:rsidRPr="009003C1" w:rsidRDefault="009003C1" w:rsidP="00CD0ACF">
      <w:pPr>
        <w:pStyle w:val="Body"/>
      </w:pPr>
      <w:r w:rsidRPr="009003C1">
        <w:t>Victoria’s prevention ecosystem is made up of many parts (people, organisations, processes, activities) that interact to implement interventions that protect health, prevent disease and promote the health of individuals and communities, and over time achieve population-level impacts.</w:t>
      </w:r>
    </w:p>
    <w:p w14:paraId="7F0FD049" w14:textId="77777777" w:rsidR="009003C1" w:rsidRPr="009003C1" w:rsidRDefault="009003C1" w:rsidP="00CD0ACF">
      <w:pPr>
        <w:pStyle w:val="Body"/>
      </w:pPr>
      <w:r w:rsidRPr="009003C1">
        <w:t>The program connects to the department’s broader vision to strengthen public health in Victoria including disease prevention, health promotion and disease protection. The vision for Victoria’s public health system is that every Victorian has trust in our health system, and feels confident that:</w:t>
      </w:r>
    </w:p>
    <w:p w14:paraId="1CB68106" w14:textId="77777777" w:rsidR="009003C1" w:rsidRDefault="009003C1" w:rsidP="009003C1">
      <w:pPr>
        <w:pStyle w:val="Bullet1"/>
      </w:pPr>
      <w:r w:rsidRPr="009003C1">
        <w:t>The environments where people live, work, play and study are healthy, safe and will promote the wellbeing of future generations.</w:t>
      </w:r>
    </w:p>
    <w:p w14:paraId="20808A70" w14:textId="77777777" w:rsidR="009003C1" w:rsidRDefault="009003C1" w:rsidP="009003C1">
      <w:pPr>
        <w:pStyle w:val="Bullet1"/>
      </w:pPr>
      <w:r w:rsidRPr="009003C1">
        <w:t>Everyone is supported to live their healthiest life, and intergenerational health outcomes are improved.</w:t>
      </w:r>
    </w:p>
    <w:p w14:paraId="7E4BBA8F" w14:textId="77777777" w:rsidR="009003C1" w:rsidRPr="009003C1" w:rsidRDefault="009003C1" w:rsidP="009003C1">
      <w:pPr>
        <w:pStyle w:val="Bullet1"/>
      </w:pPr>
      <w:r w:rsidRPr="009003C1">
        <w:t>People are connected with the right supports, in the right place and at the right time to deliver outcomes that matter to Victorians.</w:t>
      </w:r>
    </w:p>
    <w:p w14:paraId="3A40F1EA" w14:textId="77777777" w:rsidR="009003C1" w:rsidRPr="009003C1" w:rsidRDefault="009003C1" w:rsidP="009003C1">
      <w:pPr>
        <w:pStyle w:val="Bullet1"/>
        <w:numPr>
          <w:ilvl w:val="0"/>
          <w:numId w:val="0"/>
        </w:numPr>
        <w:ind w:left="284"/>
      </w:pPr>
    </w:p>
    <w:p w14:paraId="705B2440" w14:textId="3D088BE3" w:rsidR="009003C1" w:rsidRDefault="009003C1" w:rsidP="009003C1">
      <w:pPr>
        <w:pStyle w:val="Body"/>
      </w:pPr>
      <w:r w:rsidRPr="009003C1">
        <w:t>The program plays a key role in the prevention effort that occurs throughout Victoria at the community level. The program supports the vision for public health and contributes to collective efforts to improve health and wellbeing across geographic catchments</w:t>
      </w:r>
      <w:r w:rsidR="002365B4" w:rsidRPr="002365B4">
        <w:t xml:space="preserve">Body is left aligned. </w:t>
      </w:r>
    </w:p>
    <w:p w14:paraId="63F26F2B" w14:textId="32C871CA" w:rsidR="00EE7813" w:rsidRDefault="00EE7813" w:rsidP="00EE7813">
      <w:pPr>
        <w:pStyle w:val="Heading2"/>
      </w:pPr>
      <w:bookmarkStart w:id="6" w:name="_Toc194663078"/>
      <w:r>
        <w:lastRenderedPageBreak/>
        <w:t>Statewide policy</w:t>
      </w:r>
      <w:bookmarkEnd w:id="6"/>
    </w:p>
    <w:p w14:paraId="27445378" w14:textId="77777777" w:rsidR="00DE29DC" w:rsidRDefault="00DE29DC" w:rsidP="00DE29DC">
      <w:pPr>
        <w:pStyle w:val="Body"/>
      </w:pPr>
      <w:r w:rsidRPr="0076329E">
        <w:t>The department invests in various primary prevention initiatives designed to reduce the risk of chronic diseases and disorders. These initiatives focus on environmental, social, and behavio</w:t>
      </w:r>
      <w:r>
        <w:t>u</w:t>
      </w:r>
      <w:r w:rsidRPr="0076329E">
        <w:t xml:space="preserve">ral approaches at the population level, addressing the </w:t>
      </w:r>
      <w:r>
        <w:t>underlying causes</w:t>
      </w:r>
      <w:r w:rsidRPr="0076329E">
        <w:t xml:space="preserve"> of poor health and wellbeing</w:t>
      </w:r>
      <w:r>
        <w:t>.</w:t>
      </w:r>
    </w:p>
    <w:p w14:paraId="0342D8C5" w14:textId="77777777" w:rsidR="00DE29DC" w:rsidRDefault="00DE29DC" w:rsidP="00DE29DC">
      <w:pPr>
        <w:pStyle w:val="Body"/>
        <w:rPr>
          <w:rFonts w:eastAsia="Arial" w:cs="Arial"/>
          <w:color w:val="000000" w:themeColor="text1"/>
        </w:rPr>
      </w:pPr>
      <w:r w:rsidRPr="341EB58C">
        <w:rPr>
          <w:rFonts w:eastAsia="Arial" w:cs="Arial"/>
          <w:color w:val="000000" w:themeColor="text1"/>
        </w:rPr>
        <w:t xml:space="preserve">In Victoria, the Department of Health holds primary responsibility for guiding primary prevention efforts, aiming to reduce the burden of disease and enhance the overall health and wellbeing of the population. The </w:t>
      </w:r>
      <w:r w:rsidRPr="341EB58C">
        <w:rPr>
          <w:rFonts w:eastAsia="Arial" w:cs="Arial"/>
          <w:i/>
          <w:iCs/>
          <w:color w:val="000000" w:themeColor="text1"/>
        </w:rPr>
        <w:t>Victorian public health and wellbeing plan 2023-27</w:t>
      </w:r>
      <w:r w:rsidRPr="341EB58C">
        <w:rPr>
          <w:rFonts w:eastAsia="Arial" w:cs="Arial"/>
          <w:color w:val="000000" w:themeColor="text1"/>
        </w:rPr>
        <w:t xml:space="preserve"> sets the strategic direction and priorities and the policy and funding guidelines for health services sets the terms and conditions for government-funded healthcare organisations.</w:t>
      </w:r>
    </w:p>
    <w:p w14:paraId="3682BD8E" w14:textId="77777777" w:rsidR="00DE29DC" w:rsidRDefault="00DE29DC" w:rsidP="00DE29DC">
      <w:pPr>
        <w:pStyle w:val="Body"/>
      </w:pPr>
      <w:r>
        <w:t>To maximise effectiveness, complementary and mutually reinforcing interventions are most successfully coordinated and implemented locally, in partnership with stakeholders such as Local Public Health Units (LPHUs), local governments, community health organisations, other prevention partners, and communities themselves.</w:t>
      </w:r>
    </w:p>
    <w:p w14:paraId="50AECF12" w14:textId="77777777" w:rsidR="00DE29DC" w:rsidRDefault="00DE29DC" w:rsidP="00DE29DC">
      <w:pPr>
        <w:pStyle w:val="Body"/>
        <w:rPr>
          <w:highlight w:val="yellow"/>
        </w:rPr>
      </w:pPr>
      <w:r>
        <w:t xml:space="preserve">LPHUs are responsible for leading catchment wide population health planning that outline the priorities for the region, considering local needs, data and evidence. The accountability for these catchment-wide plans rests with the lead health service. Community Health-Health Promotion (CH-HP) agencies are important contributors to this planning to ensure alignment with their work and for regional prioritisation of projects, where relevant. </w:t>
      </w:r>
    </w:p>
    <w:p w14:paraId="5D4AD841" w14:textId="77777777" w:rsidR="00DE29DC" w:rsidRDefault="00DE29DC" w:rsidP="00DE29DC">
      <w:r w:rsidRPr="341EB58C">
        <w:rPr>
          <w:rFonts w:eastAsia="Arial" w:cs="Arial"/>
          <w:color w:val="000000" w:themeColor="text1"/>
          <w:szCs w:val="21"/>
        </w:rPr>
        <w:t>CH-HP agencies lead the delivery of and support local health promotion action addressing</w:t>
      </w:r>
      <w:r w:rsidRPr="341EB58C">
        <w:rPr>
          <w:rFonts w:eastAsia="Arial" w:cs="Arial"/>
          <w:color w:val="000000" w:themeColor="text1"/>
          <w:szCs w:val="21"/>
          <w:lang w:val="en-US"/>
        </w:rPr>
        <w:t xml:space="preserve"> drivers of the burden of disease at a population level. This is achieved through multiple, </w:t>
      </w:r>
      <w:r w:rsidRPr="341EB58C">
        <w:rPr>
          <w:rFonts w:eastAsia="Arial" w:cs="Arial"/>
          <w:color w:val="000000" w:themeColor="text1"/>
          <w:szCs w:val="21"/>
        </w:rPr>
        <w:t>complementary and focused actions capable of reaching a broad range of settings such as schools, workplaces, retail outlets, sporting clubs, and health services.</w:t>
      </w:r>
    </w:p>
    <w:p w14:paraId="3F5987B8" w14:textId="53271872" w:rsidR="00EE7813" w:rsidRDefault="00EE7813" w:rsidP="00EE7813">
      <w:pPr>
        <w:pStyle w:val="Heading2"/>
      </w:pPr>
      <w:bookmarkStart w:id="7" w:name="_Toc194663079"/>
      <w:r>
        <w:t>Statewide priorities</w:t>
      </w:r>
      <w:bookmarkEnd w:id="7"/>
    </w:p>
    <w:p w14:paraId="7CCC4C63" w14:textId="77777777" w:rsidR="001E22A3" w:rsidRDefault="001E22A3" w:rsidP="001E22A3">
      <w:pPr>
        <w:pStyle w:val="Body"/>
        <w:spacing w:before="120" w:after="0"/>
      </w:pPr>
      <w:r>
        <w:t xml:space="preserve">The </w:t>
      </w:r>
      <w:r w:rsidRPr="341EB58C">
        <w:rPr>
          <w:i/>
          <w:iCs/>
        </w:rPr>
        <w:t xml:space="preserve">Victorian public health and wellbeing plan 2023-2027 </w:t>
      </w:r>
      <w:r>
        <w:t xml:space="preserve">required by the </w:t>
      </w:r>
      <w:r w:rsidRPr="341EB58C">
        <w:rPr>
          <w:i/>
          <w:iCs/>
        </w:rPr>
        <w:t>Public Health and Wellbeing Act 2008</w:t>
      </w:r>
      <w:r>
        <w:t xml:space="preserve">, guides the coordination of efforts across state departments, health services, local government, community health, women’s health, non-government organisations, the private sector and communities. An external advisory group of sector and consumer representatives provides advice on its implementation. The plan, alongside other key statewide policies and strategies (listed below) </w:t>
      </w:r>
      <w:r w:rsidRPr="341EB58C">
        <w:rPr>
          <w:rFonts w:eastAsia="Arial" w:cs="Arial"/>
          <w:color w:val="000000" w:themeColor="text1"/>
        </w:rPr>
        <w:t>sets the direction for health promotion and prevention, aimed at improving health outcomes and reducing health inequalities for all Victorians.</w:t>
      </w:r>
      <w:r>
        <w:t xml:space="preserve"> The </w:t>
      </w:r>
      <w:r w:rsidRPr="341EB58C">
        <w:rPr>
          <w:i/>
          <w:iCs/>
        </w:rPr>
        <w:t>Victorian public health and wellbeing outcomes framework</w:t>
      </w:r>
      <w:r>
        <w:t xml:space="preserve"> identifies indicators for monitoring for the plan and tracking progress.</w:t>
      </w:r>
    </w:p>
    <w:p w14:paraId="449B7038" w14:textId="77777777" w:rsidR="001E22A3" w:rsidRDefault="001E22A3" w:rsidP="001E22A3">
      <w:pPr>
        <w:pStyle w:val="Body"/>
        <w:spacing w:before="120" w:after="0"/>
      </w:pPr>
    </w:p>
    <w:p w14:paraId="1A2CF0BC" w14:textId="77777777" w:rsidR="001E22A3" w:rsidRPr="00F41FF3" w:rsidRDefault="001E22A3" w:rsidP="001E22A3">
      <w:pPr>
        <w:pStyle w:val="Bullet1"/>
        <w:rPr>
          <w:color w:val="000000" w:themeColor="text1"/>
          <w:lang w:val="en-US"/>
        </w:rPr>
      </w:pPr>
      <w:r w:rsidRPr="7364CBED">
        <w:rPr>
          <w:rFonts w:eastAsia="Arial" w:cs="Arial"/>
          <w:color w:val="000000" w:themeColor="text1"/>
          <w:lang w:val="en-US"/>
        </w:rPr>
        <w:t>Department of Health strategic plan 2023-2027</w:t>
      </w:r>
      <w:r>
        <w:t xml:space="preserve"> </w:t>
      </w:r>
    </w:p>
    <w:p w14:paraId="491C0E59" w14:textId="77777777" w:rsidR="001E22A3" w:rsidRPr="00F41FF3" w:rsidRDefault="001E22A3" w:rsidP="001E22A3">
      <w:pPr>
        <w:pStyle w:val="Bullet1"/>
      </w:pPr>
      <w:r>
        <w:t>Victorian public health and wellbeing plan 2023-2027</w:t>
      </w:r>
    </w:p>
    <w:p w14:paraId="545F530F" w14:textId="77777777" w:rsidR="001E22A3" w:rsidRPr="003D22E4" w:rsidRDefault="001E22A3" w:rsidP="001E22A3">
      <w:pPr>
        <w:pStyle w:val="Bullet1"/>
        <w:rPr>
          <w:color w:val="000000" w:themeColor="text1"/>
          <w:lang w:val="en-US"/>
        </w:rPr>
      </w:pPr>
      <w:r w:rsidRPr="28D4EB44">
        <w:rPr>
          <w:iCs/>
        </w:rPr>
        <w:t>Victorian cancer plan 2024-2028</w:t>
      </w:r>
    </w:p>
    <w:p w14:paraId="68024169" w14:textId="77777777" w:rsidR="001E22A3" w:rsidRPr="00AF569E" w:rsidRDefault="001E22A3" w:rsidP="001E22A3">
      <w:pPr>
        <w:pStyle w:val="Bullet1"/>
        <w:rPr>
          <w:color w:val="000000" w:themeColor="text1"/>
          <w:lang w:val="en-US"/>
        </w:rPr>
      </w:pPr>
      <w:r w:rsidRPr="341EB58C">
        <w:rPr>
          <w:rFonts w:eastAsia="Arial" w:cs="Arial"/>
          <w:color w:val="000000" w:themeColor="text1"/>
          <w:lang w:val="en-US"/>
        </w:rPr>
        <w:t>Healthy kids, healthy futures plan – a five-year child health and wellbeing plan</w:t>
      </w:r>
    </w:p>
    <w:p w14:paraId="3994469E" w14:textId="77777777" w:rsidR="001E22A3" w:rsidRPr="00AF569E" w:rsidRDefault="001E22A3" w:rsidP="001E22A3">
      <w:pPr>
        <w:pStyle w:val="Bullet1"/>
        <w:rPr>
          <w:color w:val="000000" w:themeColor="text1"/>
          <w:lang w:val="en-US"/>
        </w:rPr>
      </w:pPr>
      <w:r w:rsidRPr="28D4EB44">
        <w:rPr>
          <w:rFonts w:eastAsia="Arial" w:cs="Arial"/>
          <w:iCs/>
          <w:color w:val="000000" w:themeColor="text1"/>
          <w:lang w:val="en-US"/>
        </w:rPr>
        <w:t>Healthy</w:t>
      </w:r>
      <w:r w:rsidRPr="002611D7">
        <w:rPr>
          <w:rFonts w:eastAsia="Arial" w:cs="Arial"/>
          <w:iCs/>
          <w:color w:val="000000" w:themeColor="text1"/>
          <w:lang w:val="en-US"/>
        </w:rPr>
        <w:t xml:space="preserve"> choices: policy guidelines</w:t>
      </w:r>
      <w:r w:rsidRPr="10E93902">
        <w:rPr>
          <w:rFonts w:eastAsia="Arial" w:cs="Arial"/>
          <w:color w:val="000000" w:themeColor="text1"/>
          <w:lang w:val="en-US"/>
        </w:rPr>
        <w:t xml:space="preserve"> (for various settings)</w:t>
      </w:r>
    </w:p>
    <w:p w14:paraId="0865DD57" w14:textId="77777777" w:rsidR="001E22A3" w:rsidRPr="00F83592" w:rsidRDefault="001E22A3" w:rsidP="001E22A3">
      <w:pPr>
        <w:pStyle w:val="Bullet1"/>
        <w:rPr>
          <w:color w:val="000000" w:themeColor="text1"/>
          <w:lang w:val="en-US"/>
        </w:rPr>
      </w:pPr>
      <w:r w:rsidRPr="10E93902">
        <w:rPr>
          <w:rFonts w:cs="Arial"/>
          <w:iCs/>
          <w:lang w:eastAsia="en-AU"/>
        </w:rPr>
        <w:t>Healthy choices: policy directive for Victorian health services</w:t>
      </w:r>
    </w:p>
    <w:p w14:paraId="46E90016" w14:textId="77777777" w:rsidR="001E22A3" w:rsidRPr="004F7989" w:rsidRDefault="001E22A3" w:rsidP="001E22A3">
      <w:pPr>
        <w:pStyle w:val="Bullet1"/>
        <w:rPr>
          <w:color w:val="000000" w:themeColor="text1"/>
          <w:lang w:val="en-US"/>
        </w:rPr>
      </w:pPr>
      <w:r w:rsidRPr="00A12465">
        <w:rPr>
          <w:iCs/>
          <w:color w:val="000000" w:themeColor="text1"/>
          <w:lang w:val="en-US"/>
        </w:rPr>
        <w:t>Implementing Healthy Choices guidelines for</w:t>
      </w:r>
      <w:r>
        <w:rPr>
          <w:iCs/>
          <w:color w:val="000000" w:themeColor="text1"/>
          <w:lang w:val="en-US"/>
        </w:rPr>
        <w:t xml:space="preserve"> </w:t>
      </w:r>
      <w:r w:rsidRPr="00A12465">
        <w:rPr>
          <w:iCs/>
          <w:color w:val="000000" w:themeColor="text1"/>
          <w:lang w:val="en-US"/>
        </w:rPr>
        <w:t>environmentally sustainable food and drinks</w:t>
      </w:r>
      <w:r>
        <w:rPr>
          <w:iCs/>
          <w:color w:val="000000" w:themeColor="text1"/>
          <w:lang w:val="en-US"/>
        </w:rPr>
        <w:t xml:space="preserve"> Practice Note</w:t>
      </w:r>
    </w:p>
    <w:p w14:paraId="73B52FA5" w14:textId="77777777" w:rsidR="001E22A3" w:rsidRPr="004F7989" w:rsidRDefault="001E22A3" w:rsidP="001E22A3">
      <w:pPr>
        <w:pStyle w:val="Bullet1"/>
        <w:rPr>
          <w:rFonts w:eastAsia="Arial"/>
          <w:color w:val="000000" w:themeColor="text1"/>
        </w:rPr>
      </w:pPr>
      <w:r w:rsidRPr="153A1F7D">
        <w:rPr>
          <w:rFonts w:eastAsia="Arial" w:cs="Arial"/>
          <w:color w:val="000000" w:themeColor="text1"/>
        </w:rPr>
        <w:t xml:space="preserve">Department of Education: </w:t>
      </w:r>
      <w:r w:rsidRPr="153A1F7D">
        <w:rPr>
          <w:rFonts w:eastAsia="Arial"/>
          <w:color w:val="000000" w:themeColor="text1"/>
        </w:rPr>
        <w:t>Canteens, healthy eating and other food services</w:t>
      </w:r>
    </w:p>
    <w:p w14:paraId="08F1BD1D" w14:textId="77777777" w:rsidR="001E22A3" w:rsidRDefault="001E22A3" w:rsidP="001E22A3">
      <w:pPr>
        <w:pStyle w:val="Bullet1"/>
        <w:rPr>
          <w:rFonts w:eastAsia="Arial" w:cs="Arial"/>
          <w:color w:val="000000" w:themeColor="text1"/>
          <w:lang w:val="en-US"/>
        </w:rPr>
      </w:pPr>
      <w:r w:rsidRPr="66691FFD">
        <w:rPr>
          <w:rFonts w:eastAsia="Arial" w:cs="Arial"/>
          <w:color w:val="000000" w:themeColor="text1"/>
          <w:lang w:val="en-US"/>
        </w:rPr>
        <w:t>Victorian menu planning guidelines for long day care</w:t>
      </w:r>
    </w:p>
    <w:p w14:paraId="3CF0B1DD" w14:textId="77777777" w:rsidR="001E22A3" w:rsidRDefault="001E22A3" w:rsidP="001E22A3">
      <w:pPr>
        <w:pStyle w:val="Bullet1"/>
        <w:rPr>
          <w:color w:val="000000" w:themeColor="text1"/>
          <w:lang w:val="en-US"/>
        </w:rPr>
      </w:pPr>
      <w:r w:rsidRPr="66691FFD">
        <w:rPr>
          <w:rFonts w:cs="Arial"/>
          <w:lang w:eastAsia="en-AU"/>
        </w:rPr>
        <w:t>Free from violence: Victoria's strategy to prevent family violence</w:t>
      </w:r>
    </w:p>
    <w:p w14:paraId="78E44B31" w14:textId="77777777" w:rsidR="001E22A3" w:rsidRPr="00F83592" w:rsidRDefault="001E22A3" w:rsidP="001E22A3">
      <w:pPr>
        <w:pStyle w:val="Bullet1"/>
        <w:rPr>
          <w:color w:val="000000" w:themeColor="text1"/>
          <w:lang w:val="en-US"/>
        </w:rPr>
      </w:pPr>
      <w:r w:rsidRPr="66691FFD">
        <w:rPr>
          <w:color w:val="000000" w:themeColor="text1"/>
        </w:rPr>
        <w:lastRenderedPageBreak/>
        <w:t>Active Victoria 2022–2026 – A strategic framework for sport and active recreation</w:t>
      </w:r>
    </w:p>
    <w:p w14:paraId="692583D2" w14:textId="77777777" w:rsidR="001E22A3" w:rsidRDefault="001E22A3" w:rsidP="001E22A3">
      <w:pPr>
        <w:pStyle w:val="Bullet1"/>
        <w:rPr>
          <w:rFonts w:eastAsia="Arial" w:cs="Arial"/>
          <w:iCs/>
          <w:color w:val="000000" w:themeColor="text1"/>
          <w:lang w:val="en-US"/>
        </w:rPr>
      </w:pPr>
      <w:r w:rsidRPr="47AB8948">
        <w:rPr>
          <w:rFonts w:eastAsia="Arial" w:cs="Arial"/>
          <w:color w:val="000000" w:themeColor="text1"/>
          <w:lang w:val="en-US"/>
        </w:rPr>
        <w:t>Treaty for Victoria</w:t>
      </w:r>
    </w:p>
    <w:p w14:paraId="5F3EF437" w14:textId="77777777" w:rsidR="001E22A3" w:rsidRDefault="001E22A3" w:rsidP="001E22A3">
      <w:pPr>
        <w:pStyle w:val="Bullet1"/>
        <w:rPr>
          <w:rFonts w:eastAsia="Arial" w:cs="Arial"/>
          <w:color w:val="000000" w:themeColor="text1"/>
          <w:lang w:val="en-US"/>
        </w:rPr>
      </w:pPr>
      <w:r w:rsidRPr="47AB8948">
        <w:rPr>
          <w:rFonts w:eastAsia="Arial" w:cs="Arial"/>
          <w:color w:val="000000" w:themeColor="text1"/>
          <w:lang w:val="en-US"/>
        </w:rPr>
        <w:t>Victorian Aboriginal Affairs framework</w:t>
      </w:r>
    </w:p>
    <w:p w14:paraId="0D2BD586" w14:textId="77777777" w:rsidR="001E22A3" w:rsidRDefault="001E22A3" w:rsidP="001E22A3">
      <w:pPr>
        <w:pStyle w:val="Bullet1"/>
        <w:rPr>
          <w:rFonts w:eastAsia="Arial" w:cs="Arial"/>
          <w:iCs/>
          <w:color w:val="000000" w:themeColor="text1"/>
          <w:lang w:val="en-US"/>
        </w:rPr>
      </w:pPr>
      <w:r w:rsidRPr="5CF0B45F">
        <w:rPr>
          <w:rFonts w:eastAsia="Arial" w:cs="Arial"/>
          <w:iCs/>
          <w:color w:val="000000" w:themeColor="text1"/>
          <w:lang w:val="en-US"/>
        </w:rPr>
        <w:t>Balit Murrup: Aboriginal social and emotional wellbeing framework 2017-2027</w:t>
      </w:r>
    </w:p>
    <w:p w14:paraId="65AB2C9A" w14:textId="77777777" w:rsidR="001E22A3" w:rsidRDefault="001E22A3" w:rsidP="001E22A3">
      <w:pPr>
        <w:pStyle w:val="Bullet1"/>
        <w:rPr>
          <w:rFonts w:eastAsia="Arial" w:cs="Arial"/>
          <w:color w:val="000000" w:themeColor="text1"/>
          <w:lang w:val="en-US"/>
        </w:rPr>
      </w:pPr>
      <w:r w:rsidRPr="47AB8948">
        <w:rPr>
          <w:rFonts w:eastAsia="Arial" w:cs="Arial"/>
          <w:color w:val="000000" w:themeColor="text1"/>
          <w:lang w:val="en-US"/>
        </w:rPr>
        <w:t>Victorian Aboriginal Health and Wellbeing Partnership Agreement Action Plan 2023-2025</w:t>
      </w:r>
    </w:p>
    <w:p w14:paraId="72DAEF40" w14:textId="77777777" w:rsidR="001E22A3" w:rsidRDefault="001E22A3" w:rsidP="001E22A3">
      <w:pPr>
        <w:pStyle w:val="Bullet1"/>
        <w:rPr>
          <w:rFonts w:eastAsia="Arial" w:cs="Arial"/>
          <w:color w:val="000000" w:themeColor="text1"/>
          <w:lang w:val="en-US"/>
        </w:rPr>
      </w:pPr>
      <w:r w:rsidRPr="7364CBED">
        <w:rPr>
          <w:rFonts w:eastAsia="Arial" w:cs="Arial"/>
          <w:color w:val="000000" w:themeColor="text1"/>
          <w:lang w:val="en-US"/>
        </w:rPr>
        <w:t>Victorian Aboriginal sexual and reproductive health plan 2022-30</w:t>
      </w:r>
    </w:p>
    <w:p w14:paraId="54196C40" w14:textId="77777777" w:rsidR="001E22A3" w:rsidRDefault="001E22A3" w:rsidP="001E22A3">
      <w:pPr>
        <w:pStyle w:val="Bullet1"/>
        <w:rPr>
          <w:rFonts w:eastAsia="Arial" w:cs="Arial"/>
          <w:color w:val="000000" w:themeColor="text1"/>
          <w:lang w:val="en-US"/>
        </w:rPr>
      </w:pPr>
      <w:r w:rsidRPr="341EB58C">
        <w:rPr>
          <w:rFonts w:eastAsia="Arial" w:cs="Arial"/>
          <w:color w:val="000000" w:themeColor="text1"/>
          <w:lang w:val="en-US"/>
        </w:rPr>
        <w:t>Other relevant plans and frameworks (e.g. National Tobacco Strategy 2023-2030).</w:t>
      </w:r>
    </w:p>
    <w:p w14:paraId="6294E60B" w14:textId="77777777" w:rsidR="004B4E6F" w:rsidRDefault="004B4E6F" w:rsidP="00EE7813">
      <w:pPr>
        <w:pStyle w:val="Body"/>
      </w:pPr>
    </w:p>
    <w:p w14:paraId="6E523BB3" w14:textId="110D478E" w:rsidR="001D0993" w:rsidRPr="00B57329" w:rsidRDefault="001D0993" w:rsidP="001D0993">
      <w:pPr>
        <w:pStyle w:val="Heading1"/>
      </w:pPr>
      <w:bookmarkStart w:id="8" w:name="_Toc194663080"/>
      <w:r>
        <w:t>Community Health – Health Promotion program focus</w:t>
      </w:r>
      <w:bookmarkEnd w:id="8"/>
    </w:p>
    <w:p w14:paraId="39525687" w14:textId="029A5C29" w:rsidR="001D0993" w:rsidRDefault="001D0993" w:rsidP="001D0993">
      <w:pPr>
        <w:pStyle w:val="Heading2"/>
      </w:pPr>
      <w:bookmarkStart w:id="9" w:name="_Toc194663081"/>
      <w:r>
        <w:t>Program purpose</w:t>
      </w:r>
      <w:bookmarkEnd w:id="9"/>
    </w:p>
    <w:p w14:paraId="26B733BB" w14:textId="77777777" w:rsidR="00D06ED0" w:rsidRDefault="00D06ED0" w:rsidP="00D06ED0">
      <w:pPr>
        <w:pStyle w:val="CommentText"/>
      </w:pPr>
      <w:r w:rsidRPr="153A1F7D">
        <w:t>The</w:t>
      </w:r>
      <w:r w:rsidRPr="153A1F7D">
        <w:rPr>
          <w:rFonts w:eastAsia="MS Gothic"/>
        </w:rPr>
        <w:t xml:space="preserve"> </w:t>
      </w:r>
      <w:r w:rsidRPr="153A1F7D">
        <w:t xml:space="preserve">program aims to achieve impact at scale and maximise best possible outcomes by strengthening effort </w:t>
      </w:r>
      <w:r>
        <w:t>towards chronic disease prevention through the</w:t>
      </w:r>
      <w:r w:rsidRPr="153A1F7D">
        <w:t xml:space="preserve"> increasing healthy eating, increasing active living, and reducing tobacco and e-cigarette related harm</w:t>
      </w:r>
      <w:r>
        <w:t xml:space="preserve"> priority areas</w:t>
      </w:r>
      <w:r w:rsidRPr="153A1F7D">
        <w:t xml:space="preserve">, and in doing so also integrating considerations of climate change and health. The program is uniquely positioned to promote primary and secondary prevention across community-based services and settings. Its role enables breadth and depth, with a focus on targeted interventions for priority population </w:t>
      </w:r>
      <w:r>
        <w:t>groups</w:t>
      </w:r>
      <w:r w:rsidRPr="153A1F7D">
        <w:t>, while also delivering universal interventions. The program aims for sufficient reach to achieve population level impact, while providing more support to settings and sub-populations to ensure impacts are equitable. The program also provides flexibility to accommodate local priorities and context.</w:t>
      </w:r>
    </w:p>
    <w:p w14:paraId="5D485B88" w14:textId="77777777" w:rsidR="00D06ED0" w:rsidRPr="005062BE" w:rsidRDefault="00D06ED0" w:rsidP="00D06ED0">
      <w:pPr>
        <w:pStyle w:val="Body"/>
      </w:pPr>
      <w:r>
        <w:t xml:space="preserve">The priorities of the </w:t>
      </w:r>
      <w:r w:rsidRPr="2C9FEC5A">
        <w:rPr>
          <w:i/>
          <w:iCs/>
        </w:rPr>
        <w:t>Victorian public health and wellbeing plan 2023-2027</w:t>
      </w:r>
      <w:r>
        <w:t xml:space="preserve"> represent the key drivers of the burden of disease. However, it is important to recognise that health status varies markedly across the population. Individuals from low socio-economic backgrounds, living in rural and remote areas and Aboriginal and Torres Strait Islander communities are disproportionately affected, live with chronic illness and die prematurely. Health promotion and prevention activities support individuals to keep healthy and minimise risk of ill health.</w:t>
      </w:r>
    </w:p>
    <w:p w14:paraId="3BEC5F00" w14:textId="77777777" w:rsidR="00D06ED0" w:rsidRDefault="00D06ED0" w:rsidP="00D06ED0">
      <w:pPr>
        <w:pStyle w:val="Body"/>
      </w:pPr>
      <w:r w:rsidRPr="153A1F7D">
        <w:t>The program is seeking to deliver better health and wellbeing outcomes for individuals and communities. It achieves this by promoting statewide policies (e.g. tobacco/e-cigarette control) and programs (e.g. Vic Kids Eat Well) and enabling community-based, local action (e.g. increasing access to fresh, healthy food</w:t>
      </w:r>
      <w:r>
        <w:t xml:space="preserve"> and</w:t>
      </w:r>
      <w:r w:rsidRPr="153A1F7D">
        <w:t xml:space="preserve"> increasing participation in local active recreation activities). </w:t>
      </w:r>
    </w:p>
    <w:p w14:paraId="760560BB" w14:textId="77777777" w:rsidR="00D06ED0" w:rsidRPr="00B71DEC" w:rsidRDefault="00D06ED0" w:rsidP="00D06ED0">
      <w:pPr>
        <w:pStyle w:val="DHHSbody"/>
        <w:rPr>
          <w:rStyle w:val="eop"/>
          <w:rFonts w:eastAsia="MS Mincho" w:cs="Arial"/>
          <w:sz w:val="21"/>
          <w:szCs w:val="21"/>
        </w:rPr>
      </w:pPr>
      <w:r w:rsidRPr="7364CBED">
        <w:rPr>
          <w:rStyle w:val="normaltextrun"/>
          <w:rFonts w:eastAsia="MS Gothic" w:cs="Arial"/>
          <w:sz w:val="21"/>
          <w:szCs w:val="21"/>
        </w:rPr>
        <w:t>It also responds to adjustments in the systems supporting prevention arising from government reforms.</w:t>
      </w:r>
      <w:r w:rsidRPr="7364CBED">
        <w:rPr>
          <w:rStyle w:val="eop"/>
          <w:rFonts w:eastAsia="MS Mincho" w:cs="Arial"/>
          <w:sz w:val="21"/>
          <w:szCs w:val="21"/>
        </w:rPr>
        <w:t xml:space="preserve"> Appendix one details some of the current reforms, significant investments and prevention initiatives within the Victorian prevention ecosystem, such as: </w:t>
      </w:r>
    </w:p>
    <w:p w14:paraId="475CEF0D" w14:textId="77777777" w:rsidR="00D06ED0" w:rsidRPr="007D46FA" w:rsidRDefault="00D06ED0" w:rsidP="007D46FA">
      <w:pPr>
        <w:pStyle w:val="Bullet1"/>
        <w:rPr>
          <w:rStyle w:val="eop"/>
        </w:rPr>
      </w:pPr>
      <w:r w:rsidRPr="007D46FA">
        <w:rPr>
          <w:rStyle w:val="eop"/>
        </w:rPr>
        <w:t>Local Government prevention effort (including municipal public health and wellbeing planning)</w:t>
      </w:r>
    </w:p>
    <w:p w14:paraId="534BAF25" w14:textId="77777777" w:rsidR="00D06ED0" w:rsidRPr="007D46FA" w:rsidRDefault="00D06ED0" w:rsidP="007D46FA">
      <w:pPr>
        <w:pStyle w:val="Bullet1"/>
        <w:rPr>
          <w:rStyle w:val="eop"/>
        </w:rPr>
      </w:pPr>
      <w:r w:rsidRPr="007D46FA">
        <w:rPr>
          <w:rStyle w:val="eop"/>
        </w:rPr>
        <w:t>Local Public Health Units</w:t>
      </w:r>
    </w:p>
    <w:p w14:paraId="198B0E16" w14:textId="77777777" w:rsidR="00D06ED0" w:rsidRPr="007D46FA" w:rsidRDefault="00D06ED0" w:rsidP="007D46FA">
      <w:pPr>
        <w:pStyle w:val="Bullet1"/>
        <w:rPr>
          <w:rStyle w:val="eop"/>
        </w:rPr>
      </w:pPr>
      <w:r w:rsidRPr="007D46FA">
        <w:rPr>
          <w:rStyle w:val="eop"/>
        </w:rPr>
        <w:t>Mental health and wellbeing reform</w:t>
      </w:r>
    </w:p>
    <w:p w14:paraId="06A82E33" w14:textId="77777777" w:rsidR="00D06ED0" w:rsidRPr="007D46FA" w:rsidRDefault="00D06ED0" w:rsidP="007D46FA">
      <w:pPr>
        <w:pStyle w:val="Bullet1"/>
        <w:rPr>
          <w:rStyle w:val="eop"/>
        </w:rPr>
      </w:pPr>
      <w:r w:rsidRPr="007D46FA">
        <w:rPr>
          <w:rStyle w:val="eop"/>
        </w:rPr>
        <w:t>Prevention of family violence, violence against women and gender equality</w:t>
      </w:r>
    </w:p>
    <w:p w14:paraId="7D010396" w14:textId="77777777" w:rsidR="00D06ED0" w:rsidRPr="007D46FA" w:rsidRDefault="00D06ED0" w:rsidP="007D46FA">
      <w:pPr>
        <w:pStyle w:val="Bullet1"/>
        <w:rPr>
          <w:rStyle w:val="eop"/>
        </w:rPr>
      </w:pPr>
      <w:r w:rsidRPr="007D46FA">
        <w:rPr>
          <w:rStyle w:val="eop"/>
        </w:rPr>
        <w:t>Active Schools initiative</w:t>
      </w:r>
    </w:p>
    <w:p w14:paraId="2AF38003" w14:textId="77777777" w:rsidR="00D06ED0" w:rsidRPr="007D46FA" w:rsidRDefault="00D06ED0" w:rsidP="007D46FA">
      <w:pPr>
        <w:pStyle w:val="Bullet1"/>
        <w:rPr>
          <w:rStyle w:val="eop"/>
        </w:rPr>
      </w:pPr>
      <w:r w:rsidRPr="007D46FA">
        <w:rPr>
          <w:rStyle w:val="eop"/>
        </w:rPr>
        <w:t>Healthy Loddon Campaspe initiative</w:t>
      </w:r>
    </w:p>
    <w:p w14:paraId="5A82C9EE" w14:textId="77777777" w:rsidR="00D06ED0" w:rsidRPr="007D46FA" w:rsidRDefault="00D06ED0" w:rsidP="007D46FA">
      <w:pPr>
        <w:pStyle w:val="Bullet1"/>
        <w:rPr>
          <w:rStyle w:val="eop"/>
        </w:rPr>
      </w:pPr>
      <w:r w:rsidRPr="007D46FA">
        <w:rPr>
          <w:rStyle w:val="eop"/>
        </w:rPr>
        <w:t xml:space="preserve">The Achievement Program and Vic Kids Eat Well </w:t>
      </w:r>
    </w:p>
    <w:p w14:paraId="66899D4E" w14:textId="77777777" w:rsidR="00D06ED0" w:rsidRPr="007D46FA" w:rsidRDefault="00D06ED0" w:rsidP="007D46FA">
      <w:pPr>
        <w:pStyle w:val="Bullet1"/>
        <w:rPr>
          <w:rStyle w:val="eop"/>
        </w:rPr>
      </w:pPr>
      <w:r w:rsidRPr="007D46FA">
        <w:rPr>
          <w:rStyle w:val="eop"/>
        </w:rPr>
        <w:lastRenderedPageBreak/>
        <w:t xml:space="preserve">VicHealth grants and programs aligned with the guidelines </w:t>
      </w:r>
    </w:p>
    <w:p w14:paraId="48649E1D" w14:textId="77777777" w:rsidR="00D06ED0" w:rsidRPr="007D46FA" w:rsidRDefault="00D06ED0" w:rsidP="007D46FA">
      <w:pPr>
        <w:pStyle w:val="Bullet1"/>
        <w:rPr>
          <w:rStyle w:val="eop"/>
        </w:rPr>
      </w:pPr>
      <w:r w:rsidRPr="007D46FA">
        <w:rPr>
          <w:rStyle w:val="eop"/>
        </w:rPr>
        <w:t>Women’s Health - Health Promotion Program</w:t>
      </w:r>
    </w:p>
    <w:p w14:paraId="5712A423" w14:textId="77777777" w:rsidR="00D06ED0" w:rsidRPr="007D46FA" w:rsidRDefault="00D06ED0" w:rsidP="007D46FA">
      <w:pPr>
        <w:pStyle w:val="Bullet1"/>
        <w:rPr>
          <w:rStyle w:val="eop"/>
        </w:rPr>
      </w:pPr>
      <w:r w:rsidRPr="007D46FA">
        <w:rPr>
          <w:rStyle w:val="eop"/>
        </w:rPr>
        <w:t>Victorian Aboriginal Health and Wellbeing Partnership Action Plan Agreement 2023-2025.</w:t>
      </w:r>
    </w:p>
    <w:p w14:paraId="660C7E7D" w14:textId="13D5EBFA" w:rsidR="001D0993" w:rsidRDefault="001D0993" w:rsidP="001D0993">
      <w:pPr>
        <w:pStyle w:val="Heading2"/>
      </w:pPr>
      <w:bookmarkStart w:id="10" w:name="_Toc194663082"/>
      <w:r>
        <w:t>Program logic overview</w:t>
      </w:r>
      <w:bookmarkEnd w:id="10"/>
    </w:p>
    <w:p w14:paraId="33B6AC0E" w14:textId="77777777" w:rsidR="000A009D" w:rsidRDefault="000A009D" w:rsidP="000A009D">
      <w:pPr>
        <w:pStyle w:val="Body"/>
      </w:pPr>
      <w:r w:rsidRPr="153A1F7D">
        <w:t xml:space="preserve">A program logic model was developed to demonstrate the relationship between the inputs and activities of the program and the desired short-term impacts and longer-term outcomes. See pages 7-8 for the program logic. </w:t>
      </w:r>
    </w:p>
    <w:p w14:paraId="13D320A3" w14:textId="77777777" w:rsidR="001D39D6" w:rsidRPr="00482A78" w:rsidRDefault="001D39D6" w:rsidP="00B115CB">
      <w:pPr>
        <w:pStyle w:val="Heading3"/>
      </w:pPr>
      <w:r w:rsidRPr="00482A78">
        <w:t>Prevention definitions</w:t>
      </w:r>
    </w:p>
    <w:p w14:paraId="4D9FA655" w14:textId="77777777" w:rsidR="001D39D6" w:rsidRDefault="001D39D6" w:rsidP="007D46FA">
      <w:pPr>
        <w:pStyle w:val="Bullet1"/>
      </w:pPr>
      <w:r w:rsidRPr="153A1F7D">
        <w:t xml:space="preserve">Primary prevention aims to prevent problems occurring in the first place by eliminating or reducing underlying causes. This is achieved by controlling the exposure to risk and promoting factors that protect health, wellbeing, safety and social outcomes. </w:t>
      </w:r>
    </w:p>
    <w:p w14:paraId="6B77E342" w14:textId="7C73D124" w:rsidR="001D39D6" w:rsidRPr="001D39D6" w:rsidRDefault="001D39D6" w:rsidP="007D46FA">
      <w:pPr>
        <w:pStyle w:val="Bullet1"/>
      </w:pPr>
      <w:r w:rsidRPr="153A1F7D">
        <w:t>Secondary prevention aims to stop, interrupt, reduce or delay the progression of a problem through early detection and intervention. Examples include screening and risk detection activities, with referral to appropriate services for follow up care where a condition is detected.</w:t>
      </w:r>
    </w:p>
    <w:p w14:paraId="3E8BDBD0" w14:textId="77777777" w:rsidR="000A009D" w:rsidRDefault="000A009D" w:rsidP="000B0C6A">
      <w:pPr>
        <w:pStyle w:val="Body"/>
      </w:pPr>
      <w:r w:rsidRPr="00740DB6">
        <w:t>The program logic demonstrates that</w:t>
      </w:r>
      <w:r>
        <w:t xml:space="preserve"> the program</w:t>
      </w:r>
      <w:r w:rsidRPr="00740DB6">
        <w:t xml:space="preserve"> delivers lead functions (activities/outputs) to elicit changes in local settings and environments (short-term outcomes), which increases exposure to health-promoting environments particularly for children and families</w:t>
      </w:r>
      <w:r>
        <w:rPr>
          <w:rStyle w:val="FootnoteReference"/>
        </w:rPr>
        <w:footnoteReference w:id="2"/>
      </w:r>
      <w:r w:rsidRPr="00740DB6">
        <w:t xml:space="preserve"> (medium-term outcomes) and facilitates sustainable behaviour change through improved capability, opportunity, and motivation (individual level impact) and contributes to a transformed system underpinning the prevention of chronic disease in Victoria (multilevel impact) to deliver the long term outcomes we seek.</w:t>
      </w:r>
    </w:p>
    <w:p w14:paraId="3A18D8CF" w14:textId="77777777" w:rsidR="001D39D6" w:rsidRPr="00442E5E" w:rsidRDefault="001D39D6" w:rsidP="00B115CB">
      <w:pPr>
        <w:pStyle w:val="Heading3"/>
        <w:rPr>
          <w:rStyle w:val="normaltextrun"/>
          <w:rFonts w:cs="Arial"/>
          <w:b/>
          <w:bCs w:val="0"/>
          <w:szCs w:val="21"/>
        </w:rPr>
      </w:pPr>
      <w:r w:rsidRPr="00442E5E">
        <w:rPr>
          <w:rStyle w:val="normaltextrun"/>
          <w:rFonts w:cs="Arial"/>
          <w:szCs w:val="21"/>
        </w:rPr>
        <w:t>Defining impact and outcome</w:t>
      </w:r>
    </w:p>
    <w:p w14:paraId="66424C2C" w14:textId="77777777" w:rsidR="001D39D6" w:rsidRDefault="001D39D6" w:rsidP="001D39D6">
      <w:pPr>
        <w:pStyle w:val="paragraph"/>
        <w:spacing w:before="0" w:beforeAutospacing="0" w:after="0" w:afterAutospacing="0"/>
        <w:textAlignment w:val="baseline"/>
        <w:rPr>
          <w:rStyle w:val="normaltextrun"/>
          <w:rFonts w:ascii="Arial" w:eastAsia="MS Gothic" w:hAnsi="Arial" w:cs="Arial"/>
          <w:sz w:val="21"/>
          <w:szCs w:val="21"/>
        </w:rPr>
      </w:pPr>
    </w:p>
    <w:p w14:paraId="46C14B94" w14:textId="465DE0AB" w:rsidR="001D39D6" w:rsidRPr="001D39D6" w:rsidRDefault="001D39D6" w:rsidP="00282BC6">
      <w:pPr>
        <w:pStyle w:val="ListParagraph"/>
        <w:numPr>
          <w:ilvl w:val="0"/>
          <w:numId w:val="11"/>
        </w:numPr>
        <w:spacing w:after="160" w:line="259" w:lineRule="auto"/>
        <w:ind w:left="284" w:hanging="284"/>
        <w:rPr>
          <w:rFonts w:cs="Arial"/>
        </w:rPr>
      </w:pPr>
      <w:r w:rsidRPr="001D39D6">
        <w:rPr>
          <w:rFonts w:cs="Arial"/>
          <w:b/>
          <w:bCs/>
        </w:rPr>
        <w:t xml:space="preserve">Impact </w:t>
      </w:r>
      <w:r w:rsidRPr="001D39D6">
        <w:rPr>
          <w:rFonts w:cs="Arial"/>
        </w:rPr>
        <w:t>is defined as an effect that health promotion programs have on people, stakeholders, settings or systems; impact refers to the objective of health promotion programs. Impacts can range from immediate, to intermediate and long-term.</w:t>
      </w:r>
    </w:p>
    <w:p w14:paraId="1FA939BD" w14:textId="1F5F661E" w:rsidR="001D39D6" w:rsidRPr="001D39D6" w:rsidRDefault="001D39D6" w:rsidP="00282BC6">
      <w:pPr>
        <w:pStyle w:val="ListParagraph"/>
        <w:numPr>
          <w:ilvl w:val="0"/>
          <w:numId w:val="11"/>
        </w:numPr>
        <w:spacing w:after="160" w:line="259" w:lineRule="auto"/>
        <w:ind w:left="284" w:hanging="284"/>
        <w:rPr>
          <w:rFonts w:cs="Arial"/>
        </w:rPr>
      </w:pPr>
      <w:r w:rsidRPr="001D39D6">
        <w:rPr>
          <w:rFonts w:cs="Arial"/>
          <w:b/>
          <w:bCs/>
        </w:rPr>
        <w:t>Outcome</w:t>
      </w:r>
      <w:r w:rsidRPr="001D39D6">
        <w:rPr>
          <w:rFonts w:cs="Arial"/>
        </w:rPr>
        <w:t xml:space="preserve"> is defined as the long-term effect that goes beyond individual policies, programs and projects programs.</w:t>
      </w:r>
    </w:p>
    <w:p w14:paraId="4BA6F5C9" w14:textId="77777777" w:rsidR="00453C2A" w:rsidRDefault="00453C2A" w:rsidP="008D639B">
      <w:pPr>
        <w:pStyle w:val="Heading2"/>
        <w:sectPr w:rsidR="00453C2A" w:rsidSect="00210890">
          <w:headerReference w:type="even" r:id="rId19"/>
          <w:headerReference w:type="default" r:id="rId20"/>
          <w:footerReference w:type="even" r:id="rId21"/>
          <w:footerReference w:type="default" r:id="rId22"/>
          <w:headerReference w:type="first" r:id="rId23"/>
          <w:footerReference w:type="first" r:id="rId24"/>
          <w:pgSz w:w="11906" w:h="16838"/>
          <w:pgMar w:top="1276" w:right="1080" w:bottom="1560" w:left="1080" w:header="709" w:footer="0" w:gutter="0"/>
          <w:cols w:space="708"/>
          <w:docGrid w:linePitch="360"/>
        </w:sectPr>
      </w:pPr>
    </w:p>
    <w:p w14:paraId="3A1D541D" w14:textId="3758C4E0" w:rsidR="00497795" w:rsidRDefault="00CC1140" w:rsidP="008D639B">
      <w:pPr>
        <w:pStyle w:val="Heading2"/>
      </w:pPr>
      <w:bookmarkStart w:id="11" w:name="_Toc194663083"/>
      <w:r>
        <w:lastRenderedPageBreak/>
        <w:t>Community Health – Health Promotion program logic</w:t>
      </w:r>
      <w:bookmarkEnd w:id="11"/>
      <w:r>
        <w:t xml:space="preserve"> </w:t>
      </w:r>
    </w:p>
    <w:p w14:paraId="2E1181CD" w14:textId="3795E578" w:rsidR="00C07976" w:rsidRPr="00C07976" w:rsidRDefault="00C07976" w:rsidP="00C07976">
      <w:pPr>
        <w:pStyle w:val="Tablecaption"/>
      </w:pPr>
      <w:r>
        <w:t>Table 1: Community Health – Health Promotion program logic</w:t>
      </w:r>
    </w:p>
    <w:tbl>
      <w:tblPr>
        <w:tblStyle w:val="TableGrid"/>
        <w:tblW w:w="14548" w:type="dxa"/>
        <w:tblLook w:val="04A0" w:firstRow="1" w:lastRow="0" w:firstColumn="1" w:lastColumn="0" w:noHBand="0" w:noVBand="1"/>
      </w:tblPr>
      <w:tblGrid>
        <w:gridCol w:w="2070"/>
        <w:gridCol w:w="2820"/>
        <w:gridCol w:w="3004"/>
        <w:gridCol w:w="2591"/>
        <w:gridCol w:w="2079"/>
        <w:gridCol w:w="1984"/>
      </w:tblGrid>
      <w:tr w:rsidR="00940601" w:rsidRPr="00E32CC7" w14:paraId="22F3AF96" w14:textId="77777777" w:rsidTr="003C1A96">
        <w:trPr>
          <w:trHeight w:val="300"/>
          <w:tblHeader/>
        </w:trPr>
        <w:tc>
          <w:tcPr>
            <w:tcW w:w="2070" w:type="dxa"/>
            <w:shd w:val="clear" w:color="auto" w:fill="auto"/>
          </w:tcPr>
          <w:p w14:paraId="104685BF" w14:textId="77777777" w:rsidR="00940601" w:rsidRPr="00ED5B0C" w:rsidRDefault="00940601" w:rsidP="003C1A96">
            <w:pPr>
              <w:pStyle w:val="Tablecolhead"/>
            </w:pPr>
            <w:r w:rsidRPr="00ED5B0C">
              <w:t>Inputs</w:t>
            </w:r>
          </w:p>
        </w:tc>
        <w:tc>
          <w:tcPr>
            <w:tcW w:w="2820" w:type="dxa"/>
            <w:shd w:val="clear" w:color="auto" w:fill="auto"/>
          </w:tcPr>
          <w:p w14:paraId="7C85BC10" w14:textId="77777777" w:rsidR="00940601" w:rsidRPr="00ED5B0C" w:rsidRDefault="00940601" w:rsidP="003C1A96">
            <w:pPr>
              <w:pStyle w:val="Tablecolhead"/>
            </w:pPr>
            <w:r w:rsidRPr="00ED5B0C">
              <w:t>Activities / Outputs</w:t>
            </w:r>
          </w:p>
        </w:tc>
        <w:tc>
          <w:tcPr>
            <w:tcW w:w="3004" w:type="dxa"/>
            <w:shd w:val="clear" w:color="auto" w:fill="auto"/>
          </w:tcPr>
          <w:p w14:paraId="318C9D30" w14:textId="77777777" w:rsidR="00940601" w:rsidRPr="00ED5B0C" w:rsidRDefault="00940601" w:rsidP="003C1A96">
            <w:pPr>
              <w:pStyle w:val="Tablecolhead"/>
            </w:pPr>
            <w:r w:rsidRPr="00ED5B0C">
              <w:t>Direct/Immediate impacts/changes</w:t>
            </w:r>
          </w:p>
        </w:tc>
        <w:tc>
          <w:tcPr>
            <w:tcW w:w="2591" w:type="dxa"/>
            <w:shd w:val="clear" w:color="auto" w:fill="auto"/>
          </w:tcPr>
          <w:p w14:paraId="7A76F926" w14:textId="77777777" w:rsidR="00940601" w:rsidRPr="00ED5B0C" w:rsidRDefault="00940601" w:rsidP="003C1A96">
            <w:pPr>
              <w:pStyle w:val="Tablecolhead"/>
            </w:pPr>
            <w:r w:rsidRPr="00ED5B0C">
              <w:t>Short-term outcomes</w:t>
            </w:r>
          </w:p>
        </w:tc>
        <w:tc>
          <w:tcPr>
            <w:tcW w:w="2079" w:type="dxa"/>
            <w:shd w:val="clear" w:color="auto" w:fill="auto"/>
          </w:tcPr>
          <w:p w14:paraId="41412848" w14:textId="77777777" w:rsidR="00940601" w:rsidRPr="00ED5B0C" w:rsidRDefault="00940601" w:rsidP="003C1A96">
            <w:pPr>
              <w:pStyle w:val="Tablecolhead"/>
            </w:pPr>
            <w:r w:rsidRPr="00ED5B0C">
              <w:t>Medium term outcomes</w:t>
            </w:r>
          </w:p>
        </w:tc>
        <w:tc>
          <w:tcPr>
            <w:tcW w:w="1984" w:type="dxa"/>
            <w:shd w:val="clear" w:color="auto" w:fill="auto"/>
          </w:tcPr>
          <w:p w14:paraId="7BB32732" w14:textId="77777777" w:rsidR="00940601" w:rsidRPr="00ED5B0C" w:rsidRDefault="00940601" w:rsidP="003C1A96">
            <w:pPr>
              <w:pStyle w:val="Tablecolhead"/>
            </w:pPr>
            <w:r w:rsidRPr="00ED5B0C">
              <w:t>Long term outcomes</w:t>
            </w:r>
          </w:p>
        </w:tc>
      </w:tr>
      <w:tr w:rsidR="00940601" w:rsidRPr="00E32CC7" w14:paraId="6E5B4EE2" w14:textId="77777777" w:rsidTr="003C1A96">
        <w:trPr>
          <w:trHeight w:val="300"/>
        </w:trPr>
        <w:tc>
          <w:tcPr>
            <w:tcW w:w="2070" w:type="dxa"/>
            <w:shd w:val="clear" w:color="auto" w:fill="auto"/>
          </w:tcPr>
          <w:p w14:paraId="79A3E23C" w14:textId="77777777" w:rsidR="00940601" w:rsidRPr="00C435E0" w:rsidRDefault="00940601" w:rsidP="003C1A96">
            <w:pPr>
              <w:pStyle w:val="Tabletext"/>
            </w:pPr>
          </w:p>
        </w:tc>
        <w:tc>
          <w:tcPr>
            <w:tcW w:w="2820" w:type="dxa"/>
            <w:shd w:val="clear" w:color="auto" w:fill="auto"/>
          </w:tcPr>
          <w:p w14:paraId="1F2B0259" w14:textId="77777777" w:rsidR="00940601" w:rsidRPr="00C435E0" w:rsidRDefault="00940601" w:rsidP="003C1A96">
            <w:pPr>
              <w:pStyle w:val="Tabletext"/>
            </w:pPr>
          </w:p>
        </w:tc>
        <w:tc>
          <w:tcPr>
            <w:tcW w:w="3004" w:type="dxa"/>
            <w:shd w:val="clear" w:color="auto" w:fill="auto"/>
          </w:tcPr>
          <w:p w14:paraId="5005CF32" w14:textId="77777777" w:rsidR="00940601" w:rsidRPr="00C435E0" w:rsidRDefault="00940601" w:rsidP="003C1A96">
            <w:pPr>
              <w:pStyle w:val="Tabletext"/>
            </w:pPr>
            <w:r w:rsidRPr="00C435E0">
              <w:t>Change measurable within each annual cycle</w:t>
            </w:r>
          </w:p>
        </w:tc>
        <w:tc>
          <w:tcPr>
            <w:tcW w:w="2591" w:type="dxa"/>
            <w:shd w:val="clear" w:color="auto" w:fill="auto"/>
          </w:tcPr>
          <w:p w14:paraId="09EA9A38" w14:textId="77777777" w:rsidR="00940601" w:rsidRPr="00C435E0" w:rsidRDefault="00940601" w:rsidP="003C1A96">
            <w:pPr>
              <w:pStyle w:val="Tabletext"/>
            </w:pPr>
            <w:r w:rsidRPr="153A1F7D">
              <w:t>Change observed over 1-4 years</w:t>
            </w:r>
          </w:p>
        </w:tc>
        <w:tc>
          <w:tcPr>
            <w:tcW w:w="2079" w:type="dxa"/>
            <w:shd w:val="clear" w:color="auto" w:fill="auto"/>
          </w:tcPr>
          <w:p w14:paraId="082AFCC9" w14:textId="77777777" w:rsidR="00940601" w:rsidRPr="00C435E0" w:rsidRDefault="00940601" w:rsidP="003C1A96">
            <w:pPr>
              <w:pStyle w:val="Tabletext"/>
            </w:pPr>
            <w:r w:rsidRPr="153A1F7D">
              <w:t>Change observed over long term 5-10 years</w:t>
            </w:r>
          </w:p>
          <w:p w14:paraId="74306576" w14:textId="77777777" w:rsidR="00940601" w:rsidRPr="00C435E0" w:rsidRDefault="00940601" w:rsidP="003C1A96">
            <w:pPr>
              <w:pStyle w:val="Tabletext"/>
            </w:pPr>
          </w:p>
        </w:tc>
        <w:tc>
          <w:tcPr>
            <w:tcW w:w="1984" w:type="dxa"/>
            <w:shd w:val="clear" w:color="auto" w:fill="auto"/>
          </w:tcPr>
          <w:p w14:paraId="7FB153C7" w14:textId="77777777" w:rsidR="00940601" w:rsidRPr="00C435E0" w:rsidRDefault="00940601" w:rsidP="003C1A96">
            <w:pPr>
              <w:pStyle w:val="Tabletext"/>
            </w:pPr>
            <w:r w:rsidRPr="153A1F7D">
              <w:t>Change observed over long term 5-10 years</w:t>
            </w:r>
          </w:p>
          <w:p w14:paraId="50E7F97F" w14:textId="77777777" w:rsidR="00940601" w:rsidRPr="00C435E0" w:rsidRDefault="00940601" w:rsidP="003C1A96">
            <w:pPr>
              <w:pStyle w:val="Tabletext"/>
            </w:pPr>
          </w:p>
        </w:tc>
      </w:tr>
      <w:tr w:rsidR="00940601" w:rsidRPr="00E32CC7" w14:paraId="04750809" w14:textId="77777777" w:rsidTr="003C1A96">
        <w:trPr>
          <w:trHeight w:val="300"/>
        </w:trPr>
        <w:tc>
          <w:tcPr>
            <w:tcW w:w="2070" w:type="dxa"/>
            <w:shd w:val="clear" w:color="auto" w:fill="auto"/>
          </w:tcPr>
          <w:p w14:paraId="3FEE1476" w14:textId="77777777" w:rsidR="00940601" w:rsidRPr="00C435E0" w:rsidRDefault="00940601" w:rsidP="003C1A96">
            <w:pPr>
              <w:pStyle w:val="Tabletext"/>
            </w:pPr>
          </w:p>
        </w:tc>
        <w:tc>
          <w:tcPr>
            <w:tcW w:w="2820" w:type="dxa"/>
            <w:shd w:val="clear" w:color="auto" w:fill="auto"/>
          </w:tcPr>
          <w:p w14:paraId="2B93BD1F" w14:textId="77777777" w:rsidR="00940601" w:rsidRPr="00C435E0" w:rsidRDefault="00940601" w:rsidP="003C1A96">
            <w:pPr>
              <w:pStyle w:val="Tabletext"/>
              <w:rPr>
                <w:bCs/>
              </w:rPr>
            </w:pPr>
            <w:r w:rsidRPr="153A1F7D">
              <w:t>Activity monitored locally as part of good project management</w:t>
            </w:r>
          </w:p>
        </w:tc>
        <w:tc>
          <w:tcPr>
            <w:tcW w:w="3004" w:type="dxa"/>
            <w:shd w:val="clear" w:color="auto" w:fill="auto"/>
          </w:tcPr>
          <w:p w14:paraId="5DCB2853" w14:textId="77777777" w:rsidR="00940601" w:rsidRPr="00C435E0" w:rsidRDefault="00940601" w:rsidP="003C1A96">
            <w:pPr>
              <w:pStyle w:val="Tabletext"/>
            </w:pPr>
            <w:r w:rsidRPr="00C435E0">
              <w:t>Changes measured locally as part of implementation practice, and aggregated statewide where possible</w:t>
            </w:r>
          </w:p>
        </w:tc>
        <w:tc>
          <w:tcPr>
            <w:tcW w:w="2591" w:type="dxa"/>
            <w:shd w:val="clear" w:color="auto" w:fill="auto"/>
          </w:tcPr>
          <w:p w14:paraId="55D6DEBA" w14:textId="77777777" w:rsidR="00940601" w:rsidRPr="00C435E0" w:rsidRDefault="00940601" w:rsidP="003C1A96">
            <w:pPr>
              <w:pStyle w:val="Tabletext"/>
            </w:pPr>
            <w:r w:rsidRPr="153A1F7D">
              <w:t xml:space="preserve">Statewide or sample measurement periodically across systems (e.g. </w:t>
            </w:r>
            <w:r>
              <w:t>r</w:t>
            </w:r>
            <w:r w:rsidRPr="153A1F7D">
              <w:t>eview of food environments in health services)</w:t>
            </w:r>
          </w:p>
        </w:tc>
        <w:tc>
          <w:tcPr>
            <w:tcW w:w="2079" w:type="dxa"/>
            <w:shd w:val="clear" w:color="auto" w:fill="auto"/>
          </w:tcPr>
          <w:p w14:paraId="2F2B78F6" w14:textId="77777777" w:rsidR="00940601" w:rsidRPr="00C435E0" w:rsidRDefault="00940601" w:rsidP="003C1A96">
            <w:pPr>
              <w:pStyle w:val="Tabletext"/>
            </w:pPr>
            <w:r w:rsidRPr="153A1F7D">
              <w:t>Regular measurement as part of statewide surveillance systems (e.g. Victorian Population Health Survey)</w:t>
            </w:r>
          </w:p>
        </w:tc>
        <w:tc>
          <w:tcPr>
            <w:tcW w:w="1984" w:type="dxa"/>
            <w:shd w:val="clear" w:color="auto" w:fill="auto"/>
          </w:tcPr>
          <w:p w14:paraId="31CC44B8" w14:textId="77777777" w:rsidR="00940601" w:rsidRPr="00C435E0" w:rsidRDefault="00940601" w:rsidP="003C1A96">
            <w:pPr>
              <w:pStyle w:val="Tabletext"/>
            </w:pPr>
            <w:r w:rsidRPr="153A1F7D">
              <w:t>Regular measurement as part of statewide surveillance systems (e.g. Victorian Population Health Survey)</w:t>
            </w:r>
          </w:p>
        </w:tc>
      </w:tr>
      <w:tr w:rsidR="00940601" w:rsidRPr="00E32CC7" w14:paraId="375D4C42" w14:textId="77777777" w:rsidTr="003C1A96">
        <w:trPr>
          <w:trHeight w:val="300"/>
        </w:trPr>
        <w:tc>
          <w:tcPr>
            <w:tcW w:w="2070" w:type="dxa"/>
            <w:shd w:val="clear" w:color="auto" w:fill="auto"/>
          </w:tcPr>
          <w:p w14:paraId="18C1F5CC" w14:textId="77777777" w:rsidR="00940601" w:rsidRPr="00C435E0" w:rsidRDefault="00940601" w:rsidP="003C1A96">
            <w:pPr>
              <w:pStyle w:val="Tabletext"/>
            </w:pPr>
            <w:r w:rsidRPr="00C435E0">
              <w:t>Legislation and policy</w:t>
            </w:r>
          </w:p>
          <w:p w14:paraId="63FF533F" w14:textId="77777777" w:rsidR="00940601" w:rsidRPr="00C435E0" w:rsidRDefault="00940601" w:rsidP="003C1A96">
            <w:pPr>
              <w:pStyle w:val="Tabletext"/>
              <w:rPr>
                <w:i/>
              </w:rPr>
            </w:pPr>
            <w:r w:rsidRPr="00C435E0">
              <w:rPr>
                <w:i/>
              </w:rPr>
              <w:t>Public Health and Wellbeing Act 2008</w:t>
            </w:r>
          </w:p>
          <w:p w14:paraId="5529844F" w14:textId="77777777" w:rsidR="00940601" w:rsidRPr="00C435E0" w:rsidRDefault="00940601" w:rsidP="003C1A96">
            <w:pPr>
              <w:pStyle w:val="Tabletext"/>
            </w:pPr>
          </w:p>
          <w:p w14:paraId="34C59E2C" w14:textId="77777777" w:rsidR="00940601" w:rsidRPr="00BC1F8F" w:rsidRDefault="00940601" w:rsidP="003C1A96">
            <w:pPr>
              <w:pStyle w:val="Tabletext"/>
              <w:rPr>
                <w:i/>
              </w:rPr>
            </w:pPr>
            <w:r w:rsidRPr="28D4EB44">
              <w:rPr>
                <w:i/>
              </w:rPr>
              <w:t xml:space="preserve">Victorian public health and wellbeing plan 2023-2027 </w:t>
            </w:r>
            <w:r w:rsidRPr="004D4F22">
              <w:rPr>
                <w:iCs/>
              </w:rPr>
              <w:t xml:space="preserve">and </w:t>
            </w:r>
            <w:r w:rsidRPr="00BC1F8F">
              <w:rPr>
                <w:i/>
              </w:rPr>
              <w:t>Victorian public health and wellbeing outcomes framework</w:t>
            </w:r>
          </w:p>
          <w:p w14:paraId="1C51BECD" w14:textId="77777777" w:rsidR="00940601" w:rsidRPr="00C435E0" w:rsidRDefault="00940601" w:rsidP="003C1A96">
            <w:pPr>
              <w:pStyle w:val="Tabletext"/>
            </w:pPr>
          </w:p>
          <w:p w14:paraId="07117686" w14:textId="77777777" w:rsidR="00940601" w:rsidRPr="00C435E0" w:rsidRDefault="00940601" w:rsidP="003C1A96">
            <w:pPr>
              <w:pStyle w:val="Tabletext"/>
            </w:pPr>
            <w:r w:rsidRPr="00C435E0">
              <w:rPr>
                <w:rStyle w:val="normaltextrun"/>
                <w:rFonts w:cs="Arial"/>
                <w:sz w:val="17"/>
                <w:szCs w:val="17"/>
              </w:rPr>
              <w:t>Municipal public health and wellbeing plans</w:t>
            </w:r>
            <w:r>
              <w:rPr>
                <w:rStyle w:val="normaltextrun"/>
                <w:rFonts w:cs="Arial"/>
                <w:sz w:val="17"/>
                <w:szCs w:val="17"/>
              </w:rPr>
              <w:t xml:space="preserve">, </w:t>
            </w:r>
          </w:p>
          <w:p w14:paraId="43FCA10F" w14:textId="77777777" w:rsidR="00940601" w:rsidRPr="00C435E0" w:rsidRDefault="00940601" w:rsidP="003C1A96">
            <w:pPr>
              <w:pStyle w:val="Tabletext"/>
            </w:pPr>
            <w:r w:rsidRPr="00C435E0">
              <w:lastRenderedPageBreak/>
              <w:t>Child Health and Wellbeing Plan (</w:t>
            </w:r>
            <w:r w:rsidRPr="00C435E0">
              <w:rPr>
                <w:i/>
              </w:rPr>
              <w:t>Healthy kids, healthy futures</w:t>
            </w:r>
            <w:r w:rsidRPr="00C435E0">
              <w:t>)</w:t>
            </w:r>
          </w:p>
          <w:p w14:paraId="4DBBA6FF" w14:textId="77777777" w:rsidR="00940601" w:rsidRPr="00C435E0" w:rsidRDefault="00940601" w:rsidP="003C1A96">
            <w:pPr>
              <w:pStyle w:val="Tabletext"/>
            </w:pPr>
          </w:p>
          <w:p w14:paraId="330269B7" w14:textId="77777777" w:rsidR="00940601" w:rsidRPr="00C435E0" w:rsidRDefault="00940601" w:rsidP="003C1A96">
            <w:pPr>
              <w:pStyle w:val="Tabletext"/>
            </w:pPr>
            <w:r w:rsidRPr="00C435E0">
              <w:t>Healthy Choices Policy</w:t>
            </w:r>
          </w:p>
          <w:p w14:paraId="7E9E6C97" w14:textId="77777777" w:rsidR="00940601" w:rsidRPr="00C435E0" w:rsidRDefault="00940601" w:rsidP="003C1A96">
            <w:pPr>
              <w:pStyle w:val="Tabletext"/>
            </w:pPr>
          </w:p>
          <w:p w14:paraId="1EB8D844" w14:textId="77777777" w:rsidR="00940601" w:rsidRPr="00C435E0" w:rsidRDefault="00940601" w:rsidP="003C1A96">
            <w:pPr>
              <w:pStyle w:val="Tabletext"/>
            </w:pPr>
            <w:r w:rsidRPr="00C435E0">
              <w:t>Victorian Cancer Plan</w:t>
            </w:r>
          </w:p>
          <w:p w14:paraId="344D6279" w14:textId="77777777" w:rsidR="00940601" w:rsidRDefault="00940601" w:rsidP="003C1A96">
            <w:pPr>
              <w:pStyle w:val="Tabletext"/>
            </w:pPr>
          </w:p>
          <w:p w14:paraId="17C79786" w14:textId="77777777" w:rsidR="00940601" w:rsidRDefault="00940601" w:rsidP="003C1A96">
            <w:pPr>
              <w:pStyle w:val="Tabletext"/>
              <w:rPr>
                <w:i/>
                <w:iCs/>
              </w:rPr>
            </w:pPr>
            <w:r w:rsidRPr="66691FFD">
              <w:rPr>
                <w:i/>
                <w:iCs/>
              </w:rPr>
              <w:t>Climate Change Act 2017</w:t>
            </w:r>
          </w:p>
          <w:p w14:paraId="5F0CA1CE" w14:textId="77777777" w:rsidR="00940601" w:rsidRPr="00C435E0" w:rsidRDefault="00940601" w:rsidP="003C1A96">
            <w:pPr>
              <w:pStyle w:val="Tabletext"/>
            </w:pPr>
          </w:p>
          <w:p w14:paraId="02A84989" w14:textId="77777777" w:rsidR="00940601" w:rsidRPr="00C435E0" w:rsidRDefault="00940601" w:rsidP="003C1A96">
            <w:pPr>
              <w:pStyle w:val="Tabletext"/>
            </w:pPr>
            <w:r w:rsidRPr="00C435E0">
              <w:t>Funding</w:t>
            </w:r>
          </w:p>
          <w:p w14:paraId="0D19BD40" w14:textId="77777777" w:rsidR="00940601" w:rsidRPr="00C435E0" w:rsidRDefault="00940601" w:rsidP="003C1A96">
            <w:pPr>
              <w:pStyle w:val="Tabletext"/>
            </w:pPr>
            <w:r w:rsidRPr="00C435E0">
              <w:rPr>
                <w:rFonts w:eastAsia="MS Gothic"/>
              </w:rPr>
              <w:t>Program guidelines</w:t>
            </w:r>
          </w:p>
          <w:p w14:paraId="2F7E07BC" w14:textId="77777777" w:rsidR="00940601" w:rsidRPr="00C435E0" w:rsidRDefault="00940601" w:rsidP="003C1A96">
            <w:pPr>
              <w:pStyle w:val="Tabletext"/>
            </w:pPr>
          </w:p>
          <w:p w14:paraId="10FB8CB5" w14:textId="77777777" w:rsidR="00940601" w:rsidRPr="00C435E0" w:rsidRDefault="00940601" w:rsidP="003C1A96">
            <w:pPr>
              <w:pStyle w:val="Tabletext"/>
            </w:pPr>
            <w:r w:rsidRPr="341EB58C">
              <w:t>Aligned supplementary funding</w:t>
            </w:r>
          </w:p>
          <w:p w14:paraId="1D51C90B" w14:textId="77777777" w:rsidR="00940601" w:rsidRPr="00C435E0" w:rsidRDefault="00940601" w:rsidP="003C1A96">
            <w:pPr>
              <w:pStyle w:val="Tabletext"/>
            </w:pPr>
          </w:p>
          <w:p w14:paraId="659A7F8D" w14:textId="77777777" w:rsidR="00940601" w:rsidRDefault="00940601" w:rsidP="003C1A96">
            <w:pPr>
              <w:pStyle w:val="Tabletext"/>
              <w:rPr>
                <w:bCs/>
              </w:rPr>
            </w:pPr>
          </w:p>
          <w:p w14:paraId="731C3087" w14:textId="77777777" w:rsidR="00940601" w:rsidRDefault="00940601" w:rsidP="003C1A96">
            <w:pPr>
              <w:pStyle w:val="Tabletext"/>
              <w:rPr>
                <w:bCs/>
              </w:rPr>
            </w:pPr>
          </w:p>
          <w:p w14:paraId="1B7EAD92" w14:textId="77777777" w:rsidR="00940601" w:rsidRPr="00C435E0" w:rsidRDefault="00940601" w:rsidP="003C1A96">
            <w:pPr>
              <w:pStyle w:val="Tabletext"/>
            </w:pPr>
            <w:r w:rsidRPr="00C435E0">
              <w:t>Supporting Programs</w:t>
            </w:r>
          </w:p>
          <w:p w14:paraId="65D57DB3" w14:textId="77777777" w:rsidR="00940601" w:rsidRPr="00C435E0" w:rsidRDefault="00940601" w:rsidP="003C1A96">
            <w:pPr>
              <w:pStyle w:val="Tabletext"/>
            </w:pPr>
            <w:r w:rsidRPr="00C435E0">
              <w:t xml:space="preserve">Statewide agencies and programs (e.g. VicHealth, Vic Kids Eat Well, Quit, </w:t>
            </w:r>
            <w:r>
              <w:t>Healthy Eating Advisory Service</w:t>
            </w:r>
            <w:r w:rsidRPr="00C435E0">
              <w:t>)</w:t>
            </w:r>
          </w:p>
          <w:p w14:paraId="4A4416B1" w14:textId="77777777" w:rsidR="00940601" w:rsidRPr="00C435E0" w:rsidRDefault="00940601" w:rsidP="003C1A96">
            <w:pPr>
              <w:pStyle w:val="Tabletext"/>
            </w:pPr>
          </w:p>
          <w:p w14:paraId="312755E6" w14:textId="77777777" w:rsidR="00940601" w:rsidRPr="00C435E0" w:rsidRDefault="00940601" w:rsidP="003C1A96">
            <w:pPr>
              <w:pStyle w:val="Tabletext"/>
            </w:pPr>
          </w:p>
        </w:tc>
        <w:tc>
          <w:tcPr>
            <w:tcW w:w="2820" w:type="dxa"/>
            <w:shd w:val="clear" w:color="auto" w:fill="auto"/>
          </w:tcPr>
          <w:p w14:paraId="4D172AFA" w14:textId="77777777" w:rsidR="00940601" w:rsidRPr="00C435E0" w:rsidRDefault="00940601" w:rsidP="003C1A96">
            <w:pPr>
              <w:pStyle w:val="Tabletext"/>
            </w:pPr>
            <w:r w:rsidRPr="00C435E0">
              <w:lastRenderedPageBreak/>
              <w:t>Organisational Activity</w:t>
            </w:r>
          </w:p>
          <w:p w14:paraId="0CD88B2C" w14:textId="77777777" w:rsidR="00940601" w:rsidRPr="00C435E0" w:rsidRDefault="00940601" w:rsidP="003C1A96">
            <w:pPr>
              <w:pStyle w:val="Tabletext"/>
            </w:pPr>
            <w:r w:rsidRPr="00C435E0">
              <w:t>Community-based implementation of statewide policies and programs</w:t>
            </w:r>
          </w:p>
          <w:p w14:paraId="6A5FBBFF" w14:textId="77777777" w:rsidR="00940601" w:rsidRPr="00C435E0" w:rsidRDefault="00940601" w:rsidP="003C1A96">
            <w:pPr>
              <w:pStyle w:val="Tabletext"/>
            </w:pPr>
          </w:p>
          <w:p w14:paraId="75BC1B7F" w14:textId="77777777" w:rsidR="00940601" w:rsidRPr="00C435E0" w:rsidRDefault="00940601" w:rsidP="003C1A96">
            <w:pPr>
              <w:pStyle w:val="Tabletext"/>
            </w:pPr>
            <w:r w:rsidRPr="153A1F7D">
              <w:t xml:space="preserve">Apply best (or promising) practice health promotion to develop and implement other local interventions to meet program objectives in the focus areas of the </w:t>
            </w:r>
            <w:r w:rsidRPr="153A1F7D">
              <w:rPr>
                <w:i/>
                <w:iCs/>
              </w:rPr>
              <w:t xml:space="preserve">Victorian public health and wellbeing plan 2023-2027 </w:t>
            </w:r>
            <w:r>
              <w:rPr>
                <w:i/>
                <w:iCs/>
              </w:rPr>
              <w:t>(m</w:t>
            </w:r>
            <w:r w:rsidRPr="153A1F7D">
              <w:t>in</w:t>
            </w:r>
            <w:r>
              <w:t xml:space="preserve">imum </w:t>
            </w:r>
            <w:r w:rsidRPr="153A1F7D">
              <w:t>70%) and other plan priorities (max 30%)</w:t>
            </w:r>
          </w:p>
          <w:p w14:paraId="4C77CCA0" w14:textId="77777777" w:rsidR="00940601" w:rsidRPr="00C435E0" w:rsidRDefault="00940601" w:rsidP="003C1A96">
            <w:pPr>
              <w:pStyle w:val="Tabletext"/>
            </w:pPr>
          </w:p>
          <w:p w14:paraId="2AF1E8C6" w14:textId="77777777" w:rsidR="00940601" w:rsidRPr="00C435E0" w:rsidRDefault="00940601" w:rsidP="003C1A96">
            <w:pPr>
              <w:pStyle w:val="Tabletext"/>
            </w:pPr>
            <w:r w:rsidRPr="00C435E0">
              <w:lastRenderedPageBreak/>
              <w:t>Ongoing monitoring and evaluation of impact of interventions</w:t>
            </w:r>
          </w:p>
          <w:p w14:paraId="1D7BB4D2" w14:textId="77777777" w:rsidR="00940601" w:rsidRPr="00C435E0" w:rsidRDefault="00940601" w:rsidP="003C1A96">
            <w:pPr>
              <w:pStyle w:val="Tabletext"/>
            </w:pPr>
          </w:p>
          <w:p w14:paraId="2DD49B4E" w14:textId="77777777" w:rsidR="00940601" w:rsidRPr="00C435E0" w:rsidRDefault="00940601" w:rsidP="003C1A96">
            <w:pPr>
              <w:pStyle w:val="Tabletext"/>
            </w:pPr>
            <w:r w:rsidRPr="00C435E0">
              <w:t>Building relationships</w:t>
            </w:r>
          </w:p>
          <w:p w14:paraId="5056CFF5" w14:textId="77777777" w:rsidR="00940601" w:rsidRPr="00C435E0" w:rsidRDefault="00940601" w:rsidP="003C1A96">
            <w:pPr>
              <w:pStyle w:val="Tabletext"/>
            </w:pPr>
            <w:r w:rsidRPr="00C435E0">
              <w:t xml:space="preserve">Collaboration with others in prevention system to maximise impact and minimise duplication </w:t>
            </w:r>
            <w:r>
              <w:t>(</w:t>
            </w:r>
            <w:r w:rsidRPr="00C435E0">
              <w:t>e.g. P</w:t>
            </w:r>
            <w:r>
              <w:t>revention of Violence against Women,</w:t>
            </w:r>
            <w:r w:rsidRPr="00C435E0">
              <w:t xml:space="preserve"> local government, Women’s Health, </w:t>
            </w:r>
            <w:r>
              <w:t>LPHUs)</w:t>
            </w:r>
          </w:p>
          <w:p w14:paraId="2D74D4EE" w14:textId="77777777" w:rsidR="00940601" w:rsidRDefault="00940601" w:rsidP="003C1A96">
            <w:pPr>
              <w:pStyle w:val="Tabletext"/>
            </w:pPr>
          </w:p>
          <w:p w14:paraId="761969A7" w14:textId="77777777" w:rsidR="00940601" w:rsidRPr="00C435E0" w:rsidRDefault="00940601" w:rsidP="003C1A96">
            <w:pPr>
              <w:pStyle w:val="Tabletext"/>
            </w:pPr>
            <w:r w:rsidRPr="00C435E0">
              <w:t xml:space="preserve">Meaningfully engage with local communities and build relationships to influence change </w:t>
            </w:r>
            <w:r>
              <w:t>(</w:t>
            </w:r>
            <w:r w:rsidRPr="00C435E0">
              <w:t xml:space="preserve">e.g. sporting clubs, </w:t>
            </w:r>
            <w:r>
              <w:t xml:space="preserve">early childhood services, </w:t>
            </w:r>
            <w:r w:rsidRPr="00C435E0">
              <w:t>schools</w:t>
            </w:r>
            <w:r>
              <w:t>)</w:t>
            </w:r>
          </w:p>
          <w:p w14:paraId="47F7188A" w14:textId="77777777" w:rsidR="00940601" w:rsidRPr="00C435E0" w:rsidRDefault="00940601" w:rsidP="003C1A96">
            <w:pPr>
              <w:pStyle w:val="Tabletext"/>
            </w:pPr>
          </w:p>
          <w:p w14:paraId="6D753D1F" w14:textId="77777777" w:rsidR="00940601" w:rsidRPr="00C435E0" w:rsidRDefault="00940601" w:rsidP="003C1A96">
            <w:pPr>
              <w:pStyle w:val="Tabletext"/>
            </w:pPr>
            <w:r w:rsidRPr="7364CBED">
              <w:t>Ongoing engagement with priority population groups to ensure interventions address health inequalities and support social inclusion</w:t>
            </w:r>
          </w:p>
          <w:p w14:paraId="45B6CA0B" w14:textId="77777777" w:rsidR="00940601" w:rsidRPr="00C435E0" w:rsidRDefault="00940601" w:rsidP="003C1A96">
            <w:pPr>
              <w:pStyle w:val="Tabletext"/>
            </w:pPr>
          </w:p>
          <w:p w14:paraId="1071E489" w14:textId="77777777" w:rsidR="00940601" w:rsidRPr="00C435E0" w:rsidRDefault="00940601" w:rsidP="003C1A96">
            <w:pPr>
              <w:pStyle w:val="Tabletext"/>
            </w:pPr>
            <w:r w:rsidRPr="00C435E0">
              <w:t>DH activity</w:t>
            </w:r>
          </w:p>
          <w:p w14:paraId="7C591BC1" w14:textId="77777777" w:rsidR="00940601" w:rsidRPr="00C435E0" w:rsidRDefault="00940601" w:rsidP="003C1A96">
            <w:pPr>
              <w:pStyle w:val="Tabletext"/>
            </w:pPr>
            <w:r w:rsidRPr="153A1F7D">
              <w:t>Build the capacity of the health promotion workforce to deliver on the program guidelines</w:t>
            </w:r>
          </w:p>
          <w:p w14:paraId="018ABFF7" w14:textId="77777777" w:rsidR="00940601" w:rsidRPr="00C435E0" w:rsidRDefault="00940601" w:rsidP="003C1A96">
            <w:pPr>
              <w:pStyle w:val="Tabletext"/>
            </w:pPr>
          </w:p>
          <w:p w14:paraId="42F31C28" w14:textId="77777777" w:rsidR="00940601" w:rsidRPr="00C435E0" w:rsidRDefault="00940601" w:rsidP="003C1A96">
            <w:pPr>
              <w:pStyle w:val="Tabletext"/>
            </w:pPr>
            <w:r w:rsidRPr="00C435E0">
              <w:lastRenderedPageBreak/>
              <w:t xml:space="preserve">Alignment of the impact of statewide policy and outcomes across government </w:t>
            </w:r>
          </w:p>
        </w:tc>
        <w:tc>
          <w:tcPr>
            <w:tcW w:w="3004" w:type="dxa"/>
            <w:shd w:val="clear" w:color="auto" w:fill="auto"/>
          </w:tcPr>
          <w:p w14:paraId="038BF192" w14:textId="77777777" w:rsidR="00940601" w:rsidRPr="00C435E0" w:rsidRDefault="00940601" w:rsidP="003C1A96">
            <w:pPr>
              <w:pStyle w:val="Tabletext"/>
            </w:pPr>
            <w:r w:rsidRPr="153A1F7D">
              <w:lastRenderedPageBreak/>
              <w:t>Local level, immediate changes achieved arising from activities aligned to shared program objectives in the focus areas (</w:t>
            </w:r>
            <w:r>
              <w:t>e.g.</w:t>
            </w:r>
            <w:r w:rsidRPr="153A1F7D">
              <w:t xml:space="preserve"> 70%), collected consistently and aggregated statewide</w:t>
            </w:r>
          </w:p>
          <w:p w14:paraId="2ABF0E1C" w14:textId="77777777" w:rsidR="00940601" w:rsidRPr="00C435E0" w:rsidRDefault="00940601" w:rsidP="003C1A96">
            <w:pPr>
              <w:pStyle w:val="Tabletext"/>
            </w:pPr>
            <w:r>
              <w:br/>
            </w:r>
            <w:r w:rsidRPr="00C435E0">
              <w:t xml:space="preserve">Local level, immediate changes, arising from activities in other </w:t>
            </w:r>
            <w:r w:rsidRPr="00C435E0">
              <w:rPr>
                <w:i/>
              </w:rPr>
              <w:t xml:space="preserve">Victorian public health and wellbeing plan </w:t>
            </w:r>
            <w:r w:rsidRPr="5CF0B45F">
              <w:rPr>
                <w:i/>
                <w:iCs/>
              </w:rPr>
              <w:t xml:space="preserve">2023-2027 </w:t>
            </w:r>
            <w:r w:rsidRPr="28D4EB44">
              <w:t>priorities</w:t>
            </w:r>
            <w:r w:rsidRPr="00C435E0">
              <w:t xml:space="preserve"> (</w:t>
            </w:r>
            <w:r>
              <w:t>e.g.</w:t>
            </w:r>
            <w:r w:rsidRPr="00C435E0">
              <w:t xml:space="preserve"> 30%) collected and reported consistent with indicators from other statewide reporting </w:t>
            </w:r>
            <w:r w:rsidRPr="00C435E0">
              <w:lastRenderedPageBreak/>
              <w:t xml:space="preserve">frameworks. (e.g. mental health) where available or collected and reported at local/catchment level </w:t>
            </w:r>
          </w:p>
          <w:p w14:paraId="7E8D181E" w14:textId="77777777" w:rsidR="00940601" w:rsidRPr="00C435E0" w:rsidRDefault="00940601" w:rsidP="003C1A96">
            <w:pPr>
              <w:pStyle w:val="Tabletext"/>
            </w:pPr>
          </w:p>
          <w:p w14:paraId="05E32FD6" w14:textId="77777777" w:rsidR="00940601" w:rsidRPr="00C435E0" w:rsidRDefault="00940601" w:rsidP="003C1A96">
            <w:pPr>
              <w:pStyle w:val="Tabletext"/>
            </w:pPr>
            <w:r w:rsidRPr="00C435E0">
              <w:t>Understanding the barriers and enablers to program implementation to inform future planning at a local level</w:t>
            </w:r>
          </w:p>
          <w:p w14:paraId="77AEDECF" w14:textId="77777777" w:rsidR="00940601" w:rsidRPr="00C435E0" w:rsidRDefault="00940601" w:rsidP="003C1A96">
            <w:pPr>
              <w:pStyle w:val="Tabletext"/>
            </w:pPr>
          </w:p>
          <w:p w14:paraId="0AA6A2A3" w14:textId="77777777" w:rsidR="00940601" w:rsidRPr="00C435E0" w:rsidRDefault="00940601" w:rsidP="003C1A96">
            <w:pPr>
              <w:pStyle w:val="Tabletext"/>
            </w:pPr>
            <w:r w:rsidRPr="00C435E0">
              <w:t>Immediate impacts/changes of program in relation to strengthening partnerships and engaging with priority groups and settings</w:t>
            </w:r>
          </w:p>
          <w:p w14:paraId="35BA0F5F" w14:textId="77777777" w:rsidR="00940601" w:rsidRPr="00C435E0" w:rsidRDefault="00940601" w:rsidP="003C1A96">
            <w:pPr>
              <w:pStyle w:val="Tabletext"/>
            </w:pPr>
          </w:p>
          <w:p w14:paraId="3DEC8647" w14:textId="77777777" w:rsidR="00940601" w:rsidRPr="00C435E0" w:rsidRDefault="00940601" w:rsidP="003C1A96">
            <w:pPr>
              <w:pStyle w:val="Tabletext"/>
            </w:pPr>
            <w:r w:rsidRPr="00C435E0">
              <w:t>Create opportunity for community activation in local priority population</w:t>
            </w:r>
            <w:r>
              <w:t xml:space="preserve"> groups</w:t>
            </w:r>
            <w:r w:rsidRPr="00C435E0">
              <w:t xml:space="preserve"> and settings</w:t>
            </w:r>
          </w:p>
          <w:p w14:paraId="35E838AC" w14:textId="77777777" w:rsidR="00940601" w:rsidRPr="00C435E0" w:rsidRDefault="00940601" w:rsidP="003C1A96">
            <w:pPr>
              <w:pStyle w:val="Tabletext"/>
            </w:pPr>
          </w:p>
          <w:p w14:paraId="28D2E106" w14:textId="77777777" w:rsidR="00940601" w:rsidRPr="00C435E0" w:rsidRDefault="00940601" w:rsidP="003C1A96">
            <w:pPr>
              <w:pStyle w:val="Tabletext"/>
            </w:pPr>
          </w:p>
          <w:p w14:paraId="3D0F620C" w14:textId="77777777" w:rsidR="00940601" w:rsidRPr="00C435E0" w:rsidRDefault="00940601" w:rsidP="003C1A96">
            <w:pPr>
              <w:pStyle w:val="Tabletext"/>
            </w:pPr>
            <w:r w:rsidRPr="00C435E0">
              <w:t xml:space="preserve">Funded agency workforce is delivering best practice health promotion interventions aligned with the program guidelines </w:t>
            </w:r>
          </w:p>
        </w:tc>
        <w:tc>
          <w:tcPr>
            <w:tcW w:w="2591" w:type="dxa"/>
            <w:shd w:val="clear" w:color="auto" w:fill="auto"/>
          </w:tcPr>
          <w:p w14:paraId="1231290C" w14:textId="77777777" w:rsidR="00940601" w:rsidRPr="00C435E0" w:rsidRDefault="00940601" w:rsidP="003C1A96">
            <w:pPr>
              <w:pStyle w:val="Tabletext"/>
            </w:pPr>
            <w:r w:rsidRPr="00C435E0">
              <w:lastRenderedPageBreak/>
              <w:t>Organisations align their work to contribute to short-term outcomes that contribute to substantive change in the focus areas across the state</w:t>
            </w:r>
          </w:p>
          <w:p w14:paraId="03007E2A" w14:textId="77777777" w:rsidR="00940601" w:rsidRPr="00C435E0" w:rsidRDefault="00940601" w:rsidP="003C1A96">
            <w:pPr>
              <w:pStyle w:val="Tabletext"/>
            </w:pPr>
          </w:p>
          <w:p w14:paraId="44F4CBB4" w14:textId="77777777" w:rsidR="00940601" w:rsidRPr="00C435E0" w:rsidRDefault="00940601" w:rsidP="003C1A96">
            <w:pPr>
              <w:pStyle w:val="Tabletext"/>
            </w:pPr>
          </w:p>
          <w:p w14:paraId="7E3785F1" w14:textId="77777777" w:rsidR="00940601" w:rsidRPr="00C435E0" w:rsidRDefault="00940601" w:rsidP="003C1A96">
            <w:pPr>
              <w:pStyle w:val="Tabletext"/>
            </w:pPr>
            <w:r w:rsidRPr="153A1F7D">
              <w:t>Priority population</w:t>
            </w:r>
            <w:r>
              <w:t xml:space="preserve"> groups</w:t>
            </w:r>
            <w:r w:rsidRPr="153A1F7D">
              <w:t xml:space="preserve"> actively participate in community health interventions across the state</w:t>
            </w:r>
          </w:p>
        </w:tc>
        <w:tc>
          <w:tcPr>
            <w:tcW w:w="2079" w:type="dxa"/>
            <w:shd w:val="clear" w:color="auto" w:fill="auto"/>
          </w:tcPr>
          <w:p w14:paraId="331A5F52" w14:textId="77777777" w:rsidR="00940601" w:rsidRPr="00C435E0" w:rsidRDefault="00940601" w:rsidP="003C1A96">
            <w:pPr>
              <w:pStyle w:val="Tabletext"/>
            </w:pPr>
            <w:r w:rsidRPr="00C435E0">
              <w:t>Population level outcomes measured that show sustained change in behaviour at an LGA level in the focus areas</w:t>
            </w:r>
          </w:p>
          <w:p w14:paraId="15C78E81" w14:textId="77777777" w:rsidR="00940601" w:rsidRPr="00C435E0" w:rsidRDefault="00940601" w:rsidP="003C1A96">
            <w:pPr>
              <w:pStyle w:val="Tabletext"/>
            </w:pPr>
          </w:p>
          <w:p w14:paraId="23B2A9CE" w14:textId="77777777" w:rsidR="00940601" w:rsidRPr="00C435E0" w:rsidRDefault="00940601" w:rsidP="003C1A96">
            <w:pPr>
              <w:pStyle w:val="Tabletext"/>
            </w:pPr>
          </w:p>
          <w:p w14:paraId="18290D7E" w14:textId="77777777" w:rsidR="00940601" w:rsidRPr="00C435E0" w:rsidRDefault="00940601" w:rsidP="003C1A96">
            <w:pPr>
              <w:pStyle w:val="Tabletext"/>
            </w:pPr>
            <w:r w:rsidRPr="00C435E0">
              <w:t xml:space="preserve">Reduce the gap in inequalities across key health and wellbeing outcomes across the state </w:t>
            </w:r>
          </w:p>
        </w:tc>
        <w:tc>
          <w:tcPr>
            <w:tcW w:w="1984" w:type="dxa"/>
            <w:shd w:val="clear" w:color="auto" w:fill="auto"/>
          </w:tcPr>
          <w:p w14:paraId="79F76373" w14:textId="77777777" w:rsidR="00940601" w:rsidRPr="00C435E0" w:rsidRDefault="00940601" w:rsidP="003C1A96">
            <w:pPr>
              <w:pStyle w:val="Tabletext"/>
            </w:pPr>
            <w:r w:rsidRPr="00C435E0">
              <w:t xml:space="preserve">Progress towards achieving targets and measures in the focus areas, as outlined in the </w:t>
            </w:r>
            <w:r w:rsidRPr="00BC1F8F">
              <w:rPr>
                <w:i/>
              </w:rPr>
              <w:t>Victorian public health and wellbeing outcomes framework</w:t>
            </w:r>
            <w:r w:rsidRPr="00C435E0">
              <w:t xml:space="preserve"> (e.g. increase in sufficient physical activity prevalence, decrease in smoking)</w:t>
            </w:r>
          </w:p>
          <w:p w14:paraId="22AF3A53" w14:textId="77777777" w:rsidR="00940601" w:rsidRPr="00C435E0" w:rsidRDefault="00940601" w:rsidP="003C1A96">
            <w:pPr>
              <w:pStyle w:val="Tabletext"/>
            </w:pPr>
          </w:p>
        </w:tc>
      </w:tr>
    </w:tbl>
    <w:p w14:paraId="4B12AB5C" w14:textId="77777777" w:rsidR="003C1A96" w:rsidRDefault="003C1A96" w:rsidP="003C1A96">
      <w:pPr>
        <w:pStyle w:val="Tablefigurenote"/>
      </w:pPr>
    </w:p>
    <w:p w14:paraId="37954DBC" w14:textId="64876B36" w:rsidR="003C1A96" w:rsidRDefault="00C1124E" w:rsidP="00B115CB">
      <w:pPr>
        <w:pStyle w:val="Heading3"/>
      </w:pPr>
      <w:r>
        <w:t xml:space="preserve">Assumptions </w:t>
      </w:r>
    </w:p>
    <w:p w14:paraId="00EB62EE" w14:textId="77777777" w:rsidR="00C1124E" w:rsidRPr="00C435E0" w:rsidRDefault="00C1124E" w:rsidP="00C1124E">
      <w:pPr>
        <w:pStyle w:val="Bullet1"/>
      </w:pPr>
      <w:r w:rsidRPr="153A1F7D">
        <w:t>The funded agencies can significantly influence health and wellbeing outcomes in environments, settings and communities.</w:t>
      </w:r>
    </w:p>
    <w:p w14:paraId="613F07D2" w14:textId="77777777" w:rsidR="00C1124E" w:rsidRPr="00C435E0" w:rsidRDefault="00C1124E" w:rsidP="00C1124E">
      <w:pPr>
        <w:pStyle w:val="Bullet1"/>
      </w:pPr>
      <w:r w:rsidRPr="00C435E0">
        <w:t>Implementation of statewide programs and initiatives will lead to population-level health and wellbeing outcomes and not widen health inequalities.</w:t>
      </w:r>
    </w:p>
    <w:p w14:paraId="4A1BE871" w14:textId="77777777" w:rsidR="00C1124E" w:rsidRPr="00C435E0" w:rsidRDefault="00C1124E" w:rsidP="00C1124E">
      <w:pPr>
        <w:pStyle w:val="Bullet1"/>
      </w:pPr>
      <w:r w:rsidRPr="153A1F7D">
        <w:t>The funded agencies have the capability, skills and capacity to deliver the lead functions outlined for increasing healthy eating, increasing active living and reducing tobacco and e-cigarette related harm.</w:t>
      </w:r>
    </w:p>
    <w:p w14:paraId="2BB12499" w14:textId="77777777" w:rsidR="00C1124E" w:rsidRPr="00C435E0" w:rsidRDefault="00C1124E" w:rsidP="00C1124E">
      <w:pPr>
        <w:pStyle w:val="Bullet1"/>
      </w:pPr>
      <w:r w:rsidRPr="00C435E0">
        <w:t>The 70/30 policy setting will enable sufficient dose of activity on healthy eating, active living</w:t>
      </w:r>
      <w:r>
        <w:t xml:space="preserve">, </w:t>
      </w:r>
      <w:r w:rsidRPr="00C435E0">
        <w:t>tobacco and e-cigarette related harm</w:t>
      </w:r>
      <w:r>
        <w:t xml:space="preserve"> and improving wellbeing</w:t>
      </w:r>
      <w:r w:rsidRPr="00C435E0">
        <w:t xml:space="preserve"> to contribute to population-level impact.</w:t>
      </w:r>
    </w:p>
    <w:p w14:paraId="45D5CA7D" w14:textId="77777777" w:rsidR="00C1124E" w:rsidRPr="00C435E0" w:rsidRDefault="00C1124E" w:rsidP="00C1124E">
      <w:pPr>
        <w:pStyle w:val="Bullet1"/>
      </w:pPr>
      <w:r w:rsidRPr="00C435E0">
        <w:t xml:space="preserve">Settings (e.g. </w:t>
      </w:r>
      <w:r>
        <w:t xml:space="preserve">early childhood services, </w:t>
      </w:r>
      <w:r w:rsidRPr="00C435E0">
        <w:t xml:space="preserve">schools, </w:t>
      </w:r>
      <w:r w:rsidRPr="006572FF">
        <w:t>workplaces</w:t>
      </w:r>
      <w:r w:rsidRPr="00C435E0">
        <w:t>, communities) will engage with funded agencies in healthy eating, active living and tobacco and e-cigarette primary prevention interventions.</w:t>
      </w:r>
    </w:p>
    <w:p w14:paraId="35C5ED23" w14:textId="77777777" w:rsidR="00C1124E" w:rsidRPr="00C435E0" w:rsidRDefault="00C1124E" w:rsidP="00C1124E">
      <w:pPr>
        <w:pStyle w:val="Bullet1"/>
      </w:pPr>
      <w:r w:rsidRPr="00C435E0">
        <w:t>The most effective way of achieving population-level health and wellbeing outcomes across the focus areas is through a settings-based approach to prevention and health promotion.</w:t>
      </w:r>
    </w:p>
    <w:p w14:paraId="503E4BB6" w14:textId="05271562" w:rsidR="00C1124E" w:rsidRPr="00C1124E" w:rsidRDefault="00C1124E" w:rsidP="00C1124E">
      <w:pPr>
        <w:pStyle w:val="Bullet1"/>
      </w:pPr>
      <w:r w:rsidRPr="00C435E0">
        <w:t>Meaningful engagement with local communities and priority population</w:t>
      </w:r>
      <w:r>
        <w:t xml:space="preserve"> groups</w:t>
      </w:r>
      <w:r w:rsidRPr="00C435E0">
        <w:t xml:space="preserve"> will reduce inequalities in health and wellbeing outcomes.</w:t>
      </w:r>
    </w:p>
    <w:p w14:paraId="2FA61EAF" w14:textId="77777777" w:rsidR="00425B37" w:rsidRDefault="00425B37" w:rsidP="008D639B">
      <w:pPr>
        <w:pStyle w:val="Heading2"/>
      </w:pPr>
    </w:p>
    <w:p w14:paraId="796CAD26" w14:textId="77777777" w:rsidR="00504684" w:rsidRDefault="00504684" w:rsidP="008D639B">
      <w:pPr>
        <w:pStyle w:val="Heading2"/>
        <w:sectPr w:rsidR="00504684" w:rsidSect="00453C2A">
          <w:pgSz w:w="16838" w:h="11906" w:orient="landscape"/>
          <w:pgMar w:top="1080" w:right="1276" w:bottom="1080" w:left="1560" w:header="709" w:footer="0" w:gutter="0"/>
          <w:cols w:space="708"/>
          <w:docGrid w:linePitch="360"/>
        </w:sectPr>
      </w:pPr>
    </w:p>
    <w:p w14:paraId="4FCD2270" w14:textId="0B4A49C5" w:rsidR="008D639B" w:rsidRDefault="008D639B" w:rsidP="008D639B">
      <w:pPr>
        <w:pStyle w:val="Heading2"/>
      </w:pPr>
      <w:bookmarkStart w:id="12" w:name="_Toc194663084"/>
      <w:r>
        <w:lastRenderedPageBreak/>
        <w:t>Organisations funded for a specific purpose</w:t>
      </w:r>
      <w:bookmarkEnd w:id="12"/>
      <w:r>
        <w:t xml:space="preserve"> </w:t>
      </w:r>
    </w:p>
    <w:p w14:paraId="77774D98" w14:textId="77777777" w:rsidR="00087218" w:rsidRPr="002B4987" w:rsidRDefault="00087218" w:rsidP="00087218">
      <w:pPr>
        <w:pStyle w:val="Body"/>
      </w:pPr>
      <w:r>
        <w:t>A</w:t>
      </w:r>
      <w:r w:rsidRPr="002B4987">
        <w:rPr>
          <w:rStyle w:val="normaltextrun"/>
          <w:rFonts w:eastAsia="MS Gothic" w:cs="Arial"/>
          <w:szCs w:val="21"/>
        </w:rPr>
        <w:t xml:space="preserve"> small number of specialist organisations are funded through the program that have specific organisational missions that are not directly aligned with the focus areas of the </w:t>
      </w:r>
      <w:r w:rsidRPr="002B4987">
        <w:rPr>
          <w:rStyle w:val="normaltextrun"/>
          <w:rFonts w:eastAsia="MS Gothic" w:cs="Arial"/>
          <w:i/>
          <w:iCs/>
          <w:szCs w:val="21"/>
        </w:rPr>
        <w:t>Victorian public health and wellbeing plan 2023</w:t>
      </w:r>
      <w:r w:rsidRPr="5CF0B45F">
        <w:rPr>
          <w:rStyle w:val="normaltextrun"/>
          <w:rFonts w:eastAsia="MS Gothic" w:cs="Arial"/>
          <w:i/>
          <w:iCs/>
          <w:szCs w:val="21"/>
        </w:rPr>
        <w:t>-2027</w:t>
      </w:r>
      <w:r w:rsidRPr="28D4EB44">
        <w:rPr>
          <w:rStyle w:val="normaltextrun"/>
          <w:rFonts w:eastAsia="MS Gothic" w:cs="Arial"/>
          <w:i/>
          <w:iCs/>
          <w:szCs w:val="21"/>
        </w:rPr>
        <w:t>.</w:t>
      </w:r>
      <w:r w:rsidRPr="5CF0B45F">
        <w:rPr>
          <w:rStyle w:val="normaltextrun"/>
          <w:rFonts w:eastAsia="MS Gothic" w:cs="Arial"/>
          <w:szCs w:val="21"/>
        </w:rPr>
        <w:t xml:space="preserve"> </w:t>
      </w:r>
      <w:r w:rsidRPr="002B4987">
        <w:rPr>
          <w:rStyle w:val="normaltextrun"/>
          <w:rFonts w:eastAsia="MS Gothic" w:cs="Arial"/>
          <w:szCs w:val="21"/>
        </w:rPr>
        <w:t>These organisations are:</w:t>
      </w:r>
    </w:p>
    <w:p w14:paraId="36E8A632" w14:textId="77777777" w:rsidR="00087218" w:rsidRPr="007D46FA" w:rsidRDefault="00087218" w:rsidP="007D46FA">
      <w:pPr>
        <w:pStyle w:val="Bullet1"/>
      </w:pPr>
      <w:r w:rsidRPr="007D46FA">
        <w:rPr>
          <w:rStyle w:val="normaltextrun"/>
        </w:rPr>
        <w:t xml:space="preserve">Barwon Child, Youth and Family </w:t>
      </w:r>
    </w:p>
    <w:p w14:paraId="163CAE40" w14:textId="77777777" w:rsidR="00087218" w:rsidRPr="007D46FA" w:rsidRDefault="00087218" w:rsidP="007D46FA">
      <w:pPr>
        <w:pStyle w:val="Bullet1"/>
      </w:pPr>
      <w:r w:rsidRPr="007D46FA">
        <w:rPr>
          <w:rStyle w:val="normaltextrun"/>
        </w:rPr>
        <w:t>Collective of Self-help Groups</w:t>
      </w:r>
      <w:r w:rsidRPr="007D46FA" w:rsidDel="00ED5DA4">
        <w:rPr>
          <w:rStyle w:val="normaltextrun"/>
        </w:rPr>
        <w:t xml:space="preserve"> </w:t>
      </w:r>
    </w:p>
    <w:p w14:paraId="30F577CF" w14:textId="77777777" w:rsidR="00087218" w:rsidRPr="007D46FA" w:rsidRDefault="00087218" w:rsidP="007D46FA">
      <w:pPr>
        <w:pStyle w:val="Bullet1"/>
      </w:pPr>
      <w:r w:rsidRPr="007D46FA">
        <w:rPr>
          <w:rStyle w:val="normaltextrun"/>
        </w:rPr>
        <w:t xml:space="preserve">Emerge Australia </w:t>
      </w:r>
    </w:p>
    <w:p w14:paraId="540220A2" w14:textId="77777777" w:rsidR="00087218" w:rsidRPr="007D46FA" w:rsidRDefault="00087218" w:rsidP="007D46FA">
      <w:pPr>
        <w:pStyle w:val="Bullet1"/>
      </w:pPr>
      <w:r w:rsidRPr="007D46FA">
        <w:rPr>
          <w:rStyle w:val="normaltextrun"/>
        </w:rPr>
        <w:t xml:space="preserve">Foundation House, </w:t>
      </w:r>
      <w:r w:rsidRPr="007D46FA" w:rsidDel="00901EED">
        <w:rPr>
          <w:rStyle w:val="normaltextrun"/>
        </w:rPr>
        <w:t>Victorian Foundation for Survivors of Torture Inc.</w:t>
      </w:r>
    </w:p>
    <w:p w14:paraId="70AAB7EC" w14:textId="77777777" w:rsidR="00087218" w:rsidRPr="007D46FA" w:rsidRDefault="00087218" w:rsidP="007D46FA">
      <w:pPr>
        <w:pStyle w:val="Bullet1"/>
      </w:pPr>
      <w:r w:rsidRPr="007D46FA">
        <w:rPr>
          <w:rStyle w:val="normaltextrun"/>
        </w:rPr>
        <w:t>Latrobe University, Trans and Gender Diverse Voice Clinic</w:t>
      </w:r>
    </w:p>
    <w:p w14:paraId="605EC71A" w14:textId="77777777" w:rsidR="00087218" w:rsidRPr="007D46FA" w:rsidRDefault="00087218" w:rsidP="007D46FA">
      <w:pPr>
        <w:pStyle w:val="Bullet1"/>
      </w:pPr>
      <w:r w:rsidRPr="007D46FA">
        <w:rPr>
          <w:rStyle w:val="normaltextrun"/>
        </w:rPr>
        <w:t>North Richmond Community Health,</w:t>
      </w:r>
      <w:r w:rsidRPr="007D46FA" w:rsidDel="00901EED">
        <w:rPr>
          <w:rStyle w:val="normaltextrun"/>
        </w:rPr>
        <w:t xml:space="preserve"> </w:t>
      </w:r>
      <w:r w:rsidRPr="007D46FA">
        <w:rPr>
          <w:rStyle w:val="normaltextrun"/>
        </w:rPr>
        <w:t>Centre for Culture, Ethnicity and Health</w:t>
      </w:r>
    </w:p>
    <w:p w14:paraId="2F091FB7" w14:textId="77777777" w:rsidR="00087218" w:rsidRPr="007D46FA" w:rsidRDefault="00087218" w:rsidP="007D46FA">
      <w:pPr>
        <w:pStyle w:val="Bullet1"/>
        <w:rPr>
          <w:rStyle w:val="eop"/>
        </w:rPr>
      </w:pPr>
      <w:r w:rsidRPr="007D46FA">
        <w:rPr>
          <w:rStyle w:val="normaltextrun"/>
        </w:rPr>
        <w:t>The Royal Children’s Hospital, Young People’s Health Service</w:t>
      </w:r>
    </w:p>
    <w:p w14:paraId="0C127F35" w14:textId="77777777" w:rsidR="00087218" w:rsidRDefault="00087218" w:rsidP="00087218">
      <w:pPr>
        <w:pStyle w:val="Bullet1"/>
        <w:rPr>
          <w:rStyle w:val="eop"/>
        </w:rPr>
      </w:pPr>
      <w:r w:rsidRPr="00E852FA">
        <w:rPr>
          <w:rStyle w:val="normaltextrun"/>
        </w:rPr>
        <w:t>The Royal Women’s Hospital Library</w:t>
      </w:r>
      <w:r w:rsidRPr="00E852FA">
        <w:rPr>
          <w:rStyle w:val="eop"/>
        </w:rPr>
        <w:t>.</w:t>
      </w:r>
    </w:p>
    <w:p w14:paraId="3CA6D1EC" w14:textId="77777777" w:rsidR="00087218" w:rsidRPr="00E852FA" w:rsidRDefault="00087218" w:rsidP="00087218">
      <w:pPr>
        <w:pStyle w:val="Bullet1"/>
        <w:numPr>
          <w:ilvl w:val="0"/>
          <w:numId w:val="0"/>
        </w:numPr>
        <w:rPr>
          <w:rStyle w:val="normaltextrun"/>
        </w:rPr>
      </w:pPr>
    </w:p>
    <w:p w14:paraId="66D01104" w14:textId="77777777" w:rsidR="00087218" w:rsidRPr="000B0C6A" w:rsidRDefault="00087218" w:rsidP="000B0C6A">
      <w:pPr>
        <w:pStyle w:val="Body"/>
      </w:pPr>
      <w:r w:rsidRPr="000B0C6A">
        <w:rPr>
          <w:rStyle w:val="normaltextrun"/>
        </w:rPr>
        <w:t>These organisations should work with the department to negotiate funding expectations that are appropriate for the organisation's specific role while also seeking to contribute to Victoria’s prevention system. Planning and reporting expectations will be negotiated on a case-by-case basis.</w:t>
      </w:r>
      <w:r w:rsidRPr="000B0C6A">
        <w:rPr>
          <w:rStyle w:val="eop"/>
        </w:rPr>
        <w:t> </w:t>
      </w:r>
    </w:p>
    <w:p w14:paraId="1565EBBD" w14:textId="4586C724" w:rsidR="008D639B" w:rsidRDefault="008D639B" w:rsidP="008D639B">
      <w:pPr>
        <w:pStyle w:val="Heading2"/>
      </w:pPr>
      <w:bookmarkStart w:id="13" w:name="_Toc194663085"/>
      <w:r>
        <w:t>Small organisation requirements</w:t>
      </w:r>
      <w:bookmarkEnd w:id="13"/>
      <w:r>
        <w:t xml:space="preserve"> </w:t>
      </w:r>
    </w:p>
    <w:p w14:paraId="69374E81" w14:textId="77777777" w:rsidR="008C0606" w:rsidRPr="002B4987" w:rsidRDefault="008C0606" w:rsidP="008C0606">
      <w:pPr>
        <w:pStyle w:val="Body"/>
        <w:rPr>
          <w:rFonts w:cs="Arial"/>
          <w:szCs w:val="21"/>
        </w:rPr>
      </w:pPr>
      <w:r w:rsidRPr="341EB58C">
        <w:rPr>
          <w:rStyle w:val="normaltextrun"/>
          <w:rFonts w:eastAsia="MS Gothic" w:cs="Arial"/>
        </w:rPr>
        <w:t xml:space="preserve">Organisations that are funded less than $50,000 are exempt from reporting on their activities, however </w:t>
      </w:r>
      <w:r>
        <w:rPr>
          <w:rStyle w:val="normaltextrun"/>
          <w:rFonts w:eastAsia="MS Gothic" w:cs="Arial"/>
        </w:rPr>
        <w:t>are required</w:t>
      </w:r>
      <w:r w:rsidRPr="341EB58C">
        <w:rPr>
          <w:rStyle w:val="normaltextrun"/>
          <w:rFonts w:eastAsia="MS Gothic" w:cs="Arial"/>
        </w:rPr>
        <w:t xml:space="preserve"> to adhere to the Service Agreement contractual obligations and deliver services for which they are funded by the department.</w:t>
      </w:r>
    </w:p>
    <w:p w14:paraId="2FED66C9" w14:textId="3D9A1C7E" w:rsidR="008D639B" w:rsidRDefault="00CC60F7" w:rsidP="008D639B">
      <w:pPr>
        <w:pStyle w:val="Heading2"/>
      </w:pPr>
      <w:bookmarkStart w:id="14" w:name="_Toc194663086"/>
      <w:r>
        <w:t>2025-2029 70/30 per cent plus incremental steps</w:t>
      </w:r>
      <w:bookmarkEnd w:id="14"/>
    </w:p>
    <w:p w14:paraId="6F3AA3C1" w14:textId="77777777" w:rsidR="009624EC" w:rsidRPr="00D95D05" w:rsidRDefault="009624EC" w:rsidP="007D46FA">
      <w:pPr>
        <w:pStyle w:val="Bullet1"/>
      </w:pPr>
      <w:r w:rsidRPr="153A1F7D">
        <w:rPr>
          <w:rStyle w:val="normaltextrun"/>
          <w:rFonts w:eastAsia="MS Mincho" w:cs="Arial"/>
          <w:position w:val="1"/>
          <w:szCs w:val="21"/>
        </w:rPr>
        <w:t xml:space="preserve">Funded agencies are expected to allocate a minimum of 70 per cent of </w:t>
      </w:r>
      <w:r w:rsidRPr="153A1F7D">
        <w:rPr>
          <w:rStyle w:val="normaltextrun"/>
          <w:rFonts w:eastAsia="MS Mincho" w:cs="Arial"/>
          <w:szCs w:val="21"/>
        </w:rPr>
        <w:t>funding</w:t>
      </w:r>
      <w:r w:rsidRPr="153A1F7D">
        <w:rPr>
          <w:rStyle w:val="normaltextrun"/>
          <w:rFonts w:eastAsia="MS Mincho" w:cs="Arial"/>
          <w:position w:val="1"/>
          <w:szCs w:val="21"/>
        </w:rPr>
        <w:t xml:space="preserve"> towards achieving impact in chronic disease prevention and mental wellbeing. This includes the increasing healthy eating, increasing a</w:t>
      </w:r>
      <w:r>
        <w:rPr>
          <w:rStyle w:val="normaltextrun"/>
          <w:rFonts w:eastAsia="MS Mincho" w:cs="Arial"/>
          <w:position w:val="1"/>
          <w:szCs w:val="21"/>
        </w:rPr>
        <w:t>ctive</w:t>
      </w:r>
      <w:r w:rsidRPr="00645417">
        <w:rPr>
          <w:rStyle w:val="normaltextrun"/>
          <w:rFonts w:eastAsia="MS Mincho" w:cs="Arial"/>
          <w:position w:val="1"/>
          <w:szCs w:val="21"/>
        </w:rPr>
        <w:t xml:space="preserve"> living, </w:t>
      </w:r>
      <w:r w:rsidRPr="153A1F7D">
        <w:rPr>
          <w:rStyle w:val="normaltextrun"/>
          <w:rFonts w:eastAsia="MS Mincho" w:cs="Arial"/>
          <w:position w:val="1"/>
          <w:szCs w:val="21"/>
        </w:rPr>
        <w:t xml:space="preserve">reducing tobacco and e-cigarette related harms and improving wellbeing priorities of the </w:t>
      </w:r>
      <w:r w:rsidRPr="7364CBED">
        <w:rPr>
          <w:rStyle w:val="normaltextrun"/>
          <w:rFonts w:eastAsia="MS Gothic" w:cs="Arial"/>
          <w:i/>
          <w:iCs/>
          <w:szCs w:val="21"/>
        </w:rPr>
        <w:t>Victorian public health and wellbeing plan 2023-2027</w:t>
      </w:r>
      <w:r w:rsidRPr="153A1F7D">
        <w:rPr>
          <w:rStyle w:val="normaltextrun"/>
          <w:rFonts w:eastAsia="MS Gothic" w:cs="Arial"/>
          <w:szCs w:val="21"/>
        </w:rPr>
        <w:t>.</w:t>
      </w:r>
      <w:r w:rsidRPr="153A1F7D">
        <w:rPr>
          <w:rStyle w:val="normaltextrun"/>
          <w:rFonts w:cs="Arial"/>
          <w:color w:val="000000"/>
          <w:szCs w:val="21"/>
          <w:shd w:val="clear" w:color="auto" w:fill="FFFFFF"/>
        </w:rPr>
        <w:t xml:space="preserve"> If funded agencies already meet or surpass this requirement, it is important that there is a continued strengthening over time, and agencies do not reduce their investment in these focus areas without consultation with the department. </w:t>
      </w:r>
    </w:p>
    <w:p w14:paraId="37A9080B" w14:textId="77777777" w:rsidR="009624EC" w:rsidRPr="00AE4ADF" w:rsidRDefault="009624EC" w:rsidP="007D46FA">
      <w:pPr>
        <w:pStyle w:val="Bullet1"/>
      </w:pPr>
      <w:r w:rsidRPr="153A1F7D">
        <w:rPr>
          <w:rStyle w:val="normaltextrun"/>
          <w:rFonts w:eastAsia="MS Mincho" w:cs="Arial"/>
          <w:position w:val="1"/>
          <w:szCs w:val="21"/>
        </w:rPr>
        <w:t xml:space="preserve">The improving mental wellbeing priority is included in 70 per cent policy setting until the department’s Wellbeing Promotion Office provides further advice on the delivery of mental wellbeing promotion and prevention efforts following the release of </w:t>
      </w:r>
      <w:r w:rsidRPr="341EB58C">
        <w:rPr>
          <w:rStyle w:val="normaltextrun"/>
          <w:rFonts w:eastAsia="MS Mincho" w:cs="Arial"/>
          <w:i/>
          <w:iCs/>
          <w:szCs w:val="21"/>
        </w:rPr>
        <w:t>Wellbeing in Victoria: a strategy to promote good mental health (Wellbeing Strategy (to be released in 2025))</w:t>
      </w:r>
      <w:r w:rsidRPr="153A1F7D">
        <w:rPr>
          <w:rStyle w:val="normaltextrun"/>
          <w:rFonts w:eastAsia="MS Mincho" w:cs="Arial"/>
          <w:position w:val="1"/>
          <w:szCs w:val="21"/>
        </w:rPr>
        <w:t xml:space="preserve">. </w:t>
      </w:r>
      <w:r w:rsidRPr="54D26CE1">
        <w:rPr>
          <w:rStyle w:val="normaltextrun"/>
          <w:rFonts w:eastAsia="MS Mincho" w:cs="Arial"/>
          <w:position w:val="1"/>
          <w:szCs w:val="21"/>
        </w:rPr>
        <w:t>The department will continue to monitor investment in mental wellbeing and provide further advice</w:t>
      </w:r>
      <w:r w:rsidRPr="153A1F7D">
        <w:rPr>
          <w:rStyle w:val="normaltextrun"/>
          <w:rFonts w:eastAsia="MS Mincho" w:cs="Arial"/>
          <w:position w:val="1"/>
          <w:szCs w:val="21"/>
        </w:rPr>
        <w:t>. Agencies are encouraged to adopt a co-benefits approach</w:t>
      </w:r>
      <w:r w:rsidRPr="153A1F7D">
        <w:rPr>
          <w:rStyle w:val="FootnoteReference"/>
          <w:rFonts w:eastAsia="MS Mincho" w:cs="Arial"/>
          <w:position w:val="1"/>
          <w:szCs w:val="21"/>
        </w:rPr>
        <w:footnoteReference w:id="3"/>
      </w:r>
      <w:r w:rsidRPr="153A1F7D">
        <w:rPr>
          <w:rStyle w:val="normaltextrun"/>
          <w:rFonts w:eastAsia="MS Mincho" w:cs="Arial"/>
          <w:position w:val="1"/>
          <w:szCs w:val="21"/>
        </w:rPr>
        <w:t xml:space="preserve"> across the focus areas and align with the </w:t>
      </w:r>
      <w:r w:rsidRPr="341EB58C">
        <w:rPr>
          <w:rStyle w:val="normaltextrun"/>
          <w:rFonts w:eastAsia="MS Mincho" w:cs="Arial"/>
          <w:i/>
          <w:iCs/>
          <w:szCs w:val="21"/>
        </w:rPr>
        <w:t xml:space="preserve">Wellbeing Strategy (to be released in </w:t>
      </w:r>
      <w:r w:rsidRPr="341EB58C">
        <w:rPr>
          <w:rStyle w:val="normaltextrun"/>
          <w:rFonts w:eastAsia="MS Mincho" w:cs="Arial"/>
          <w:i/>
          <w:iCs/>
          <w:szCs w:val="21"/>
        </w:rPr>
        <w:lastRenderedPageBreak/>
        <w:t>2025) (in development)</w:t>
      </w:r>
      <w:r w:rsidRPr="153A1F7D">
        <w:rPr>
          <w:rStyle w:val="FootnoteReference"/>
          <w:rFonts w:eastAsia="MS Mincho" w:cs="Arial"/>
          <w:position w:val="1"/>
          <w:szCs w:val="21"/>
        </w:rPr>
        <w:footnoteReference w:id="4"/>
      </w:r>
      <w:r w:rsidRPr="153A1F7D">
        <w:rPr>
          <w:rStyle w:val="normaltextrun"/>
          <w:rFonts w:eastAsia="MS Mincho" w:cs="Arial"/>
          <w:position w:val="1"/>
          <w:szCs w:val="21"/>
        </w:rPr>
        <w:t xml:space="preserve">and </w:t>
      </w:r>
      <w:r w:rsidRPr="341EB58C">
        <w:rPr>
          <w:rStyle w:val="normaltextrun"/>
          <w:rFonts w:eastAsia="MS Mincho" w:cs="Arial"/>
          <w:i/>
          <w:iCs/>
          <w:position w:val="1"/>
          <w:szCs w:val="21"/>
        </w:rPr>
        <w:t>Mental health and wellbeing outcomes and performance framework</w:t>
      </w:r>
      <w:r w:rsidRPr="341EB58C">
        <w:rPr>
          <w:rStyle w:val="normaltextrun"/>
          <w:rFonts w:eastAsia="MS Mincho" w:cs="Arial"/>
          <w:i/>
          <w:iCs/>
          <w:szCs w:val="21"/>
        </w:rPr>
        <w:t xml:space="preserve"> (2024)</w:t>
      </w:r>
      <w:r w:rsidRPr="153A1F7D">
        <w:rPr>
          <w:rStyle w:val="normaltextrun"/>
          <w:rFonts w:eastAsia="MS Mincho" w:cs="Arial"/>
          <w:position w:val="1"/>
          <w:szCs w:val="21"/>
        </w:rPr>
        <w:t>.</w:t>
      </w:r>
    </w:p>
    <w:p w14:paraId="6AA65B3F" w14:textId="77777777" w:rsidR="009624EC" w:rsidRPr="008D6E9F" w:rsidRDefault="009624EC" w:rsidP="007D46FA">
      <w:pPr>
        <w:pStyle w:val="Bullet1"/>
        <w:rPr>
          <w:rStyle w:val="normaltextrun"/>
          <w:rFonts w:cs="Arial"/>
          <w:szCs w:val="21"/>
          <w:lang w:val="en-US"/>
        </w:rPr>
      </w:pPr>
      <w:r w:rsidRPr="00EA33D6">
        <w:rPr>
          <w:rStyle w:val="normaltextrun"/>
          <w:rFonts w:eastAsia="MS Mincho" w:cs="Arial"/>
          <w:position w:val="1"/>
          <w:szCs w:val="21"/>
        </w:rPr>
        <w:t>Alcohol harm reduction can be combined with the tobacco and e-cigarette related harm focus area as part of the</w:t>
      </w:r>
      <w:r>
        <w:rPr>
          <w:rStyle w:val="normaltextrun"/>
          <w:rFonts w:eastAsia="MS Mincho" w:cs="Arial"/>
          <w:position w:val="1"/>
          <w:szCs w:val="21"/>
        </w:rPr>
        <w:t xml:space="preserve"> </w:t>
      </w:r>
      <w:r w:rsidRPr="00EA33D6">
        <w:rPr>
          <w:rStyle w:val="normaltextrun"/>
          <w:rFonts w:eastAsia="MS Mincho" w:cs="Arial"/>
          <w:position w:val="1"/>
          <w:szCs w:val="21"/>
        </w:rPr>
        <w:t>70 percent</w:t>
      </w:r>
      <w:r>
        <w:rPr>
          <w:rStyle w:val="normaltextrun"/>
          <w:rFonts w:eastAsia="MS Mincho" w:cs="Arial"/>
          <w:position w:val="1"/>
          <w:szCs w:val="21"/>
        </w:rPr>
        <w:t xml:space="preserve"> funding allocation</w:t>
      </w:r>
      <w:r w:rsidRPr="00EA33D6">
        <w:rPr>
          <w:rStyle w:val="normaltextrun"/>
          <w:rFonts w:eastAsia="MS Mincho" w:cs="Arial"/>
          <w:position w:val="1"/>
          <w:szCs w:val="21"/>
        </w:rPr>
        <w:t>.</w:t>
      </w:r>
      <w:r>
        <w:rPr>
          <w:rStyle w:val="normaltextrun"/>
          <w:rFonts w:eastAsia="MS Mincho" w:cs="Arial"/>
          <w:position w:val="1"/>
          <w:szCs w:val="21"/>
        </w:rPr>
        <w:t xml:space="preserve"> </w:t>
      </w:r>
      <w:r w:rsidRPr="00EA33D6">
        <w:rPr>
          <w:rStyle w:val="normaltextrun"/>
          <w:rFonts w:eastAsia="MS Mincho" w:cs="Arial"/>
          <w:position w:val="1"/>
          <w:szCs w:val="21"/>
        </w:rPr>
        <w:t xml:space="preserve">If </w:t>
      </w:r>
      <w:r>
        <w:rPr>
          <w:rStyle w:val="normaltextrun"/>
          <w:rFonts w:eastAsia="MS Mincho" w:cs="Arial"/>
          <w:position w:val="1"/>
          <w:szCs w:val="21"/>
        </w:rPr>
        <w:t xml:space="preserve">funded </w:t>
      </w:r>
      <w:r w:rsidRPr="00EA33D6">
        <w:rPr>
          <w:rStyle w:val="normaltextrun"/>
          <w:rFonts w:eastAsia="MS Mincho" w:cs="Arial"/>
          <w:position w:val="1"/>
          <w:szCs w:val="21"/>
        </w:rPr>
        <w:t xml:space="preserve">agencies wish to address alcohol </w:t>
      </w:r>
      <w:r w:rsidRPr="008D6E9F">
        <w:rPr>
          <w:rStyle w:val="normaltextrun"/>
          <w:rFonts w:eastAsia="MS Mincho" w:cs="Arial"/>
          <w:position w:val="1"/>
          <w:szCs w:val="21"/>
        </w:rPr>
        <w:t>separate to tobacco, e.g. alcohol and other drugs as a priority, this can be done through the 30 percent allocation.</w:t>
      </w:r>
    </w:p>
    <w:p w14:paraId="0B076425" w14:textId="77777777" w:rsidR="009624EC" w:rsidRPr="008D6E9F" w:rsidRDefault="009624EC" w:rsidP="007D46FA">
      <w:pPr>
        <w:pStyle w:val="Bullet1"/>
        <w:rPr>
          <w:lang w:val="en-US"/>
        </w:rPr>
      </w:pPr>
      <w:r>
        <w:rPr>
          <w:lang w:val="en-US"/>
        </w:rPr>
        <w:t xml:space="preserve">The </w:t>
      </w:r>
      <w:r w:rsidRPr="008D6E9F">
        <w:rPr>
          <w:rStyle w:val="normaltextrun"/>
          <w:rFonts w:eastAsia="MS Mincho" w:cs="Arial"/>
          <w:position w:val="1"/>
          <w:szCs w:val="21"/>
        </w:rPr>
        <w:t xml:space="preserve">remaining 30 percent of funding allocation can be invested in other prevention priorities as determined through local need and context, across any of the 10 priorities of the </w:t>
      </w:r>
      <w:r w:rsidRPr="7364CBED">
        <w:rPr>
          <w:rStyle w:val="normaltextrun"/>
          <w:rFonts w:eastAsia="MS Gothic" w:cs="Arial"/>
          <w:i/>
          <w:iCs/>
          <w:szCs w:val="21"/>
        </w:rPr>
        <w:t>Victorian public health and wellbeing plan 2023-2027.</w:t>
      </w:r>
    </w:p>
    <w:p w14:paraId="35999444" w14:textId="77777777" w:rsidR="009624EC" w:rsidRPr="00DE6918" w:rsidRDefault="009624EC" w:rsidP="007D46FA">
      <w:pPr>
        <w:pStyle w:val="Bullet1"/>
      </w:pPr>
      <w:r w:rsidRPr="7364CBED">
        <w:rPr>
          <w:rStyle w:val="normaltextrun"/>
          <w:rFonts w:eastAsia="MS Gothic" w:cs="Arial"/>
          <w:szCs w:val="21"/>
        </w:rPr>
        <w:t xml:space="preserve">Funded agencies </w:t>
      </w:r>
      <w:r w:rsidRPr="7364CBED">
        <w:rPr>
          <w:rFonts w:eastAsia="Arial"/>
          <w:color w:val="000000" w:themeColor="text1"/>
        </w:rPr>
        <w:t>who allocate effort to prevention of all forms of family violence and/or sexual and reproductive health as part of their 30 per cent allocation can support women’s health services who are the lead agency in delivering health promotion activities for these priorities.</w:t>
      </w:r>
    </w:p>
    <w:p w14:paraId="5FD9D0B7" w14:textId="77777777" w:rsidR="009624EC" w:rsidRPr="00AB2C4E" w:rsidRDefault="009624EC" w:rsidP="007D46FA">
      <w:pPr>
        <w:pStyle w:val="Bullet1"/>
      </w:pPr>
      <w:r w:rsidRPr="00C43A3A">
        <w:rPr>
          <w:rFonts w:eastAsia="Arial"/>
          <w:color w:val="000000" w:themeColor="text1"/>
        </w:rPr>
        <w:t xml:space="preserve">Women’s health services can link with and support </w:t>
      </w:r>
      <w:r>
        <w:rPr>
          <w:rFonts w:eastAsia="Arial"/>
          <w:color w:val="000000" w:themeColor="text1"/>
        </w:rPr>
        <w:t>the program</w:t>
      </w:r>
      <w:r w:rsidRPr="00C43A3A">
        <w:rPr>
          <w:rFonts w:eastAsia="Arial"/>
          <w:color w:val="000000" w:themeColor="text1"/>
        </w:rPr>
        <w:t xml:space="preserve"> to address gender and</w:t>
      </w:r>
      <w:r>
        <w:rPr>
          <w:rFonts w:eastAsia="Arial"/>
          <w:color w:val="000000" w:themeColor="text1"/>
        </w:rPr>
        <w:t xml:space="preserve"> </w:t>
      </w:r>
      <w:r w:rsidRPr="00C43A3A">
        <w:rPr>
          <w:rFonts w:eastAsia="Arial"/>
          <w:color w:val="000000" w:themeColor="text1"/>
        </w:rPr>
        <w:t>intersectional considerations for local initiatives related to the focus areas and other local priorities.</w:t>
      </w:r>
    </w:p>
    <w:p w14:paraId="4228D86B" w14:textId="77777777" w:rsidR="009624EC" w:rsidRPr="00BC1098" w:rsidRDefault="009624EC" w:rsidP="009624EC">
      <w:pPr>
        <w:rPr>
          <w:rFonts w:eastAsia="MS Gothic" w:cs="Arial"/>
          <w:color w:val="000000"/>
          <w:shd w:val="clear" w:color="auto" w:fill="FFFFFF"/>
        </w:rPr>
      </w:pPr>
      <w:r w:rsidRPr="153A1F7D">
        <w:rPr>
          <w:rStyle w:val="normaltextrun"/>
          <w:rFonts w:cs="Arial"/>
          <w:color w:val="000000"/>
          <w:shd w:val="clear" w:color="auto" w:fill="FFFFFF"/>
        </w:rPr>
        <w:t xml:space="preserve">Climate change and health considerations can be integrated into chosen priorities and </w:t>
      </w:r>
      <w:r w:rsidRPr="341EB58C">
        <w:rPr>
          <w:rStyle w:val="normaltextrun"/>
          <w:rFonts w:cs="Arial"/>
          <w:i/>
          <w:iCs/>
          <w:color w:val="000000"/>
          <w:shd w:val="clear" w:color="auto" w:fill="FFFFFF"/>
        </w:rPr>
        <w:t>Community Health – Health Promotion</w:t>
      </w:r>
      <w:r w:rsidRPr="153A1F7D">
        <w:rPr>
          <w:rStyle w:val="normaltextrun"/>
          <w:rFonts w:cs="Arial"/>
          <w:color w:val="000000"/>
          <w:shd w:val="clear" w:color="auto" w:fill="FFFFFF"/>
        </w:rPr>
        <w:t xml:space="preserve"> frameworks on page</w:t>
      </w:r>
      <w:r>
        <w:rPr>
          <w:rStyle w:val="normaltextrun"/>
          <w:rFonts w:cs="Arial"/>
          <w:color w:val="000000"/>
          <w:shd w:val="clear" w:color="auto" w:fill="FFFFFF"/>
        </w:rPr>
        <w:t xml:space="preserve"> 11 </w:t>
      </w:r>
      <w:r w:rsidRPr="153A1F7D">
        <w:rPr>
          <w:rStyle w:val="normaltextrun"/>
          <w:rFonts w:cs="Arial"/>
          <w:color w:val="000000"/>
          <w:shd w:val="clear" w:color="auto" w:fill="FFFFFF"/>
        </w:rPr>
        <w:t xml:space="preserve">and the </w:t>
      </w:r>
      <w:r w:rsidRPr="341EB58C">
        <w:rPr>
          <w:rStyle w:val="normaltextrun"/>
          <w:rFonts w:cs="Arial"/>
          <w:i/>
          <w:iCs/>
          <w:color w:val="000000"/>
          <w:shd w:val="clear" w:color="auto" w:fill="FFFFFF"/>
        </w:rPr>
        <w:t xml:space="preserve">Tackling climate change and health </w:t>
      </w:r>
      <w:r w:rsidRPr="153A1F7D">
        <w:rPr>
          <w:rStyle w:val="normaltextrun"/>
          <w:rFonts w:cs="Arial"/>
          <w:color w:val="000000"/>
          <w:shd w:val="clear" w:color="auto" w:fill="FFFFFF"/>
        </w:rPr>
        <w:t>box on page</w:t>
      </w:r>
      <w:r>
        <w:rPr>
          <w:rStyle w:val="normaltextrun"/>
          <w:rFonts w:cs="Arial"/>
          <w:color w:val="000000"/>
          <w:shd w:val="clear" w:color="auto" w:fill="FFFFFF"/>
        </w:rPr>
        <w:t xml:space="preserve"> 20 </w:t>
      </w:r>
      <w:r w:rsidRPr="153A1F7D">
        <w:rPr>
          <w:rStyle w:val="normaltextrun"/>
          <w:rFonts w:cs="Arial"/>
          <w:color w:val="000000"/>
          <w:shd w:val="clear" w:color="auto" w:fill="FFFFFF"/>
        </w:rPr>
        <w:t xml:space="preserve">provides suggested strategies for increasing climate change co-benefits of work in increasing healthy eating and active living. The way initiatives are delivered should also harness the community’s increasing motivation for climate change action to leverage improvements in healthy eating and active living. For further information and resources on climate change and health, refer to </w:t>
      </w:r>
      <w:r>
        <w:rPr>
          <w:rStyle w:val="normaltextrun"/>
          <w:rFonts w:cs="Arial"/>
          <w:color w:val="000000"/>
          <w:shd w:val="clear" w:color="auto" w:fill="FFFFFF"/>
        </w:rPr>
        <w:t>b</w:t>
      </w:r>
      <w:r w:rsidRPr="153A1F7D">
        <w:rPr>
          <w:rStyle w:val="normaltextrun"/>
          <w:rFonts w:cs="Arial"/>
          <w:color w:val="000000"/>
          <w:shd w:val="clear" w:color="auto" w:fill="FFFFFF"/>
        </w:rPr>
        <w:t>ox 2.</w:t>
      </w:r>
    </w:p>
    <w:p w14:paraId="4FD70F14" w14:textId="6D3BAD47" w:rsidR="00CC60F7" w:rsidRDefault="00CC60F7" w:rsidP="00CC60F7">
      <w:pPr>
        <w:pStyle w:val="Heading2"/>
      </w:pPr>
      <w:bookmarkStart w:id="15" w:name="_Toc194663087"/>
      <w:r>
        <w:t>Program frameworks</w:t>
      </w:r>
      <w:bookmarkEnd w:id="15"/>
    </w:p>
    <w:p w14:paraId="1499B0BB" w14:textId="77777777" w:rsidR="002C112E" w:rsidRDefault="002C112E" w:rsidP="002C112E">
      <w:pPr>
        <w:spacing w:after="0"/>
        <w:rPr>
          <w:rStyle w:val="eop"/>
          <w:rFonts w:eastAsia="MS Gothic" w:cs="Arial"/>
          <w:shd w:val="clear" w:color="auto" w:fill="FFFFFF"/>
        </w:rPr>
      </w:pPr>
      <w:r w:rsidRPr="153A1F7D">
        <w:rPr>
          <w:rStyle w:val="normaltextrun"/>
          <w:rFonts w:cs="Arial"/>
          <w:shd w:val="clear" w:color="auto" w:fill="FFFFFF"/>
        </w:rPr>
        <w:t>The following frameworks outline the various program functions in ‘leading’ and ‘supporting’ the delivery of health promotion and prevention activity related to increasing healthy eating, increasing active living and reducing tobacco and e-cigarette related harm. These frameworks adopt a socio-ecological model of health</w:t>
      </w:r>
      <w:r w:rsidRPr="153A1F7D">
        <w:rPr>
          <w:rStyle w:val="FootnoteReference"/>
          <w:rFonts w:cs="Arial"/>
          <w:shd w:val="clear" w:color="auto" w:fill="FFFFFF"/>
        </w:rPr>
        <w:footnoteReference w:id="5"/>
      </w:r>
      <w:r w:rsidRPr="153A1F7D">
        <w:rPr>
          <w:rStyle w:val="normaltextrun"/>
          <w:rFonts w:cs="Arial"/>
          <w:shd w:val="clear" w:color="auto" w:fill="FFFFFF"/>
        </w:rPr>
        <w:t>, acknowledging that the program has a role in contributing to healthy public policy, healthier environments, organisations and communities, in addition to actions across the prevention system.</w:t>
      </w:r>
    </w:p>
    <w:p w14:paraId="671DBBB1" w14:textId="77777777" w:rsidR="002C112E" w:rsidRDefault="002C112E" w:rsidP="002C112E">
      <w:pPr>
        <w:spacing w:after="0"/>
        <w:rPr>
          <w:rStyle w:val="eop"/>
          <w:rFonts w:eastAsia="MS Gothic" w:cs="Arial"/>
          <w:shd w:val="clear" w:color="auto" w:fill="FFFFFF"/>
        </w:rPr>
      </w:pPr>
    </w:p>
    <w:p w14:paraId="7AB65342" w14:textId="77777777" w:rsidR="002C112E" w:rsidRDefault="002C112E" w:rsidP="002C112E">
      <w:pPr>
        <w:spacing w:after="0"/>
        <w:rPr>
          <w:rStyle w:val="normaltextrun"/>
          <w:rFonts w:eastAsia="Arial" w:cs="Arial"/>
          <w:color w:val="000000" w:themeColor="text1"/>
          <w:szCs w:val="21"/>
        </w:rPr>
      </w:pPr>
      <w:r w:rsidRPr="20AC43EC">
        <w:rPr>
          <w:rStyle w:val="normaltextrun"/>
          <w:rFonts w:eastAsia="Arial" w:cs="Arial"/>
          <w:color w:val="000000" w:themeColor="text1"/>
          <w:szCs w:val="21"/>
        </w:rPr>
        <w:t>The</w:t>
      </w:r>
      <w:r>
        <w:rPr>
          <w:rStyle w:val="normaltextrun"/>
          <w:rFonts w:eastAsia="Arial" w:cs="Arial"/>
          <w:color w:val="000000" w:themeColor="text1"/>
          <w:szCs w:val="21"/>
        </w:rPr>
        <w:t xml:space="preserve"> </w:t>
      </w:r>
      <w:r w:rsidRPr="20AC43EC">
        <w:rPr>
          <w:rStyle w:val="normaltextrun"/>
          <w:rFonts w:eastAsia="Arial" w:cs="Arial"/>
          <w:color w:val="000000" w:themeColor="text1"/>
          <w:szCs w:val="21"/>
        </w:rPr>
        <w:t xml:space="preserve">program </w:t>
      </w:r>
      <w:r>
        <w:rPr>
          <w:rStyle w:val="normaltextrun"/>
          <w:rFonts w:eastAsia="Arial" w:cs="Arial"/>
          <w:color w:val="000000" w:themeColor="text1"/>
          <w:szCs w:val="21"/>
        </w:rPr>
        <w:t>delivers</w:t>
      </w:r>
      <w:r w:rsidRPr="20AC43EC">
        <w:rPr>
          <w:rStyle w:val="normaltextrun"/>
          <w:rFonts w:eastAsia="Arial" w:cs="Arial"/>
          <w:color w:val="000000" w:themeColor="text1"/>
          <w:szCs w:val="21"/>
        </w:rPr>
        <w:t xml:space="preserve"> initiatives </w:t>
      </w:r>
      <w:r>
        <w:rPr>
          <w:rStyle w:val="normaltextrun"/>
          <w:rFonts w:eastAsia="Arial" w:cs="Arial"/>
          <w:color w:val="000000" w:themeColor="text1"/>
          <w:szCs w:val="21"/>
        </w:rPr>
        <w:t xml:space="preserve">that are focused </w:t>
      </w:r>
      <w:r w:rsidRPr="20AC43EC">
        <w:rPr>
          <w:rStyle w:val="normaltextrun"/>
          <w:rFonts w:eastAsia="Arial" w:cs="Arial"/>
          <w:color w:val="000000" w:themeColor="text1"/>
          <w:szCs w:val="21"/>
        </w:rPr>
        <w:t>on change in the community and in settings where people live, learn, work and play. To achieve this, it is important that organisations delivering the program are themselves leaders in prevention and health promotion</w:t>
      </w:r>
      <w:r>
        <w:rPr>
          <w:rStyle w:val="normaltextrun"/>
          <w:rFonts w:eastAsia="Arial" w:cs="Arial"/>
          <w:color w:val="000000" w:themeColor="text1"/>
          <w:szCs w:val="21"/>
        </w:rPr>
        <w:t>, for example</w:t>
      </w:r>
      <w:r w:rsidRPr="20AC43EC">
        <w:rPr>
          <w:rStyle w:val="normaltextrun"/>
          <w:rFonts w:eastAsia="Arial" w:cs="Arial"/>
          <w:color w:val="000000" w:themeColor="text1"/>
          <w:szCs w:val="21"/>
        </w:rPr>
        <w:t xml:space="preserve"> meeting benchmarks of the Achievement Program, implementing Healthy Choices, or providing </w:t>
      </w:r>
      <w:r>
        <w:rPr>
          <w:rStyle w:val="normaltextrun"/>
          <w:rFonts w:eastAsia="Arial" w:cs="Arial"/>
          <w:color w:val="000000" w:themeColor="text1"/>
          <w:szCs w:val="21"/>
        </w:rPr>
        <w:t xml:space="preserve">tobacco </w:t>
      </w:r>
      <w:r w:rsidRPr="20AC43EC">
        <w:rPr>
          <w:rStyle w:val="normaltextrun"/>
          <w:rFonts w:eastAsia="Arial" w:cs="Arial"/>
          <w:color w:val="000000" w:themeColor="text1"/>
          <w:szCs w:val="21"/>
        </w:rPr>
        <w:t xml:space="preserve">and </w:t>
      </w:r>
      <w:r>
        <w:rPr>
          <w:rStyle w:val="normaltextrun"/>
          <w:rFonts w:eastAsia="Arial" w:cs="Arial"/>
          <w:color w:val="000000" w:themeColor="text1"/>
          <w:szCs w:val="21"/>
        </w:rPr>
        <w:t>vaping free</w:t>
      </w:r>
      <w:r w:rsidRPr="20AC43EC">
        <w:rPr>
          <w:rStyle w:val="normaltextrun"/>
          <w:rFonts w:eastAsia="Arial" w:cs="Arial"/>
          <w:color w:val="000000" w:themeColor="text1"/>
          <w:szCs w:val="21"/>
        </w:rPr>
        <w:t xml:space="preserve"> environments.</w:t>
      </w:r>
      <w:r>
        <w:rPr>
          <w:rStyle w:val="normaltextrun"/>
          <w:rFonts w:eastAsia="Arial" w:cs="Arial"/>
          <w:color w:val="000000" w:themeColor="text1"/>
          <w:szCs w:val="21"/>
        </w:rPr>
        <w:t xml:space="preserve"> </w:t>
      </w:r>
      <w:r w:rsidRPr="20AC43EC">
        <w:rPr>
          <w:rStyle w:val="normaltextrun"/>
          <w:rFonts w:eastAsia="Arial" w:cs="Arial"/>
          <w:color w:val="000000" w:themeColor="text1"/>
          <w:szCs w:val="21"/>
        </w:rPr>
        <w:t>Organisations delivering the program can utilise program staff to support the organisation to achieve this leadership position</w:t>
      </w:r>
      <w:r>
        <w:rPr>
          <w:rStyle w:val="normaltextrun"/>
          <w:rFonts w:eastAsia="Arial" w:cs="Arial"/>
          <w:color w:val="000000" w:themeColor="text1"/>
          <w:szCs w:val="21"/>
        </w:rPr>
        <w:t xml:space="preserve">, </w:t>
      </w:r>
      <w:r w:rsidRPr="20AC43EC">
        <w:rPr>
          <w:rStyle w:val="normaltextrun"/>
          <w:rFonts w:eastAsia="Arial" w:cs="Arial"/>
          <w:color w:val="000000" w:themeColor="text1"/>
          <w:szCs w:val="21"/>
        </w:rPr>
        <w:t>however the primary focus of the program should be external to the funded organisation.</w:t>
      </w:r>
    </w:p>
    <w:p w14:paraId="1BD804EA" w14:textId="77777777" w:rsidR="00641038" w:rsidRPr="001B71AD" w:rsidRDefault="00641038" w:rsidP="002C112E">
      <w:pPr>
        <w:spacing w:after="0"/>
        <w:rPr>
          <w:rStyle w:val="normaltextrun"/>
          <w:rFonts w:eastAsia="MS Gothic" w:cs="Arial"/>
          <w:shd w:val="clear" w:color="auto" w:fill="FFFFFF"/>
        </w:rPr>
      </w:pPr>
    </w:p>
    <w:p w14:paraId="001A7B1D" w14:textId="5C2F71E6" w:rsidR="00641038" w:rsidRPr="00641038" w:rsidRDefault="00CD6614" w:rsidP="00E36772">
      <w:pPr>
        <w:pStyle w:val="Tablecaption"/>
        <w:rPr>
          <w:lang w:eastAsia="en-AU"/>
        </w:rPr>
      </w:pPr>
      <w:r w:rsidRPr="00F450C8">
        <w:rPr>
          <w:lang w:eastAsia="en-AU"/>
        </w:rPr>
        <w:t>Table</w:t>
      </w:r>
      <w:r w:rsidR="00F450C8" w:rsidRPr="00F450C8">
        <w:rPr>
          <w:lang w:eastAsia="en-AU"/>
        </w:rPr>
        <w:t xml:space="preserve"> two</w:t>
      </w:r>
      <w:r w:rsidRPr="00F450C8">
        <w:rPr>
          <w:lang w:eastAsia="en-AU"/>
        </w:rPr>
        <w:t xml:space="preserve">: </w:t>
      </w:r>
      <w:r w:rsidR="00641038" w:rsidRPr="00F450C8">
        <w:rPr>
          <w:lang w:eastAsia="en-AU"/>
        </w:rPr>
        <w:t>Definition of ‘lead’</w:t>
      </w:r>
      <w:r w:rsidR="00641038" w:rsidRPr="5CF0B45F">
        <w:rPr>
          <w:lang w:eastAsia="en-AU"/>
        </w:rPr>
        <w:t xml:space="preserve"> and ‘support’ functions </w:t>
      </w:r>
    </w:p>
    <w:tbl>
      <w:tblPr>
        <w:tblW w:w="92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06"/>
        <w:gridCol w:w="3487"/>
        <w:gridCol w:w="3589"/>
      </w:tblGrid>
      <w:tr w:rsidR="00641038" w:rsidRPr="00B27E61" w14:paraId="5207C979" w14:textId="77777777" w:rsidTr="00C90690">
        <w:trPr>
          <w:tblHeader/>
        </w:trPr>
        <w:tc>
          <w:tcPr>
            <w:tcW w:w="2206" w:type="dxa"/>
            <w:tcBorders>
              <w:top w:val="single" w:sz="6" w:space="0" w:color="auto"/>
              <w:left w:val="single" w:sz="6" w:space="0" w:color="auto"/>
              <w:bottom w:val="single" w:sz="6" w:space="0" w:color="auto"/>
              <w:right w:val="single" w:sz="6" w:space="0" w:color="auto"/>
            </w:tcBorders>
            <w:shd w:val="clear" w:color="auto" w:fill="auto"/>
            <w:hideMark/>
          </w:tcPr>
          <w:p w14:paraId="12F1BADD" w14:textId="77777777" w:rsidR="00641038" w:rsidRPr="00C90690" w:rsidRDefault="00641038" w:rsidP="00641038">
            <w:pPr>
              <w:pStyle w:val="Tablecolhead"/>
              <w:rPr>
                <w:rFonts w:ascii="Times New Roman" w:hAnsi="Times New Roman"/>
                <w:sz w:val="24"/>
                <w:szCs w:val="24"/>
                <w:lang w:eastAsia="en-AU"/>
              </w:rPr>
            </w:pPr>
            <w:r w:rsidRPr="00C90690">
              <w:rPr>
                <w:lang w:eastAsia="en-AU"/>
              </w:rPr>
              <w:t>Program components </w:t>
            </w:r>
          </w:p>
        </w:tc>
        <w:tc>
          <w:tcPr>
            <w:tcW w:w="3487" w:type="dxa"/>
            <w:tcBorders>
              <w:top w:val="single" w:sz="6" w:space="0" w:color="auto"/>
              <w:left w:val="single" w:sz="6" w:space="0" w:color="auto"/>
              <w:bottom w:val="single" w:sz="6" w:space="0" w:color="auto"/>
              <w:right w:val="single" w:sz="6" w:space="0" w:color="auto"/>
            </w:tcBorders>
            <w:shd w:val="clear" w:color="auto" w:fill="auto"/>
            <w:hideMark/>
          </w:tcPr>
          <w:p w14:paraId="5E9A7405" w14:textId="77777777" w:rsidR="00641038" w:rsidRPr="00C90690" w:rsidRDefault="00641038" w:rsidP="00641038">
            <w:pPr>
              <w:pStyle w:val="Tablecolhead"/>
              <w:rPr>
                <w:rFonts w:ascii="Times New Roman" w:hAnsi="Times New Roman"/>
                <w:sz w:val="24"/>
                <w:szCs w:val="24"/>
                <w:lang w:eastAsia="en-AU"/>
              </w:rPr>
            </w:pPr>
            <w:r w:rsidRPr="00C90690">
              <w:rPr>
                <w:lang w:eastAsia="en-AU"/>
              </w:rPr>
              <w:t>Lead (delivery) functions </w:t>
            </w:r>
          </w:p>
        </w:tc>
        <w:tc>
          <w:tcPr>
            <w:tcW w:w="3589" w:type="dxa"/>
            <w:tcBorders>
              <w:top w:val="single" w:sz="6" w:space="0" w:color="auto"/>
              <w:left w:val="single" w:sz="6" w:space="0" w:color="auto"/>
              <w:bottom w:val="single" w:sz="6" w:space="0" w:color="auto"/>
              <w:right w:val="single" w:sz="6" w:space="0" w:color="auto"/>
            </w:tcBorders>
            <w:shd w:val="clear" w:color="auto" w:fill="auto"/>
            <w:hideMark/>
          </w:tcPr>
          <w:p w14:paraId="6661D3D0" w14:textId="77777777" w:rsidR="00641038" w:rsidRPr="00C90690" w:rsidRDefault="00641038" w:rsidP="00641038">
            <w:pPr>
              <w:pStyle w:val="Tablecolhead"/>
              <w:rPr>
                <w:rFonts w:ascii="Times New Roman" w:hAnsi="Times New Roman"/>
                <w:sz w:val="24"/>
                <w:szCs w:val="24"/>
                <w:lang w:eastAsia="en-AU"/>
              </w:rPr>
            </w:pPr>
            <w:r w:rsidRPr="00C90690">
              <w:rPr>
                <w:lang w:eastAsia="en-AU"/>
              </w:rPr>
              <w:t>Support functions </w:t>
            </w:r>
          </w:p>
        </w:tc>
      </w:tr>
      <w:tr w:rsidR="00641038" w:rsidRPr="00B27E61" w14:paraId="231BEAF6" w14:textId="77777777" w:rsidTr="0083412A">
        <w:trPr>
          <w:trHeight w:val="930"/>
        </w:trPr>
        <w:tc>
          <w:tcPr>
            <w:tcW w:w="2206" w:type="dxa"/>
            <w:tcBorders>
              <w:top w:val="single" w:sz="6" w:space="0" w:color="auto"/>
              <w:left w:val="single" w:sz="6" w:space="0" w:color="auto"/>
              <w:bottom w:val="single" w:sz="6" w:space="0" w:color="auto"/>
              <w:right w:val="single" w:sz="6" w:space="0" w:color="auto"/>
            </w:tcBorders>
            <w:shd w:val="clear" w:color="auto" w:fill="auto"/>
            <w:hideMark/>
          </w:tcPr>
          <w:p w14:paraId="0FC90AEA" w14:textId="77777777" w:rsidR="00641038" w:rsidRPr="00CF1BEF" w:rsidRDefault="00641038" w:rsidP="00641038">
            <w:pPr>
              <w:pStyle w:val="Tabletext"/>
              <w:rPr>
                <w:lang w:val="en-US" w:eastAsia="en-AU"/>
              </w:rPr>
            </w:pPr>
            <w:r w:rsidRPr="00CF1BEF">
              <w:rPr>
                <w:lang w:val="en-US" w:eastAsia="en-AU"/>
              </w:rPr>
              <w:t>Program funding </w:t>
            </w:r>
          </w:p>
        </w:tc>
        <w:tc>
          <w:tcPr>
            <w:tcW w:w="3487" w:type="dxa"/>
            <w:tcBorders>
              <w:top w:val="single" w:sz="6" w:space="0" w:color="auto"/>
              <w:left w:val="single" w:sz="6" w:space="0" w:color="auto"/>
              <w:bottom w:val="single" w:sz="6" w:space="0" w:color="auto"/>
              <w:right w:val="single" w:sz="6" w:space="0" w:color="auto"/>
            </w:tcBorders>
            <w:shd w:val="clear" w:color="auto" w:fill="auto"/>
            <w:hideMark/>
          </w:tcPr>
          <w:p w14:paraId="2EB47253" w14:textId="77777777" w:rsidR="00641038" w:rsidRPr="00CF1BEF" w:rsidRDefault="00641038" w:rsidP="00641038">
            <w:pPr>
              <w:pStyle w:val="Tabletext"/>
              <w:rPr>
                <w:lang w:val="en-US" w:eastAsia="en-AU"/>
              </w:rPr>
            </w:pPr>
            <w:r>
              <w:rPr>
                <w:lang w:val="en-US" w:eastAsia="en-AU"/>
              </w:rPr>
              <w:t>F</w:t>
            </w:r>
            <w:r w:rsidRPr="00B27E61">
              <w:rPr>
                <w:lang w:val="en-US" w:eastAsia="en-AU"/>
              </w:rPr>
              <w:t>unding can be allocated to delivery of these functions as outlined in the framework.</w:t>
            </w:r>
          </w:p>
        </w:tc>
        <w:tc>
          <w:tcPr>
            <w:tcW w:w="3589" w:type="dxa"/>
            <w:tcBorders>
              <w:top w:val="single" w:sz="6" w:space="0" w:color="auto"/>
              <w:left w:val="single" w:sz="6" w:space="0" w:color="auto"/>
              <w:bottom w:val="single" w:sz="6" w:space="0" w:color="auto"/>
              <w:right w:val="single" w:sz="6" w:space="0" w:color="auto"/>
            </w:tcBorders>
            <w:shd w:val="clear" w:color="auto" w:fill="auto"/>
            <w:hideMark/>
          </w:tcPr>
          <w:p w14:paraId="5B92A049" w14:textId="77777777" w:rsidR="00641038" w:rsidRPr="00CF1BEF" w:rsidRDefault="00641038" w:rsidP="00641038">
            <w:pPr>
              <w:pStyle w:val="Tabletext"/>
              <w:rPr>
                <w:lang w:val="en-US" w:eastAsia="en-AU"/>
              </w:rPr>
            </w:pPr>
            <w:r w:rsidRPr="00CF1BEF">
              <w:rPr>
                <w:lang w:val="en-US" w:eastAsia="en-AU"/>
              </w:rPr>
              <w:t xml:space="preserve">Funding, such as staff time, can contribute to and support these functions (but leading these functions is out of scope for the program). </w:t>
            </w:r>
          </w:p>
        </w:tc>
      </w:tr>
      <w:tr w:rsidR="00641038" w:rsidRPr="00B27E61" w14:paraId="53F06E42" w14:textId="77777777" w:rsidTr="0083412A">
        <w:trPr>
          <w:trHeight w:val="750"/>
        </w:trPr>
        <w:tc>
          <w:tcPr>
            <w:tcW w:w="2206" w:type="dxa"/>
            <w:tcBorders>
              <w:top w:val="single" w:sz="6" w:space="0" w:color="auto"/>
              <w:left w:val="single" w:sz="6" w:space="0" w:color="auto"/>
              <w:bottom w:val="single" w:sz="6" w:space="0" w:color="auto"/>
              <w:right w:val="single" w:sz="6" w:space="0" w:color="auto"/>
            </w:tcBorders>
            <w:shd w:val="clear" w:color="auto" w:fill="auto"/>
            <w:hideMark/>
          </w:tcPr>
          <w:p w14:paraId="01119C10" w14:textId="77777777" w:rsidR="00641038" w:rsidRPr="00CF1BEF" w:rsidRDefault="00641038" w:rsidP="00641038">
            <w:pPr>
              <w:pStyle w:val="Tabletext"/>
              <w:rPr>
                <w:lang w:val="en-US" w:eastAsia="en-AU"/>
              </w:rPr>
            </w:pPr>
            <w:r w:rsidRPr="00CF1BEF">
              <w:rPr>
                <w:lang w:val="en-US" w:eastAsia="en-AU"/>
              </w:rPr>
              <w:lastRenderedPageBreak/>
              <w:t>Lead agency </w:t>
            </w:r>
          </w:p>
        </w:tc>
        <w:tc>
          <w:tcPr>
            <w:tcW w:w="3487" w:type="dxa"/>
            <w:tcBorders>
              <w:top w:val="single" w:sz="6" w:space="0" w:color="auto"/>
              <w:left w:val="single" w:sz="6" w:space="0" w:color="auto"/>
              <w:bottom w:val="single" w:sz="6" w:space="0" w:color="auto"/>
              <w:right w:val="single" w:sz="6" w:space="0" w:color="auto"/>
            </w:tcBorders>
            <w:shd w:val="clear" w:color="auto" w:fill="auto"/>
            <w:hideMark/>
          </w:tcPr>
          <w:p w14:paraId="1B9CCA3C" w14:textId="77777777" w:rsidR="00641038" w:rsidRPr="00CF1BEF" w:rsidRDefault="00641038" w:rsidP="00641038">
            <w:pPr>
              <w:pStyle w:val="Tabletext"/>
              <w:rPr>
                <w:lang w:val="en-US" w:eastAsia="en-AU"/>
              </w:rPr>
            </w:pPr>
            <w:r>
              <w:rPr>
                <w:lang w:val="en-US" w:eastAsia="en-AU"/>
              </w:rPr>
              <w:t>The program</w:t>
            </w:r>
            <w:r w:rsidRPr="00B27E61">
              <w:rPr>
                <w:lang w:val="en-US" w:eastAsia="en-AU"/>
              </w:rPr>
              <w:t xml:space="preserve"> is a lead delivery agency at a local level for these functions.</w:t>
            </w:r>
          </w:p>
        </w:tc>
        <w:tc>
          <w:tcPr>
            <w:tcW w:w="3589" w:type="dxa"/>
            <w:tcBorders>
              <w:top w:val="single" w:sz="6" w:space="0" w:color="auto"/>
              <w:left w:val="single" w:sz="6" w:space="0" w:color="auto"/>
              <w:bottom w:val="single" w:sz="6" w:space="0" w:color="auto"/>
              <w:right w:val="single" w:sz="6" w:space="0" w:color="auto"/>
            </w:tcBorders>
            <w:shd w:val="clear" w:color="auto" w:fill="auto"/>
            <w:hideMark/>
          </w:tcPr>
          <w:p w14:paraId="69073105" w14:textId="77777777" w:rsidR="00641038" w:rsidRPr="00CF1BEF" w:rsidRDefault="00641038" w:rsidP="00641038">
            <w:pPr>
              <w:pStyle w:val="Tabletext"/>
              <w:rPr>
                <w:lang w:val="en-US" w:eastAsia="en-AU"/>
              </w:rPr>
            </w:pPr>
            <w:r w:rsidRPr="00B27E61">
              <w:rPr>
                <w:lang w:val="en-US" w:eastAsia="en-AU"/>
              </w:rPr>
              <w:t>Other agencies/prevention partners have responsibility for leading these functions.</w:t>
            </w:r>
          </w:p>
        </w:tc>
      </w:tr>
      <w:tr w:rsidR="00641038" w:rsidRPr="00B27E61" w14:paraId="3A8039DC" w14:textId="77777777" w:rsidTr="0083412A">
        <w:trPr>
          <w:trHeight w:val="750"/>
        </w:trPr>
        <w:tc>
          <w:tcPr>
            <w:tcW w:w="2206" w:type="dxa"/>
            <w:tcBorders>
              <w:top w:val="single" w:sz="6" w:space="0" w:color="auto"/>
              <w:left w:val="single" w:sz="6" w:space="0" w:color="auto"/>
              <w:bottom w:val="single" w:sz="6" w:space="0" w:color="auto"/>
              <w:right w:val="single" w:sz="6" w:space="0" w:color="auto"/>
            </w:tcBorders>
            <w:shd w:val="clear" w:color="auto" w:fill="auto"/>
            <w:hideMark/>
          </w:tcPr>
          <w:p w14:paraId="49C2CF9D" w14:textId="77777777" w:rsidR="00641038" w:rsidRPr="00CF1BEF" w:rsidRDefault="00641038" w:rsidP="00641038">
            <w:pPr>
              <w:pStyle w:val="Tabletext"/>
              <w:rPr>
                <w:lang w:val="en-US" w:eastAsia="en-AU"/>
              </w:rPr>
            </w:pPr>
            <w:r w:rsidRPr="00CF1BEF">
              <w:rPr>
                <w:lang w:val="en-US" w:eastAsia="en-AU"/>
              </w:rPr>
              <w:t>Range of functions </w:t>
            </w:r>
          </w:p>
        </w:tc>
        <w:tc>
          <w:tcPr>
            <w:tcW w:w="3487" w:type="dxa"/>
            <w:tcBorders>
              <w:top w:val="single" w:sz="6" w:space="0" w:color="auto"/>
              <w:left w:val="single" w:sz="6" w:space="0" w:color="auto"/>
              <w:bottom w:val="single" w:sz="6" w:space="0" w:color="auto"/>
              <w:right w:val="single" w:sz="6" w:space="0" w:color="auto"/>
            </w:tcBorders>
            <w:shd w:val="clear" w:color="auto" w:fill="auto"/>
            <w:hideMark/>
          </w:tcPr>
          <w:p w14:paraId="51A39A9E" w14:textId="77777777" w:rsidR="00641038" w:rsidRPr="00CF1BEF" w:rsidRDefault="00641038" w:rsidP="00641038">
            <w:pPr>
              <w:pStyle w:val="Tabletext"/>
              <w:rPr>
                <w:lang w:val="en-US" w:eastAsia="en-AU"/>
              </w:rPr>
            </w:pPr>
            <w:r>
              <w:rPr>
                <w:lang w:val="en-US" w:eastAsia="en-AU"/>
              </w:rPr>
              <w:t>The program is</w:t>
            </w:r>
            <w:r w:rsidRPr="00B27E61">
              <w:rPr>
                <w:lang w:val="en-US" w:eastAsia="en-AU"/>
              </w:rPr>
              <w:t xml:space="preserve"> not </w:t>
            </w:r>
            <w:r>
              <w:rPr>
                <w:lang w:val="en-US" w:eastAsia="en-AU"/>
              </w:rPr>
              <w:t>required</w:t>
            </w:r>
            <w:r w:rsidRPr="00B27E61">
              <w:rPr>
                <w:lang w:val="en-US" w:eastAsia="en-AU"/>
              </w:rPr>
              <w:t xml:space="preserve"> to deliver all lead functions outlined across the frameworks</w:t>
            </w:r>
            <w:r>
              <w:rPr>
                <w:lang w:val="en-US" w:eastAsia="en-AU"/>
              </w:rPr>
              <w:t xml:space="preserve"> but expected to use these lead functions as the basis for planning</w:t>
            </w:r>
            <w:r w:rsidRPr="00B27E61">
              <w:rPr>
                <w:lang w:val="en-US" w:eastAsia="en-AU"/>
              </w:rPr>
              <w:t>.</w:t>
            </w:r>
          </w:p>
          <w:p w14:paraId="0C6F7E69" w14:textId="77777777" w:rsidR="00641038" w:rsidRPr="00CF1BEF" w:rsidRDefault="00641038" w:rsidP="00641038">
            <w:pPr>
              <w:pStyle w:val="Tabletext"/>
              <w:rPr>
                <w:lang w:val="en-US" w:eastAsia="en-AU"/>
              </w:rPr>
            </w:pPr>
          </w:p>
          <w:p w14:paraId="2C5141E9" w14:textId="77777777" w:rsidR="00641038" w:rsidRPr="00CF1BEF" w:rsidRDefault="00641038" w:rsidP="00641038">
            <w:pPr>
              <w:pStyle w:val="Tabletext"/>
              <w:rPr>
                <w:lang w:val="en-US" w:eastAsia="en-AU"/>
              </w:rPr>
            </w:pPr>
            <w:r w:rsidRPr="00B27E61">
              <w:rPr>
                <w:lang w:val="en-US" w:eastAsia="en-AU"/>
              </w:rPr>
              <w:t>Provides a suite of evidence-based strategies, noting a multi-strategic approach is recommended.</w:t>
            </w:r>
          </w:p>
          <w:p w14:paraId="445A5139" w14:textId="77777777" w:rsidR="00641038" w:rsidRPr="00CF1BEF" w:rsidRDefault="00641038" w:rsidP="00641038">
            <w:pPr>
              <w:pStyle w:val="Tabletext"/>
              <w:rPr>
                <w:lang w:val="en-US" w:eastAsia="en-AU"/>
              </w:rPr>
            </w:pPr>
            <w:r w:rsidRPr="00B27E61">
              <w:rPr>
                <w:lang w:val="en-US" w:eastAsia="en-AU"/>
              </w:rPr>
              <w:t>Breadth of work dependent on individual agency resourcing/capacity.</w:t>
            </w:r>
          </w:p>
        </w:tc>
        <w:tc>
          <w:tcPr>
            <w:tcW w:w="3589" w:type="dxa"/>
            <w:tcBorders>
              <w:top w:val="single" w:sz="6" w:space="0" w:color="auto"/>
              <w:left w:val="single" w:sz="6" w:space="0" w:color="auto"/>
              <w:bottom w:val="single" w:sz="6" w:space="0" w:color="auto"/>
              <w:right w:val="single" w:sz="6" w:space="0" w:color="auto"/>
            </w:tcBorders>
            <w:shd w:val="clear" w:color="auto" w:fill="auto"/>
            <w:hideMark/>
          </w:tcPr>
          <w:p w14:paraId="57EADFC8" w14:textId="77777777" w:rsidR="00641038" w:rsidRPr="00CF1BEF" w:rsidRDefault="00641038" w:rsidP="00641038">
            <w:pPr>
              <w:pStyle w:val="Tabletext"/>
              <w:rPr>
                <w:lang w:val="en-US" w:eastAsia="en-AU"/>
              </w:rPr>
            </w:pPr>
            <w:r>
              <w:rPr>
                <w:lang w:val="en-US" w:eastAsia="en-AU"/>
              </w:rPr>
              <w:t>The program</w:t>
            </w:r>
            <w:r w:rsidRPr="00B27E61">
              <w:rPr>
                <w:lang w:val="en-US" w:eastAsia="en-AU"/>
              </w:rPr>
              <w:t xml:space="preserve"> can contribute to these support functions.</w:t>
            </w:r>
          </w:p>
          <w:p w14:paraId="6897E0F5" w14:textId="77777777" w:rsidR="00641038" w:rsidRPr="00CF1BEF" w:rsidRDefault="00641038" w:rsidP="00641038">
            <w:pPr>
              <w:pStyle w:val="Tabletext"/>
              <w:rPr>
                <w:lang w:val="en-US" w:eastAsia="en-AU"/>
              </w:rPr>
            </w:pPr>
          </w:p>
          <w:p w14:paraId="259E0706" w14:textId="77777777" w:rsidR="00641038" w:rsidRPr="00CF1BEF" w:rsidRDefault="00641038" w:rsidP="00641038">
            <w:pPr>
              <w:pStyle w:val="Tabletext"/>
              <w:rPr>
                <w:lang w:val="en-US" w:eastAsia="en-AU"/>
              </w:rPr>
            </w:pPr>
            <w:r w:rsidRPr="00B27E61">
              <w:rPr>
                <w:lang w:val="en-US" w:eastAsia="en-AU"/>
              </w:rPr>
              <w:t>Will depend on local context and role of other prevention partners.</w:t>
            </w:r>
          </w:p>
        </w:tc>
      </w:tr>
    </w:tbl>
    <w:p w14:paraId="03B484DB" w14:textId="2882ACF1" w:rsidR="00EE7813" w:rsidRPr="002E5407" w:rsidRDefault="00EE7813" w:rsidP="002E5407">
      <w:pPr>
        <w:spacing w:after="0" w:line="240" w:lineRule="auto"/>
        <w:rPr>
          <w:rFonts w:cs="Arial"/>
          <w:sz w:val="20"/>
          <w:lang w:eastAsia="en-AU"/>
        </w:rPr>
      </w:pPr>
    </w:p>
    <w:p w14:paraId="3303A87D" w14:textId="40A1B386" w:rsidR="00152329" w:rsidRPr="009E7A69" w:rsidRDefault="00942F95" w:rsidP="00B94C5E">
      <w:pPr>
        <w:pStyle w:val="Heading3"/>
        <w:rPr>
          <w:b/>
        </w:rPr>
      </w:pPr>
      <w:r>
        <w:t>Healthy eating</w:t>
      </w:r>
    </w:p>
    <w:p w14:paraId="177732DB" w14:textId="2CA740BC" w:rsidR="00702ABD" w:rsidRPr="00702ABD" w:rsidRDefault="00B002B9" w:rsidP="00B002B9">
      <w:pPr>
        <w:pStyle w:val="Heading4"/>
      </w:pPr>
      <w:r>
        <w:t>Lead functions</w:t>
      </w:r>
    </w:p>
    <w:p w14:paraId="60A04ED7" w14:textId="437CD833" w:rsidR="00702ABD" w:rsidRPr="007D46FA" w:rsidRDefault="00702ABD" w:rsidP="007D46FA">
      <w:pPr>
        <w:pStyle w:val="Heading5"/>
        <w:rPr>
          <w:lang w:eastAsia="en-AU"/>
        </w:rPr>
      </w:pPr>
      <w:r w:rsidRPr="00C90690">
        <w:rPr>
          <w:lang w:eastAsia="en-AU"/>
        </w:rPr>
        <w:t xml:space="preserve">Policy </w:t>
      </w:r>
    </w:p>
    <w:p w14:paraId="1D428284" w14:textId="77777777" w:rsidR="00702ABD" w:rsidRPr="000B28E7" w:rsidRDefault="00702ABD" w:rsidP="007D46FA">
      <w:pPr>
        <w:pStyle w:val="Bullet1"/>
        <w:rPr>
          <w:i/>
          <w:lang w:eastAsia="en-AU"/>
        </w:rPr>
      </w:pPr>
      <w:r w:rsidRPr="04D6C067">
        <w:rPr>
          <w:lang w:eastAsia="en-AU"/>
        </w:rPr>
        <w:t>Prioritise</w:t>
      </w:r>
      <w:r w:rsidRPr="251E3353">
        <w:rPr>
          <w:lang w:eastAsia="en-AU"/>
        </w:rPr>
        <w:t xml:space="preserve"> implementation of policies </w:t>
      </w:r>
      <w:r w:rsidRPr="04D6C067">
        <w:rPr>
          <w:lang w:eastAsia="en-AU"/>
        </w:rPr>
        <w:t xml:space="preserve">that promote uptake of healthier and more sustainable foods and drinks </w:t>
      </w:r>
      <w:r w:rsidRPr="251E3353">
        <w:rPr>
          <w:lang w:eastAsia="en-AU"/>
        </w:rPr>
        <w:t xml:space="preserve">in key </w:t>
      </w:r>
      <w:r w:rsidRPr="04D6C067">
        <w:rPr>
          <w:lang w:eastAsia="en-AU"/>
        </w:rPr>
        <w:t xml:space="preserve">public </w:t>
      </w:r>
      <w:r w:rsidRPr="251E3353">
        <w:rPr>
          <w:lang w:eastAsia="en-AU"/>
        </w:rPr>
        <w:t>settings where people</w:t>
      </w:r>
      <w:r w:rsidRPr="04D6C067">
        <w:rPr>
          <w:lang w:eastAsia="en-AU"/>
        </w:rPr>
        <w:t>, in particular children,</w:t>
      </w:r>
      <w:r w:rsidRPr="251E3353">
        <w:rPr>
          <w:lang w:eastAsia="en-AU"/>
        </w:rPr>
        <w:t xml:space="preserve"> spend their time (e.</w:t>
      </w:r>
      <w:r w:rsidRPr="04D6C067">
        <w:rPr>
          <w:lang w:eastAsia="en-AU"/>
        </w:rPr>
        <w:t>g.</w:t>
      </w:r>
      <w:r w:rsidRPr="251E3353">
        <w:rPr>
          <w:lang w:eastAsia="en-AU"/>
        </w:rPr>
        <w:t xml:space="preserve"> </w:t>
      </w:r>
      <w:r w:rsidRPr="251E3353">
        <w:rPr>
          <w:i/>
          <w:iCs/>
          <w:lang w:eastAsia="en-AU"/>
        </w:rPr>
        <w:t>Healthy choices policy guidelines</w:t>
      </w:r>
      <w:r w:rsidRPr="04D6C067">
        <w:rPr>
          <w:i/>
          <w:lang w:eastAsia="en-AU"/>
        </w:rPr>
        <w:t xml:space="preserve">, </w:t>
      </w:r>
      <w:r w:rsidRPr="251E3353">
        <w:rPr>
          <w:lang w:eastAsia="en-AU"/>
        </w:rPr>
        <w:t>Victorian</w:t>
      </w:r>
      <w:r w:rsidRPr="251E3353">
        <w:rPr>
          <w:i/>
          <w:iCs/>
          <w:lang w:eastAsia="en-AU"/>
        </w:rPr>
        <w:t xml:space="preserve"> Menu planning guidelines for long day care</w:t>
      </w:r>
      <w:r w:rsidRPr="04D6C067">
        <w:rPr>
          <w:i/>
          <w:iCs/>
          <w:lang w:eastAsia="en-AU"/>
        </w:rPr>
        <w:t xml:space="preserve">, </w:t>
      </w:r>
      <w:r w:rsidRPr="251E3353">
        <w:rPr>
          <w:lang w:eastAsia="en-AU"/>
        </w:rPr>
        <w:t>Canteens</w:t>
      </w:r>
      <w:r w:rsidRPr="251E3353">
        <w:rPr>
          <w:i/>
          <w:iCs/>
          <w:lang w:eastAsia="en-AU"/>
        </w:rPr>
        <w:t xml:space="preserve">, healthy eating and other food services policy, healthy and more sustainable food procurement policy </w:t>
      </w:r>
      <w:r w:rsidRPr="04D6C067">
        <w:rPr>
          <w:lang w:eastAsia="en-AU"/>
        </w:rPr>
        <w:t xml:space="preserve">and </w:t>
      </w:r>
      <w:r w:rsidRPr="04D6C067">
        <w:rPr>
          <w:i/>
          <w:iCs/>
          <w:lang w:eastAsia="en-AU"/>
        </w:rPr>
        <w:t>Healthy choices: policy directive for health services</w:t>
      </w:r>
      <w:r>
        <w:rPr>
          <w:i/>
          <w:iCs/>
          <w:lang w:eastAsia="en-AU"/>
        </w:rPr>
        <w:t xml:space="preserve">). </w:t>
      </w:r>
    </w:p>
    <w:p w14:paraId="4A7FA0A4" w14:textId="7A2529CD" w:rsidR="00702ABD" w:rsidRPr="00C90690" w:rsidRDefault="00702ABD" w:rsidP="00C90690">
      <w:pPr>
        <w:pStyle w:val="Heading5"/>
        <w:rPr>
          <w:lang w:eastAsia="en-AU"/>
        </w:rPr>
      </w:pPr>
      <w:r w:rsidRPr="00C90690">
        <w:rPr>
          <w:lang w:eastAsia="en-AU"/>
        </w:rPr>
        <w:t>Environments and community</w:t>
      </w:r>
    </w:p>
    <w:p w14:paraId="76E5D0B0" w14:textId="77777777" w:rsidR="00702ABD" w:rsidRPr="00D43C8D" w:rsidRDefault="00702ABD" w:rsidP="007D46FA">
      <w:pPr>
        <w:pStyle w:val="Bullet1"/>
        <w:rPr>
          <w:lang w:eastAsia="en-AU"/>
        </w:rPr>
      </w:pPr>
      <w:r w:rsidRPr="4F6262F2">
        <w:rPr>
          <w:lang w:val="en-US" w:eastAsia="en-AU"/>
        </w:rPr>
        <w:t>Implement evidence-based programs and initiatives supporting healthier food environments</w:t>
      </w:r>
      <w:r>
        <w:rPr>
          <w:lang w:val="en-US" w:eastAsia="en-AU"/>
        </w:rPr>
        <w:t xml:space="preserve"> in settings</w:t>
      </w:r>
      <w:r w:rsidRPr="4F6262F2">
        <w:rPr>
          <w:lang w:val="en-US" w:eastAsia="en-AU"/>
        </w:rPr>
        <w:t xml:space="preserve"> (e.g</w:t>
      </w:r>
      <w:r>
        <w:rPr>
          <w:lang w:val="en-US" w:eastAsia="en-AU"/>
        </w:rPr>
        <w:t>.</w:t>
      </w:r>
      <w:r w:rsidRPr="4F6262F2">
        <w:rPr>
          <w:lang w:val="en-US" w:eastAsia="en-AU"/>
        </w:rPr>
        <w:t xml:space="preserve"> Vic Kids Eat Well, Achievement Program, Smiles 4 Miles</w:t>
      </w:r>
      <w:r>
        <w:rPr>
          <w:rStyle w:val="FootnoteReference"/>
          <w:rFonts w:cs="Arial"/>
          <w:lang w:eastAsia="en-AU"/>
        </w:rPr>
        <w:footnoteReference w:id="6"/>
      </w:r>
      <w:r>
        <w:rPr>
          <w:lang w:val="en-US" w:eastAsia="en-AU"/>
        </w:rPr>
        <w:t>, Cooks Connect</w:t>
      </w:r>
      <w:r>
        <w:rPr>
          <w:rStyle w:val="FootnoteReference"/>
          <w:rFonts w:cs="Arial"/>
          <w:lang w:val="en-US" w:eastAsia="en-AU"/>
        </w:rPr>
        <w:footnoteReference w:id="7"/>
      </w:r>
      <w:r>
        <w:rPr>
          <w:lang w:val="en-US" w:eastAsia="en-AU"/>
        </w:rPr>
        <w:t>).</w:t>
      </w:r>
    </w:p>
    <w:p w14:paraId="6983E340" w14:textId="77777777" w:rsidR="00702ABD" w:rsidRDefault="00702ABD" w:rsidP="007D46FA">
      <w:pPr>
        <w:pStyle w:val="Bullet1"/>
        <w:rPr>
          <w:lang w:eastAsia="en-AU"/>
        </w:rPr>
      </w:pPr>
      <w:r w:rsidRPr="153A1F7D">
        <w:rPr>
          <w:lang w:eastAsia="en-AU"/>
        </w:rPr>
        <w:t xml:space="preserve">Embed sustainability principles in the implementation of healthy eating initiatives in settings (e.g. Catering for Good and the </w:t>
      </w:r>
      <w:r w:rsidRPr="153A1F7D">
        <w:rPr>
          <w:i/>
          <w:iCs/>
          <w:lang w:eastAsia="en-AU"/>
        </w:rPr>
        <w:t>Implementing Healthy Choices guidelines for environmentally sustainable food and drinks Practice Note</w:t>
      </w:r>
      <w:r w:rsidRPr="153A1F7D">
        <w:rPr>
          <w:lang w:eastAsia="en-AU"/>
        </w:rPr>
        <w:t>).</w:t>
      </w:r>
    </w:p>
    <w:p w14:paraId="03B1FD13" w14:textId="77777777" w:rsidR="00702ABD" w:rsidRDefault="00702ABD" w:rsidP="007D46FA">
      <w:pPr>
        <w:pStyle w:val="Bullet1"/>
        <w:rPr>
          <w:lang w:eastAsia="en-AU"/>
        </w:rPr>
      </w:pPr>
      <w:r w:rsidRPr="47AB8948">
        <w:rPr>
          <w:lang w:val="en-US" w:eastAsia="en-AU"/>
        </w:rPr>
        <w:t xml:space="preserve">Lead community activation and engagement approaches to drive support and uptake for initiatives supporting increased access and promotion of healthier foods within the community (e.g. Vic Kids Eat Well, statewide campaigns). </w:t>
      </w:r>
    </w:p>
    <w:p w14:paraId="5E4667D1" w14:textId="77777777" w:rsidR="00702ABD" w:rsidRDefault="00702ABD" w:rsidP="007D46FA">
      <w:pPr>
        <w:pStyle w:val="Bullet1"/>
        <w:rPr>
          <w:lang w:eastAsia="en-AU"/>
        </w:rPr>
      </w:pPr>
      <w:r w:rsidRPr="28D4EB44">
        <w:rPr>
          <w:lang w:val="en-US" w:eastAsia="en-AU"/>
        </w:rPr>
        <w:t>Coordinate local engagement and support from the Healthy Eating Advisory Service</w:t>
      </w:r>
      <w:r>
        <w:rPr>
          <w:lang w:val="en-US" w:eastAsia="en-AU"/>
        </w:rPr>
        <w:t xml:space="preserve"> (HEAS)</w:t>
      </w:r>
      <w:r w:rsidRPr="28D4EB44">
        <w:rPr>
          <w:lang w:val="en-US" w:eastAsia="en-AU"/>
        </w:rPr>
        <w:t xml:space="preserve"> in training, menu planning and healthy food </w:t>
      </w:r>
      <w:r>
        <w:rPr>
          <w:lang w:val="en-US" w:eastAsia="en-AU"/>
        </w:rPr>
        <w:t xml:space="preserve">and drink </w:t>
      </w:r>
      <w:r w:rsidRPr="28D4EB44">
        <w:rPr>
          <w:lang w:val="en-US" w:eastAsia="en-AU"/>
        </w:rPr>
        <w:t>provision and promotion in key settings (including early childhood services, Outside School Hours Care, schools, sport and recreation facilities and health services). ​</w:t>
      </w:r>
      <w:r w:rsidRPr="28D4EB44">
        <w:rPr>
          <w:lang w:eastAsia="en-AU"/>
        </w:rPr>
        <w:t> </w:t>
      </w:r>
    </w:p>
    <w:p w14:paraId="5EBAAB23" w14:textId="77777777" w:rsidR="00702ABD" w:rsidRDefault="00702ABD" w:rsidP="007D46FA">
      <w:pPr>
        <w:pStyle w:val="Bullet1"/>
        <w:rPr>
          <w:rFonts w:eastAsia="Arial"/>
          <w:szCs w:val="21"/>
          <w:lang w:eastAsia="en-AU"/>
        </w:rPr>
      </w:pPr>
      <w:r w:rsidRPr="7094D5EE">
        <w:rPr>
          <w:lang w:eastAsia="en-AU"/>
        </w:rPr>
        <w:lastRenderedPageBreak/>
        <w:t xml:space="preserve">Work in partnership with communities to adapt and deliver local and tailored interventions to support </w:t>
      </w:r>
      <w:r w:rsidRPr="00E05C42">
        <w:rPr>
          <w:lang w:eastAsia="en-AU"/>
        </w:rPr>
        <w:t xml:space="preserve">increased access to and promotion of healthier </w:t>
      </w:r>
      <w:r w:rsidRPr="54D26CE1">
        <w:rPr>
          <w:szCs w:val="21"/>
          <w:lang w:eastAsia="en-AU"/>
        </w:rPr>
        <w:t xml:space="preserve">foods and drinks and system </w:t>
      </w:r>
      <w:r w:rsidRPr="6A0215E3">
        <w:rPr>
          <w:rFonts w:eastAsia="MS Gothic"/>
          <w:szCs w:val="21"/>
          <w:lang w:val="en-US" w:eastAsia="en-AU"/>
        </w:rPr>
        <w:t>change efforts to support food security</w:t>
      </w:r>
      <w:r w:rsidRPr="54D26CE1">
        <w:rPr>
          <w:szCs w:val="21"/>
          <w:lang w:eastAsia="en-AU"/>
        </w:rPr>
        <w:t>, including with priority population</w:t>
      </w:r>
      <w:r>
        <w:rPr>
          <w:szCs w:val="21"/>
          <w:lang w:eastAsia="en-AU"/>
        </w:rPr>
        <w:t xml:space="preserve"> groups.</w:t>
      </w:r>
    </w:p>
    <w:p w14:paraId="3A445454" w14:textId="77777777" w:rsidR="00702ABD" w:rsidRPr="001A1624" w:rsidRDefault="00702ABD" w:rsidP="007D46FA">
      <w:pPr>
        <w:pStyle w:val="Bullet1"/>
        <w:rPr>
          <w:lang w:eastAsia="en-AU"/>
        </w:rPr>
      </w:pPr>
      <w:r w:rsidRPr="54D26CE1">
        <w:rPr>
          <w:szCs w:val="21"/>
          <w:lang w:eastAsia="en-AU"/>
        </w:rPr>
        <w:t xml:space="preserve">Work in partnership to promote evidence-based approaches that promote breastfeeding and support parents and caregivers to provide good nutrition for infants and young children throughout their first 2,000 days of life. </w:t>
      </w:r>
    </w:p>
    <w:p w14:paraId="6A63E298" w14:textId="77777777" w:rsidR="00702ABD" w:rsidRPr="004B1405" w:rsidRDefault="00702ABD" w:rsidP="007D46FA">
      <w:pPr>
        <w:pStyle w:val="Bullet1"/>
        <w:rPr>
          <w:szCs w:val="21"/>
          <w:lang w:eastAsia="en-AU"/>
        </w:rPr>
      </w:pPr>
      <w:r w:rsidRPr="54D26CE1">
        <w:rPr>
          <w:lang w:val="en-US" w:eastAsia="en-AU"/>
        </w:rPr>
        <w:t xml:space="preserve">Amplify and localise statewide social marketing campaigns by championing the campaign </w:t>
      </w:r>
      <w:r w:rsidRPr="004B1405">
        <w:rPr>
          <w:szCs w:val="21"/>
          <w:lang w:eastAsia="en-AU"/>
        </w:rPr>
        <w:t>messages in the local community. </w:t>
      </w:r>
    </w:p>
    <w:p w14:paraId="14F8D762" w14:textId="77777777" w:rsidR="00702ABD" w:rsidRDefault="00702ABD" w:rsidP="007D46FA">
      <w:pPr>
        <w:pStyle w:val="Bullet1"/>
        <w:rPr>
          <w:lang w:eastAsia="en-AU"/>
        </w:rPr>
      </w:pPr>
      <w:r w:rsidRPr="7364CBED">
        <w:rPr>
          <w:lang w:eastAsia="en-AU"/>
        </w:rPr>
        <w:t xml:space="preserve">Work with local and state partners to reduce children’s exposure to marketing of discretionary foods and drinks to reduce consumption. For example, working with local councils to implement policies to reduce discretionary food and drink marketing in council settings, sports and recreation facilities and at events. </w:t>
      </w:r>
    </w:p>
    <w:p w14:paraId="7F6EF505" w14:textId="238AA32E" w:rsidR="00702ABD" w:rsidRDefault="00702ABD" w:rsidP="00C90690">
      <w:pPr>
        <w:pStyle w:val="Heading5"/>
        <w:rPr>
          <w:lang w:eastAsia="en-AU"/>
        </w:rPr>
      </w:pPr>
      <w:r>
        <w:rPr>
          <w:lang w:eastAsia="en-AU"/>
        </w:rPr>
        <w:t>Prevention system actions</w:t>
      </w:r>
    </w:p>
    <w:p w14:paraId="3F3BCD88" w14:textId="77777777" w:rsidR="00702ABD" w:rsidRDefault="00702ABD" w:rsidP="007D46FA">
      <w:pPr>
        <w:pStyle w:val="Bullet1"/>
        <w:rPr>
          <w:lang w:eastAsia="en-AU"/>
        </w:rPr>
      </w:pPr>
      <w:r w:rsidRPr="54D26CE1">
        <w:rPr>
          <w:lang w:eastAsia="en-AU"/>
        </w:rPr>
        <w:t>Promote healthy and more equitable, sustainable food systems across Victoria, including efforts to support food security, with a focus on priority population</w:t>
      </w:r>
      <w:r>
        <w:rPr>
          <w:lang w:eastAsia="en-AU"/>
        </w:rPr>
        <w:t xml:space="preserve"> groups.</w:t>
      </w:r>
    </w:p>
    <w:p w14:paraId="7448ACE6" w14:textId="77777777" w:rsidR="00702ABD" w:rsidRPr="00262FA7" w:rsidRDefault="00702ABD" w:rsidP="007D46FA">
      <w:pPr>
        <w:pStyle w:val="Bullet1"/>
        <w:rPr>
          <w:lang w:eastAsia="en-AU"/>
        </w:rPr>
      </w:pPr>
      <w:r w:rsidRPr="7F424E86">
        <w:rPr>
          <w:lang w:val="en-US" w:eastAsia="en-AU"/>
        </w:rPr>
        <w:t>Engage with local and statewide partners to determine local needs and priorities in healthy eating.</w:t>
      </w:r>
      <w:r w:rsidRPr="7F424E86">
        <w:rPr>
          <w:lang w:eastAsia="en-AU"/>
        </w:rPr>
        <w:t> </w:t>
      </w:r>
    </w:p>
    <w:p w14:paraId="231DF33C" w14:textId="77777777" w:rsidR="00702ABD" w:rsidRDefault="00702ABD" w:rsidP="007D46FA">
      <w:pPr>
        <w:pStyle w:val="Bullet1"/>
        <w:rPr>
          <w:lang w:eastAsia="en-AU"/>
        </w:rPr>
      </w:pPr>
      <w:r w:rsidRPr="28D4EB44">
        <w:rPr>
          <w:lang w:val="en-US" w:eastAsia="en-AU"/>
        </w:rPr>
        <w:t>Build capacity among settings and internal and external stakeholders</w:t>
      </w:r>
      <w:r>
        <w:rPr>
          <w:lang w:val="en-US" w:eastAsia="en-AU"/>
        </w:rPr>
        <w:t xml:space="preserve"> </w:t>
      </w:r>
      <w:r w:rsidRPr="28D4EB44">
        <w:rPr>
          <w:lang w:val="en-US" w:eastAsia="en-AU"/>
        </w:rPr>
        <w:t>e.g. Community of practice (CoP) and networks (e.g. Cooks Networks for long day care) for settings staff and others to create healthier and more sustainable food environments.</w:t>
      </w:r>
      <w:r w:rsidRPr="28D4EB44">
        <w:rPr>
          <w:lang w:eastAsia="en-AU"/>
        </w:rPr>
        <w:t> </w:t>
      </w:r>
    </w:p>
    <w:p w14:paraId="4F090C0E" w14:textId="77777777" w:rsidR="00702ABD" w:rsidRDefault="00702ABD" w:rsidP="007D46FA">
      <w:pPr>
        <w:pStyle w:val="Bullet1"/>
        <w:rPr>
          <w:lang w:eastAsia="en-AU"/>
        </w:rPr>
      </w:pPr>
      <w:r w:rsidRPr="28D4EB44">
        <w:rPr>
          <w:lang w:val="en-US" w:eastAsia="en-AU"/>
        </w:rPr>
        <w:t>Leverage off networks, relationships and cross-sectoral connections to influence the determinants of healthy eating and address co-benefits to health and wellbeing (e.g. climate change and health, active living, mental wellbeing).</w:t>
      </w:r>
      <w:r w:rsidRPr="28D4EB44">
        <w:rPr>
          <w:lang w:eastAsia="en-AU"/>
        </w:rPr>
        <w:t> </w:t>
      </w:r>
    </w:p>
    <w:p w14:paraId="2AAA2E4B" w14:textId="65C52086" w:rsidR="00702ABD" w:rsidRPr="00C90690" w:rsidRDefault="00702ABD" w:rsidP="007D46FA">
      <w:pPr>
        <w:pStyle w:val="Bullet1"/>
        <w:rPr>
          <w:lang w:eastAsia="en-AU"/>
        </w:rPr>
      </w:pPr>
      <w:r w:rsidRPr="5ABB427F">
        <w:rPr>
          <w:lang w:val="en-US" w:eastAsia="en-AU"/>
        </w:rPr>
        <w:t xml:space="preserve">Influence food systems </w:t>
      </w:r>
      <w:r w:rsidRPr="5ABB427F" w:rsidDel="001C4A5C">
        <w:rPr>
          <w:lang w:val="en-US" w:eastAsia="en-AU"/>
        </w:rPr>
        <w:t>to improve health</w:t>
      </w:r>
      <w:r>
        <w:rPr>
          <w:lang w:val="en-US" w:eastAsia="en-AU"/>
        </w:rPr>
        <w:t xml:space="preserve"> and wellbeing,</w:t>
      </w:r>
      <w:r w:rsidRPr="5ABB427F" w:rsidDel="001C4A5C">
        <w:rPr>
          <w:lang w:val="en-US" w:eastAsia="en-AU"/>
        </w:rPr>
        <w:t xml:space="preserve"> </w:t>
      </w:r>
      <w:r w:rsidRPr="5ABB427F">
        <w:rPr>
          <w:lang w:val="en-US" w:eastAsia="en-AU"/>
        </w:rPr>
        <w:t>as an advocate, broker, enabler and connector, including through strategies that minimi</w:t>
      </w:r>
      <w:r>
        <w:rPr>
          <w:lang w:val="en-US" w:eastAsia="en-AU"/>
        </w:rPr>
        <w:t>s</w:t>
      </w:r>
      <w:r w:rsidRPr="5ABB427F">
        <w:rPr>
          <w:lang w:val="en-US" w:eastAsia="en-AU"/>
        </w:rPr>
        <w:t>e environmental impact and increase healthy and sustainable food procurement, distribution and consumption.</w:t>
      </w:r>
      <w:r w:rsidRPr="5ABB427F">
        <w:rPr>
          <w:lang w:eastAsia="en-AU"/>
        </w:rPr>
        <w:t> </w:t>
      </w:r>
    </w:p>
    <w:p w14:paraId="7515B2B2" w14:textId="44982798" w:rsidR="00C90690" w:rsidRPr="00C90690" w:rsidRDefault="00C90690" w:rsidP="00B002B9">
      <w:pPr>
        <w:pStyle w:val="Heading4"/>
      </w:pPr>
      <w:r w:rsidRPr="00C90690">
        <w:t>Support functions</w:t>
      </w:r>
    </w:p>
    <w:p w14:paraId="1A1FB097" w14:textId="3BB1D5F7" w:rsidR="00C90690" w:rsidRDefault="00C90690" w:rsidP="00C90690">
      <w:pPr>
        <w:pStyle w:val="Heading5"/>
        <w:rPr>
          <w:lang w:eastAsia="en-AU"/>
        </w:rPr>
      </w:pPr>
      <w:r>
        <w:rPr>
          <w:lang w:eastAsia="en-AU"/>
        </w:rPr>
        <w:t xml:space="preserve">Environments and community </w:t>
      </w:r>
    </w:p>
    <w:p w14:paraId="40496C57" w14:textId="77777777" w:rsidR="00C90690" w:rsidRDefault="00C90690" w:rsidP="007D46FA">
      <w:pPr>
        <w:pStyle w:val="Bullet1"/>
        <w:rPr>
          <w:lang w:eastAsia="en-AU"/>
        </w:rPr>
      </w:pPr>
      <w:r w:rsidRPr="47AB8948">
        <w:rPr>
          <w:lang w:val="en-US" w:eastAsia="en-AU"/>
        </w:rPr>
        <w:t>Contribute to local action (e.g. LPHU catchment plan implementation, Healthy Loddon Campaspe) on healthy eating and increasing access to healthy and affordable food.</w:t>
      </w:r>
      <w:r w:rsidRPr="47AB8948">
        <w:rPr>
          <w:lang w:eastAsia="en-AU"/>
        </w:rPr>
        <w:t> </w:t>
      </w:r>
    </w:p>
    <w:p w14:paraId="5BCE2EA7" w14:textId="77777777" w:rsidR="00C90690" w:rsidRDefault="00C90690" w:rsidP="007D46FA">
      <w:pPr>
        <w:pStyle w:val="Bullet1"/>
        <w:rPr>
          <w:szCs w:val="21"/>
          <w:lang w:eastAsia="en-AU"/>
        </w:rPr>
      </w:pPr>
      <w:r w:rsidRPr="00A46D77">
        <w:rPr>
          <w:szCs w:val="21"/>
          <w:lang w:val="en-US" w:eastAsia="en-AU"/>
        </w:rPr>
        <w:t>Support food security initiatives to increase access to nutritious</w:t>
      </w:r>
      <w:r>
        <w:rPr>
          <w:szCs w:val="21"/>
          <w:lang w:val="en-US" w:eastAsia="en-AU"/>
        </w:rPr>
        <w:t>, culturally appropriate, dignified</w:t>
      </w:r>
      <w:r w:rsidRPr="00A46D77">
        <w:rPr>
          <w:szCs w:val="21"/>
          <w:lang w:val="en-US" w:eastAsia="en-AU"/>
        </w:rPr>
        <w:t xml:space="preserve"> and affordable food for priority </w:t>
      </w:r>
      <w:r>
        <w:rPr>
          <w:szCs w:val="21"/>
          <w:lang w:val="en-US" w:eastAsia="en-AU"/>
        </w:rPr>
        <w:t>population groups</w:t>
      </w:r>
      <w:r w:rsidRPr="00A46D77">
        <w:rPr>
          <w:szCs w:val="21"/>
          <w:lang w:val="en-US" w:eastAsia="en-AU"/>
        </w:rPr>
        <w:t xml:space="preserve"> and embed opportunities that foster autonomy. </w:t>
      </w:r>
      <w:r w:rsidRPr="00A46D77">
        <w:rPr>
          <w:szCs w:val="21"/>
          <w:lang w:eastAsia="en-AU"/>
        </w:rPr>
        <w:t>For example, food relief initiatives, community food hubs, food skills and food literacy. </w:t>
      </w:r>
    </w:p>
    <w:p w14:paraId="0FE0AFD6" w14:textId="77777777" w:rsidR="00C90690" w:rsidRDefault="00C90690" w:rsidP="007D46FA">
      <w:pPr>
        <w:pStyle w:val="Bullet1"/>
        <w:rPr>
          <w:lang w:eastAsia="en-AU"/>
        </w:rPr>
      </w:pPr>
      <w:r w:rsidRPr="2EF7B57F">
        <w:rPr>
          <w:lang w:eastAsia="en-AU"/>
        </w:rPr>
        <w:t xml:space="preserve">Support efforts to improve local food security and local food system resilience to the impacts of extreme weather events and climate change. </w:t>
      </w:r>
    </w:p>
    <w:p w14:paraId="78D222FB" w14:textId="46CD6CF1" w:rsidR="00C90690" w:rsidRDefault="00C90690" w:rsidP="00C90690">
      <w:pPr>
        <w:pStyle w:val="Heading5"/>
        <w:rPr>
          <w:lang w:eastAsia="en-AU"/>
        </w:rPr>
      </w:pPr>
      <w:r>
        <w:rPr>
          <w:lang w:eastAsia="en-AU"/>
        </w:rPr>
        <w:t>Prevention system actions</w:t>
      </w:r>
    </w:p>
    <w:p w14:paraId="7C74CB2E" w14:textId="77777777" w:rsidR="00C90690" w:rsidRDefault="00C90690" w:rsidP="007D46FA">
      <w:pPr>
        <w:pStyle w:val="Bullet1"/>
        <w:rPr>
          <w:lang w:eastAsia="en-AU"/>
        </w:rPr>
      </w:pPr>
      <w:r w:rsidRPr="00A46D77">
        <w:rPr>
          <w:lang w:val="en-US" w:eastAsia="en-AU"/>
        </w:rPr>
        <w:t xml:space="preserve">Link with other agencies to understand and address gender and intersectional considerations for local healthy eating initiatives and tailor accordingly </w:t>
      </w:r>
      <w:r w:rsidRPr="00A46D77">
        <w:rPr>
          <w:lang w:eastAsia="en-AU"/>
        </w:rPr>
        <w:t>(e.g</w:t>
      </w:r>
      <w:r>
        <w:rPr>
          <w:lang w:eastAsia="en-AU"/>
        </w:rPr>
        <w:t>.</w:t>
      </w:r>
      <w:r w:rsidRPr="00A46D77">
        <w:rPr>
          <w:lang w:eastAsia="en-AU"/>
        </w:rPr>
        <w:t xml:space="preserve"> gender norms and stereotypes, sexual and gender diversity, cultural norms).  </w:t>
      </w:r>
    </w:p>
    <w:p w14:paraId="27A39CF2" w14:textId="77777777" w:rsidR="00C90690" w:rsidRPr="001D3BAE" w:rsidRDefault="00C90690" w:rsidP="007D46FA">
      <w:pPr>
        <w:pStyle w:val="Bullet1"/>
        <w:rPr>
          <w:lang w:eastAsia="en-AU"/>
        </w:rPr>
      </w:pPr>
      <w:r w:rsidRPr="153A1F7D">
        <w:rPr>
          <w:lang w:eastAsia="en-AU"/>
        </w:rPr>
        <w:t xml:space="preserve">Consider the possible impacts of climate change on all programs, and the potential climate change mitigation and emissions reduction benefits of all initiatives conducted through the program functions that could be enhanced, expanded and tailored accordingly. </w:t>
      </w:r>
    </w:p>
    <w:p w14:paraId="4AC8C5DB" w14:textId="77777777" w:rsidR="00C90690" w:rsidRDefault="00C90690" w:rsidP="007D46FA">
      <w:pPr>
        <w:pStyle w:val="Bullet1"/>
        <w:rPr>
          <w:lang w:val="en-US" w:eastAsia="en-AU"/>
        </w:rPr>
      </w:pPr>
      <w:r w:rsidRPr="2EF7B57F">
        <w:rPr>
          <w:lang w:val="en-US" w:eastAsia="en-AU"/>
        </w:rPr>
        <w:t xml:space="preserve">Participate in topic or placed based networks, communities of practice and partnerships to collaborate on shared priorities, join up work, learn from others, as well as contribute to local coordination and leveraging opportunities for engagement, activation and implementation. This could include forums facilitated by </w:t>
      </w:r>
      <w:r>
        <w:rPr>
          <w:lang w:val="en-US" w:eastAsia="en-AU"/>
        </w:rPr>
        <w:t>HEAS</w:t>
      </w:r>
      <w:r w:rsidRPr="2EF7B57F">
        <w:rPr>
          <w:lang w:val="en-US" w:eastAsia="en-AU"/>
        </w:rPr>
        <w:t xml:space="preserve">, Achievement Program and VicHealth. </w:t>
      </w:r>
    </w:p>
    <w:p w14:paraId="6DCB725E" w14:textId="77777777" w:rsidR="00C90690" w:rsidRDefault="00C90690" w:rsidP="007D46FA">
      <w:pPr>
        <w:pStyle w:val="Bullet1"/>
        <w:rPr>
          <w:lang w:eastAsia="en-AU"/>
        </w:rPr>
      </w:pPr>
      <w:r w:rsidRPr="316C6589">
        <w:rPr>
          <w:lang w:eastAsia="en-AU"/>
        </w:rPr>
        <w:lastRenderedPageBreak/>
        <w:t xml:space="preserve">Support/partner with </w:t>
      </w:r>
      <w:r w:rsidRPr="251E3353">
        <w:rPr>
          <w:lang w:eastAsia="en-AU"/>
        </w:rPr>
        <w:t>agencies representing</w:t>
      </w:r>
      <w:r w:rsidRPr="316C6589">
        <w:rPr>
          <w:lang w:eastAsia="en-AU"/>
        </w:rPr>
        <w:t xml:space="preserve"> priority population groups (e.g. Aboriginal Community Controlled Organisations) and c</w:t>
      </w:r>
      <w:r w:rsidRPr="153A1F7D">
        <w:rPr>
          <w:lang w:eastAsia="en-AU"/>
        </w:rPr>
        <w:t>onnect priority population groups to healthy eating initiatives delivered by other agencies</w:t>
      </w:r>
      <w:r w:rsidRPr="153A1F7D">
        <w:rPr>
          <w:rStyle w:val="FootnoteReference"/>
          <w:rFonts w:cs="Arial"/>
          <w:lang w:eastAsia="en-AU"/>
        </w:rPr>
        <w:footnoteReference w:id="8"/>
      </w:r>
      <w:r>
        <w:rPr>
          <w:lang w:eastAsia="en-AU"/>
        </w:rPr>
        <w:t xml:space="preserve">. </w:t>
      </w:r>
    </w:p>
    <w:p w14:paraId="1763F4AC" w14:textId="5E513E2F" w:rsidR="00C90690" w:rsidRPr="00C90690" w:rsidRDefault="00C90690" w:rsidP="007D46FA">
      <w:pPr>
        <w:pStyle w:val="Bullet1"/>
        <w:rPr>
          <w:lang w:eastAsia="en-AU"/>
        </w:rPr>
      </w:pPr>
      <w:r w:rsidRPr="00C90690">
        <w:rPr>
          <w:lang w:eastAsia="en-AU"/>
        </w:rPr>
        <w:t>Leverage other programs and events delivered by other prevention workforces (e.g. Smile Squad) to advance local work in healthy eating</w:t>
      </w:r>
    </w:p>
    <w:p w14:paraId="32D49B34" w14:textId="5A56B380" w:rsidR="00C90690" w:rsidRDefault="00C90690" w:rsidP="00C90690">
      <w:pPr>
        <w:pStyle w:val="Heading5"/>
        <w:rPr>
          <w:lang w:eastAsia="en-AU"/>
        </w:rPr>
      </w:pPr>
      <w:r>
        <w:rPr>
          <w:lang w:eastAsia="en-AU"/>
        </w:rPr>
        <w:t>Individual/family behaviour change</w:t>
      </w:r>
    </w:p>
    <w:p w14:paraId="3B3A357E" w14:textId="007527D3" w:rsidR="00667849" w:rsidRPr="00B002B9" w:rsidRDefault="00C90690" w:rsidP="007D46FA">
      <w:pPr>
        <w:pStyle w:val="Bullet1"/>
        <w:rPr>
          <w:lang w:val="en-US" w:eastAsia="en-AU"/>
        </w:rPr>
      </w:pPr>
      <w:r w:rsidRPr="7364CBED">
        <w:rPr>
          <w:lang w:val="en-US" w:eastAsia="en-AU"/>
        </w:rPr>
        <w:t xml:space="preserve">Activate referral pathways and support promotion, awareness and implementation of evidence-based lifestyle modification programs including Life! program and INFANT (noting program delivery e.g. facilitating group sessions for these initiatives is out of scope for </w:t>
      </w:r>
      <w:r w:rsidR="00D24F5C">
        <w:rPr>
          <w:lang w:val="en-US" w:eastAsia="en-AU"/>
        </w:rPr>
        <w:t xml:space="preserve">program funding). </w:t>
      </w:r>
      <w:r w:rsidRPr="7364CBED">
        <w:rPr>
          <w:lang w:val="en-US" w:eastAsia="en-AU"/>
        </w:rPr>
        <w:t xml:space="preserve">program funding). </w:t>
      </w:r>
    </w:p>
    <w:p w14:paraId="03823F72" w14:textId="4C9D4244" w:rsidR="00667849" w:rsidRDefault="00667849" w:rsidP="00667849">
      <w:pPr>
        <w:pStyle w:val="Heading5"/>
        <w:rPr>
          <w:lang w:val="en-US" w:eastAsia="en-AU"/>
        </w:rPr>
      </w:pPr>
      <w:r>
        <w:rPr>
          <w:lang w:val="en-US" w:eastAsia="en-AU"/>
        </w:rPr>
        <w:t xml:space="preserve">Addressing food insecurity </w:t>
      </w:r>
    </w:p>
    <w:p w14:paraId="7006DDB4" w14:textId="77777777" w:rsidR="00434216" w:rsidRPr="00C773DA" w:rsidRDefault="00434216" w:rsidP="00434216">
      <w:pPr>
        <w:pStyle w:val="paragraph"/>
        <w:spacing w:before="0" w:beforeAutospacing="0" w:after="120" w:afterAutospacing="0" w:line="280" w:lineRule="atLeast"/>
        <w:ind w:left="-1"/>
        <w:textAlignment w:val="baseline"/>
        <w:rPr>
          <w:rStyle w:val="normaltextrun"/>
          <w:rFonts w:ascii="Arial" w:eastAsia="MS Gothic" w:hAnsi="Arial" w:cs="Arial"/>
          <w:sz w:val="21"/>
          <w:szCs w:val="21"/>
          <w:lang w:val="en-US"/>
        </w:rPr>
      </w:pPr>
      <w:r w:rsidRPr="00D01028">
        <w:rPr>
          <w:rStyle w:val="normaltextrun"/>
          <w:rFonts w:ascii="Arial" w:eastAsia="MS Gothic" w:hAnsi="Arial" w:cs="Arial"/>
          <w:sz w:val="21"/>
          <w:szCs w:val="21"/>
          <w:lang w:val="en-US"/>
        </w:rPr>
        <w:t>Community health services are well positioned to respond to communities in need, including those at risk of food insecurity. While the determinants are co</w:t>
      </w:r>
      <w:r w:rsidRPr="00C773DA">
        <w:rPr>
          <w:rStyle w:val="normaltextrun"/>
          <w:rFonts w:ascii="Arial" w:eastAsia="MS Gothic" w:hAnsi="Arial" w:cs="Arial"/>
          <w:sz w:val="21"/>
          <w:szCs w:val="21"/>
          <w:lang w:val="en-US"/>
        </w:rPr>
        <w:t xml:space="preserve">mplex, health promotion responses can focus on systems change efforts to support </w:t>
      </w:r>
      <w:r>
        <w:rPr>
          <w:rStyle w:val="normaltextrun"/>
          <w:rFonts w:ascii="Arial" w:eastAsia="MS Gothic" w:hAnsi="Arial" w:cs="Arial"/>
          <w:sz w:val="21"/>
          <w:szCs w:val="21"/>
          <w:lang w:val="en-US"/>
        </w:rPr>
        <w:t>these communities</w:t>
      </w:r>
      <w:r w:rsidRPr="00C773DA">
        <w:rPr>
          <w:rStyle w:val="normaltextrun"/>
          <w:rFonts w:ascii="Arial" w:eastAsia="MS Gothic" w:hAnsi="Arial" w:cs="Arial"/>
          <w:sz w:val="21"/>
          <w:szCs w:val="21"/>
          <w:lang w:val="en-US"/>
        </w:rPr>
        <w:t xml:space="preserve"> along the food insecurity continuum. </w:t>
      </w:r>
    </w:p>
    <w:p w14:paraId="2607637A" w14:textId="77777777" w:rsidR="00BD75C3" w:rsidRPr="00F958F5" w:rsidRDefault="00BD75C3" w:rsidP="00BD75C3">
      <w:pPr>
        <w:pStyle w:val="paragraph"/>
        <w:spacing w:before="0" w:beforeAutospacing="0" w:after="120" w:afterAutospacing="0" w:line="280" w:lineRule="atLeast"/>
        <w:ind w:left="-1"/>
        <w:textAlignment w:val="baseline"/>
        <w:rPr>
          <w:rFonts w:ascii="Arial" w:eastAsia="MS Mincho" w:hAnsi="Arial" w:cs="Arial"/>
          <w:sz w:val="21"/>
          <w:szCs w:val="21"/>
        </w:rPr>
      </w:pPr>
      <w:r w:rsidRPr="00C773DA">
        <w:rPr>
          <w:rStyle w:val="normaltextrun"/>
          <w:rFonts w:ascii="Arial" w:eastAsia="MS Gothic" w:hAnsi="Arial" w:cs="Arial"/>
          <w:sz w:val="21"/>
          <w:szCs w:val="21"/>
          <w:lang w:val="en-US"/>
        </w:rPr>
        <w:t xml:space="preserve">The healthy eating framework (on pages </w:t>
      </w:r>
      <w:r>
        <w:rPr>
          <w:rStyle w:val="normaltextrun"/>
          <w:rFonts w:ascii="Arial" w:eastAsia="MS Gothic" w:hAnsi="Arial" w:cs="Arial"/>
          <w:sz w:val="21"/>
          <w:szCs w:val="21"/>
          <w:lang w:val="en-US"/>
        </w:rPr>
        <w:t>12-13</w:t>
      </w:r>
      <w:r w:rsidRPr="00C773DA">
        <w:rPr>
          <w:rStyle w:val="normaltextrun"/>
          <w:rFonts w:ascii="Arial" w:eastAsia="MS Gothic" w:hAnsi="Arial" w:cs="Arial"/>
          <w:sz w:val="21"/>
          <w:szCs w:val="21"/>
          <w:lang w:val="en-US"/>
        </w:rPr>
        <w:t>) outlines the lead delivery and support functions and articulates the support role that</w:t>
      </w:r>
      <w:r>
        <w:rPr>
          <w:rStyle w:val="normaltextrun"/>
          <w:rFonts w:ascii="Arial" w:eastAsia="MS Gothic" w:hAnsi="Arial" w:cs="Arial"/>
          <w:sz w:val="21"/>
          <w:szCs w:val="21"/>
          <w:lang w:val="en-US"/>
        </w:rPr>
        <w:t xml:space="preserve"> </w:t>
      </w:r>
      <w:r>
        <w:rPr>
          <w:rStyle w:val="normaltextrun"/>
          <w:rFonts w:ascii="Arial" w:eastAsia="MS Gothic" w:hAnsi="Arial"/>
          <w:sz w:val="21"/>
          <w:lang w:val="en-US"/>
        </w:rPr>
        <w:t>the program</w:t>
      </w:r>
      <w:r w:rsidRPr="00C773DA">
        <w:rPr>
          <w:rStyle w:val="normaltextrun"/>
          <w:rFonts w:ascii="Arial" w:eastAsia="MS Gothic" w:hAnsi="Arial" w:cs="Arial"/>
          <w:sz w:val="21"/>
          <w:szCs w:val="21"/>
          <w:lang w:val="en-US"/>
        </w:rPr>
        <w:t xml:space="preserve"> </w:t>
      </w:r>
      <w:r w:rsidRPr="00D01028">
        <w:rPr>
          <w:rStyle w:val="normaltextrun"/>
          <w:rFonts w:ascii="Arial" w:eastAsia="MS Gothic" w:hAnsi="Arial" w:cs="Arial"/>
          <w:sz w:val="21"/>
          <w:szCs w:val="21"/>
          <w:lang w:val="en-US"/>
        </w:rPr>
        <w:t>can play, including:</w:t>
      </w:r>
    </w:p>
    <w:p w14:paraId="048015A4" w14:textId="77777777" w:rsidR="00BD75C3" w:rsidRDefault="00BD75C3" w:rsidP="007D46FA">
      <w:pPr>
        <w:pStyle w:val="Bullet1"/>
        <w:rPr>
          <w:rStyle w:val="normaltextrun"/>
          <w:rFonts w:eastAsia="MS Gothic" w:cs="Arial"/>
          <w:szCs w:val="21"/>
          <w:lang w:val="en-US"/>
        </w:rPr>
      </w:pPr>
      <w:r>
        <w:rPr>
          <w:rStyle w:val="normaltextrun"/>
          <w:rFonts w:eastAsia="MS Gothic" w:cs="Arial"/>
          <w:szCs w:val="21"/>
          <w:lang w:val="en-US"/>
        </w:rPr>
        <w:t>S</w:t>
      </w:r>
      <w:r w:rsidRPr="00D01028">
        <w:rPr>
          <w:rStyle w:val="normaltextrun"/>
          <w:rFonts w:eastAsia="MS Gothic" w:cs="Arial"/>
          <w:szCs w:val="21"/>
          <w:lang w:val="en-US"/>
        </w:rPr>
        <w:t>upporting food relief efforts to provide Victorians</w:t>
      </w:r>
      <w:r>
        <w:rPr>
          <w:rStyle w:val="normaltextrun"/>
          <w:rFonts w:eastAsia="MS Gothic" w:cs="Arial"/>
          <w:szCs w:val="21"/>
          <w:lang w:val="en-US"/>
        </w:rPr>
        <w:t xml:space="preserve"> experiencing health inequalities</w:t>
      </w:r>
      <w:r w:rsidRPr="00D01028">
        <w:rPr>
          <w:rStyle w:val="normaltextrun"/>
          <w:rFonts w:eastAsia="MS Gothic" w:cs="Arial"/>
          <w:szCs w:val="21"/>
          <w:lang w:val="en-US"/>
        </w:rPr>
        <w:t xml:space="preserve"> with nutritious</w:t>
      </w:r>
      <w:r>
        <w:rPr>
          <w:rStyle w:val="normaltextrun"/>
          <w:rFonts w:eastAsia="MS Gothic" w:cs="Arial"/>
          <w:szCs w:val="21"/>
          <w:lang w:val="en-US"/>
        </w:rPr>
        <w:t xml:space="preserve"> and culturally appropriate</w:t>
      </w:r>
      <w:r w:rsidRPr="00D01028">
        <w:rPr>
          <w:rStyle w:val="normaltextrun"/>
          <w:rFonts w:eastAsia="MS Gothic" w:cs="Arial"/>
          <w:szCs w:val="21"/>
          <w:lang w:val="en-US"/>
        </w:rPr>
        <w:t xml:space="preserve"> foods that support health and wellbeing and embed opportunities that foster autonomy and enable</w:t>
      </w:r>
      <w:r>
        <w:rPr>
          <w:rStyle w:val="normaltextrun"/>
          <w:rFonts w:eastAsia="MS Gothic" w:cs="Arial"/>
          <w:szCs w:val="21"/>
          <w:lang w:val="en-US"/>
        </w:rPr>
        <w:t xml:space="preserve"> dignity and</w:t>
      </w:r>
      <w:r w:rsidRPr="00D01028">
        <w:rPr>
          <w:rStyle w:val="normaltextrun"/>
          <w:rFonts w:eastAsia="MS Gothic" w:cs="Arial"/>
          <w:szCs w:val="21"/>
          <w:lang w:val="en-US"/>
        </w:rPr>
        <w:t xml:space="preserve"> choice. Examples include supporting the adoption of </w:t>
      </w:r>
      <w:r>
        <w:rPr>
          <w:rStyle w:val="normaltextrun"/>
          <w:rFonts w:eastAsia="MS Gothic" w:cs="Arial"/>
          <w:szCs w:val="21"/>
          <w:lang w:val="en-US"/>
        </w:rPr>
        <w:t xml:space="preserve">the </w:t>
      </w:r>
      <w:r w:rsidRPr="004B5F53">
        <w:rPr>
          <w:rStyle w:val="normaltextrun"/>
          <w:rFonts w:eastAsia="MS Gothic" w:cs="Arial"/>
          <w:i/>
          <w:szCs w:val="21"/>
          <w:lang w:val="en-US"/>
        </w:rPr>
        <w:t>Victorian Healthy Food Relief Guidelines</w:t>
      </w:r>
      <w:r>
        <w:rPr>
          <w:rStyle w:val="normaltextrun"/>
          <w:rFonts w:eastAsia="MS Gothic" w:cs="Arial"/>
          <w:szCs w:val="21"/>
          <w:lang w:val="en-US"/>
        </w:rPr>
        <w:t xml:space="preserve"> </w:t>
      </w:r>
      <w:r w:rsidRPr="00D01028">
        <w:rPr>
          <w:rStyle w:val="normaltextrun"/>
          <w:rFonts w:eastAsia="MS Gothic" w:cs="Arial"/>
          <w:szCs w:val="21"/>
          <w:lang w:val="en-US"/>
        </w:rPr>
        <w:t xml:space="preserve">to </w:t>
      </w:r>
      <w:r w:rsidRPr="00804A9A">
        <w:rPr>
          <w:rStyle w:val="normaltextrun"/>
          <w:rFonts w:eastAsia="MS Gothic" w:cs="Arial"/>
          <w:szCs w:val="21"/>
          <w:lang w:val="en-US"/>
        </w:rPr>
        <w:t>help food relief providers to offer a variety of nutritious foods to support the health and wellbeing of those needing food relief</w:t>
      </w:r>
      <w:r w:rsidRPr="54D26CE1">
        <w:rPr>
          <w:rStyle w:val="normaltextrun"/>
          <w:rFonts w:eastAsia="MS Gothic" w:cs="Arial"/>
          <w:szCs w:val="21"/>
          <w:lang w:val="en-US"/>
        </w:rPr>
        <w:t xml:space="preserve"> and the School Breakfast Clubs program available to all Victorian Government schools. </w:t>
      </w:r>
    </w:p>
    <w:p w14:paraId="0DA09A03" w14:textId="77777777" w:rsidR="00D46E67" w:rsidRPr="0097005B" w:rsidRDefault="00D46E67" w:rsidP="007D46FA">
      <w:pPr>
        <w:pStyle w:val="Bullet1"/>
        <w:rPr>
          <w:rStyle w:val="normaltextrun"/>
          <w:rFonts w:eastAsia="Times New Roman" w:cs="Arial"/>
          <w:szCs w:val="21"/>
        </w:rPr>
      </w:pPr>
      <w:r>
        <w:rPr>
          <w:rStyle w:val="normaltextrun"/>
          <w:rFonts w:eastAsia="MS Gothic" w:cs="Arial"/>
          <w:szCs w:val="21"/>
          <w:lang w:val="en-US"/>
        </w:rPr>
        <w:t>S</w:t>
      </w:r>
      <w:r w:rsidRPr="00CE47B2">
        <w:rPr>
          <w:rStyle w:val="normaltextrun"/>
          <w:rFonts w:eastAsia="MS Gothic" w:cs="Arial"/>
          <w:szCs w:val="21"/>
          <w:lang w:val="en-US"/>
        </w:rPr>
        <w:t xml:space="preserve">trengthening programmatic responses </w:t>
      </w:r>
      <w:r w:rsidRPr="28D4EB44">
        <w:rPr>
          <w:rStyle w:val="normaltextrun"/>
          <w:rFonts w:eastAsia="MS Gothic" w:cs="Arial"/>
          <w:szCs w:val="21"/>
          <w:lang w:val="en-US"/>
        </w:rPr>
        <w:t xml:space="preserve">underpinned by a </w:t>
      </w:r>
      <w:r w:rsidRPr="00804A9A">
        <w:rPr>
          <w:rStyle w:val="normaltextrun"/>
          <w:rFonts w:eastAsia="MS Gothic" w:cs="Arial"/>
          <w:szCs w:val="21"/>
          <w:lang w:val="en-US"/>
        </w:rPr>
        <w:t xml:space="preserve">human </w:t>
      </w:r>
      <w:r w:rsidRPr="28D4EB44">
        <w:rPr>
          <w:rStyle w:val="normaltextrun"/>
          <w:rFonts w:eastAsia="MS Gothic" w:cs="Arial"/>
          <w:szCs w:val="21"/>
          <w:lang w:val="en-US"/>
        </w:rPr>
        <w:t>right</w:t>
      </w:r>
      <w:r w:rsidRPr="00804A9A">
        <w:rPr>
          <w:rStyle w:val="normaltextrun"/>
          <w:rFonts w:eastAsia="MS Gothic" w:cs="Arial"/>
          <w:szCs w:val="21"/>
          <w:lang w:val="en-US"/>
        </w:rPr>
        <w:t>–based approach</w:t>
      </w:r>
      <w:r w:rsidRPr="00CE47B2">
        <w:rPr>
          <w:rStyle w:val="normaltextrun"/>
          <w:rFonts w:eastAsia="MS Gothic" w:cs="Arial"/>
          <w:szCs w:val="21"/>
          <w:lang w:val="en-US"/>
        </w:rPr>
        <w:t xml:space="preserve"> that go</w:t>
      </w:r>
      <w:r>
        <w:rPr>
          <w:rStyle w:val="normaltextrun"/>
          <w:rFonts w:eastAsia="MS Gothic" w:cs="Arial"/>
          <w:szCs w:val="21"/>
          <w:lang w:val="en-US"/>
        </w:rPr>
        <w:t>es</w:t>
      </w:r>
      <w:r w:rsidRPr="00CE47B2">
        <w:rPr>
          <w:rStyle w:val="normaltextrun"/>
          <w:rFonts w:eastAsia="MS Gothic" w:cs="Arial"/>
          <w:szCs w:val="21"/>
          <w:lang w:val="en-US"/>
        </w:rPr>
        <w:t xml:space="preserve"> beyond food provision and aim</w:t>
      </w:r>
      <w:r>
        <w:rPr>
          <w:rStyle w:val="normaltextrun"/>
          <w:rFonts w:eastAsia="MS Gothic" w:cs="Arial"/>
          <w:szCs w:val="21"/>
          <w:lang w:val="en-US"/>
        </w:rPr>
        <w:t>s</w:t>
      </w:r>
      <w:r w:rsidRPr="00CE47B2">
        <w:rPr>
          <w:rStyle w:val="normaltextrun"/>
          <w:rFonts w:eastAsia="MS Gothic" w:cs="Arial"/>
          <w:szCs w:val="21"/>
          <w:lang w:val="en-US"/>
        </w:rPr>
        <w:t xml:space="preserve"> to reduce reliance on future food relief. This includes supporting initiatives that increase access to low-cost nutritious </w:t>
      </w:r>
      <w:r>
        <w:rPr>
          <w:rStyle w:val="normaltextrun"/>
          <w:rFonts w:eastAsia="MS Gothic" w:cs="Arial"/>
          <w:szCs w:val="21"/>
          <w:lang w:val="en-US"/>
        </w:rPr>
        <w:t xml:space="preserve">and culturally appropriate </w:t>
      </w:r>
      <w:r w:rsidRPr="00CE47B2">
        <w:rPr>
          <w:rStyle w:val="normaltextrun"/>
          <w:rFonts w:eastAsia="MS Gothic" w:cs="Arial"/>
          <w:szCs w:val="21"/>
          <w:lang w:val="en-US"/>
        </w:rPr>
        <w:t xml:space="preserve">foods and/or skills </w:t>
      </w:r>
      <w:r w:rsidRPr="00CE47B2">
        <w:rPr>
          <w:rStyle w:val="normaltextrun"/>
          <w:rFonts w:eastAsia="MS Gothic" w:cs="Arial"/>
          <w:szCs w:val="21"/>
        </w:rPr>
        <w:t>to utilise food (</w:t>
      </w:r>
      <w:r>
        <w:rPr>
          <w:rStyle w:val="normaltextrun"/>
          <w:rFonts w:eastAsia="MS Gothic" w:cs="Arial"/>
          <w:szCs w:val="21"/>
        </w:rPr>
        <w:t xml:space="preserve">e.g. </w:t>
      </w:r>
      <w:r w:rsidRPr="00CE47B2">
        <w:rPr>
          <w:rStyle w:val="normaltextrun"/>
          <w:rFonts w:eastAsia="MS Gothic" w:cs="Arial"/>
          <w:szCs w:val="21"/>
        </w:rPr>
        <w:t>sourcing and preparing low cost, seasonal</w:t>
      </w:r>
      <w:r>
        <w:rPr>
          <w:rStyle w:val="normaltextrun"/>
          <w:rFonts w:eastAsia="MS Gothic" w:cs="Arial"/>
          <w:szCs w:val="21"/>
        </w:rPr>
        <w:t xml:space="preserve"> foods</w:t>
      </w:r>
      <w:r w:rsidRPr="00CE47B2">
        <w:rPr>
          <w:rStyle w:val="normaltextrun"/>
          <w:rFonts w:eastAsia="MS Gothic" w:cs="Arial"/>
          <w:szCs w:val="21"/>
        </w:rPr>
        <w:t>).</w:t>
      </w:r>
      <w:r w:rsidRPr="00CE47B2">
        <w:rPr>
          <w:rStyle w:val="normaltextrun"/>
          <w:rFonts w:eastAsia="MS Gothic" w:cs="Arial"/>
          <w:szCs w:val="21"/>
          <w:lang w:val="en-US"/>
        </w:rPr>
        <w:t xml:space="preserve"> Examples include social enterprise models that are recipient centered, strive to empower recipients and provide opportunities for active involvement, social connections and broader support (Booth et al. 2018).</w:t>
      </w:r>
    </w:p>
    <w:p w14:paraId="26C9650E" w14:textId="64E0ADE5" w:rsidR="0097005B" w:rsidRPr="007A325D" w:rsidRDefault="0097005B" w:rsidP="007D46FA">
      <w:pPr>
        <w:pStyle w:val="Bullet1"/>
      </w:pPr>
      <w:r>
        <w:rPr>
          <w:rStyle w:val="normaltextrun"/>
          <w:rFonts w:eastAsia="MS Gothic" w:cs="Arial"/>
          <w:szCs w:val="21"/>
          <w:lang w:val="en-US"/>
        </w:rPr>
        <w:t xml:space="preserve">Collaborative place-based approaches to increase access to healthy and affordable food. </w:t>
      </w:r>
    </w:p>
    <w:p w14:paraId="5F8ABF02" w14:textId="0B7DEE42" w:rsidR="00667849" w:rsidRPr="003D1E95" w:rsidRDefault="003D1E95" w:rsidP="007D46FA">
      <w:pPr>
        <w:pStyle w:val="Bullet1"/>
        <w:rPr>
          <w:lang w:val="en-US" w:eastAsia="en-AU"/>
        </w:rPr>
      </w:pPr>
      <w:r>
        <w:rPr>
          <w:rStyle w:val="normaltextrun"/>
          <w:rFonts w:eastAsia="MS Gothic" w:cs="Arial"/>
          <w:szCs w:val="21"/>
          <w:lang w:val="en-US"/>
        </w:rPr>
        <w:t xml:space="preserve">Support </w:t>
      </w:r>
      <w:r w:rsidRPr="007A325D">
        <w:rPr>
          <w:rStyle w:val="normaltextrun"/>
          <w:rFonts w:eastAsia="MS Gothic" w:cs="Arial"/>
          <w:szCs w:val="21"/>
          <w:lang w:val="en-US"/>
        </w:rPr>
        <w:t xml:space="preserve">universal settings to </w:t>
      </w:r>
      <w:r>
        <w:rPr>
          <w:rStyle w:val="normaltextrun"/>
          <w:rFonts w:eastAsia="MS Gothic" w:cs="Arial"/>
          <w:szCs w:val="21"/>
          <w:lang w:val="en-US"/>
        </w:rPr>
        <w:t>implement</w:t>
      </w:r>
      <w:r w:rsidRPr="007A325D">
        <w:rPr>
          <w:rStyle w:val="normaltextrun"/>
          <w:rFonts w:eastAsia="MS Gothic" w:cs="Arial"/>
          <w:szCs w:val="21"/>
          <w:lang w:val="en-US"/>
        </w:rPr>
        <w:t xml:space="preserve"> guidelines for healthy food</w:t>
      </w:r>
      <w:r>
        <w:rPr>
          <w:rStyle w:val="normaltextrun"/>
          <w:rFonts w:eastAsia="MS Gothic" w:cs="Arial"/>
          <w:szCs w:val="21"/>
          <w:lang w:val="en-US"/>
        </w:rPr>
        <w:t xml:space="preserve"> </w:t>
      </w:r>
      <w:r w:rsidRPr="007A325D">
        <w:rPr>
          <w:rStyle w:val="normaltextrun"/>
          <w:rFonts w:eastAsia="MS Gothic" w:cs="Arial"/>
          <w:szCs w:val="21"/>
          <w:lang w:val="en-US"/>
        </w:rPr>
        <w:t>provision such as schools, early childhood services, recreational facilities, Aboriginal Community Controlled Organisations</w:t>
      </w:r>
      <w:r w:rsidRPr="54D26CE1">
        <w:rPr>
          <w:rStyle w:val="normaltextrun"/>
          <w:rFonts w:eastAsia="MS Gothic" w:cs="Arial"/>
          <w:szCs w:val="21"/>
          <w:lang w:val="en-US"/>
        </w:rPr>
        <w:t xml:space="preserve"> (ACCOs),</w:t>
      </w:r>
      <w:r w:rsidRPr="007A325D">
        <w:rPr>
          <w:rStyle w:val="normaltextrun"/>
          <w:rFonts w:eastAsia="MS Gothic" w:cs="Arial"/>
          <w:szCs w:val="21"/>
          <w:lang w:val="en-US"/>
        </w:rPr>
        <w:t xml:space="preserve"> aged care and supported accommodation services can be an effective way to increase equitable access to </w:t>
      </w:r>
      <w:r>
        <w:rPr>
          <w:rStyle w:val="normaltextrun"/>
          <w:rFonts w:eastAsia="MS Gothic" w:cs="Arial"/>
          <w:szCs w:val="21"/>
          <w:lang w:val="en-US"/>
        </w:rPr>
        <w:t xml:space="preserve">nutritious and culturally appropriate </w:t>
      </w:r>
      <w:r w:rsidRPr="007A325D">
        <w:rPr>
          <w:rStyle w:val="normaltextrun"/>
          <w:rFonts w:eastAsia="MS Gothic" w:cs="Arial"/>
          <w:szCs w:val="21"/>
          <w:lang w:val="en-US"/>
        </w:rPr>
        <w:t xml:space="preserve">food in the </w:t>
      </w:r>
      <w:r w:rsidRPr="0083612B">
        <w:rPr>
          <w:rStyle w:val="normaltextrun"/>
          <w:rFonts w:eastAsia="MS Gothic" w:cs="Arial"/>
          <w:szCs w:val="21"/>
          <w:lang w:val="en-US"/>
        </w:rPr>
        <w:t>longer term (Kumanyika AJPH 2019</w:t>
      </w:r>
      <w:r>
        <w:rPr>
          <w:rStyle w:val="normaltextrun"/>
          <w:rFonts w:eastAsia="MS Gothic" w:cs="Arial"/>
          <w:szCs w:val="21"/>
          <w:lang w:val="en-US"/>
        </w:rPr>
        <w:t xml:space="preserve">). </w:t>
      </w:r>
    </w:p>
    <w:p w14:paraId="2EB6C450" w14:textId="2044BFFE" w:rsidR="00942F95" w:rsidRPr="009E7A69" w:rsidRDefault="00942F95" w:rsidP="00942F95">
      <w:pPr>
        <w:pStyle w:val="Heading3"/>
        <w:rPr>
          <w:b/>
        </w:rPr>
      </w:pPr>
      <w:r>
        <w:t>Active living</w:t>
      </w:r>
    </w:p>
    <w:p w14:paraId="44635674" w14:textId="523B6E00" w:rsidR="003D1E95" w:rsidRDefault="003D1E95" w:rsidP="00B002B9">
      <w:pPr>
        <w:pStyle w:val="Heading4"/>
      </w:pPr>
      <w:r>
        <w:t xml:space="preserve">Lead functions </w:t>
      </w:r>
    </w:p>
    <w:p w14:paraId="5DDE2F62" w14:textId="3AD49613" w:rsidR="003D1E95" w:rsidRDefault="003D1E95" w:rsidP="003D1E95">
      <w:pPr>
        <w:pStyle w:val="Heading5"/>
      </w:pPr>
      <w:r>
        <w:t xml:space="preserve">Policy </w:t>
      </w:r>
    </w:p>
    <w:p w14:paraId="41DA83A4" w14:textId="77777777" w:rsidR="00D47ECA" w:rsidRDefault="00D47ECA" w:rsidP="004E1C8D">
      <w:pPr>
        <w:pStyle w:val="Bullet1"/>
        <w:rPr>
          <w:lang w:eastAsia="en-AU"/>
        </w:rPr>
      </w:pPr>
      <w:r w:rsidRPr="7364CBED">
        <w:rPr>
          <w:lang w:eastAsia="en-AU"/>
        </w:rPr>
        <w:t>Support organisations and settings to develop and implement active living policies or frameworks in key settings (e.g. early childhood education and workplaces)</w:t>
      </w:r>
    </w:p>
    <w:p w14:paraId="73A1405C" w14:textId="3163A7E4" w:rsidR="00D47ECA" w:rsidRDefault="00D47ECA" w:rsidP="00D47ECA">
      <w:pPr>
        <w:pStyle w:val="Heading5"/>
        <w:rPr>
          <w:lang w:eastAsia="en-AU"/>
        </w:rPr>
      </w:pPr>
      <w:r>
        <w:rPr>
          <w:lang w:eastAsia="en-AU"/>
        </w:rPr>
        <w:lastRenderedPageBreak/>
        <w:t xml:space="preserve">Environments and community </w:t>
      </w:r>
    </w:p>
    <w:p w14:paraId="1277BEE7" w14:textId="77777777" w:rsidR="00C75594" w:rsidRDefault="00C75594" w:rsidP="00725A9B">
      <w:pPr>
        <w:pStyle w:val="Bullet1"/>
        <w:rPr>
          <w:lang w:eastAsia="en-AU"/>
        </w:rPr>
      </w:pPr>
      <w:r w:rsidRPr="54D26CE1">
        <w:rPr>
          <w:lang w:val="en-US" w:eastAsia="en-AU"/>
        </w:rPr>
        <w:t>Implement evidence-based programs and initiatives that promote movement and reduce sitting time in workplaces, schools, at home and during leisure time (e.g. Achievement Program).</w:t>
      </w:r>
      <w:r w:rsidRPr="54D26CE1">
        <w:rPr>
          <w:lang w:eastAsia="en-AU"/>
        </w:rPr>
        <w:t> </w:t>
      </w:r>
    </w:p>
    <w:p w14:paraId="16E35EF7" w14:textId="77777777" w:rsidR="00C75594" w:rsidRDefault="00C75594" w:rsidP="00725A9B">
      <w:pPr>
        <w:pStyle w:val="Bullet1"/>
        <w:rPr>
          <w:lang w:eastAsia="en-AU"/>
        </w:rPr>
      </w:pPr>
      <w:r w:rsidRPr="28D4EB44">
        <w:rPr>
          <w:lang w:val="en-US" w:eastAsia="en-AU"/>
        </w:rPr>
        <w:t xml:space="preserve">Lead community activation and engagement approaches </w:t>
      </w:r>
      <w:r w:rsidRPr="54D26CE1">
        <w:rPr>
          <w:lang w:val="en-US" w:eastAsia="en-AU"/>
        </w:rPr>
        <w:t>that promote movement</w:t>
      </w:r>
      <w:r w:rsidRPr="28D4EB44">
        <w:rPr>
          <w:lang w:val="en-US" w:eastAsia="en-AU"/>
        </w:rPr>
        <w:t xml:space="preserve"> within the community (e.g. </w:t>
      </w:r>
      <w:r>
        <w:rPr>
          <w:lang w:val="en-US" w:eastAsia="en-AU"/>
        </w:rPr>
        <w:t>Active in Nature program</w:t>
      </w:r>
      <w:r w:rsidRPr="28D4EB44">
        <w:rPr>
          <w:lang w:val="en-US" w:eastAsia="en-AU"/>
        </w:rPr>
        <w:t>).</w:t>
      </w:r>
      <w:r w:rsidRPr="28D4EB44">
        <w:rPr>
          <w:lang w:eastAsia="en-AU"/>
        </w:rPr>
        <w:t> </w:t>
      </w:r>
    </w:p>
    <w:p w14:paraId="6B864CBE" w14:textId="2BBEE24E" w:rsidR="00D47ECA" w:rsidRPr="00F72E29" w:rsidRDefault="00C75594" w:rsidP="00725A9B">
      <w:pPr>
        <w:pStyle w:val="Bullet1"/>
        <w:rPr>
          <w:lang w:eastAsia="en-AU"/>
        </w:rPr>
      </w:pPr>
      <w:r w:rsidRPr="00F72E29">
        <w:rPr>
          <w:lang w:val="en-US" w:eastAsia="en-AU"/>
        </w:rPr>
        <w:t>Tailor and implement active travel initiatives (Walk to School, Ride 2 School) with schools, and other settings</w:t>
      </w:r>
    </w:p>
    <w:p w14:paraId="59CD758F" w14:textId="45C974E1" w:rsidR="00F72E29" w:rsidRPr="00F72E29" w:rsidRDefault="00F72E29" w:rsidP="00725A9B">
      <w:pPr>
        <w:pStyle w:val="Bullet1"/>
        <w:rPr>
          <w:lang w:eastAsia="en-AU"/>
        </w:rPr>
      </w:pPr>
      <w:r w:rsidRPr="7364CBED">
        <w:rPr>
          <w:lang w:val="en-US" w:eastAsia="en-AU"/>
        </w:rPr>
        <w:t>Increase participation in sport and active recreation, by working in partnership with communities to adapt and deliver active living initiatives tailored to local context, with a focus on initiatives that engage priority population groups who face barriers to participation (e.g. women and girls). </w:t>
      </w:r>
    </w:p>
    <w:p w14:paraId="16458631" w14:textId="048132CB" w:rsidR="00D47ECA" w:rsidRDefault="00D47ECA" w:rsidP="00D47ECA">
      <w:pPr>
        <w:pStyle w:val="Heading5"/>
        <w:rPr>
          <w:lang w:eastAsia="en-AU"/>
        </w:rPr>
      </w:pPr>
      <w:r>
        <w:rPr>
          <w:lang w:eastAsia="en-AU"/>
        </w:rPr>
        <w:t>Prevention system actions</w:t>
      </w:r>
    </w:p>
    <w:p w14:paraId="5F6534C3" w14:textId="77777777" w:rsidR="0033168C" w:rsidRDefault="0033168C" w:rsidP="00725A9B">
      <w:pPr>
        <w:pStyle w:val="Bullet1"/>
        <w:rPr>
          <w:lang w:eastAsia="en-AU"/>
        </w:rPr>
      </w:pPr>
      <w:r w:rsidRPr="00A46D77">
        <w:rPr>
          <w:lang w:val="en-US" w:eastAsia="en-AU"/>
        </w:rPr>
        <w:t>Engage with local and statewide partners to determine local needs and priorities in active living.</w:t>
      </w:r>
      <w:r w:rsidRPr="00A46D77">
        <w:rPr>
          <w:lang w:eastAsia="en-AU"/>
        </w:rPr>
        <w:t> </w:t>
      </w:r>
    </w:p>
    <w:p w14:paraId="48A60B82" w14:textId="77777777" w:rsidR="0033168C" w:rsidRDefault="0033168C" w:rsidP="00725A9B">
      <w:pPr>
        <w:pStyle w:val="Bullet1"/>
        <w:rPr>
          <w:lang w:eastAsia="en-AU"/>
        </w:rPr>
      </w:pPr>
      <w:r w:rsidRPr="28D4EB44">
        <w:rPr>
          <w:lang w:val="en-US" w:eastAsia="en-AU"/>
        </w:rPr>
        <w:t>Build capacity for active living among settings and internal and external stakeholders</w:t>
      </w:r>
      <w:r>
        <w:rPr>
          <w:lang w:val="en-US" w:eastAsia="en-AU"/>
        </w:rPr>
        <w:t xml:space="preserve"> (</w:t>
      </w:r>
      <w:r w:rsidRPr="28D4EB44">
        <w:rPr>
          <w:lang w:val="en-US" w:eastAsia="en-AU"/>
        </w:rPr>
        <w:t>e.g. CoP</w:t>
      </w:r>
      <w:r>
        <w:rPr>
          <w:lang w:val="en-US" w:eastAsia="en-AU"/>
        </w:rPr>
        <w:t>s</w:t>
      </w:r>
      <w:r w:rsidRPr="28D4EB44">
        <w:rPr>
          <w:lang w:val="en-US" w:eastAsia="en-AU"/>
        </w:rPr>
        <w:t xml:space="preserve"> for settings staff and others</w:t>
      </w:r>
      <w:r>
        <w:rPr>
          <w:lang w:val="en-US" w:eastAsia="en-AU"/>
        </w:rPr>
        <w:t>)</w:t>
      </w:r>
      <w:r w:rsidRPr="28D4EB44">
        <w:rPr>
          <w:lang w:val="en-US" w:eastAsia="en-AU"/>
        </w:rPr>
        <w:t xml:space="preserve"> to create active living environments.</w:t>
      </w:r>
      <w:r w:rsidRPr="28D4EB44">
        <w:rPr>
          <w:lang w:eastAsia="en-AU"/>
        </w:rPr>
        <w:t> </w:t>
      </w:r>
    </w:p>
    <w:p w14:paraId="7FE73A31" w14:textId="1A9FDB98" w:rsidR="0033168C" w:rsidRPr="00B002B9" w:rsidRDefault="0033168C" w:rsidP="00725A9B">
      <w:pPr>
        <w:pStyle w:val="Bullet1"/>
        <w:rPr>
          <w:lang w:eastAsia="en-AU"/>
        </w:rPr>
      </w:pPr>
      <w:r w:rsidRPr="7364CBED">
        <w:rPr>
          <w:lang w:val="en-US" w:eastAsia="en-AU"/>
        </w:rPr>
        <w:t>Leverage off networks, relationships, and cross-sectoral connections to influence the determinants of active living and address co-benefits to health and wellbeing (e.g. climate change and health, healthy eating, mental wellbeing).</w:t>
      </w:r>
    </w:p>
    <w:p w14:paraId="5A06D9EA" w14:textId="71D7141D" w:rsidR="0033168C" w:rsidRDefault="00B002B9" w:rsidP="00B002B9">
      <w:pPr>
        <w:pStyle w:val="Heading4"/>
        <w:rPr>
          <w:lang w:eastAsia="en-AU"/>
        </w:rPr>
      </w:pPr>
      <w:r>
        <w:rPr>
          <w:lang w:eastAsia="en-AU"/>
        </w:rPr>
        <w:t>Support functions</w:t>
      </w:r>
    </w:p>
    <w:p w14:paraId="2C8E6072" w14:textId="77777777" w:rsidR="00B002B9" w:rsidRDefault="00B002B9" w:rsidP="00B002B9">
      <w:pPr>
        <w:pStyle w:val="Heading5"/>
        <w:rPr>
          <w:lang w:eastAsia="en-AU"/>
        </w:rPr>
      </w:pPr>
      <w:r>
        <w:rPr>
          <w:lang w:eastAsia="en-AU"/>
        </w:rPr>
        <w:t xml:space="preserve">Environments and community </w:t>
      </w:r>
    </w:p>
    <w:p w14:paraId="797B6E9D" w14:textId="77777777" w:rsidR="002570CC" w:rsidRDefault="002570CC" w:rsidP="00725A9B">
      <w:pPr>
        <w:pStyle w:val="Bullet1"/>
        <w:rPr>
          <w:lang w:eastAsia="en-AU"/>
        </w:rPr>
      </w:pPr>
      <w:r w:rsidRPr="28D4EB44">
        <w:rPr>
          <w:lang w:val="en-US" w:eastAsia="en-AU"/>
        </w:rPr>
        <w:t>Contribute to local action (e.g.</w:t>
      </w:r>
      <w:r w:rsidRPr="28D4EB44" w:rsidDel="00D5417F">
        <w:rPr>
          <w:lang w:val="en-US" w:eastAsia="en-AU"/>
        </w:rPr>
        <w:t xml:space="preserve"> </w:t>
      </w:r>
      <w:r w:rsidRPr="28D4EB44">
        <w:rPr>
          <w:lang w:val="en-US" w:eastAsia="en-AU"/>
        </w:rPr>
        <w:t xml:space="preserve">Change Our Game, </w:t>
      </w:r>
      <w:r>
        <w:rPr>
          <w:lang w:val="en-US" w:eastAsia="en-AU"/>
        </w:rPr>
        <w:t xml:space="preserve">Fair Access Policy, </w:t>
      </w:r>
      <w:r w:rsidRPr="28D4EB44">
        <w:rPr>
          <w:lang w:val="en-US" w:eastAsia="en-AU"/>
        </w:rPr>
        <w:t>Opening the Gate, Healthy Loddon Campaspe) to promote active living.</w:t>
      </w:r>
      <w:r w:rsidRPr="28D4EB44">
        <w:rPr>
          <w:lang w:eastAsia="en-AU"/>
        </w:rPr>
        <w:t> </w:t>
      </w:r>
    </w:p>
    <w:p w14:paraId="0F4F8841" w14:textId="77777777" w:rsidR="002570CC" w:rsidRDefault="002570CC" w:rsidP="00725A9B">
      <w:pPr>
        <w:pStyle w:val="Bullet1"/>
        <w:rPr>
          <w:lang w:eastAsia="en-AU"/>
        </w:rPr>
      </w:pPr>
      <w:r w:rsidRPr="251E3353">
        <w:rPr>
          <w:lang w:val="en-US" w:eastAsia="en-AU"/>
        </w:rPr>
        <w:t>Work collaboratively with schools</w:t>
      </w:r>
      <w:r w:rsidRPr="251E3353">
        <w:rPr>
          <w:color w:val="FF0000"/>
          <w:lang w:val="en-US" w:eastAsia="en-AU"/>
        </w:rPr>
        <w:t xml:space="preserve"> </w:t>
      </w:r>
      <w:r w:rsidRPr="251E3353">
        <w:rPr>
          <w:lang w:val="en-US" w:eastAsia="en-AU"/>
        </w:rPr>
        <w:t>to support uptake of the Active Schools Framework by leveraging the Active Schools Toolkit and other resources.</w:t>
      </w:r>
      <w:r w:rsidRPr="251E3353">
        <w:rPr>
          <w:lang w:eastAsia="en-AU"/>
        </w:rPr>
        <w:t> </w:t>
      </w:r>
    </w:p>
    <w:p w14:paraId="481C1C6D" w14:textId="454F7C18" w:rsidR="002570CC" w:rsidRPr="002570CC" w:rsidRDefault="002570CC" w:rsidP="00725A9B">
      <w:pPr>
        <w:pStyle w:val="Bullet1"/>
        <w:rPr>
          <w:lang w:eastAsia="en-AU"/>
        </w:rPr>
      </w:pPr>
      <w:r w:rsidRPr="28D4EB44">
        <w:rPr>
          <w:lang w:val="en-US" w:eastAsia="en-AU"/>
        </w:rPr>
        <w:t>Amplify and localise social marketing campaigns</w:t>
      </w:r>
      <w:r w:rsidRPr="2EF7B57F">
        <w:rPr>
          <w:lang w:val="en-US" w:eastAsia="en-AU"/>
        </w:rPr>
        <w:t xml:space="preserve"> </w:t>
      </w:r>
      <w:r w:rsidRPr="28D4EB44">
        <w:rPr>
          <w:lang w:val="en-US" w:eastAsia="en-AU"/>
        </w:rPr>
        <w:t>in the local community</w:t>
      </w:r>
      <w:r>
        <w:rPr>
          <w:lang w:val="en-US" w:eastAsia="en-AU"/>
        </w:rPr>
        <w:t xml:space="preserve">. </w:t>
      </w:r>
    </w:p>
    <w:p w14:paraId="5BCCE93F" w14:textId="77777777" w:rsidR="00B002B9" w:rsidRDefault="00B002B9" w:rsidP="00B002B9">
      <w:pPr>
        <w:pStyle w:val="Heading5"/>
        <w:rPr>
          <w:lang w:eastAsia="en-AU"/>
        </w:rPr>
      </w:pPr>
      <w:r>
        <w:rPr>
          <w:lang w:eastAsia="en-AU"/>
        </w:rPr>
        <w:t>Prevention system actions</w:t>
      </w:r>
    </w:p>
    <w:p w14:paraId="2EFE0C0A" w14:textId="77777777" w:rsidR="001B1889" w:rsidRDefault="001B1889" w:rsidP="00725A9B">
      <w:pPr>
        <w:pStyle w:val="Bullet1"/>
        <w:rPr>
          <w:lang w:eastAsia="en-AU"/>
        </w:rPr>
      </w:pPr>
      <w:r w:rsidRPr="00A46D77">
        <w:rPr>
          <w:lang w:val="en-US" w:eastAsia="en-AU"/>
        </w:rPr>
        <w:t xml:space="preserve">Link with other agencies to understand and address gender and intersectional considerations for local active living initiatives and tailor accordingly </w:t>
      </w:r>
      <w:r w:rsidRPr="00A46D77">
        <w:rPr>
          <w:lang w:eastAsia="en-AU"/>
        </w:rPr>
        <w:t>(e.g</w:t>
      </w:r>
      <w:r>
        <w:rPr>
          <w:lang w:eastAsia="en-AU"/>
        </w:rPr>
        <w:t>.</w:t>
      </w:r>
      <w:r w:rsidRPr="00A46D77">
        <w:rPr>
          <w:lang w:eastAsia="en-AU"/>
        </w:rPr>
        <w:t xml:space="preserve"> gender norms and stereotypes, sexual and gender diversity, cultural norms).  </w:t>
      </w:r>
    </w:p>
    <w:p w14:paraId="6320B146" w14:textId="77777777" w:rsidR="001B1889" w:rsidRPr="006302E7" w:rsidRDefault="001B1889" w:rsidP="00725A9B">
      <w:pPr>
        <w:pStyle w:val="Bullet1"/>
        <w:rPr>
          <w:lang w:eastAsia="en-AU"/>
        </w:rPr>
      </w:pPr>
      <w:r w:rsidRPr="153A1F7D">
        <w:rPr>
          <w:lang w:eastAsia="en-AU"/>
        </w:rPr>
        <w:t xml:space="preserve">Consider the possible impacts of climate change and leverage the climate change mitigation and emissions reduction benefits of active living initiatives (e.g. increasing the proportion of transport trips that use active modes of travel).  </w:t>
      </w:r>
    </w:p>
    <w:p w14:paraId="783DBBDE" w14:textId="77777777" w:rsidR="001B1889" w:rsidRDefault="001B1889" w:rsidP="00725A9B">
      <w:pPr>
        <w:pStyle w:val="Bullet1"/>
        <w:rPr>
          <w:lang w:eastAsia="en-AU"/>
        </w:rPr>
      </w:pPr>
      <w:r w:rsidRPr="7364CBED">
        <w:rPr>
          <w:lang w:val="en-US" w:eastAsia="en-AU"/>
        </w:rPr>
        <w:t>Participate in topic or placed based networks, CoPs and partnerships to collaborate on shared priorities, join up work, learn from others, as well as contribute to local coordination and leveraging opportunities for engagement, activation, and implementation. This could include forums facilitated by the Achievement Program or VicHealth</w:t>
      </w:r>
    </w:p>
    <w:p w14:paraId="735D33FF" w14:textId="77777777" w:rsidR="001B1889" w:rsidRPr="00F958F5" w:rsidRDefault="001B1889" w:rsidP="00725A9B">
      <w:pPr>
        <w:pStyle w:val="Bullet1"/>
        <w:rPr>
          <w:lang w:eastAsia="en-AU"/>
        </w:rPr>
      </w:pPr>
      <w:r w:rsidRPr="0C8DF2EC">
        <w:rPr>
          <w:lang w:eastAsia="en-AU"/>
        </w:rPr>
        <w:t xml:space="preserve">Connect priority population </w:t>
      </w:r>
      <w:r>
        <w:rPr>
          <w:lang w:eastAsia="en-AU"/>
        </w:rPr>
        <w:t>groups</w:t>
      </w:r>
      <w:r w:rsidRPr="0C8DF2EC">
        <w:rPr>
          <w:lang w:eastAsia="en-AU"/>
        </w:rPr>
        <w:t xml:space="preserve"> to other active living initiatives delivered by other agencies e.g</w:t>
      </w:r>
      <w:r>
        <w:rPr>
          <w:lang w:eastAsia="en-AU"/>
        </w:rPr>
        <w:t>.</w:t>
      </w:r>
      <w:r w:rsidRPr="0C8DF2EC">
        <w:rPr>
          <w:lang w:eastAsia="en-AU"/>
        </w:rPr>
        <w:t> </w:t>
      </w:r>
      <w:r w:rsidRPr="0C8DF2EC" w:rsidDel="0029352D">
        <w:rPr>
          <w:lang w:eastAsia="en-AU"/>
        </w:rPr>
        <w:t xml:space="preserve"> </w:t>
      </w:r>
      <w:r w:rsidRPr="54D26CE1">
        <w:rPr>
          <w:lang w:eastAsia="en-AU"/>
        </w:rPr>
        <w:t>ACCOs.  </w:t>
      </w:r>
    </w:p>
    <w:p w14:paraId="0021386F" w14:textId="7BFA4B33" w:rsidR="002570CC" w:rsidRPr="001B1889" w:rsidRDefault="001B1889" w:rsidP="00725A9B">
      <w:pPr>
        <w:pStyle w:val="Bullet1"/>
        <w:rPr>
          <w:lang w:eastAsia="en-AU"/>
        </w:rPr>
      </w:pPr>
      <w:r w:rsidRPr="28D4EB44">
        <w:rPr>
          <w:lang w:val="en-US" w:eastAsia="en-AU"/>
        </w:rPr>
        <w:t>Support other initiatives that drive uptake of sport and active living in communities (e.g. vouchers, incentives to get kids active).</w:t>
      </w:r>
      <w:r w:rsidRPr="28D4EB44">
        <w:rPr>
          <w:lang w:eastAsia="en-AU"/>
        </w:rPr>
        <w:t> </w:t>
      </w:r>
    </w:p>
    <w:p w14:paraId="247630CD" w14:textId="77777777" w:rsidR="00B002B9" w:rsidRPr="0033168C" w:rsidRDefault="00B002B9" w:rsidP="00B002B9">
      <w:pPr>
        <w:pStyle w:val="Heading5"/>
        <w:rPr>
          <w:lang w:eastAsia="en-AU"/>
        </w:rPr>
      </w:pPr>
      <w:r>
        <w:rPr>
          <w:lang w:eastAsia="en-AU"/>
        </w:rPr>
        <w:t>Individual/family behaviour change</w:t>
      </w:r>
    </w:p>
    <w:p w14:paraId="6F5F5EBE" w14:textId="77777777" w:rsidR="00B002B9" w:rsidRPr="0063346C" w:rsidRDefault="00B002B9" w:rsidP="00725A9B">
      <w:pPr>
        <w:pStyle w:val="Bullet1"/>
        <w:rPr>
          <w:lang w:eastAsia="en-AU"/>
        </w:rPr>
      </w:pPr>
      <w:r w:rsidRPr="2EF7B57F">
        <w:rPr>
          <w:lang w:val="en-US" w:eastAsia="en-AU"/>
        </w:rPr>
        <w:t>Activate referral pathways and support promotion, awareness and implementation of evidence-based lifestyle modification programs including Life! Program, INFANT Program, Get Active Victoria, Active Kids Vouchers (note program delivery (e.g. facilitating group sessions) for these initiatives is out of scope for program funding). </w:t>
      </w:r>
    </w:p>
    <w:p w14:paraId="1831EB44" w14:textId="77777777" w:rsidR="001B1889" w:rsidRPr="001B1889" w:rsidRDefault="001B1889" w:rsidP="001B1889">
      <w:pPr>
        <w:pStyle w:val="Body"/>
        <w:rPr>
          <w:lang w:eastAsia="en-AU"/>
        </w:rPr>
      </w:pPr>
    </w:p>
    <w:p w14:paraId="2510FF0A" w14:textId="738C5A7E" w:rsidR="00942F95" w:rsidRDefault="00942F95" w:rsidP="00942F95">
      <w:pPr>
        <w:pStyle w:val="Heading3"/>
      </w:pPr>
      <w:r>
        <w:t>Tobacco and e-cigarette related harms</w:t>
      </w:r>
    </w:p>
    <w:p w14:paraId="066CAA98" w14:textId="1F53BF69" w:rsidR="00301851" w:rsidRDefault="00677D23" w:rsidP="00677D23">
      <w:pPr>
        <w:pStyle w:val="Heading4"/>
      </w:pPr>
      <w:r>
        <w:t xml:space="preserve">Lead functions </w:t>
      </w:r>
    </w:p>
    <w:p w14:paraId="1F265C5A" w14:textId="4D60FAF9" w:rsidR="00677D23" w:rsidRDefault="00677D23" w:rsidP="00677D23">
      <w:pPr>
        <w:pStyle w:val="Heading5"/>
      </w:pPr>
      <w:r>
        <w:t>Policy</w:t>
      </w:r>
    </w:p>
    <w:p w14:paraId="0DA758FB" w14:textId="2F9EDF5A" w:rsidR="00046893" w:rsidRPr="00511878" w:rsidRDefault="00046893" w:rsidP="00725A9B">
      <w:pPr>
        <w:pStyle w:val="Bullet1"/>
        <w:rPr>
          <w:lang w:eastAsia="en-AU"/>
        </w:rPr>
      </w:pPr>
      <w:r w:rsidRPr="7364CBED">
        <w:rPr>
          <w:lang w:eastAsia="en-AU"/>
        </w:rPr>
        <w:t>Oversee the development, implementation and review of smoke and vape (e-cigarette) free policies within key settings (including own workplace).</w:t>
      </w:r>
    </w:p>
    <w:p w14:paraId="4847CC0E" w14:textId="753D57DF" w:rsidR="00677D23" w:rsidRDefault="00677D23" w:rsidP="00677D23">
      <w:pPr>
        <w:pStyle w:val="Heading5"/>
      </w:pPr>
      <w:r>
        <w:t>Environments and community</w:t>
      </w:r>
    </w:p>
    <w:p w14:paraId="3BD1FADC" w14:textId="77777777" w:rsidR="00511878" w:rsidRDefault="00511878" w:rsidP="00725A9B">
      <w:pPr>
        <w:pStyle w:val="Bullet1"/>
        <w:rPr>
          <w:lang w:eastAsia="en-AU"/>
        </w:rPr>
      </w:pPr>
      <w:r w:rsidRPr="28D4EB44">
        <w:rPr>
          <w:lang w:eastAsia="en-AU"/>
        </w:rPr>
        <w:t>Implement evidence-based programs and initiatives supporting tobacco and vape free environments (e.g. Achievement Program).</w:t>
      </w:r>
    </w:p>
    <w:p w14:paraId="01918B90" w14:textId="77777777" w:rsidR="00511878" w:rsidRDefault="00511878" w:rsidP="00725A9B">
      <w:pPr>
        <w:pStyle w:val="Bullet1"/>
        <w:rPr>
          <w:lang w:eastAsia="en-AU"/>
        </w:rPr>
      </w:pPr>
      <w:r w:rsidRPr="28D4EB44">
        <w:rPr>
          <w:lang w:eastAsia="en-AU"/>
        </w:rPr>
        <w:t>Deliver local communication activities that promote access to smoking, vaping and nicotine cessation support such as the Quitline and build awareness of the health risks associated with smoking and vaping and the benefits of quitting. Communication activities should be undertaken as part of a broader plan of activities to reduce tobacco and vaping related harm and not as an isolated approach.  </w:t>
      </w:r>
    </w:p>
    <w:p w14:paraId="47A3CB49" w14:textId="77777777" w:rsidR="00511878" w:rsidRDefault="00511878" w:rsidP="00725A9B">
      <w:pPr>
        <w:pStyle w:val="Bullet1"/>
        <w:rPr>
          <w:lang w:eastAsia="en-AU"/>
        </w:rPr>
      </w:pPr>
      <w:r w:rsidRPr="28D4EB44">
        <w:rPr>
          <w:lang w:eastAsia="en-AU"/>
        </w:rPr>
        <w:t>Work in partnership with key stakeholders and communities to develop and deliver evidence-informed initiatives to reduce smoking and vaping for population groups with the highest rates of tobacco and vape use or at the greatest risk of smoking and vaping related harms</w:t>
      </w:r>
      <w:r w:rsidRPr="28D4EB44">
        <w:rPr>
          <w:rStyle w:val="FootnoteReference"/>
          <w:rFonts w:cs="Arial"/>
          <w:lang w:eastAsia="en-AU"/>
        </w:rPr>
        <w:footnoteReference w:id="9"/>
      </w:r>
      <w:r w:rsidRPr="28D4EB44">
        <w:rPr>
          <w:lang w:eastAsia="en-AU"/>
        </w:rPr>
        <w:t>.  </w:t>
      </w:r>
    </w:p>
    <w:p w14:paraId="497F8304" w14:textId="44970C78" w:rsidR="00511878" w:rsidRPr="00511878" w:rsidRDefault="00511878" w:rsidP="00725A9B">
      <w:pPr>
        <w:pStyle w:val="Bullet1"/>
        <w:rPr>
          <w:lang w:eastAsia="en-AU"/>
        </w:rPr>
      </w:pPr>
      <w:r w:rsidRPr="7364CBED">
        <w:rPr>
          <w:lang w:eastAsia="en-AU"/>
        </w:rPr>
        <w:t>Advocate for the adoption of smoke and vape free environments and policies in specific settings, locations, or community events, and collaborate with the community and organisers to implement.  </w:t>
      </w:r>
    </w:p>
    <w:p w14:paraId="26E10ECB" w14:textId="3C67CD57" w:rsidR="00677D23" w:rsidRPr="00677D23" w:rsidRDefault="00677D23" w:rsidP="00677D23">
      <w:pPr>
        <w:pStyle w:val="Heading5"/>
      </w:pPr>
      <w:r>
        <w:t>Prevention system actions</w:t>
      </w:r>
    </w:p>
    <w:p w14:paraId="5A9D345B" w14:textId="77777777" w:rsidR="00A01FB8" w:rsidRDefault="00A01FB8" w:rsidP="00725A9B">
      <w:pPr>
        <w:pStyle w:val="Bullet1"/>
        <w:rPr>
          <w:lang w:eastAsia="en-AU"/>
        </w:rPr>
      </w:pPr>
      <w:r w:rsidRPr="153A1F7D">
        <w:rPr>
          <w:lang w:eastAsia="en-AU"/>
        </w:rPr>
        <w:t xml:space="preserve">Engage with Quit Victoria, ACCOs, and other partners to determine local needs and priorities in tobacco </w:t>
      </w:r>
      <w:r>
        <w:rPr>
          <w:lang w:eastAsia="en-AU"/>
        </w:rPr>
        <w:t xml:space="preserve">and vaping </w:t>
      </w:r>
      <w:r w:rsidRPr="153A1F7D">
        <w:rPr>
          <w:lang w:eastAsia="en-AU"/>
        </w:rPr>
        <w:t>control.   </w:t>
      </w:r>
    </w:p>
    <w:p w14:paraId="5BEE6E62" w14:textId="77777777" w:rsidR="00A01FB8" w:rsidRDefault="00A01FB8" w:rsidP="00725A9B">
      <w:pPr>
        <w:pStyle w:val="Bullet1"/>
        <w:rPr>
          <w:lang w:eastAsia="en-AU"/>
        </w:rPr>
      </w:pPr>
      <w:r w:rsidRPr="4F1BA301">
        <w:rPr>
          <w:lang w:eastAsia="en-AU"/>
        </w:rPr>
        <w:t xml:space="preserve">Build capacity among settings and internal and external stakeholders to implement strategies to reduce tobacco and vaping related harm in communities (e.g. CoPs for settings staff and others to create smoke and vape free environments in addition to those legislated under the </w:t>
      </w:r>
      <w:r w:rsidRPr="4F1BA301">
        <w:rPr>
          <w:i/>
          <w:lang w:eastAsia="en-AU"/>
        </w:rPr>
        <w:t>Tobacco Act 1987</w:t>
      </w:r>
      <w:r w:rsidRPr="4F1BA301">
        <w:rPr>
          <w:lang w:eastAsia="en-AU"/>
        </w:rPr>
        <w:t xml:space="preserve"> or through local laws).  </w:t>
      </w:r>
    </w:p>
    <w:p w14:paraId="650D91F2" w14:textId="77777777" w:rsidR="00A01FB8" w:rsidRDefault="00A01FB8" w:rsidP="00725A9B">
      <w:pPr>
        <w:pStyle w:val="Bullet1"/>
        <w:rPr>
          <w:lang w:eastAsia="en-AU"/>
        </w:rPr>
      </w:pPr>
      <w:r w:rsidRPr="153A1F7D">
        <w:rPr>
          <w:lang w:eastAsia="en-AU"/>
        </w:rPr>
        <w:t>Leverage related public health priorities (e.g.  mental health and the wellbeing of young people) to improve engagement in addressing issues associated with smoking and vaping and implement a holistic approach to improving health. </w:t>
      </w:r>
    </w:p>
    <w:p w14:paraId="03CD8F4E" w14:textId="2D10176A" w:rsidR="00A01FB8" w:rsidRDefault="00A01FB8" w:rsidP="00A01FB8">
      <w:pPr>
        <w:pStyle w:val="Heading4"/>
        <w:rPr>
          <w:lang w:eastAsia="en-AU"/>
        </w:rPr>
      </w:pPr>
      <w:r>
        <w:rPr>
          <w:lang w:eastAsia="en-AU"/>
        </w:rPr>
        <w:t>Support functions</w:t>
      </w:r>
    </w:p>
    <w:p w14:paraId="222C98BC" w14:textId="78588DF8" w:rsidR="00A01FB8" w:rsidRDefault="00A01FB8" w:rsidP="00A01FB8">
      <w:pPr>
        <w:pStyle w:val="Heading5"/>
        <w:rPr>
          <w:lang w:eastAsia="en-AU"/>
        </w:rPr>
      </w:pPr>
      <w:r>
        <w:rPr>
          <w:lang w:eastAsia="en-AU"/>
        </w:rPr>
        <w:t>Environments and community</w:t>
      </w:r>
    </w:p>
    <w:p w14:paraId="4B29A30B" w14:textId="77777777" w:rsidR="0083137F" w:rsidRDefault="0083137F" w:rsidP="00725A9B">
      <w:pPr>
        <w:pStyle w:val="Bullet1"/>
        <w:rPr>
          <w:lang w:eastAsia="en-AU"/>
        </w:rPr>
      </w:pPr>
      <w:r w:rsidRPr="00A46D77">
        <w:rPr>
          <w:lang w:eastAsia="en-AU"/>
        </w:rPr>
        <w:t>Partner with local councils and community organisations to implement voluntary smoke and vape free environments at specific settings and/or community events.  </w:t>
      </w:r>
    </w:p>
    <w:p w14:paraId="1760A9E0" w14:textId="77777777" w:rsidR="0083137F" w:rsidRDefault="0083137F" w:rsidP="00725A9B">
      <w:pPr>
        <w:pStyle w:val="Bullet1"/>
        <w:rPr>
          <w:lang w:eastAsia="en-AU"/>
        </w:rPr>
      </w:pPr>
      <w:r w:rsidRPr="28D4EB44">
        <w:rPr>
          <w:lang w:eastAsia="en-AU"/>
        </w:rPr>
        <w:t>Connect priority population groups to the Quitline and smoking, vaping and nicotine cessation support and initiatives delivered by other agencies</w:t>
      </w:r>
      <w:r w:rsidRPr="2EF7B57F">
        <w:rPr>
          <w:lang w:eastAsia="en-AU"/>
        </w:rPr>
        <w:t xml:space="preserve"> </w:t>
      </w:r>
      <w:r>
        <w:rPr>
          <w:lang w:eastAsia="en-AU"/>
        </w:rPr>
        <w:t>(</w:t>
      </w:r>
      <w:r w:rsidRPr="28D4EB44">
        <w:rPr>
          <w:lang w:eastAsia="en-AU"/>
        </w:rPr>
        <w:t>e.g. ACCOs).</w:t>
      </w:r>
      <w:r>
        <w:rPr>
          <w:lang w:eastAsia="en-AU"/>
        </w:rPr>
        <w:t xml:space="preserve"> </w:t>
      </w:r>
    </w:p>
    <w:p w14:paraId="1733C4D1" w14:textId="2FDD36F2" w:rsidR="00A01FB8" w:rsidRPr="0083137F" w:rsidRDefault="0083137F" w:rsidP="00725A9B">
      <w:pPr>
        <w:pStyle w:val="Bullet1"/>
        <w:rPr>
          <w:lang w:eastAsia="en-AU"/>
        </w:rPr>
      </w:pPr>
      <w:r w:rsidRPr="28D4EB44">
        <w:rPr>
          <w:lang w:eastAsia="en-AU"/>
        </w:rPr>
        <w:t>Amplify and localise statewide and national social marketing campaigns and resources that are delivered by Quit Victoria, including through the new digital cessation hub</w:t>
      </w:r>
      <w:r>
        <w:rPr>
          <w:lang w:eastAsia="en-AU"/>
        </w:rPr>
        <w:t xml:space="preserve"> &lt;</w:t>
      </w:r>
      <w:r w:rsidRPr="28D4EB44">
        <w:rPr>
          <w:lang w:eastAsia="en-AU"/>
        </w:rPr>
        <w:t>quit.org.au</w:t>
      </w:r>
      <w:r>
        <w:rPr>
          <w:lang w:eastAsia="en-AU"/>
        </w:rPr>
        <w:t>&gt;.</w:t>
      </w:r>
    </w:p>
    <w:p w14:paraId="7F49EB0F" w14:textId="6DAFEE7A" w:rsidR="00A01FB8" w:rsidRDefault="00A01FB8" w:rsidP="00A01FB8">
      <w:pPr>
        <w:pStyle w:val="Heading5"/>
        <w:rPr>
          <w:lang w:eastAsia="en-AU"/>
        </w:rPr>
      </w:pPr>
      <w:r>
        <w:rPr>
          <w:lang w:eastAsia="en-AU"/>
        </w:rPr>
        <w:lastRenderedPageBreak/>
        <w:t>Prevention system actions</w:t>
      </w:r>
    </w:p>
    <w:p w14:paraId="1E8B45B1" w14:textId="77777777" w:rsidR="00211908" w:rsidRDefault="00211908" w:rsidP="00725A9B">
      <w:pPr>
        <w:pStyle w:val="Bullet1"/>
        <w:rPr>
          <w:lang w:eastAsia="en-AU"/>
        </w:rPr>
      </w:pPr>
      <w:r w:rsidRPr="00A46D77">
        <w:rPr>
          <w:lang w:eastAsia="en-AU"/>
        </w:rPr>
        <w:t>Link with other agencies to understand and address intersectional considerations for local tobacco control initiatives and tailor accordingly (e.g</w:t>
      </w:r>
      <w:r>
        <w:rPr>
          <w:lang w:eastAsia="en-AU"/>
        </w:rPr>
        <w:t>.</w:t>
      </w:r>
      <w:r w:rsidRPr="00A46D77">
        <w:rPr>
          <w:lang w:eastAsia="en-AU"/>
        </w:rPr>
        <w:t xml:space="preserve"> gender norms and stereotypes, sexual and gender diversity</w:t>
      </w:r>
      <w:r>
        <w:rPr>
          <w:lang w:eastAsia="en-AU"/>
        </w:rPr>
        <w:t xml:space="preserve"> and </w:t>
      </w:r>
      <w:r w:rsidRPr="00A46D77">
        <w:rPr>
          <w:lang w:eastAsia="en-AU"/>
        </w:rPr>
        <w:t>cultural norms).  </w:t>
      </w:r>
    </w:p>
    <w:p w14:paraId="1A36D6B8" w14:textId="649AB7D5" w:rsidR="00211908" w:rsidRPr="00211908" w:rsidRDefault="00211908" w:rsidP="00725A9B">
      <w:pPr>
        <w:pStyle w:val="Bullet1"/>
        <w:rPr>
          <w:lang w:eastAsia="en-AU"/>
        </w:rPr>
      </w:pPr>
      <w:r w:rsidRPr="00211908">
        <w:rPr>
          <w:lang w:eastAsia="en-AU"/>
        </w:rPr>
        <w:t>Participate in topic or place-based networks, CoPs and partnerships to collaborate on shared priorities, join up work, learn from others, as well as contribute to local coordination and leveraging opportunities for engagement, activation, and implementation</w:t>
      </w:r>
    </w:p>
    <w:p w14:paraId="2A9933F3" w14:textId="1BA41AB4" w:rsidR="00A01FB8" w:rsidRDefault="00A01FB8" w:rsidP="00A01FB8">
      <w:pPr>
        <w:pStyle w:val="Heading5"/>
        <w:rPr>
          <w:lang w:eastAsia="en-AU"/>
        </w:rPr>
      </w:pPr>
      <w:r>
        <w:rPr>
          <w:lang w:eastAsia="en-AU"/>
        </w:rPr>
        <w:t>Policy</w:t>
      </w:r>
    </w:p>
    <w:p w14:paraId="78360B01" w14:textId="77777777" w:rsidR="00D321FA" w:rsidRDefault="00D321FA" w:rsidP="00725A9B">
      <w:pPr>
        <w:pStyle w:val="Bullet1"/>
        <w:rPr>
          <w:lang w:eastAsia="en-AU"/>
        </w:rPr>
      </w:pPr>
      <w:r w:rsidRPr="153A1F7D">
        <w:rPr>
          <w:lang w:eastAsia="en-AU"/>
        </w:rPr>
        <w:t>Activate referral pathways for smoking and vaping cessation support led by other health professionals (e.g. those based in local hospitals or health services). Note that service delivery and providing brief advice is out of scope for the funding.</w:t>
      </w:r>
    </w:p>
    <w:p w14:paraId="52EA0E5E" w14:textId="70A163A1" w:rsidR="00D321FA" w:rsidRDefault="00D321FA" w:rsidP="00D321FA">
      <w:pPr>
        <w:pStyle w:val="Heading4"/>
        <w:rPr>
          <w:lang w:eastAsia="en-AU"/>
        </w:rPr>
      </w:pPr>
      <w:r>
        <w:rPr>
          <w:lang w:eastAsia="en-AU"/>
        </w:rPr>
        <w:t>Tackling climate change and health</w:t>
      </w:r>
    </w:p>
    <w:p w14:paraId="16BDEE9E" w14:textId="1734DE7D" w:rsidR="002F246A" w:rsidRDefault="004E5C25" w:rsidP="002F246A">
      <w:pPr>
        <w:pStyle w:val="Body"/>
      </w:pPr>
      <w:r w:rsidRPr="002F246A">
        <w:rPr>
          <w:rStyle w:val="DHHSbodyChar"/>
        </w:rPr>
        <w:t>Climate change is a significant public health issue where there are opportunities for community health services to make positive change in their community to benefit health</w:t>
      </w:r>
      <w:r w:rsidRPr="002F246A">
        <w:rPr>
          <w:rStyle w:val="eop"/>
        </w:rPr>
        <w:t xml:space="preserve"> and wellbeing and climate mitigation. Ad</w:t>
      </w:r>
      <w:r w:rsidRPr="002F246A">
        <w:t>ditionally, harnessing intrinsic motivations of climate change and environmental sustainability movements can impact on changes to health behaviour and achieve healthy eating and active living objectives. Through the increasing healthy eating and active living priority areas, deliberate consideration of opportunities to expand initiatives to deliver enhanced climate action can be taken. Initiatives can be considered wholistically to deliver positive health, social and environmental outcomes.</w:t>
      </w:r>
    </w:p>
    <w:p w14:paraId="2503D1EE" w14:textId="6AF8208E" w:rsidR="00BF0CD2" w:rsidRPr="002F246A" w:rsidRDefault="00BF0CD2" w:rsidP="00BF0CD2">
      <w:pPr>
        <w:pStyle w:val="Heading5"/>
        <w:rPr>
          <w:rStyle w:val="eop"/>
        </w:rPr>
      </w:pPr>
      <w:r>
        <w:rPr>
          <w:rStyle w:val="eop"/>
        </w:rPr>
        <w:t xml:space="preserve">Increasing healthy eating </w:t>
      </w:r>
    </w:p>
    <w:p w14:paraId="1EB6CC50" w14:textId="77777777" w:rsidR="00D42E01" w:rsidRPr="00794E24" w:rsidRDefault="00D42E01" w:rsidP="00794E24">
      <w:pPr>
        <w:pStyle w:val="Body"/>
        <w:rPr>
          <w:rStyle w:val="eop"/>
        </w:rPr>
      </w:pPr>
      <w:r w:rsidRPr="153A1F7D">
        <w:rPr>
          <w:rStyle w:val="eop"/>
          <w:rFonts w:eastAsia="MS Gothic" w:cs="Arial"/>
        </w:rPr>
        <w:t>C</w:t>
      </w:r>
      <w:r>
        <w:rPr>
          <w:rStyle w:val="eop"/>
          <w:rFonts w:eastAsia="MS Gothic" w:cs="Arial"/>
        </w:rPr>
        <w:t xml:space="preserve">H-HP agencies </w:t>
      </w:r>
      <w:r w:rsidRPr="153A1F7D">
        <w:rPr>
          <w:rStyle w:val="eop"/>
          <w:rFonts w:eastAsia="MS Gothic" w:cs="Arial"/>
        </w:rPr>
        <w:t>can take action to increase access, sale and consumption of fresh and locally grown produce, encourage drinking of tap water rather than bottled water, reduce access, sale and consumption of e</w:t>
      </w:r>
      <w:r w:rsidRPr="153A1F7D">
        <w:rPr>
          <w:rFonts w:cs="Arial"/>
        </w:rPr>
        <w:t xml:space="preserve">nergy dense, nutrient poor </w:t>
      </w:r>
      <w:r w:rsidRPr="153A1F7D">
        <w:t>(or discretionary)</w:t>
      </w:r>
      <w:r w:rsidRPr="153A1F7D">
        <w:rPr>
          <w:rFonts w:cs="Arial"/>
        </w:rPr>
        <w:t xml:space="preserve">, </w:t>
      </w:r>
      <w:r w:rsidRPr="153A1F7D">
        <w:rPr>
          <w:rStyle w:val="eop"/>
          <w:rFonts w:eastAsia="MS Gothic" w:cs="Arial"/>
        </w:rPr>
        <w:t>packaged and u</w:t>
      </w:r>
      <w:r w:rsidRPr="153A1F7D">
        <w:rPr>
          <w:rStyle w:val="eop"/>
        </w:rPr>
        <w:t>ltra-</w:t>
      </w:r>
      <w:r w:rsidRPr="153A1F7D">
        <w:rPr>
          <w:rStyle w:val="eop"/>
          <w:rFonts w:eastAsia="MS Gothic" w:cs="Arial"/>
        </w:rPr>
        <w:t xml:space="preserve">processed foods and drinks, and reduce </w:t>
      </w:r>
      <w:r w:rsidRPr="00794E24">
        <w:rPr>
          <w:rStyle w:val="eop"/>
        </w:rPr>
        <w:t>food waste. The Implementing Healthy Choices guidelines for environmentally sustainable food and drinks Practice Note provides guidance on implementing the Healthy Choices policy framework for health and environmental sustainability outcomes.</w:t>
      </w:r>
    </w:p>
    <w:p w14:paraId="65C8E8B6" w14:textId="77777777" w:rsidR="00D42E01" w:rsidRPr="00794E24" w:rsidRDefault="00D42E01" w:rsidP="00794E24">
      <w:pPr>
        <w:pStyle w:val="Body"/>
        <w:rPr>
          <w:rStyle w:val="eop"/>
        </w:rPr>
      </w:pPr>
      <w:r w:rsidRPr="00794E24">
        <w:rPr>
          <w:rStyle w:val="eop"/>
        </w:rPr>
        <w:t>Eating locally grown fruits and vegetables and limiting consumption of animal-based foods is good for health and the environment.</w:t>
      </w:r>
      <w:r w:rsidRPr="00794E24" w:rsidDel="00386286">
        <w:rPr>
          <w:rStyle w:val="eop"/>
        </w:rPr>
        <w:t xml:space="preserve"> </w:t>
      </w:r>
      <w:r w:rsidRPr="00794E24">
        <w:rPr>
          <w:rStyle w:val="eop"/>
        </w:rPr>
        <w:t>Reducing consumption of packaged discretionary and ultra-processed foods and drinks improves health outcomes and reduces carbon emissions. A population shift to</w:t>
      </w:r>
      <w:r w:rsidRPr="00794E24" w:rsidDel="00221249">
        <w:rPr>
          <w:rStyle w:val="eop"/>
        </w:rPr>
        <w:t xml:space="preserve"> </w:t>
      </w:r>
      <w:r w:rsidRPr="00794E24">
        <w:rPr>
          <w:rStyle w:val="eop"/>
        </w:rPr>
        <w:t xml:space="preserve">dietary patterns in line with the Australian Dietary Guidelines, and reduced food waste across the food system from production to consumption, delivers health and environmental co-benefits. </w:t>
      </w:r>
    </w:p>
    <w:p w14:paraId="67946B2D" w14:textId="77777777" w:rsidR="00D42E01" w:rsidRDefault="00D42E01" w:rsidP="00D42E01">
      <w:pPr>
        <w:pStyle w:val="Body"/>
      </w:pPr>
      <w:r w:rsidRPr="153A1F7D">
        <w:rPr>
          <w:rStyle w:val="eop"/>
          <w:rFonts w:eastAsia="MS Gothic" w:cs="Arial"/>
        </w:rPr>
        <w:t>The Catering for Good Directory</w:t>
      </w:r>
      <w:r>
        <w:rPr>
          <w:rStyle w:val="eop"/>
          <w:rFonts w:eastAsia="MS Gothic" w:cs="Arial"/>
        </w:rPr>
        <w:t xml:space="preserve"> (the Directory)</w:t>
      </w:r>
      <w:r w:rsidRPr="153A1F7D">
        <w:rPr>
          <w:rStyle w:val="eop"/>
          <w:rFonts w:eastAsia="MS Gothic" w:cs="Arial"/>
        </w:rPr>
        <w:t xml:space="preserve"> </w:t>
      </w:r>
      <w:r w:rsidRPr="00FB3E00">
        <w:rPr>
          <w:rStyle w:val="eop"/>
          <w:rFonts w:eastAsia="MS Gothic" w:cs="Arial"/>
        </w:rPr>
        <w:t xml:space="preserve">makes it easier for Victorian organisations to deliver on healthier and more sustainable food procurement and delivers on social outcomes by considering caterers that are certified social enterprises and Aboriginal and Torres Strait Islander owned businesses. Funded </w:t>
      </w:r>
      <w:r>
        <w:rPr>
          <w:rStyle w:val="eop"/>
          <w:rFonts w:eastAsia="MS Gothic" w:cs="Arial"/>
        </w:rPr>
        <w:t>CH-HP agencies</w:t>
      </w:r>
      <w:r w:rsidRPr="00FB3E00">
        <w:rPr>
          <w:rStyle w:val="eop"/>
          <w:rFonts w:eastAsia="MS Gothic" w:cs="Arial"/>
        </w:rPr>
        <w:t xml:space="preserve"> are not only encouraged to order from the caterers on the Directory for their organisational catering, they are also encouraged to use the Catering for Good Toolkit for health promoters to engage and support new caterers in their local community to be listed on the Directory. In addition, funded </w:t>
      </w:r>
      <w:r>
        <w:rPr>
          <w:rStyle w:val="eop"/>
          <w:rFonts w:eastAsia="MS Gothic" w:cs="Arial"/>
        </w:rPr>
        <w:t>CH-HP agencies</w:t>
      </w:r>
      <w:r w:rsidRPr="00FB3E00">
        <w:rPr>
          <w:rStyle w:val="eop"/>
          <w:rFonts w:eastAsia="MS Gothic" w:cs="Arial"/>
        </w:rPr>
        <w:t xml:space="preserve"> are encouraged to lead by example and develop their own healthy and more sustainable organisational catering policy</w:t>
      </w:r>
      <w:r w:rsidRPr="153A1F7D">
        <w:t>.</w:t>
      </w:r>
    </w:p>
    <w:p w14:paraId="534A288A" w14:textId="77777777" w:rsidR="002F246A" w:rsidRPr="00BF0CD2" w:rsidRDefault="002F246A" w:rsidP="00BF0CD2">
      <w:pPr>
        <w:pStyle w:val="Heading5"/>
        <w:rPr>
          <w:rStyle w:val="eop"/>
        </w:rPr>
      </w:pPr>
      <w:r w:rsidRPr="00BF0CD2">
        <w:rPr>
          <w:rStyle w:val="eop"/>
        </w:rPr>
        <w:t xml:space="preserve">Increasing active living </w:t>
      </w:r>
    </w:p>
    <w:p w14:paraId="5F020E3F" w14:textId="77777777" w:rsidR="002F246A" w:rsidRPr="00794E24" w:rsidRDefault="002F246A" w:rsidP="00794E24">
      <w:pPr>
        <w:pStyle w:val="Body"/>
        <w:rPr>
          <w:rStyle w:val="eop"/>
        </w:rPr>
      </w:pPr>
      <w:r w:rsidRPr="00794E24">
        <w:rPr>
          <w:rStyle w:val="eop"/>
        </w:rPr>
        <w:t xml:space="preserve">Increased use of active and public transport improves health and wellbeing outcomes through increased physical activity and delivers climate change mitigation co-benefits by reducing the number of trips by car and reducing emissions. It can also produce additional health co-benefits through improvements to air quality. </w:t>
      </w:r>
    </w:p>
    <w:p w14:paraId="6CE9781A" w14:textId="77777777" w:rsidR="002F246A" w:rsidRPr="00794E24" w:rsidRDefault="002F246A" w:rsidP="00794E24">
      <w:pPr>
        <w:pStyle w:val="Body"/>
        <w:rPr>
          <w:rStyle w:val="eop"/>
        </w:rPr>
      </w:pPr>
      <w:r w:rsidRPr="00794E24">
        <w:rPr>
          <w:rStyle w:val="eop"/>
        </w:rPr>
        <w:lastRenderedPageBreak/>
        <w:t xml:space="preserve">Climate change and the increasing number of hot days will impact the environments used for active transport and active recreation, reducing physical activity. Climate change adaptation initiatives such as shading, urban greening and cooling strategies and green-blue infrastructure (e.g. trees, green walls, parks, rain gardens, wetlands and waterways) will increase climate resilience and enable communities to continue using their local environments for active living. </w:t>
      </w:r>
    </w:p>
    <w:p w14:paraId="53B168E4" w14:textId="77777777" w:rsidR="002F246A" w:rsidRDefault="002F246A" w:rsidP="00794E24">
      <w:pPr>
        <w:pStyle w:val="Body"/>
        <w:rPr>
          <w:rStyle w:val="eop"/>
          <w:rFonts w:eastAsia="MS Gothic" w:cs="Arial"/>
        </w:rPr>
      </w:pPr>
      <w:r w:rsidRPr="00794E24">
        <w:rPr>
          <w:rStyle w:val="eop"/>
        </w:rPr>
        <w:t>CH-HP agencies can take action to increase access to end of trip facilities at their</w:t>
      </w:r>
      <w:r w:rsidRPr="153A1F7D">
        <w:rPr>
          <w:rStyle w:val="eop"/>
          <w:rFonts w:eastAsia="MS Gothic" w:cs="Arial"/>
        </w:rPr>
        <w:t xml:space="preserve"> own </w:t>
      </w:r>
      <w:r>
        <w:rPr>
          <w:rStyle w:val="eop"/>
          <w:rFonts w:eastAsia="MS Gothic" w:cs="Arial"/>
        </w:rPr>
        <w:t xml:space="preserve">organisations </w:t>
      </w:r>
      <w:r w:rsidRPr="153A1F7D">
        <w:rPr>
          <w:rStyle w:val="eop"/>
          <w:rFonts w:eastAsia="MS Gothic" w:cs="Arial"/>
        </w:rPr>
        <w:t>for clients</w:t>
      </w:r>
      <w:r>
        <w:rPr>
          <w:rStyle w:val="eop"/>
          <w:rFonts w:eastAsia="MS Gothic" w:cs="Arial"/>
        </w:rPr>
        <w:t>, community members</w:t>
      </w:r>
      <w:r w:rsidRPr="153A1F7D">
        <w:rPr>
          <w:rStyle w:val="eop"/>
          <w:rFonts w:eastAsia="MS Gothic" w:cs="Arial"/>
        </w:rPr>
        <w:t xml:space="preserve"> and staff, and support action and advocacy for safe walking and cycling routes and increased shading, greening and blue-green infrastructure.</w:t>
      </w:r>
    </w:p>
    <w:p w14:paraId="429A8744" w14:textId="2F0F191D" w:rsidR="007C05B9" w:rsidRPr="000C1193" w:rsidRDefault="007C05B9" w:rsidP="00BF0CD2">
      <w:pPr>
        <w:pStyle w:val="Heading5"/>
        <w:rPr>
          <w:rStyle w:val="eop"/>
        </w:rPr>
      </w:pPr>
      <w:r w:rsidRPr="000C1193">
        <w:rPr>
          <w:rStyle w:val="eop"/>
        </w:rPr>
        <w:t>Achievement Program</w:t>
      </w:r>
      <w:r w:rsidR="00F13FB2" w:rsidRPr="000C1193">
        <w:rPr>
          <w:rStyle w:val="eop"/>
        </w:rPr>
        <w:t>’s climate and health pathway</w:t>
      </w:r>
    </w:p>
    <w:p w14:paraId="7E586C2C" w14:textId="54F349EF" w:rsidR="00427DAE" w:rsidRDefault="0057465A" w:rsidP="00427DAE">
      <w:pPr>
        <w:pStyle w:val="Body"/>
        <w:rPr>
          <w:rStyle w:val="eop"/>
        </w:rPr>
      </w:pPr>
      <w:r w:rsidRPr="153A1F7D">
        <w:rPr>
          <w:rStyle w:val="eop"/>
        </w:rPr>
        <w:t xml:space="preserve">The Achievement Program includes a </w:t>
      </w:r>
      <w:bookmarkStart w:id="17" w:name="_Hlk194495152"/>
      <w:r>
        <w:fldChar w:fldCharType="begin"/>
      </w:r>
      <w:r>
        <w:instrText>HYPERLINK "https://www.achievementprogram.health.vic.gov.au/climate-health" \h</w:instrText>
      </w:r>
      <w:r>
        <w:fldChar w:fldCharType="separate"/>
      </w:r>
      <w:r w:rsidRPr="153A1F7D">
        <w:rPr>
          <w:rStyle w:val="Hyperlink"/>
          <w:rFonts w:cs="Arial"/>
        </w:rPr>
        <w:t>Climate and Hea</w:t>
      </w:r>
      <w:r w:rsidRPr="153A1F7D">
        <w:rPr>
          <w:rStyle w:val="Hyperlink"/>
          <w:rFonts w:cs="Arial"/>
        </w:rPr>
        <w:t>l</w:t>
      </w:r>
      <w:r w:rsidRPr="153A1F7D">
        <w:rPr>
          <w:rStyle w:val="Hyperlink"/>
          <w:rFonts w:cs="Arial"/>
        </w:rPr>
        <w:t>th pathway</w:t>
      </w:r>
      <w:r>
        <w:fldChar w:fldCharType="end"/>
      </w:r>
      <w:bookmarkEnd w:id="17"/>
      <w:r w:rsidRPr="153A1F7D">
        <w:t xml:space="preserve"> </w:t>
      </w:r>
      <w:r w:rsidR="00B16312">
        <w:t>&lt;</w:t>
      </w:r>
      <w:r w:rsidR="00B16312" w:rsidRPr="00B342FC">
        <w:t>https://www.achievementprogram.health.vic.gov.au/climate-health</w:t>
      </w:r>
      <w:r w:rsidR="00B16312">
        <w:t>&gt;</w:t>
      </w:r>
      <w:r w:rsidR="00427DAE">
        <w:t xml:space="preserve"> </w:t>
      </w:r>
      <w:r w:rsidRPr="153A1F7D">
        <w:rPr>
          <w:rStyle w:val="eop"/>
        </w:rPr>
        <w:t>to help members strengthen the environmental sustainability activities already in place and take new actions that support health and wellbeing. The pathway supports members to take six broad climate actions that will also benefit health and wellbeing: Increase active travel; Eat more plants; Reduce waste; Use</w:t>
      </w:r>
      <w:r>
        <w:rPr>
          <w:rStyle w:val="eop"/>
        </w:rPr>
        <w:t xml:space="preserve"> </w:t>
      </w:r>
      <w:r w:rsidR="00427DAE" w:rsidRPr="153A1F7D">
        <w:rPr>
          <w:rStyle w:val="eop"/>
        </w:rPr>
        <w:t xml:space="preserve">less energy; Connect with nature; and Get climate-ready. The six key climate actions are woven into the Health Priority Areas and are presented in separate Climate and Health resources. </w:t>
      </w:r>
    </w:p>
    <w:p w14:paraId="213ADB62" w14:textId="77777777" w:rsidR="00427DAE" w:rsidRDefault="00427DAE" w:rsidP="00427DAE">
      <w:pPr>
        <w:pStyle w:val="Body"/>
        <w:rPr>
          <w:rStyle w:val="eop"/>
        </w:rPr>
      </w:pPr>
      <w:r w:rsidRPr="153A1F7D">
        <w:rPr>
          <w:rStyle w:val="eop"/>
        </w:rPr>
        <w:t xml:space="preserve">Funded </w:t>
      </w:r>
      <w:r>
        <w:rPr>
          <w:rStyle w:val="eop"/>
        </w:rPr>
        <w:t xml:space="preserve">CH-HP </w:t>
      </w:r>
      <w:r w:rsidRPr="153A1F7D">
        <w:rPr>
          <w:rStyle w:val="eop"/>
        </w:rPr>
        <w:t xml:space="preserve">agencies can use this pathway to drive action on climate change and health. </w:t>
      </w:r>
    </w:p>
    <w:p w14:paraId="69FEFAC4" w14:textId="77777777" w:rsidR="00427DAE" w:rsidRPr="000C1193" w:rsidRDefault="00427DAE" w:rsidP="000C1193">
      <w:pPr>
        <w:pStyle w:val="Heading5"/>
        <w:rPr>
          <w:rStyle w:val="eop"/>
        </w:rPr>
      </w:pPr>
      <w:r w:rsidRPr="000C1193">
        <w:rPr>
          <w:rStyle w:val="eop"/>
        </w:rPr>
        <w:t xml:space="preserve">Increasing participation and access in natural spaces </w:t>
      </w:r>
    </w:p>
    <w:p w14:paraId="75E72BEF" w14:textId="77777777" w:rsidR="00427DAE" w:rsidRDefault="00427DAE" w:rsidP="00427DAE">
      <w:pPr>
        <w:pStyle w:val="Body"/>
        <w:rPr>
          <w:rStyle w:val="eop"/>
        </w:rPr>
      </w:pPr>
      <w:r w:rsidRPr="153A1F7D">
        <w:rPr>
          <w:rStyle w:val="eop"/>
        </w:rPr>
        <w:t xml:space="preserve">Fifty-one per cent of Australians who experienced climate-related disasters reported mental health impacts such as </w:t>
      </w:r>
      <w:r w:rsidRPr="000C1193">
        <w:t>feelings of hopelessness and symptoms of anxiety and depression in the 2022 national YouGov poll (Climate Council and Beyond</w:t>
      </w:r>
      <w:r w:rsidRPr="153A1F7D">
        <w:rPr>
          <w:rStyle w:val="eop"/>
        </w:rPr>
        <w:t xml:space="preserve"> Blue, 2023).</w:t>
      </w:r>
      <w:r>
        <w:rPr>
          <w:rStyle w:val="eop"/>
        </w:rPr>
        <w:t xml:space="preserve"> C</w:t>
      </w:r>
      <w:r w:rsidRPr="153A1F7D">
        <w:rPr>
          <w:rStyle w:val="eop"/>
        </w:rPr>
        <w:t xml:space="preserve">reating opportunities for people to connect with and develop a reciprocal relationship with nature can lead to reduced anger, sadness and anxiety. </w:t>
      </w:r>
    </w:p>
    <w:p w14:paraId="408D5DE5" w14:textId="77777777" w:rsidR="00427DAE" w:rsidRDefault="00427DAE" w:rsidP="00427DAE">
      <w:pPr>
        <w:pStyle w:val="Body"/>
        <w:rPr>
          <w:rStyle w:val="eop"/>
        </w:rPr>
      </w:pPr>
      <w:r w:rsidRPr="341EB58C">
        <w:rPr>
          <w:rStyle w:val="eop"/>
        </w:rPr>
        <w:t xml:space="preserve">Fostering climate action and resilience to improve mental wellbeing is a focus in the </w:t>
      </w:r>
      <w:r w:rsidRPr="341EB58C">
        <w:rPr>
          <w:rStyle w:val="eop"/>
          <w:i/>
          <w:iCs/>
        </w:rPr>
        <w:t xml:space="preserve">Wellbeing Strategy (to be released in 2025), </w:t>
      </w:r>
      <w:r w:rsidRPr="341EB58C">
        <w:rPr>
          <w:rStyle w:val="eop"/>
        </w:rPr>
        <w:t>which includes priorities to ‘Integrate wellbeing in the design and development of physical, social and natural infrastructure’ and ‘Increase access to and participation in natural and cultural spaces’.</w:t>
      </w:r>
    </w:p>
    <w:p w14:paraId="0A57ED97" w14:textId="77777777" w:rsidR="00427DAE" w:rsidRDefault="00427DAE" w:rsidP="00427DAE">
      <w:pPr>
        <w:pStyle w:val="Body"/>
        <w:rPr>
          <w:rStyle w:val="eop"/>
        </w:rPr>
      </w:pPr>
      <w:r>
        <w:rPr>
          <w:rStyle w:val="eop"/>
        </w:rPr>
        <w:t>CH-HP agencies</w:t>
      </w:r>
      <w:r w:rsidRPr="153A1F7D">
        <w:rPr>
          <w:rStyle w:val="eop"/>
        </w:rPr>
        <w:t xml:space="preserve"> may deliver or refer people to local programs that facilitate people’s participation in green and blue spaces. Activities may include walking groups, nature bathing, climate cafés and community gardening for horticulture. By participating in nature-based activities, people can also experience social connection and physical health benefits, both protective factors for good mental wellbeing. Further, </w:t>
      </w:r>
      <w:r>
        <w:rPr>
          <w:rStyle w:val="eop"/>
        </w:rPr>
        <w:t>CH-HP agencies</w:t>
      </w:r>
      <w:r w:rsidRPr="153A1F7D">
        <w:rPr>
          <w:rStyle w:val="eop"/>
        </w:rPr>
        <w:t xml:space="preserve"> can look to the wisdom and knowledge of </w:t>
      </w:r>
      <w:r>
        <w:rPr>
          <w:rStyle w:val="eop"/>
        </w:rPr>
        <w:t xml:space="preserve">Aboriginal and Torres Strait Islander </w:t>
      </w:r>
      <w:r w:rsidRPr="43FA6D84">
        <w:rPr>
          <w:rStyle w:val="eop"/>
        </w:rPr>
        <w:t>communities</w:t>
      </w:r>
      <w:r w:rsidRPr="153A1F7D">
        <w:rPr>
          <w:rStyle w:val="eop"/>
        </w:rPr>
        <w:t>, who promote social and emotional wellbeing through their ongoing spiritual and cultural connections to Country.</w:t>
      </w:r>
    </w:p>
    <w:p w14:paraId="1D85B58A" w14:textId="77777777" w:rsidR="00725A9B" w:rsidRPr="00CF2A36" w:rsidRDefault="00725A9B" w:rsidP="00725A9B">
      <w:pPr>
        <w:pStyle w:val="Heading5"/>
        <w:rPr>
          <w:rStyle w:val="eop"/>
          <w:b w:val="0"/>
          <w:bCs w:val="0"/>
        </w:rPr>
      </w:pPr>
      <w:r w:rsidRPr="00CF2A36">
        <w:rPr>
          <w:rStyle w:val="eop"/>
        </w:rPr>
        <w:t>Resources</w:t>
      </w:r>
    </w:p>
    <w:p w14:paraId="2D9226E2" w14:textId="7D9FEB6A" w:rsidR="00725A9B" w:rsidRPr="00CF2A36" w:rsidRDefault="00725A9B" w:rsidP="00725A9B">
      <w:pPr>
        <w:pStyle w:val="Bullet1"/>
        <w:rPr>
          <w:rStyle w:val="eop"/>
        </w:rPr>
      </w:pPr>
      <w:hyperlink r:id="rId25" w:history="1">
        <w:r w:rsidRPr="28D4EB44">
          <w:rPr>
            <w:rStyle w:val="Hyperlink"/>
          </w:rPr>
          <w:t>Tackling-climate-change-impacts-health-municipal-public-health-wellbeing-planning</w:t>
        </w:r>
      </w:hyperlink>
      <w:r>
        <w:t xml:space="preserve"> &lt;</w:t>
      </w:r>
      <w:r w:rsidRPr="00B342FC">
        <w:t>https://www.health.vic.gov.au/publications/tackling-climate-change-impacts-health-municipal-public-health-wellbeing-planning</w:t>
      </w:r>
      <w:r>
        <w:t>&gt;</w:t>
      </w:r>
    </w:p>
    <w:p w14:paraId="5AEA64F9" w14:textId="77777777" w:rsidR="00725A9B" w:rsidRPr="00CF2A36" w:rsidRDefault="00725A9B" w:rsidP="00725A9B">
      <w:pPr>
        <w:pStyle w:val="Bullet1"/>
        <w:rPr>
          <w:rStyle w:val="eop"/>
        </w:rPr>
      </w:pPr>
      <w:r w:rsidRPr="00CF2A36">
        <w:rPr>
          <w:rStyle w:val="eop"/>
        </w:rPr>
        <w:t>Primarily developed for councils when developing their municipal public health and wellbeing plans, but elements are also relevant to</w:t>
      </w:r>
      <w:r>
        <w:rPr>
          <w:rStyle w:val="eop"/>
        </w:rPr>
        <w:t xml:space="preserve"> CH-HP agencies</w:t>
      </w:r>
      <w:r w:rsidRPr="00CF2A36">
        <w:rPr>
          <w:rStyle w:val="eop"/>
        </w:rPr>
        <w:t>. Relevant sections include ‘</w:t>
      </w:r>
      <w:r w:rsidRPr="28D4EB44">
        <w:rPr>
          <w:rStyle w:val="eop"/>
        </w:rPr>
        <w:t>key concepts (pp. 20-23, principles</w:t>
      </w:r>
      <w:r w:rsidRPr="00CF2A36">
        <w:rPr>
          <w:rStyle w:val="eop"/>
        </w:rPr>
        <w:t xml:space="preserve"> and </w:t>
      </w:r>
      <w:r w:rsidRPr="28D4EB44">
        <w:rPr>
          <w:rStyle w:val="eop"/>
        </w:rPr>
        <w:t>enablers’</w:t>
      </w:r>
      <w:r w:rsidRPr="00CF2A36">
        <w:rPr>
          <w:rStyle w:val="eop"/>
        </w:rPr>
        <w:t xml:space="preserve"> (pp. 14-16), ‘Healthy and sustainable food systems’ (pp. </w:t>
      </w:r>
      <w:r w:rsidRPr="28D4EB44">
        <w:rPr>
          <w:rStyle w:val="eop"/>
        </w:rPr>
        <w:t xml:space="preserve">55), and ‘Improving mental health and wellbeing’ (p61-62) </w:t>
      </w:r>
    </w:p>
    <w:p w14:paraId="6D307920" w14:textId="476307BA" w:rsidR="00725A9B" w:rsidRDefault="00725A9B" w:rsidP="00725A9B">
      <w:pPr>
        <w:pStyle w:val="Bullet1"/>
        <w:rPr>
          <w:rStyle w:val="eop"/>
        </w:rPr>
      </w:pPr>
      <w:hyperlink r:id="rId26">
        <w:r w:rsidRPr="28D4EB44">
          <w:rPr>
            <w:rStyle w:val="Hyperlink"/>
            <w:rFonts w:cs="Arial"/>
          </w:rPr>
          <w:t>Climate change and health: B</w:t>
        </w:r>
        <w:r w:rsidRPr="28D4EB44">
          <w:rPr>
            <w:rStyle w:val="Hyperlink"/>
            <w:rFonts w:cs="Arial"/>
          </w:rPr>
          <w:t>e</w:t>
        </w:r>
        <w:r w:rsidRPr="28D4EB44">
          <w:rPr>
            <w:rStyle w:val="Hyperlink"/>
            <w:rFonts w:cs="Arial"/>
          </w:rPr>
          <w:t>tter Health Channel</w:t>
        </w:r>
      </w:hyperlink>
      <w:r>
        <w:t xml:space="preserve"> &lt;</w:t>
      </w:r>
      <w:r w:rsidRPr="00B342FC">
        <w:t>https://www.betterhealth.vic.gov.au/health/healthyliving/climate-change-and-health</w:t>
      </w:r>
      <w:r>
        <w:t>&gt;</w:t>
      </w:r>
    </w:p>
    <w:p w14:paraId="77A3A434" w14:textId="19E18FB1" w:rsidR="00725A9B" w:rsidRPr="00CF2A36" w:rsidRDefault="00725A9B" w:rsidP="00725A9B">
      <w:pPr>
        <w:pStyle w:val="Bullet1"/>
        <w:rPr>
          <w:rStyle w:val="eop"/>
        </w:rPr>
      </w:pPr>
      <w:hyperlink r:id="rId27" w:history="1">
        <w:r w:rsidRPr="00CF2A36">
          <w:rPr>
            <w:rStyle w:val="Hyperlink"/>
            <w:rFonts w:cs="Arial"/>
            <w:szCs w:val="21"/>
          </w:rPr>
          <w:t>Climate change and health - community resources: Health.Vic</w:t>
        </w:r>
      </w:hyperlink>
      <w:r>
        <w:rPr>
          <w:rStyle w:val="Hyperlink"/>
          <w:rFonts w:cs="Arial"/>
          <w:szCs w:val="21"/>
        </w:rPr>
        <w:t xml:space="preserve"> </w:t>
      </w:r>
      <w:r w:rsidRPr="003C2743">
        <w:t>&lt;</w:t>
      </w:r>
      <w:r w:rsidRPr="00B342FC">
        <w:t>https://www.health.vic.gov.au/environmental-health/climate-change-and-health-community-resources</w:t>
      </w:r>
      <w:r w:rsidRPr="003C2743">
        <w:t>&gt;</w:t>
      </w:r>
    </w:p>
    <w:p w14:paraId="5BDF482A" w14:textId="54DA3C79" w:rsidR="00725A9B" w:rsidRDefault="00725A9B" w:rsidP="00725A9B">
      <w:pPr>
        <w:pStyle w:val="Bullet1"/>
        <w:rPr>
          <w:rStyle w:val="eop"/>
        </w:rPr>
      </w:pPr>
      <w:hyperlink r:id="rId28" w:history="1">
        <w:r w:rsidRPr="00CF2A36">
          <w:rPr>
            <w:rStyle w:val="Hyperlink"/>
          </w:rPr>
          <w:t>Victoria’s Climate Change Strategy</w:t>
        </w:r>
      </w:hyperlink>
      <w:r w:rsidRPr="00CF2A36">
        <w:rPr>
          <w:rStyle w:val="eop"/>
        </w:rPr>
        <w:t xml:space="preserve"> </w:t>
      </w:r>
      <w:r>
        <w:rPr>
          <w:rStyle w:val="eop"/>
        </w:rPr>
        <w:t>&lt;</w:t>
      </w:r>
      <w:r w:rsidRPr="00B342FC">
        <w:t>https://www.climatechange.vic.gov.au/victorias-climate-change-strategy</w:t>
      </w:r>
      <w:r>
        <w:t>&gt;</w:t>
      </w:r>
    </w:p>
    <w:p w14:paraId="7C2B3C0B" w14:textId="10D7E8D6" w:rsidR="00725A9B" w:rsidRDefault="00725A9B" w:rsidP="00B16312">
      <w:pPr>
        <w:pStyle w:val="Bullet1"/>
        <w:rPr>
          <w:rStyle w:val="eop"/>
        </w:rPr>
      </w:pPr>
      <w:hyperlink r:id="rId29" w:history="1">
        <w:r w:rsidRPr="00491A96">
          <w:rPr>
            <w:rStyle w:val="Hyperlink"/>
          </w:rPr>
          <w:t>Catering for Good</w:t>
        </w:r>
      </w:hyperlink>
      <w:r>
        <w:rPr>
          <w:rStyle w:val="eop"/>
        </w:rPr>
        <w:t xml:space="preserve"> &lt;</w:t>
      </w:r>
      <w:r w:rsidR="00B16312" w:rsidRPr="00B342FC">
        <w:t>https://heas.health.vic.gov.au/catering-for-good/directory/</w:t>
      </w:r>
      <w:r>
        <w:rPr>
          <w:rStyle w:val="eop"/>
        </w:rPr>
        <w:t>&gt;</w:t>
      </w:r>
      <w:r w:rsidR="00B16312">
        <w:rPr>
          <w:rStyle w:val="eop"/>
        </w:rPr>
        <w:t xml:space="preserve">, including the Catering for Good Toolkit. </w:t>
      </w:r>
    </w:p>
    <w:p w14:paraId="3A82E84B" w14:textId="57A8EBE9" w:rsidR="004E5C25" w:rsidRDefault="00725A9B" w:rsidP="004E5C25">
      <w:pPr>
        <w:pStyle w:val="Bullet1"/>
        <w:rPr>
          <w:rStyle w:val="eop"/>
        </w:rPr>
      </w:pPr>
      <w:hyperlink r:id="rId30" w:history="1">
        <w:r w:rsidRPr="007C046D">
          <w:rPr>
            <w:rStyle w:val="Hyperlink"/>
          </w:rPr>
          <w:t>Healthy and more sustainable food procurement</w:t>
        </w:r>
      </w:hyperlink>
      <w:r>
        <w:t xml:space="preserve"> </w:t>
      </w:r>
      <w:r w:rsidR="00B16312">
        <w:t>&lt;</w:t>
      </w:r>
      <w:r w:rsidR="00B16312" w:rsidRPr="00B342FC">
        <w:t>https://www.health.vic.gov.au/public-health/healthy-and-more-sustainable-food-procurement</w:t>
      </w:r>
      <w:r>
        <w:t xml:space="preserve">&gt; </w:t>
      </w:r>
      <w:r w:rsidR="007D46FA">
        <w:t>. A p</w:t>
      </w:r>
      <w:r w:rsidRPr="007A1D2D">
        <w:rPr>
          <w:rStyle w:val="eop"/>
        </w:rPr>
        <w:t xml:space="preserve">olicy template and guide </w:t>
      </w:r>
      <w:r w:rsidR="007D46FA">
        <w:rPr>
          <w:rStyle w:val="eop"/>
        </w:rPr>
        <w:t xml:space="preserve">is </w:t>
      </w:r>
      <w:r w:rsidRPr="007A1D2D">
        <w:rPr>
          <w:rStyle w:val="eop"/>
        </w:rPr>
        <w:t>available</w:t>
      </w:r>
      <w:r w:rsidR="007D46FA">
        <w:rPr>
          <w:rStyle w:val="eop"/>
        </w:rPr>
        <w:t>.</w:t>
      </w:r>
    </w:p>
    <w:p w14:paraId="6C2EA4F6" w14:textId="048C5D6C" w:rsidR="007D46FA" w:rsidRDefault="007D46FA" w:rsidP="007D46FA">
      <w:pPr>
        <w:pStyle w:val="Heading4"/>
      </w:pPr>
      <w:r>
        <w:t>Promoting social connection and inclusion</w:t>
      </w:r>
    </w:p>
    <w:p w14:paraId="597A917E" w14:textId="77777777" w:rsidR="004A341E" w:rsidRPr="00D8333D" w:rsidRDefault="004A341E" w:rsidP="004A341E">
      <w:pPr>
        <w:pStyle w:val="Body"/>
      </w:pPr>
      <w:r w:rsidRPr="153A1F7D">
        <w:t xml:space="preserve">Social connection and inclusion are key protective factors for mental wellbeing, in addition to having positive effects on a range of other health and wellbeing outcomes such as increased physical activity and other health promoting behaviours (Mamatis et al. 2019).  </w:t>
      </w:r>
    </w:p>
    <w:p w14:paraId="4E2C871C" w14:textId="77777777" w:rsidR="004A341E" w:rsidRDefault="004A341E" w:rsidP="004A341E">
      <w:pPr>
        <w:pStyle w:val="Body"/>
      </w:pPr>
      <w:r w:rsidRPr="341EB58C">
        <w:t xml:space="preserve">As part of the recommendations from the Royal Commission into Victoria’s Mental Health System, the Victorian Government established the Wellbeing Promotion Office. The Wellbeing Promotion Office is leading the development of </w:t>
      </w:r>
      <w:r w:rsidRPr="341EB58C">
        <w:rPr>
          <w:i/>
          <w:iCs/>
        </w:rPr>
        <w:t xml:space="preserve">Wellbeing Strategy (to be released in 2025), </w:t>
      </w:r>
      <w:r w:rsidRPr="341EB58C">
        <w:t xml:space="preserve">a 10-year strategy for promoting wellbeing, reducing the prevalence of mental distress, suicidality and alcohol and drug-related harms. From a series of consultations, people in Victoria expressed the need to feel connected to each other, our communities, cultures and the spaces around us. They also expressed the need to be safe and respected for who they are to experience good mental wellbeing. Related priorities of the </w:t>
      </w:r>
      <w:r w:rsidRPr="341EB58C">
        <w:rPr>
          <w:i/>
          <w:iCs/>
        </w:rPr>
        <w:t>Wellbeing Strategy (to be released in 2025)</w:t>
      </w:r>
      <w:r w:rsidRPr="341EB58C">
        <w:t xml:space="preserve"> include:  </w:t>
      </w:r>
    </w:p>
    <w:p w14:paraId="52982DFE" w14:textId="77777777" w:rsidR="00CA1EC1" w:rsidRDefault="00CA1EC1" w:rsidP="00CA1EC1">
      <w:pPr>
        <w:pStyle w:val="Bullet1"/>
      </w:pPr>
      <w:r w:rsidRPr="4A436BD5">
        <w:t>Increasing access to and participation in natural and cultural spaces</w:t>
      </w:r>
    </w:p>
    <w:p w14:paraId="33294450" w14:textId="77777777" w:rsidR="00CA1EC1" w:rsidRPr="00DC37CD" w:rsidRDefault="00CA1EC1" w:rsidP="00CA1EC1">
      <w:pPr>
        <w:pStyle w:val="Bullet1"/>
      </w:pPr>
      <w:r w:rsidRPr="00DC37CD">
        <w:t>Embedding respect and inclusion in communities and organisations</w:t>
      </w:r>
    </w:p>
    <w:p w14:paraId="512E7F23" w14:textId="77777777" w:rsidR="00CA1EC1" w:rsidRPr="00DC37CD" w:rsidRDefault="00CA1EC1" w:rsidP="00CA1EC1">
      <w:pPr>
        <w:pStyle w:val="Bullet1"/>
      </w:pPr>
      <w:r w:rsidRPr="00DC37CD">
        <w:t>Supporting connected communities.</w:t>
      </w:r>
    </w:p>
    <w:p w14:paraId="7FD045E4" w14:textId="77777777" w:rsidR="00CA1EC1" w:rsidRDefault="00CA1EC1" w:rsidP="00CA1EC1">
      <w:pPr>
        <w:pStyle w:val="Body"/>
      </w:pPr>
      <w:r w:rsidRPr="341EB58C">
        <w:t xml:space="preserve">The </w:t>
      </w:r>
      <w:r w:rsidRPr="341EB58C">
        <w:rPr>
          <w:i/>
          <w:iCs/>
        </w:rPr>
        <w:t>Wellbeing Strategy (to be released in 2025)</w:t>
      </w:r>
      <w:r w:rsidRPr="341EB58C">
        <w:t xml:space="preserve"> and associated Wellbeing Action Plans aim to support primary prevention efforts to strengthen wellbeing through collective action. CH-HP agencies are encouraged to align their priorities with the </w:t>
      </w:r>
      <w:r w:rsidRPr="341EB58C">
        <w:rPr>
          <w:i/>
          <w:iCs/>
        </w:rPr>
        <w:t>Wellbeing Strategy (to be released in 2025)</w:t>
      </w:r>
      <w:r w:rsidRPr="341EB58C">
        <w:t xml:space="preserve"> and consider how social connection and inclusion can be promoted through activities across the ecological model of health (see Appendix two). Place-based partnerships across sectors are encouraged to achieve these priorities. Examples of actions for CH-HP agencies include but are not limited to, delivery or referral of individuals to social prescribing supports (e.g. individual level), providing education to increase understanding and reduce stigma around loneliness and social isolation in their community, and partnering with organisations to create conditions for everyone, regardless of their background, identity or circumstances, to fully participate and feel valued in society (e.g. societal level). This includes promoting people’s access to economic, social and cultural opportunities.</w:t>
      </w:r>
    </w:p>
    <w:p w14:paraId="55636787" w14:textId="46C393DA" w:rsidR="007D46FA" w:rsidRPr="007D46FA" w:rsidRDefault="00CA1EC1" w:rsidP="007D46FA">
      <w:pPr>
        <w:pStyle w:val="Body"/>
      </w:pPr>
      <w:r w:rsidRPr="00D8333D">
        <w:t xml:space="preserve">The program logic model also acknowledges the importance of social inclusion as a determinant of other health and wellbeing issues, such as the focus areas of the </w:t>
      </w:r>
      <w:r w:rsidRPr="005C4671">
        <w:rPr>
          <w:i/>
          <w:iCs/>
        </w:rPr>
        <w:t>Victorian public health and wellbeing plan 2023</w:t>
      </w:r>
      <w:r w:rsidRPr="5CF0B45F">
        <w:rPr>
          <w:i/>
          <w:iCs/>
        </w:rPr>
        <w:t>-2027</w:t>
      </w:r>
      <w:r w:rsidRPr="4A436BD5">
        <w:rPr>
          <w:i/>
          <w:iCs/>
        </w:rPr>
        <w:t>.</w:t>
      </w:r>
    </w:p>
    <w:p w14:paraId="731181E5" w14:textId="25AE9A6E" w:rsidR="00144A20" w:rsidRDefault="00942F95" w:rsidP="00313862">
      <w:pPr>
        <w:pStyle w:val="Heading2"/>
      </w:pPr>
      <w:bookmarkStart w:id="18" w:name="_Toc194663088"/>
      <w:r>
        <w:t xml:space="preserve">Practice </w:t>
      </w:r>
      <w:r w:rsidRPr="00313862">
        <w:t>principles</w:t>
      </w:r>
      <w:bookmarkEnd w:id="18"/>
    </w:p>
    <w:p w14:paraId="15801A8B" w14:textId="77777777" w:rsidR="00144A20" w:rsidRDefault="00144A20" w:rsidP="00144A20">
      <w:pPr>
        <w:pStyle w:val="Body"/>
      </w:pPr>
      <w:r w:rsidRPr="003F35CC">
        <w:t xml:space="preserve">This section offers a guiding explanation of the </w:t>
      </w:r>
      <w:r>
        <w:t xml:space="preserve">three </w:t>
      </w:r>
      <w:r w:rsidRPr="003F35CC">
        <w:t xml:space="preserve">practice principles, which </w:t>
      </w:r>
      <w:r>
        <w:t xml:space="preserve">underpin the operations of the program’s intent and </w:t>
      </w:r>
      <w:r w:rsidRPr="003F35CC">
        <w:t>are essential for ensuring good practice</w:t>
      </w:r>
      <w:r>
        <w:t>.</w:t>
      </w:r>
    </w:p>
    <w:p w14:paraId="6E86F82C" w14:textId="77777777" w:rsidR="00144A20" w:rsidRDefault="00144A20" w:rsidP="00144A20">
      <w:pPr>
        <w:pStyle w:val="Bullet1"/>
      </w:pPr>
      <w:r w:rsidRPr="003F35CC">
        <w:t>Local collaboration and community engagement</w:t>
      </w:r>
    </w:p>
    <w:p w14:paraId="1D470B38" w14:textId="77777777" w:rsidR="00144A20" w:rsidRDefault="00144A20" w:rsidP="00144A20">
      <w:pPr>
        <w:pStyle w:val="Bullet1"/>
        <w:rPr>
          <w:rStyle w:val="eop"/>
          <w:rFonts w:eastAsia="MS Mincho" w:cs="Arial"/>
          <w:szCs w:val="21"/>
        </w:rPr>
      </w:pPr>
      <w:r w:rsidRPr="003F35CC">
        <w:rPr>
          <w:rStyle w:val="normaltextrun"/>
          <w:rFonts w:eastAsia="MS Gothic" w:cs="Arial"/>
          <w:szCs w:val="21"/>
        </w:rPr>
        <w:t>Intersectional health equity lens</w:t>
      </w:r>
      <w:r w:rsidRPr="003F35CC">
        <w:rPr>
          <w:rStyle w:val="eop"/>
          <w:rFonts w:eastAsia="MS Mincho" w:cs="Arial"/>
          <w:szCs w:val="21"/>
        </w:rPr>
        <w:t> </w:t>
      </w:r>
    </w:p>
    <w:p w14:paraId="23241574" w14:textId="5ECF4478" w:rsidR="00A54779" w:rsidRPr="00785B04" w:rsidRDefault="00144A20" w:rsidP="00785B04">
      <w:pPr>
        <w:pStyle w:val="Bullet1"/>
        <w:rPr>
          <w:rFonts w:eastAsia="MS Mincho" w:cs="Arial"/>
          <w:szCs w:val="21"/>
        </w:rPr>
      </w:pPr>
      <w:r w:rsidRPr="00144A20">
        <w:rPr>
          <w:rStyle w:val="eop"/>
          <w:rFonts w:eastAsia="MS Mincho" w:cs="Arial"/>
          <w:szCs w:val="21"/>
        </w:rPr>
        <w:lastRenderedPageBreak/>
        <w:t>Place-based approaches</w:t>
      </w:r>
    </w:p>
    <w:p w14:paraId="3A502311" w14:textId="43955A96" w:rsidR="00152329" w:rsidRDefault="00FD0A44" w:rsidP="00313862">
      <w:pPr>
        <w:pStyle w:val="Heading3"/>
      </w:pPr>
      <w:r>
        <w:t xml:space="preserve">Local collaboration and community engagement </w:t>
      </w:r>
    </w:p>
    <w:p w14:paraId="5DEA79ED" w14:textId="77777777" w:rsidR="00AE07AE" w:rsidRPr="00AE07AE" w:rsidRDefault="00AE07AE" w:rsidP="00AB1EBA">
      <w:pPr>
        <w:pStyle w:val="Body"/>
      </w:pPr>
      <w:r w:rsidRPr="00AE07AE">
        <w:t xml:space="preserve">To ensure a coordinated local prevention effort, funded CH-HP agencies are encouraged to collaborate with other local partners to address priority areas including healthy eating, active living, reducing tobacco and e-cigarette related harm and improving wellbeing. Municipal public health and wellbeing plans continue to form the building blocks for planning at a local level. These plans are a legislated requirement and must have regard to the Victorian public health and wellbeing plan 2023-2027. </w:t>
      </w:r>
      <w:r w:rsidRPr="00AE07AE" w:rsidDel="0046106C">
        <w:t>They</w:t>
      </w:r>
      <w:r w:rsidRPr="00AE07AE">
        <w:t xml:space="preserve"> include goals and strategies for helping to achieve health and wellbeing, outline how the community will be involved and how the plan will be executed in partnership with relevant agencies. The alignment of prevention and health promotion planning to municipal public health and wellbeing plans will strengthen collaborative efforts in local communities</w:t>
      </w:r>
      <w:r w:rsidRPr="00AE07AE">
        <w:rPr>
          <w:rStyle w:val="normaltextrun"/>
          <w:rFonts w:eastAsia="Arial" w:cs="Arial"/>
          <w:color w:val="000000" w:themeColor="text1"/>
          <w:szCs w:val="21"/>
        </w:rPr>
        <w:t>.  </w:t>
      </w:r>
    </w:p>
    <w:p w14:paraId="075471D0" w14:textId="77777777" w:rsidR="00AE07AE" w:rsidRPr="00AE07AE" w:rsidRDefault="00AE07AE" w:rsidP="00AB1EBA">
      <w:pPr>
        <w:pStyle w:val="Body"/>
        <w:rPr>
          <w:rStyle w:val="eop"/>
          <w:rFonts w:cs="Arial"/>
          <w:szCs w:val="21"/>
        </w:rPr>
      </w:pPr>
      <w:r w:rsidRPr="00AE07AE">
        <w:rPr>
          <w:rStyle w:val="eop"/>
          <w:rFonts w:cs="Arial"/>
          <w:szCs w:val="21"/>
        </w:rPr>
        <w:t xml:space="preserve">LPHUs have developed Population Health Catchment Plans. They will have a role in delivery, supporting and coordinating preventive health in the catchment. They can assist local governments and services to collaboratively plan and deliver share priorities and outcomes. </w:t>
      </w:r>
    </w:p>
    <w:p w14:paraId="4D9EDD94" w14:textId="77777777" w:rsidR="00AE07AE" w:rsidRPr="00AE07AE" w:rsidRDefault="00AE07AE" w:rsidP="00AB1EBA">
      <w:pPr>
        <w:pStyle w:val="Body"/>
      </w:pPr>
      <w:r w:rsidRPr="00AE07AE">
        <w:rPr>
          <w:rStyle w:val="normaltextrun"/>
          <w:rFonts w:cs="Arial"/>
          <w:szCs w:val="21"/>
        </w:rPr>
        <w:t>Local organisations are encouraged to pool resources and effort, where appropriate, to maximise impact and investment. Initiatives should focus on changing the local context for the long term, addressing the underlying determinants and recognise that delivering multiple and mutually reinforcing interventions and ‘joined-up’ action through cross-sector efforts is mostly likely to achieve sustained impact. The integration of climate change to leverage improvements in healthy eating and active living expands potential partnerships for initiatives and opens other sources of funding for programs.   </w:t>
      </w:r>
    </w:p>
    <w:p w14:paraId="62A74643" w14:textId="77777777" w:rsidR="00AE07AE" w:rsidRPr="00AE07AE" w:rsidRDefault="00AE07AE" w:rsidP="00AB1EBA">
      <w:pPr>
        <w:pStyle w:val="Body"/>
        <w:rPr>
          <w:rStyle w:val="normaltextrun"/>
          <w:rFonts w:cs="Arial"/>
          <w:szCs w:val="21"/>
        </w:rPr>
      </w:pPr>
      <w:r w:rsidRPr="00AE07AE">
        <w:rPr>
          <w:rStyle w:val="normaltextrun"/>
          <w:rFonts w:cs="Arial"/>
          <w:szCs w:val="21"/>
        </w:rPr>
        <w:t>Collaborative approaches to the preparation of planning and reporting documentation are encouraged. Please note that the planning and reporting requirements outlined in these guidelines must be met, and the documentation of shared plans and reports must clearly identify the contribution from each funded agency.  </w:t>
      </w:r>
    </w:p>
    <w:p w14:paraId="463F6DD4" w14:textId="77777777" w:rsidR="00AE07AE" w:rsidRPr="00AE07AE" w:rsidRDefault="00AE07AE" w:rsidP="00AB1EBA">
      <w:pPr>
        <w:pStyle w:val="Body"/>
        <w:rPr>
          <w:rStyle w:val="normaltextrun"/>
          <w:rFonts w:cs="Arial"/>
        </w:rPr>
      </w:pPr>
      <w:r w:rsidRPr="00AE07AE">
        <w:rPr>
          <w:rStyle w:val="normaltextrun"/>
          <w:rFonts w:cs="Arial"/>
          <w:szCs w:val="21"/>
        </w:rPr>
        <w:t xml:space="preserve">Partnerships between local agencies and ACCOs and Aboriginal and Torres Strait Islander communities are fundamental to improving prevention activities and improving population health outcomes.  Partnerships provide the foundation for Aboriginal and Torres Strait Islander self-determination, shared power and decision making and cultural safety. The </w:t>
      </w:r>
      <w:hyperlink r:id="rId31">
        <w:r w:rsidRPr="00AE07AE">
          <w:rPr>
            <w:rStyle w:val="Hyperlink"/>
            <w:rFonts w:cs="Arial"/>
            <w:color w:val="auto"/>
            <w:szCs w:val="21"/>
            <w:u w:val="none"/>
          </w:rPr>
          <w:t>Guidelines for engagement between Local Public Health Units and the Aboriginal Community-Controlled Health Sector</w:t>
        </w:r>
      </w:hyperlink>
      <w:r w:rsidRPr="00AE07AE">
        <w:t xml:space="preserve"> </w:t>
      </w:r>
      <w:r w:rsidRPr="00AE07AE">
        <w:rPr>
          <w:rStyle w:val="normaltextrun"/>
          <w:rFonts w:cs="Arial"/>
          <w:szCs w:val="21"/>
        </w:rPr>
        <w:t xml:space="preserve">and </w:t>
      </w:r>
      <w:hyperlink r:id="rId32">
        <w:r w:rsidRPr="00AE07AE">
          <w:rPr>
            <w:rStyle w:val="Hyperlink"/>
            <w:rFonts w:cs="Arial"/>
            <w:color w:val="auto"/>
            <w:szCs w:val="21"/>
            <w:u w:val="none"/>
          </w:rPr>
          <w:t>Victorian Government and Local Government Strategy</w:t>
        </w:r>
      </w:hyperlink>
      <w:r w:rsidRPr="00AE07AE">
        <w:rPr>
          <w:rStyle w:val="normaltextrun"/>
          <w:rFonts w:cs="Arial"/>
          <w:szCs w:val="21"/>
        </w:rPr>
        <w:t xml:space="preserve"> provide practical guidance to embed the voices and priorities of local Aboriginal and Torres Strait Islander communities into health program planning and implementation.</w:t>
      </w:r>
    </w:p>
    <w:p w14:paraId="3CA1BBC6" w14:textId="70EA40B6" w:rsidR="00FD0A44" w:rsidRDefault="00FD0A44" w:rsidP="00FD0A44">
      <w:pPr>
        <w:pStyle w:val="Heading4"/>
      </w:pPr>
      <w:r>
        <w:t>Intersectional health equity lens</w:t>
      </w:r>
    </w:p>
    <w:p w14:paraId="58DD58AC" w14:textId="77777777" w:rsidR="00EA6638" w:rsidRDefault="00EA6638" w:rsidP="00AB1EBA">
      <w:pPr>
        <w:pStyle w:val="Body"/>
        <w:rPr>
          <w:rStyle w:val="normaltextrun"/>
          <w:rFonts w:cs="Arial"/>
          <w:szCs w:val="21"/>
        </w:rPr>
      </w:pPr>
      <w:r w:rsidRPr="00EA6638">
        <w:rPr>
          <w:rStyle w:val="normaltextrun"/>
          <w:rFonts w:cs="Arial"/>
          <w:szCs w:val="21"/>
        </w:rPr>
        <w:t xml:space="preserve">A gender impact assessment was conducted on the program which recommended a strengthened focus in the guidelines on the importance of intersectionality, health equity and the determinants of health. The </w:t>
      </w:r>
      <w:r w:rsidRPr="00EA6638">
        <w:rPr>
          <w:rStyle w:val="normaltextrun"/>
          <w:rFonts w:cs="Arial"/>
          <w:i/>
          <w:iCs/>
          <w:szCs w:val="21"/>
        </w:rPr>
        <w:t>Victorian public health and wellbeing plan 2023-2027</w:t>
      </w:r>
      <w:r w:rsidRPr="00EA6638">
        <w:rPr>
          <w:rStyle w:val="normaltextrun"/>
          <w:rFonts w:cs="Arial"/>
          <w:szCs w:val="21"/>
        </w:rPr>
        <w:t xml:space="preserve"> recognises the importance of the wider determinants of health (Figure 2) and are integral to the long-term vision for public health and wellbeing in Victoria and must be considered when delivering health promotion activities locally. The program has an important role in impacting the environmental and socio-cultural determinants such as healthy settings and social norms.</w:t>
      </w:r>
    </w:p>
    <w:p w14:paraId="76F61B2F" w14:textId="77777777" w:rsidR="00785B04" w:rsidRDefault="00785B04" w:rsidP="00785B04">
      <w:pPr>
        <w:pStyle w:val="Heading5"/>
      </w:pPr>
      <w:r>
        <w:t xml:space="preserve">Potentially vulnerable and disadvantaged populations may include, but are not limited to: </w:t>
      </w:r>
    </w:p>
    <w:p w14:paraId="5A7DE1FE" w14:textId="77777777" w:rsidR="00785B04" w:rsidRPr="00AF43AB" w:rsidRDefault="00785B04" w:rsidP="00785B04">
      <w:pPr>
        <w:pStyle w:val="Bullet1"/>
        <w:rPr>
          <w:lang w:eastAsia="en-GB"/>
        </w:rPr>
      </w:pPr>
      <w:r>
        <w:rPr>
          <w:lang w:eastAsia="en-GB"/>
        </w:rPr>
        <w:t>Aboriginal and Torres Strait Islander</w:t>
      </w:r>
      <w:r w:rsidRPr="28D4EB44">
        <w:rPr>
          <w:lang w:eastAsia="en-GB"/>
        </w:rPr>
        <w:t xml:space="preserve"> communities</w:t>
      </w:r>
    </w:p>
    <w:p w14:paraId="2A53BA4C" w14:textId="77777777" w:rsidR="00785B04" w:rsidRPr="00AF43AB" w:rsidRDefault="00785B04" w:rsidP="00785B04">
      <w:pPr>
        <w:pStyle w:val="Bullet1"/>
        <w:rPr>
          <w:lang w:eastAsia="en-GB"/>
        </w:rPr>
      </w:pPr>
      <w:r w:rsidRPr="251E3353">
        <w:rPr>
          <w:lang w:eastAsia="en-GB"/>
        </w:rPr>
        <w:t>Multicultural communities</w:t>
      </w:r>
    </w:p>
    <w:p w14:paraId="691EB419" w14:textId="77777777" w:rsidR="00785B04" w:rsidRPr="00AF43AB" w:rsidRDefault="00785B04" w:rsidP="00785B04">
      <w:pPr>
        <w:pStyle w:val="Bullet1"/>
        <w:rPr>
          <w:szCs w:val="21"/>
          <w:lang w:eastAsia="en-GB"/>
        </w:rPr>
      </w:pPr>
      <w:r w:rsidRPr="251E3353">
        <w:rPr>
          <w:lang w:eastAsia="en-GB"/>
        </w:rPr>
        <w:t>People of low socioeconomic status</w:t>
      </w:r>
    </w:p>
    <w:p w14:paraId="59F00FA7" w14:textId="77777777" w:rsidR="00785B04" w:rsidRPr="00AF43AB" w:rsidRDefault="00785B04" w:rsidP="00785B04">
      <w:pPr>
        <w:pStyle w:val="Bullet1"/>
        <w:rPr>
          <w:lang w:eastAsia="en-GB"/>
        </w:rPr>
      </w:pPr>
      <w:bookmarkStart w:id="19" w:name="_Hlk115878082"/>
      <w:r w:rsidRPr="00AF43AB">
        <w:rPr>
          <w:lang w:eastAsia="en-GB"/>
        </w:rPr>
        <w:lastRenderedPageBreak/>
        <w:t>People who are homeless</w:t>
      </w:r>
    </w:p>
    <w:p w14:paraId="69955B13" w14:textId="77777777" w:rsidR="00785B04" w:rsidRDefault="00785B04" w:rsidP="00785B04">
      <w:pPr>
        <w:pStyle w:val="Bullet1"/>
        <w:rPr>
          <w:lang w:eastAsia="en-GB"/>
        </w:rPr>
      </w:pPr>
      <w:r w:rsidRPr="00AF43AB">
        <w:rPr>
          <w:lang w:eastAsia="en-GB"/>
        </w:rPr>
        <w:t>People with disabilities</w:t>
      </w:r>
    </w:p>
    <w:p w14:paraId="547FDEE6" w14:textId="3AC2D759" w:rsidR="00785B04" w:rsidRPr="00AB1EBA" w:rsidRDefault="00785B04" w:rsidP="00785B04">
      <w:pPr>
        <w:pStyle w:val="Bullet1"/>
        <w:rPr>
          <w:rFonts w:eastAsia="Times New Roman"/>
          <w:lang w:eastAsia="en-GB"/>
        </w:rPr>
      </w:pPr>
      <w:r w:rsidRPr="00631BF1">
        <w:rPr>
          <w:lang w:eastAsia="en-GB"/>
        </w:rPr>
        <w:t>People who identify as LGBTIQ+.</w:t>
      </w:r>
      <w:bookmarkEnd w:id="19"/>
    </w:p>
    <w:p w14:paraId="01F0823B" w14:textId="77777777" w:rsidR="00AB1EBA" w:rsidRPr="00785B04" w:rsidRDefault="00AB1EBA" w:rsidP="00AB1EBA">
      <w:pPr>
        <w:pStyle w:val="Bullet1"/>
        <w:numPr>
          <w:ilvl w:val="0"/>
          <w:numId w:val="0"/>
        </w:numPr>
        <w:ind w:left="284"/>
        <w:rPr>
          <w:rFonts w:eastAsia="Times New Roman"/>
          <w:lang w:eastAsia="en-GB"/>
        </w:rPr>
      </w:pPr>
    </w:p>
    <w:p w14:paraId="4897119E" w14:textId="77777777" w:rsidR="00785B04" w:rsidRPr="003311DA" w:rsidRDefault="00785B04" w:rsidP="00AB1EBA">
      <w:pPr>
        <w:pStyle w:val="Body"/>
      </w:pPr>
      <w:r w:rsidRPr="153A1F7D">
        <w:rPr>
          <w:rStyle w:val="normaltextrun"/>
          <w:rFonts w:eastAsia="Arial" w:cs="Arial"/>
          <w:color w:val="000000" w:themeColor="text1"/>
        </w:rPr>
        <w:t>Equity is addressed through a combination of universal approaches that impact on the structures and environments that influence our health, alongside targeted approaches to strengthen and support populations. In more recent years, there has been growing interest in intersectionality as an essential lens for studying the social determinants of health, reducing health disparities, and promoting health equity and social justice (Lopez &amp; Gadsen 2016). Alongside targeted interventions, universal interventions will also ensure they reach disadvantaged population groups which are at risk of poor health outcomes. Intersectionality refers to the ways in which different aspects of a person’s identity can expose them to overlapping forms of discrimination and marginalisation. By applying an ‘intersectional health equity lens’ to the focus areas of increasing healthy eating, increasing active living</w:t>
      </w:r>
      <w:r>
        <w:rPr>
          <w:rStyle w:val="normaltextrun"/>
          <w:rFonts w:eastAsia="Arial" w:cs="Arial"/>
          <w:color w:val="000000" w:themeColor="text1"/>
        </w:rPr>
        <w:t xml:space="preserve">, </w:t>
      </w:r>
      <w:r w:rsidRPr="153A1F7D">
        <w:rPr>
          <w:rStyle w:val="normaltextrun"/>
          <w:rFonts w:eastAsia="Arial" w:cs="Arial"/>
          <w:color w:val="000000" w:themeColor="text1"/>
        </w:rPr>
        <w:t>reducing tobacco and e-cigarette related harm</w:t>
      </w:r>
      <w:r>
        <w:rPr>
          <w:rStyle w:val="normaltextrun"/>
          <w:rFonts w:eastAsia="Arial" w:cs="Arial"/>
          <w:color w:val="000000" w:themeColor="text1"/>
        </w:rPr>
        <w:t xml:space="preserve"> and improving wellbeing</w:t>
      </w:r>
      <w:r w:rsidRPr="153A1F7D">
        <w:rPr>
          <w:rStyle w:val="normaltextrun"/>
          <w:rFonts w:eastAsia="Arial" w:cs="Arial"/>
          <w:color w:val="000000" w:themeColor="text1"/>
        </w:rPr>
        <w:t xml:space="preserve"> it is apparent that social determinants such as discrimination, gender, socio-economic status have a role in impacting on health inequalities. Funded agencies are encouraged to apply this lens to their work in both the focus areas and across other health priorities as determined through their 70/30 percent allocation. For example, this means providing more support to settings and population groups that may experience disadvantage.</w:t>
      </w:r>
    </w:p>
    <w:p w14:paraId="668BC219" w14:textId="77777777" w:rsidR="00785B04" w:rsidRDefault="00785B04" w:rsidP="00785B04">
      <w:pPr>
        <w:pStyle w:val="Bullet1"/>
        <w:numPr>
          <w:ilvl w:val="0"/>
          <w:numId w:val="0"/>
        </w:numPr>
        <w:ind w:left="284" w:hanging="284"/>
        <w:rPr>
          <w:rFonts w:eastAsia="Times New Roman"/>
          <w:lang w:eastAsia="en-GB"/>
        </w:rPr>
      </w:pPr>
      <w:r>
        <w:rPr>
          <w:noProof/>
        </w:rPr>
        <w:drawing>
          <wp:inline distT="0" distB="0" distL="0" distR="0" wp14:anchorId="58FB9F8A" wp14:editId="48245E4E">
            <wp:extent cx="3448050" cy="1828551"/>
            <wp:effectExtent l="0" t="0" r="0" b="635"/>
            <wp:docPr id="10" name="Picture 10" descr="Ensuring policies and strategies to promote social equity in health are applied. This means providing more support to settings and population groups that experience disadvant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 descr="Ensuring policies and strategies to promote social equity in health are applied. This means providing more support to settings and population groups that experience disadvantage. "/>
                    <pic:cNvPicPr/>
                  </pic:nvPicPr>
                  <pic:blipFill>
                    <a:blip r:embed="rId33"/>
                    <a:stretch>
                      <a:fillRect/>
                    </a:stretch>
                  </pic:blipFill>
                  <pic:spPr>
                    <a:xfrm>
                      <a:off x="0" y="0"/>
                      <a:ext cx="3459331" cy="1834533"/>
                    </a:xfrm>
                    <a:prstGeom prst="rect">
                      <a:avLst/>
                    </a:prstGeom>
                  </pic:spPr>
                </pic:pic>
              </a:graphicData>
            </a:graphic>
          </wp:inline>
        </w:drawing>
      </w:r>
    </w:p>
    <w:p w14:paraId="3C99E515" w14:textId="62AA14C5" w:rsidR="00785B04" w:rsidRPr="007E45C9" w:rsidRDefault="00785B04" w:rsidP="007E45C9">
      <w:pPr>
        <w:pStyle w:val="Tablecaption"/>
        <w:rPr>
          <w:rStyle w:val="normaltextrun"/>
          <w:rFonts w:eastAsia="Arial" w:cs="Arial"/>
          <w:b w:val="0"/>
          <w:color w:val="000000" w:themeColor="text1"/>
          <w:sz w:val="18"/>
          <w:szCs w:val="18"/>
        </w:rPr>
      </w:pPr>
      <w:r w:rsidRPr="00785B04">
        <w:rPr>
          <w:rStyle w:val="normaltextrun"/>
          <w:rFonts w:eastAsia="MS Gothic" w:cs="Arial"/>
          <w:b w:val="0"/>
          <w:bCs/>
          <w:sz w:val="16"/>
          <w:szCs w:val="16"/>
        </w:rPr>
        <w:t xml:space="preserve">Figure 2: The main determinants of </w:t>
      </w:r>
      <w:r w:rsidRPr="00785B04">
        <w:rPr>
          <w:rStyle w:val="normaltextrun"/>
          <w:rFonts w:eastAsia="Arial" w:cs="Arial"/>
          <w:b w:val="0"/>
          <w:bCs/>
          <w:color w:val="000000" w:themeColor="text1"/>
          <w:sz w:val="16"/>
          <w:szCs w:val="16"/>
        </w:rPr>
        <w:t>health (adapted</w:t>
      </w:r>
      <w:r w:rsidRPr="2C9FEC5A">
        <w:rPr>
          <w:rStyle w:val="normaltextrun"/>
          <w:rFonts w:eastAsia="Arial" w:cs="Arial"/>
          <w:b w:val="0"/>
          <w:color w:val="000000" w:themeColor="text1"/>
          <w:sz w:val="16"/>
          <w:szCs w:val="16"/>
        </w:rPr>
        <w:t xml:space="preserve"> from Dahlgren, G and Whitehead, M 1991, Policies and strategies to promote social equity in health, Stockholm, Sweden: Institute for Future Studies</w:t>
      </w:r>
      <w:r>
        <w:rPr>
          <w:rStyle w:val="normaltextrun"/>
          <w:rFonts w:eastAsia="Arial" w:cs="Arial"/>
          <w:b w:val="0"/>
          <w:color w:val="000000" w:themeColor="text1"/>
          <w:sz w:val="18"/>
          <w:szCs w:val="18"/>
        </w:rPr>
        <w:t>)</w:t>
      </w:r>
    </w:p>
    <w:p w14:paraId="3B42C73A" w14:textId="7A2A3299" w:rsidR="00FD0A44" w:rsidRDefault="00FD0A44" w:rsidP="00FD0A44">
      <w:pPr>
        <w:pStyle w:val="Heading4"/>
      </w:pPr>
      <w:r>
        <w:t>Place-based approaches</w:t>
      </w:r>
    </w:p>
    <w:p w14:paraId="1D6D786D" w14:textId="77777777" w:rsidR="00AB1EBA" w:rsidRPr="00AB1EBA" w:rsidRDefault="00AB1EBA" w:rsidP="00AB1EBA">
      <w:pPr>
        <w:pStyle w:val="Body"/>
        <w:rPr>
          <w:rStyle w:val="normaltextrun"/>
        </w:rPr>
      </w:pPr>
      <w:r w:rsidRPr="00AB1EBA">
        <w:rPr>
          <w:rStyle w:val="normaltextrun"/>
        </w:rPr>
        <w:t xml:space="preserve">A place-based approach recognises that people and places are inter-related and that the places where </w:t>
      </w:r>
      <w:r w:rsidRPr="00AB1EBA">
        <w:t>people spend their time play an important role in shaping their health and wellbeing. Local context is critical as some areas – such as regional and rural areas – face greater challenges to staying healthy and active. A place-based approach considers local needs and local priorities, engages the community as an active partner in developing solutions, and maximises value by leveraging multiple networks, investments and activities to deliver the best outcomes for communities. Literature on successful place-based social equity initiatives shows that depth of effort is achieved when activities are focused on a geographically bounded or defined area over a long term. Programs and resources going into a geographical location are both concentrated and sustained at the same time. Activities can also achieve breadth in this way, because any given place will contain several different settings for intervention (Victorian Government, 2020).</w:t>
      </w:r>
      <w:r w:rsidRPr="00AB1EBA">
        <w:rPr>
          <w:rStyle w:val="normaltextrun"/>
        </w:rPr>
        <w:t xml:space="preserve"> </w:t>
      </w:r>
    </w:p>
    <w:p w14:paraId="0BB1A08D" w14:textId="77777777" w:rsidR="00AB1EBA" w:rsidRPr="00AB1EBA" w:rsidRDefault="00AB1EBA" w:rsidP="00AB1EBA">
      <w:pPr>
        <w:pStyle w:val="Body"/>
        <w:rPr>
          <w:rStyle w:val="normaltextrun"/>
        </w:rPr>
      </w:pPr>
      <w:r w:rsidRPr="00AB1EBA">
        <w:t>When working with settings, the aspirations and motivations of those managing and spending time in that setting are important in determining their priority focus for change within a broad public health framework. While an emphasis on the focus areas is encouraged it is recognised that the program will need to account for the priorities of the setting they are engaging with.</w:t>
      </w:r>
    </w:p>
    <w:p w14:paraId="3869087B" w14:textId="77777777" w:rsidR="00AB1EBA" w:rsidRPr="00AB1EBA" w:rsidRDefault="00AB1EBA" w:rsidP="00AB1EBA">
      <w:pPr>
        <w:pStyle w:val="Body"/>
        <w:rPr>
          <w:rStyle w:val="normaltextrun"/>
        </w:rPr>
      </w:pPr>
      <w:r w:rsidRPr="00AB1EBA">
        <w:rPr>
          <w:rStyle w:val="normaltextrun"/>
        </w:rPr>
        <w:lastRenderedPageBreak/>
        <w:t>Place-based approaches also recognise the importance of addressing health inequalities across the life course that are associated with the determinants of health.</w:t>
      </w:r>
    </w:p>
    <w:p w14:paraId="45CBF5CE" w14:textId="6F52F1B7" w:rsidR="00FD0A44" w:rsidRDefault="00AB1EBA" w:rsidP="00152329">
      <w:pPr>
        <w:pStyle w:val="Body"/>
      </w:pPr>
      <w:r w:rsidRPr="00AB1EBA">
        <w:rPr>
          <w:rStyle w:val="normaltextrun"/>
        </w:rPr>
        <w:t>Funded agencies are encouraged to continue working in partnership with Local Public Health Units to support the development and implementation of a population health catchment plans that enable place-based approaches aligned to the focus areas.</w:t>
      </w:r>
    </w:p>
    <w:p w14:paraId="39FCB973" w14:textId="4F97F421" w:rsidR="00FD0A44" w:rsidRDefault="00FD0A44" w:rsidP="00FD0A44">
      <w:pPr>
        <w:pStyle w:val="Heading2"/>
      </w:pPr>
      <w:bookmarkStart w:id="20" w:name="_Toc194663089"/>
      <w:r>
        <w:t>Delivering outcomes-based health promotion and measuring impact</w:t>
      </w:r>
      <w:bookmarkEnd w:id="20"/>
    </w:p>
    <w:p w14:paraId="6C40522C" w14:textId="77777777" w:rsidR="003302C3" w:rsidRDefault="003302C3" w:rsidP="003302C3">
      <w:pPr>
        <w:pStyle w:val="Body"/>
        <w:rPr>
          <w:rFonts w:cs="Arial"/>
        </w:rPr>
      </w:pPr>
      <w:r w:rsidRPr="153A1F7D">
        <w:rPr>
          <w:rFonts w:cs="Arial"/>
        </w:rPr>
        <w:t xml:space="preserve">The </w:t>
      </w:r>
      <w:r w:rsidRPr="153A1F7D">
        <w:rPr>
          <w:rFonts w:cs="Arial"/>
          <w:i/>
          <w:iCs/>
        </w:rPr>
        <w:t xml:space="preserve">Victorian </w:t>
      </w:r>
      <w:r>
        <w:rPr>
          <w:rFonts w:cs="Arial"/>
          <w:i/>
          <w:iCs/>
        </w:rPr>
        <w:t>P</w:t>
      </w:r>
      <w:r w:rsidRPr="153A1F7D">
        <w:rPr>
          <w:rFonts w:cs="Arial"/>
          <w:i/>
          <w:iCs/>
        </w:rPr>
        <w:t xml:space="preserve">ublic </w:t>
      </w:r>
      <w:r>
        <w:rPr>
          <w:rFonts w:cs="Arial"/>
          <w:i/>
          <w:iCs/>
        </w:rPr>
        <w:t>h</w:t>
      </w:r>
      <w:r w:rsidRPr="153A1F7D">
        <w:rPr>
          <w:rFonts w:cs="Arial"/>
          <w:i/>
          <w:iCs/>
        </w:rPr>
        <w:t xml:space="preserve">ealth and </w:t>
      </w:r>
      <w:r>
        <w:rPr>
          <w:rFonts w:cs="Arial"/>
          <w:i/>
          <w:iCs/>
        </w:rPr>
        <w:t>w</w:t>
      </w:r>
      <w:r w:rsidRPr="153A1F7D">
        <w:rPr>
          <w:rFonts w:cs="Arial"/>
          <w:i/>
          <w:iCs/>
        </w:rPr>
        <w:t xml:space="preserve">ellbeing </w:t>
      </w:r>
      <w:r>
        <w:rPr>
          <w:rFonts w:cs="Arial"/>
          <w:i/>
          <w:iCs/>
        </w:rPr>
        <w:t>o</w:t>
      </w:r>
      <w:r w:rsidRPr="153A1F7D">
        <w:rPr>
          <w:rFonts w:cs="Arial"/>
          <w:i/>
          <w:iCs/>
        </w:rPr>
        <w:t xml:space="preserve">utcomes </w:t>
      </w:r>
      <w:r>
        <w:rPr>
          <w:rFonts w:cs="Arial"/>
          <w:i/>
          <w:iCs/>
        </w:rPr>
        <w:t>f</w:t>
      </w:r>
      <w:r w:rsidRPr="153A1F7D">
        <w:rPr>
          <w:rFonts w:cs="Arial"/>
          <w:i/>
          <w:iCs/>
        </w:rPr>
        <w:t>ramework</w:t>
      </w:r>
      <w:r w:rsidRPr="153A1F7D">
        <w:rPr>
          <w:rFonts w:cs="Arial"/>
        </w:rPr>
        <w:t xml:space="preserve"> provides the outcomes, indicators, and measures to monitor and report progress in our collective efforts to achieve better health and wellbeing at a population level. Achieving significant change in population level outcomes can take a long time. Regular assessment of progress in the shorter-term, through consistent and reliable measures of change at a system and setting level, provides feedback on whether we are on track to improving public health and wellbeing outcomes and improving equity.</w:t>
      </w:r>
    </w:p>
    <w:p w14:paraId="279D4439" w14:textId="19109740" w:rsidR="003302C3" w:rsidRDefault="003302C3" w:rsidP="00BF0CD2">
      <w:pPr>
        <w:pStyle w:val="Heading3"/>
      </w:pPr>
      <w:r>
        <w:t>Health equity considerations</w:t>
      </w:r>
    </w:p>
    <w:p w14:paraId="58FB5404" w14:textId="129A3365" w:rsidR="003302C3" w:rsidRPr="003302C3" w:rsidRDefault="00CF7E5A" w:rsidP="003302C3">
      <w:pPr>
        <w:pStyle w:val="Body"/>
      </w:pPr>
      <w:r>
        <w:t xml:space="preserve">Both </w:t>
      </w:r>
      <w:r>
        <w:rPr>
          <w:i/>
          <w:iCs/>
        </w:rPr>
        <w:t xml:space="preserve">breadth </w:t>
      </w:r>
      <w:r>
        <w:t xml:space="preserve">(number and type of settings engaged) as well as </w:t>
      </w:r>
      <w:r>
        <w:rPr>
          <w:i/>
          <w:iCs/>
        </w:rPr>
        <w:t xml:space="preserve">depth </w:t>
      </w:r>
      <w:r>
        <w:t>(the intensity of effort) of prevention activity is important to measure. This reflects the need for greater or more sustained support in disadvantaged populations/settings. Reporting on impact measures supplemented with key narrative insights will provide a picture of both breadth and depth.</w:t>
      </w:r>
    </w:p>
    <w:p w14:paraId="3E9F40E0" w14:textId="77777777" w:rsidR="00803B91" w:rsidRPr="00803B91" w:rsidRDefault="00803B91" w:rsidP="00803B91">
      <w:pPr>
        <w:pStyle w:val="Body"/>
      </w:pPr>
      <w:r w:rsidRPr="00803B91">
        <w:t>Consistent, shorter-term measures have been progressively introduced to monitor the achievements of the program (e.g. the overall investment) in making progress linked to outcomes and equity, as outlined in the Victorian public health and wellbeing outcomes framework. The measures are aimed at informing overall system performance and improvement over time.</w:t>
      </w:r>
    </w:p>
    <w:p w14:paraId="7E88969B" w14:textId="77777777" w:rsidR="00803B91" w:rsidRPr="00803B91" w:rsidRDefault="00803B91" w:rsidP="00803B91">
      <w:pPr>
        <w:pStyle w:val="Body"/>
      </w:pPr>
      <w:r w:rsidRPr="00803B91">
        <w:t xml:space="preserve">These shorter-term progress measures are one component of program reporting for the purpose of demonstrating impact at scale. Funded agencies will also be able to report on impacts achieved outside these measures, for example work with priority population groups. </w:t>
      </w:r>
    </w:p>
    <w:p w14:paraId="5906B237" w14:textId="77777777" w:rsidR="00803B91" w:rsidRDefault="00803B91" w:rsidP="00803B91">
      <w:pPr>
        <w:pStyle w:val="Body"/>
      </w:pPr>
      <w:r w:rsidRPr="00803B91">
        <w:t>The development of the impact measures takes an outcomes approach, providing assessment of what is achieved by the program. The impact measures are not designed to capture How the impacts are achieved, that is the health promotion practices. This can be shared through narrative reports, blog stories and/or presentations as appropriate.</w:t>
      </w:r>
    </w:p>
    <w:p w14:paraId="4AB8BA2E" w14:textId="49DF9C74" w:rsidR="00803B91" w:rsidRDefault="00803B91" w:rsidP="00BF0CD2">
      <w:pPr>
        <w:pStyle w:val="Heading4"/>
      </w:pPr>
      <w:r>
        <w:t>Impact measures</w:t>
      </w:r>
    </w:p>
    <w:p w14:paraId="233DBF01" w14:textId="77777777" w:rsidR="00DF14A5" w:rsidRDefault="00DF14A5" w:rsidP="00DF14A5">
      <w:pPr>
        <w:pStyle w:val="Bullet1"/>
      </w:pPr>
      <w:r>
        <w:t>Measure what matters.</w:t>
      </w:r>
    </w:p>
    <w:p w14:paraId="48E95207" w14:textId="53CB8FC7" w:rsidR="00FD0A44" w:rsidRPr="002365B4" w:rsidRDefault="00DF14A5" w:rsidP="00152329">
      <w:pPr>
        <w:pStyle w:val="Bullet1"/>
      </w:pPr>
      <w:r>
        <w:t xml:space="preserve">Monitor </w:t>
      </w:r>
      <w:r w:rsidRPr="005843EC">
        <w:t>WHAT is achieved, not HOW the achievements are made</w:t>
      </w:r>
      <w:r>
        <w:t>.</w:t>
      </w:r>
    </w:p>
    <w:p w14:paraId="477240CC" w14:textId="1FDA97E7" w:rsidR="00152329" w:rsidRDefault="00FD0A44" w:rsidP="00210890">
      <w:pPr>
        <w:pStyle w:val="Heading4"/>
      </w:pPr>
      <w:r>
        <w:t xml:space="preserve">Principles and criteria for program impact measure </w:t>
      </w:r>
      <w:r w:rsidR="002617B5">
        <w:t>suite development</w:t>
      </w:r>
    </w:p>
    <w:p w14:paraId="4DE813B8" w14:textId="77777777" w:rsidR="00FC6854" w:rsidRDefault="00FC6854" w:rsidP="00FC6854">
      <w:pPr>
        <w:rPr>
          <w:rFonts w:cs="Arial"/>
        </w:rPr>
      </w:pPr>
      <w:r w:rsidRPr="7364CBED">
        <w:rPr>
          <w:rFonts w:cs="Arial"/>
        </w:rPr>
        <w:t>The impact measure suite has been developed based upon the principles and measure criteria listed below.</w:t>
      </w:r>
    </w:p>
    <w:p w14:paraId="5B4962A1" w14:textId="77777777" w:rsidR="00FC6854" w:rsidRPr="00210890" w:rsidRDefault="00FC6854" w:rsidP="00210890">
      <w:pPr>
        <w:pStyle w:val="Heading5"/>
      </w:pPr>
      <w:r w:rsidRPr="00210890">
        <w:t>Principles</w:t>
      </w:r>
    </w:p>
    <w:p w14:paraId="2959A87C" w14:textId="77777777" w:rsidR="00FC6854" w:rsidRDefault="00FC6854" w:rsidP="00FC6854">
      <w:pPr>
        <w:numPr>
          <w:ilvl w:val="0"/>
          <w:numId w:val="27"/>
        </w:numPr>
        <w:spacing w:after="0"/>
        <w:ind w:left="340" w:hanging="357"/>
        <w:rPr>
          <w:rFonts w:cs="Arial"/>
        </w:rPr>
      </w:pPr>
      <w:r w:rsidRPr="00673F1F">
        <w:rPr>
          <w:rFonts w:cs="Arial"/>
        </w:rPr>
        <w:t>Purpose and scope:</w:t>
      </w:r>
    </w:p>
    <w:p w14:paraId="6FA16965" w14:textId="77777777" w:rsidR="00FC6854" w:rsidRPr="00673F1F" w:rsidRDefault="00FC6854" w:rsidP="00B61652">
      <w:pPr>
        <w:pStyle w:val="Bullet1"/>
      </w:pPr>
      <w:r w:rsidRPr="153A1F7D">
        <w:t>measure what matters to demonstrate short-term state and sub-state impact of the program aligned to the lead (delivery) functions of the program</w:t>
      </w:r>
    </w:p>
    <w:p w14:paraId="1E554B6B" w14:textId="77777777" w:rsidR="00FC6854" w:rsidRPr="00673F1F" w:rsidRDefault="00FC6854" w:rsidP="00B61652">
      <w:pPr>
        <w:pStyle w:val="Bullet1"/>
      </w:pPr>
      <w:r w:rsidRPr="153A1F7D">
        <w:lastRenderedPageBreak/>
        <w:t>to provide actionable insights and contribute to state, regional and local decision making about future effort</w:t>
      </w:r>
    </w:p>
    <w:p w14:paraId="493B07EF" w14:textId="77777777" w:rsidR="00FC6854" w:rsidRDefault="00FC6854" w:rsidP="00B61652">
      <w:pPr>
        <w:pStyle w:val="Bullet1"/>
      </w:pPr>
      <w:r w:rsidRPr="153A1F7D">
        <w:t>to provide a fit-for-purpose measure suite that balances comprehensiveness, agency and stakeholder needs, accountability and reporting burden.</w:t>
      </w:r>
    </w:p>
    <w:p w14:paraId="78AC4146" w14:textId="77777777" w:rsidR="00FC6854" w:rsidRPr="00673F1F" w:rsidRDefault="00FC6854" w:rsidP="00FC6854">
      <w:pPr>
        <w:pStyle w:val="ListParagraph"/>
        <w:spacing w:after="0"/>
        <w:ind w:left="700"/>
        <w:rPr>
          <w:rFonts w:cs="Arial"/>
        </w:rPr>
      </w:pPr>
    </w:p>
    <w:p w14:paraId="03511863" w14:textId="77777777" w:rsidR="00FC6854" w:rsidRPr="00673F1F" w:rsidRDefault="00FC6854" w:rsidP="00FC6854">
      <w:pPr>
        <w:numPr>
          <w:ilvl w:val="0"/>
          <w:numId w:val="27"/>
        </w:numPr>
        <w:spacing w:after="0"/>
        <w:ind w:left="340" w:hanging="357"/>
        <w:rPr>
          <w:rFonts w:cs="Arial"/>
        </w:rPr>
      </w:pPr>
      <w:r w:rsidRPr="00673F1F">
        <w:rPr>
          <w:rFonts w:cs="Arial"/>
        </w:rPr>
        <w:t>Alignment:</w:t>
      </w:r>
    </w:p>
    <w:p w14:paraId="59214E7A" w14:textId="77777777" w:rsidR="00FC6854" w:rsidRDefault="00FC6854" w:rsidP="00B61652">
      <w:pPr>
        <w:pStyle w:val="Bullet1"/>
      </w:pPr>
      <w:r>
        <w:t>with the program guidelines</w:t>
      </w:r>
    </w:p>
    <w:p w14:paraId="6DCC8738" w14:textId="77777777" w:rsidR="00FC6854" w:rsidRPr="00673F1F" w:rsidRDefault="00FC6854" w:rsidP="00B61652">
      <w:pPr>
        <w:pStyle w:val="Bullet1"/>
        <w:rPr>
          <w:i/>
          <w:iCs/>
        </w:rPr>
      </w:pPr>
      <w:r w:rsidRPr="153A1F7D">
        <w:t xml:space="preserve">with the focus areas of increasing healthy eating, increasing active living and reducing smoking and e-cigarette related harm of </w:t>
      </w:r>
      <w:r w:rsidRPr="153A1F7D">
        <w:rPr>
          <w:i/>
          <w:iCs/>
        </w:rPr>
        <w:t xml:space="preserve">the Victorian public health and wellbeing plan 2023-2027 </w:t>
      </w:r>
    </w:p>
    <w:p w14:paraId="5A6C6B93" w14:textId="77777777" w:rsidR="00FC6854" w:rsidRDefault="00FC6854" w:rsidP="00B61652">
      <w:pPr>
        <w:pStyle w:val="Bullet1"/>
      </w:pPr>
      <w:r w:rsidRPr="00673F1F">
        <w:t>with the related outcomes the</w:t>
      </w:r>
      <w:r w:rsidRPr="00673F1F">
        <w:rPr>
          <w:i/>
          <w:iCs/>
        </w:rPr>
        <w:t xml:space="preserve"> </w:t>
      </w:r>
      <w:r w:rsidRPr="00242FDB">
        <w:rPr>
          <w:i/>
          <w:iCs/>
        </w:rPr>
        <w:t xml:space="preserve">Victorian </w:t>
      </w:r>
      <w:r w:rsidRPr="006D47A9">
        <w:rPr>
          <w:i/>
          <w:iCs/>
        </w:rPr>
        <w:t>p</w:t>
      </w:r>
      <w:r w:rsidRPr="00242FDB">
        <w:rPr>
          <w:i/>
          <w:iCs/>
        </w:rPr>
        <w:t>ublic health and wellbeing outcomes framework</w:t>
      </w:r>
      <w:r w:rsidRPr="00673F1F">
        <w:t>.</w:t>
      </w:r>
    </w:p>
    <w:p w14:paraId="0C67C68A" w14:textId="77777777" w:rsidR="00FC6854" w:rsidRPr="00673F1F" w:rsidRDefault="00FC6854" w:rsidP="00FC6854">
      <w:pPr>
        <w:pStyle w:val="ListParagraph"/>
        <w:spacing w:after="0"/>
        <w:ind w:left="700"/>
        <w:rPr>
          <w:rFonts w:cs="Arial"/>
        </w:rPr>
      </w:pPr>
    </w:p>
    <w:p w14:paraId="04385156" w14:textId="77777777" w:rsidR="00FC6854" w:rsidRPr="00673F1F" w:rsidRDefault="00FC6854" w:rsidP="00FC6854">
      <w:pPr>
        <w:numPr>
          <w:ilvl w:val="0"/>
          <w:numId w:val="27"/>
        </w:numPr>
        <w:spacing w:after="0"/>
        <w:ind w:left="340" w:hanging="357"/>
        <w:rPr>
          <w:rFonts w:cs="Arial"/>
        </w:rPr>
      </w:pPr>
      <w:r w:rsidRPr="00673F1F">
        <w:rPr>
          <w:rFonts w:cs="Arial"/>
        </w:rPr>
        <w:t>Recognise:</w:t>
      </w:r>
      <w:r>
        <w:rPr>
          <w:rFonts w:cs="Arial"/>
        </w:rPr>
        <w:t xml:space="preserve"> </w:t>
      </w:r>
    </w:p>
    <w:p w14:paraId="7F95025E" w14:textId="77777777" w:rsidR="00FC6854" w:rsidRPr="00F26C88" w:rsidRDefault="00FC6854" w:rsidP="003E0043">
      <w:pPr>
        <w:pStyle w:val="Bullet1"/>
      </w:pPr>
      <w:r w:rsidRPr="153A1F7D">
        <w:t xml:space="preserve">the </w:t>
      </w:r>
      <w:r w:rsidRPr="153A1F7D">
        <w:rPr>
          <w:i/>
          <w:iCs/>
        </w:rPr>
        <w:t>statewide programs</w:t>
      </w:r>
      <w:r>
        <w:rPr>
          <w:i/>
          <w:iCs/>
        </w:rPr>
        <w:t xml:space="preserve"> and resources</w:t>
      </w:r>
      <w:r w:rsidRPr="153A1F7D">
        <w:t>, specifically the Achievement Program, Vic Kids Eat Well, Smiles 4 Miles</w:t>
      </w:r>
      <w:r>
        <w:t>, HEAS a</w:t>
      </w:r>
      <w:r w:rsidRPr="153A1F7D">
        <w:t>nd Quit Victoria</w:t>
      </w:r>
    </w:p>
    <w:p w14:paraId="1288BDD9" w14:textId="77777777" w:rsidR="00FC6854" w:rsidRPr="00F26C88" w:rsidRDefault="00FC6854" w:rsidP="003E0043">
      <w:pPr>
        <w:pStyle w:val="Bullet1"/>
      </w:pPr>
      <w:r w:rsidRPr="00F26C88">
        <w:rPr>
          <w:i/>
          <w:iCs/>
        </w:rPr>
        <w:t>that a broad range of social and environmental determinants influence behaviour</w:t>
      </w:r>
      <w:r w:rsidRPr="00F26C88">
        <w:t>, and that the assessment of determinants beyond the settings</w:t>
      </w:r>
      <w:r>
        <w:t xml:space="preserve"> that funded</w:t>
      </w:r>
      <w:r w:rsidRPr="00F26C88">
        <w:t xml:space="preserve"> agencies are directly engaged with is out of scope</w:t>
      </w:r>
    </w:p>
    <w:p w14:paraId="22E7DE50" w14:textId="77777777" w:rsidR="00FC6854" w:rsidRPr="0063032E" w:rsidRDefault="00FC6854" w:rsidP="003E0043">
      <w:pPr>
        <w:pStyle w:val="Bullet1"/>
      </w:pPr>
      <w:r w:rsidRPr="0063032E">
        <w:rPr>
          <w:i/>
          <w:iCs/>
        </w:rPr>
        <w:t>the integrated health promotion approach of the statewide strategic direction for community health</w:t>
      </w:r>
      <w:r w:rsidRPr="0063032E">
        <w:t xml:space="preserve">, including cross-sector collaboration and partnerships at a local level </w:t>
      </w:r>
    </w:p>
    <w:p w14:paraId="34486A8C" w14:textId="77777777" w:rsidR="00FC6854" w:rsidRPr="0063032E" w:rsidRDefault="00FC6854" w:rsidP="003E0043">
      <w:pPr>
        <w:pStyle w:val="Bullet1"/>
      </w:pPr>
      <w:r w:rsidRPr="0063032E">
        <w:rPr>
          <w:i/>
          <w:iCs/>
        </w:rPr>
        <w:t>that existing data collections are prioritised for measure data sources, where</w:t>
      </w:r>
      <w:r w:rsidRPr="0063032E">
        <w:t xml:space="preserve"> available or can be readily made available, and that supplementary data collected locally uses standard tools</w:t>
      </w:r>
    </w:p>
    <w:p w14:paraId="592C3B46" w14:textId="77777777" w:rsidR="00FC6854" w:rsidRPr="0063032E" w:rsidRDefault="00FC6854" w:rsidP="003E0043">
      <w:pPr>
        <w:pStyle w:val="Bullet1"/>
        <w:rPr>
          <w:i/>
          <w:iCs/>
        </w:rPr>
      </w:pPr>
      <w:r w:rsidRPr="0063032E">
        <w:t xml:space="preserve">that the suite will </w:t>
      </w:r>
      <w:r w:rsidRPr="0063032E">
        <w:rPr>
          <w:i/>
          <w:iCs/>
        </w:rPr>
        <w:t>not measure all impacts of the program</w:t>
      </w:r>
    </w:p>
    <w:p w14:paraId="10EAD209" w14:textId="77777777" w:rsidR="00FC6854" w:rsidRPr="0063032E" w:rsidRDefault="00FC6854" w:rsidP="003E0043">
      <w:pPr>
        <w:pStyle w:val="Bullet1"/>
      </w:pPr>
      <w:r w:rsidRPr="0063032E">
        <w:t>that there will be other mechanisms to report on impacts outside the statewide suite of measures</w:t>
      </w:r>
    </w:p>
    <w:p w14:paraId="1B886270" w14:textId="77777777" w:rsidR="00FC6854" w:rsidRDefault="00FC6854" w:rsidP="003E0043">
      <w:pPr>
        <w:pStyle w:val="Bullet1"/>
      </w:pPr>
      <w:r w:rsidRPr="153A1F7D">
        <w:t xml:space="preserve">that </w:t>
      </w:r>
      <w:r w:rsidRPr="153A1F7D">
        <w:rPr>
          <w:i/>
          <w:iCs/>
        </w:rPr>
        <w:t>not all agencies will contribute</w:t>
      </w:r>
      <w:r w:rsidRPr="153A1F7D">
        <w:t xml:space="preserve"> to all measures due to which focus areas are selected to work on, the local balance of lead roles, and variations in levels of funding and associated capacity</w:t>
      </w:r>
    </w:p>
    <w:p w14:paraId="5A351AE2" w14:textId="77777777" w:rsidR="00FC6854" w:rsidRPr="0070138A" w:rsidRDefault="00FC6854" w:rsidP="003E0043">
      <w:pPr>
        <w:pStyle w:val="Bullet1"/>
      </w:pPr>
      <w:r>
        <w:t>t</w:t>
      </w:r>
      <w:r w:rsidRPr="0070138A">
        <w:t xml:space="preserve">hat the measures </w:t>
      </w:r>
      <w:r w:rsidRPr="00AC0380">
        <w:rPr>
          <w:i/>
          <w:iCs/>
        </w:rPr>
        <w:t>suite will be</w:t>
      </w:r>
      <w:r w:rsidRPr="0070138A">
        <w:t xml:space="preserve"> </w:t>
      </w:r>
      <w:r w:rsidRPr="00AC0380">
        <w:rPr>
          <w:i/>
          <w:iCs/>
        </w:rPr>
        <w:t>reviewed</w:t>
      </w:r>
      <w:r w:rsidRPr="0070138A">
        <w:t xml:space="preserve"> to enable the suite to continue to be fit-for purpose</w:t>
      </w:r>
    </w:p>
    <w:p w14:paraId="425532C8" w14:textId="77777777" w:rsidR="00FC6854" w:rsidRDefault="00FC6854" w:rsidP="003E0043">
      <w:pPr>
        <w:pStyle w:val="Bullet1"/>
      </w:pPr>
      <w:r w:rsidRPr="153A1F7D">
        <w:t xml:space="preserve">that there is a </w:t>
      </w:r>
      <w:r w:rsidRPr="153A1F7D">
        <w:rPr>
          <w:i/>
          <w:iCs/>
        </w:rPr>
        <w:t>range of capacity</w:t>
      </w:r>
      <w:r w:rsidRPr="153A1F7D">
        <w:t xml:space="preserve"> in data collection and evaluation across the agencies.</w:t>
      </w:r>
    </w:p>
    <w:p w14:paraId="598A04F6" w14:textId="77777777" w:rsidR="00FC6854" w:rsidRPr="00B52B28" w:rsidRDefault="00FC6854" w:rsidP="00FC6854">
      <w:pPr>
        <w:spacing w:after="0"/>
        <w:rPr>
          <w:rFonts w:cs="Arial"/>
        </w:rPr>
      </w:pPr>
    </w:p>
    <w:p w14:paraId="1EED3732" w14:textId="77777777" w:rsidR="00FC6854" w:rsidRPr="00E064E7" w:rsidRDefault="00FC6854" w:rsidP="00FC6854">
      <w:pPr>
        <w:spacing w:after="0"/>
        <w:rPr>
          <w:rFonts w:cs="Arial"/>
          <w:sz w:val="16"/>
          <w:szCs w:val="16"/>
        </w:rPr>
      </w:pPr>
      <w:r w:rsidRPr="2C9FEC5A">
        <w:rPr>
          <w:rFonts w:cs="Arial"/>
        </w:rPr>
        <w:t>4. Confidentiality:</w:t>
      </w:r>
    </w:p>
    <w:p w14:paraId="687EC8FE" w14:textId="5B95378E" w:rsidR="00FC6854" w:rsidRPr="006F09DB" w:rsidRDefault="00FC6854" w:rsidP="006F09DB">
      <w:pPr>
        <w:pStyle w:val="Bullet1"/>
      </w:pPr>
      <w:r w:rsidRPr="2C9FEC5A">
        <w:rPr>
          <w:i/>
          <w:iCs/>
        </w:rPr>
        <w:t>that public reporting will protect the confidentiality of individual agencies</w:t>
      </w:r>
      <w:r w:rsidRPr="2C9FEC5A">
        <w:t>. Internal reports, or reports to the sector, may include data at the agency level for the purposes of benchmarking and systems assessment.</w:t>
      </w:r>
    </w:p>
    <w:p w14:paraId="62F19C13" w14:textId="77777777" w:rsidR="00FC6854" w:rsidRPr="00210890" w:rsidRDefault="00FC6854" w:rsidP="00210890">
      <w:pPr>
        <w:pStyle w:val="Heading5"/>
      </w:pPr>
      <w:r w:rsidRPr="00210890">
        <w:t>Criteria</w:t>
      </w:r>
    </w:p>
    <w:p w14:paraId="69FD8301" w14:textId="77777777" w:rsidR="00FC6854" w:rsidRPr="00673F1F" w:rsidRDefault="00FC6854" w:rsidP="003E0043">
      <w:pPr>
        <w:pStyle w:val="Bullet1"/>
      </w:pPr>
      <w:r w:rsidRPr="153A1F7D">
        <w:rPr>
          <w:i/>
          <w:iCs/>
        </w:rPr>
        <w:t xml:space="preserve">Compelling: </w:t>
      </w:r>
      <w:r w:rsidRPr="153A1F7D">
        <w:t>Assesses a key or strong component of the program and change if impact has been made and the direction of that impact that is meaningful to agencies and stakeholders.</w:t>
      </w:r>
    </w:p>
    <w:p w14:paraId="3D97B21A" w14:textId="77777777" w:rsidR="00FC6854" w:rsidRPr="00673F1F" w:rsidRDefault="00FC6854" w:rsidP="003E0043">
      <w:pPr>
        <w:pStyle w:val="Bullet1"/>
      </w:pPr>
      <w:r w:rsidRPr="153A1F7D">
        <w:rPr>
          <w:i/>
          <w:iCs/>
        </w:rPr>
        <w:t xml:space="preserve">Achievable: </w:t>
      </w:r>
      <w:r w:rsidRPr="153A1F7D">
        <w:t xml:space="preserve">Change in the result is achievable through implementation of evidence-based interventions directed at environments and settings, at the level of resourcing.  </w:t>
      </w:r>
    </w:p>
    <w:p w14:paraId="7F986922" w14:textId="77777777" w:rsidR="00FC6854" w:rsidRPr="00673F1F" w:rsidRDefault="00FC6854" w:rsidP="003E0043">
      <w:pPr>
        <w:pStyle w:val="Bullet1"/>
      </w:pPr>
      <w:r w:rsidRPr="153A1F7D">
        <w:rPr>
          <w:i/>
          <w:iCs/>
        </w:rPr>
        <w:t xml:space="preserve">Understandable: </w:t>
      </w:r>
      <w:r w:rsidRPr="153A1F7D">
        <w:t>Direction of change in the result indicates impact or otherwise and the measure and direction of change is meaningful to agencies and stakeholders.</w:t>
      </w:r>
    </w:p>
    <w:p w14:paraId="15062774" w14:textId="77777777" w:rsidR="00FC6854" w:rsidRPr="00673F1F" w:rsidRDefault="00FC6854" w:rsidP="003E0043">
      <w:pPr>
        <w:pStyle w:val="Bullet1"/>
      </w:pPr>
      <w:r w:rsidRPr="153A1F7D">
        <w:rPr>
          <w:i/>
          <w:iCs/>
        </w:rPr>
        <w:t xml:space="preserve">Trackable: </w:t>
      </w:r>
      <w:r w:rsidRPr="153A1F7D">
        <w:t>Data is available at least annually and over a long enough time to monitor impact.</w:t>
      </w:r>
    </w:p>
    <w:p w14:paraId="28244869" w14:textId="77777777" w:rsidR="00FC6854" w:rsidRPr="00AC0380" w:rsidRDefault="00FC6854" w:rsidP="003E0043">
      <w:pPr>
        <w:pStyle w:val="Bullet1"/>
        <w:rPr>
          <w:iCs/>
        </w:rPr>
      </w:pPr>
      <w:r w:rsidRPr="00673F1F">
        <w:rPr>
          <w:i/>
        </w:rPr>
        <w:t xml:space="preserve">Comparable: </w:t>
      </w:r>
      <w:r w:rsidRPr="00AC0380">
        <w:rPr>
          <w:iCs/>
        </w:rPr>
        <w:t>Enables monitoring of inequalities of achievement by geographic areas and settings</w:t>
      </w:r>
    </w:p>
    <w:p w14:paraId="12FAB1A0" w14:textId="77777777" w:rsidR="00FC6854" w:rsidRDefault="00FC6854" w:rsidP="003E0043">
      <w:pPr>
        <w:pStyle w:val="Bullet1"/>
      </w:pPr>
      <w:r w:rsidRPr="153A1F7D">
        <w:rPr>
          <w:i/>
          <w:iCs/>
        </w:rPr>
        <w:t>Robust:</w:t>
      </w:r>
      <w:r w:rsidRPr="153A1F7D">
        <w:rPr>
          <w:b/>
          <w:bCs/>
        </w:rPr>
        <w:t xml:space="preserve"> </w:t>
      </w:r>
      <w:r w:rsidRPr="153A1F7D">
        <w:t>Measures are definable, and data is statistically appropriate and fit for purpose.</w:t>
      </w:r>
    </w:p>
    <w:p w14:paraId="732C4EE9" w14:textId="77777777" w:rsidR="00FC6854" w:rsidRDefault="00FC6854" w:rsidP="00FC6854">
      <w:pPr>
        <w:pStyle w:val="Body"/>
      </w:pPr>
    </w:p>
    <w:p w14:paraId="52B111B8" w14:textId="7B0753D3" w:rsidR="00703C04" w:rsidRPr="00703C04" w:rsidRDefault="00703C04" w:rsidP="00703C04">
      <w:pPr>
        <w:pStyle w:val="Heading5"/>
      </w:pPr>
      <w:r w:rsidRPr="00703C04">
        <w:t xml:space="preserve">Impact measures to monitor achievements </w:t>
      </w:r>
    </w:p>
    <w:p w14:paraId="3EBB10D0" w14:textId="77777777" w:rsidR="00210890" w:rsidRDefault="00210890" w:rsidP="00210890">
      <w:pPr>
        <w:widowControl w:val="0"/>
        <w:pBdr>
          <w:top w:val="nil"/>
          <w:left w:val="nil"/>
          <w:bottom w:val="nil"/>
          <w:right w:val="nil"/>
          <w:between w:val="nil"/>
        </w:pBdr>
        <w:spacing w:before="60" w:after="60" w:line="240" w:lineRule="auto"/>
        <w:rPr>
          <w:rFonts w:eastAsia="Arial" w:cs="Arial"/>
          <w:szCs w:val="21"/>
        </w:rPr>
      </w:pPr>
      <w:r w:rsidRPr="79786167">
        <w:rPr>
          <w:rFonts w:eastAsia="Arial" w:cs="Arial"/>
        </w:rPr>
        <w:t xml:space="preserve">For information on impact measures to monitor achievements in healthy eating, active living and tobacco </w:t>
      </w:r>
      <w:r w:rsidRPr="79786167">
        <w:rPr>
          <w:rFonts w:eastAsia="Arial" w:cs="Arial"/>
        </w:rPr>
        <w:lastRenderedPageBreak/>
        <w:t xml:space="preserve">and e-cigarettes, please see the </w:t>
      </w:r>
      <w:hyperlink r:id="rId34">
        <w:r w:rsidRPr="79786167">
          <w:rPr>
            <w:rStyle w:val="Hyperlink"/>
            <w:rFonts w:eastAsia="Arial" w:cs="Arial"/>
          </w:rPr>
          <w:t>CH-HP Impact measures practice guide</w:t>
        </w:r>
      </w:hyperlink>
      <w:r w:rsidRPr="79786167">
        <w:rPr>
          <w:rFonts w:eastAsia="Arial" w:cs="Arial"/>
        </w:rPr>
        <w:t xml:space="preserve"> &lt;https://dhhsvicgovau.sharepoint.com/sites/CHHPP/SitePages/Guidelines-and-resources.aspx&gt;</w:t>
      </w:r>
    </w:p>
    <w:p w14:paraId="2980D52E" w14:textId="77777777" w:rsidR="00210890" w:rsidRPr="00BE5724" w:rsidRDefault="00210890" w:rsidP="00210890">
      <w:pPr>
        <w:rPr>
          <w:rFonts w:cs="Arial"/>
          <w:sz w:val="18"/>
          <w:szCs w:val="18"/>
          <w:lang w:eastAsia="en-GB"/>
        </w:rPr>
        <w:sectPr w:rsidR="00210890" w:rsidRPr="00BE5724" w:rsidSect="00504684">
          <w:pgSz w:w="11906" w:h="16838"/>
          <w:pgMar w:top="1276" w:right="1080" w:bottom="1560" w:left="1080" w:header="709" w:footer="0" w:gutter="0"/>
          <w:cols w:space="708"/>
          <w:docGrid w:linePitch="360"/>
        </w:sectPr>
      </w:pPr>
    </w:p>
    <w:p w14:paraId="798EE812" w14:textId="56FCFE23" w:rsidR="00210890" w:rsidRPr="00C74BAB" w:rsidRDefault="00210890" w:rsidP="00210890">
      <w:pPr>
        <w:pStyle w:val="Heading5"/>
      </w:pPr>
      <w:r w:rsidRPr="00C74BAB">
        <w:lastRenderedPageBreak/>
        <w:t>Data collection to report against impact measures</w:t>
      </w:r>
    </w:p>
    <w:p w14:paraId="7A69EE00" w14:textId="77777777" w:rsidR="00210890" w:rsidRDefault="00210890" w:rsidP="00210890">
      <w:pPr>
        <w:pStyle w:val="Body"/>
      </w:pPr>
      <w:r w:rsidRPr="79786167">
        <w:t xml:space="preserve">The impact measures will be reported annually via the data collection tool, with data gathered on changes achieved in the preceding 12 months. </w:t>
      </w:r>
    </w:p>
    <w:p w14:paraId="4CDC72C1" w14:textId="77777777" w:rsidR="00210890" w:rsidRDefault="00210890" w:rsidP="00210890">
      <w:pPr>
        <w:pStyle w:val="Body"/>
        <w:rPr>
          <w:color w:val="000000" w:themeColor="text1"/>
          <w:lang w:eastAsia="en-GB"/>
        </w:rPr>
      </w:pPr>
      <w:r w:rsidRPr="79786167">
        <w:rPr>
          <w:color w:val="000000" w:themeColor="text1"/>
          <w:lang w:eastAsia="en-GB"/>
        </w:rPr>
        <w:t xml:space="preserve">Impact measures for healthy eating, active living and tobacco and e-cigarettes should be reported via the </w:t>
      </w:r>
      <w:r w:rsidRPr="00210890">
        <w:rPr>
          <w:color w:val="000000" w:themeColor="text1"/>
          <w:lang w:eastAsia="en-GB"/>
        </w:rPr>
        <w:t>Community Health - Health Promotion Annual Data Collection webform portal. Please</w:t>
      </w:r>
      <w:r w:rsidRPr="79786167">
        <w:rPr>
          <w:color w:val="000000" w:themeColor="text1"/>
          <w:lang w:eastAsia="en-GB"/>
        </w:rPr>
        <w:t xml:space="preserve"> see the relevant links for each priority below:</w:t>
      </w:r>
    </w:p>
    <w:p w14:paraId="402B4096" w14:textId="730CC28F" w:rsidR="00210890" w:rsidRDefault="00210890" w:rsidP="00210890">
      <w:pPr>
        <w:pStyle w:val="Bullet1"/>
        <w:rPr>
          <w:color w:val="004C97"/>
          <w:szCs w:val="21"/>
        </w:rPr>
      </w:pPr>
      <w:hyperlink r:id="rId35" w:history="1">
        <w:r w:rsidRPr="00FD11F6">
          <w:rPr>
            <w:rStyle w:val="Hyperlink"/>
            <w:rFonts w:cs="Arial"/>
            <w:lang w:eastAsia="en-GB"/>
          </w:rPr>
          <w:t>Healthy eati</w:t>
        </w:r>
        <w:r w:rsidRPr="00FD11F6">
          <w:rPr>
            <w:rStyle w:val="Hyperlink"/>
            <w:rFonts w:cs="Arial"/>
            <w:szCs w:val="21"/>
            <w:lang w:eastAsia="en-GB"/>
          </w:rPr>
          <w:t>ng</w:t>
        </w:r>
      </w:hyperlink>
      <w:r w:rsidRPr="79786167">
        <w:rPr>
          <w:rFonts w:cs="Arial"/>
          <w:color w:val="000000" w:themeColor="text1"/>
          <w:szCs w:val="21"/>
          <w:lang w:eastAsia="en-GB"/>
        </w:rPr>
        <w:t xml:space="preserve"> </w:t>
      </w:r>
      <w:r w:rsidRPr="00B342FC">
        <w:rPr>
          <w:color w:val="000000" w:themeColor="text1"/>
          <w:lang w:eastAsia="en-GB"/>
        </w:rPr>
        <w:t>&lt;https://healthpromotionsdata.powerappsportals.com/HealthyEating/&gt;</w:t>
      </w:r>
    </w:p>
    <w:p w14:paraId="5659989A" w14:textId="397C6D3B" w:rsidR="00210890" w:rsidRDefault="00210890" w:rsidP="00210890">
      <w:pPr>
        <w:pStyle w:val="Bullet1"/>
      </w:pPr>
      <w:hyperlink r:id="rId36" w:history="1">
        <w:r w:rsidRPr="00FD11F6">
          <w:rPr>
            <w:rStyle w:val="Hyperlink"/>
            <w:szCs w:val="21"/>
          </w:rPr>
          <w:t>Active living</w:t>
        </w:r>
      </w:hyperlink>
      <w:r w:rsidRPr="79786167">
        <w:rPr>
          <w:rStyle w:val="Hyperlink"/>
          <w:color w:val="000000" w:themeColor="text1"/>
          <w:szCs w:val="21"/>
          <w:u w:val="none"/>
        </w:rPr>
        <w:t xml:space="preserve"> &lt;</w:t>
      </w:r>
      <w:r w:rsidRPr="00B342FC">
        <w:rPr>
          <w:rFonts w:eastAsia="Arial" w:cs="Arial"/>
          <w:sz w:val="20"/>
        </w:rPr>
        <w:t>https://healthpromotionsdata.powerappsportals.com/ActiveLiving&gt;</w:t>
      </w:r>
    </w:p>
    <w:p w14:paraId="46402B2E" w14:textId="797812FB" w:rsidR="00210890" w:rsidRPr="00840532" w:rsidRDefault="00210890" w:rsidP="00210890">
      <w:pPr>
        <w:pStyle w:val="Bullet1"/>
        <w:rPr>
          <w:rFonts w:eastAsia="Arial" w:cs="Arial"/>
          <w:color w:val="0D0D0D" w:themeColor="text1" w:themeTint="F2"/>
          <w:sz w:val="20"/>
        </w:rPr>
      </w:pPr>
      <w:hyperlink r:id="rId37" w:history="1">
        <w:r w:rsidRPr="00FD11F6">
          <w:rPr>
            <w:rStyle w:val="Hyperlink"/>
            <w:rFonts w:eastAsia="Arial" w:cs="Arial"/>
          </w:rPr>
          <w:t>Tobacco and e-cigarettes</w:t>
        </w:r>
      </w:hyperlink>
      <w:r w:rsidRPr="0FECBB6D">
        <w:rPr>
          <w:color w:val="004C97"/>
        </w:rPr>
        <w:t xml:space="preserve"> </w:t>
      </w:r>
      <w:r w:rsidRPr="00B342FC">
        <w:rPr>
          <w:rFonts w:eastAsia="Arial" w:cs="Arial"/>
          <w:sz w:val="20"/>
        </w:rPr>
        <w:t>&lt;https://healthpromotionsdata.powerappsportals.com/Tobacco&gt;</w:t>
      </w:r>
    </w:p>
    <w:p w14:paraId="26C55862" w14:textId="77777777" w:rsidR="00210890" w:rsidRDefault="00210890" w:rsidP="00210890">
      <w:pPr>
        <w:pStyle w:val="Heading5"/>
      </w:pPr>
      <w:r w:rsidRPr="0FECBB6D">
        <w:t>Evaluation</w:t>
      </w:r>
    </w:p>
    <w:p w14:paraId="51148F20" w14:textId="12623816" w:rsidR="00210890" w:rsidRPr="00245CFF" w:rsidRDefault="00210890" w:rsidP="00210890">
      <w:pPr>
        <w:pStyle w:val="Body"/>
        <w:rPr>
          <w:rStyle w:val="eop"/>
          <w:rFonts w:cs="Arial"/>
        </w:rPr>
      </w:pPr>
      <w:r w:rsidRPr="0FECBB6D">
        <w:rPr>
          <w:rStyle w:val="normaltextrun"/>
          <w:rFonts w:cs="Arial"/>
          <w:color w:val="000000" w:themeColor="text1"/>
        </w:rPr>
        <w:t xml:space="preserve">For department guidance regarding evaluation please see the </w:t>
      </w:r>
      <w:hyperlink r:id="rId38">
        <w:r w:rsidR="00245CFF">
          <w:rPr>
            <w:rStyle w:val="Hyperlink"/>
            <w:rFonts w:cs="Arial"/>
          </w:rPr>
          <w:t xml:space="preserve">Evaluation framework for health promotion and disease prevention programs </w:t>
        </w:r>
      </w:hyperlink>
      <w:r w:rsidRPr="0FECBB6D">
        <w:rPr>
          <w:rStyle w:val="eop"/>
          <w:rFonts w:cs="Arial"/>
          <w:color w:val="000000" w:themeColor="text1"/>
        </w:rPr>
        <w:t>&lt;</w:t>
      </w:r>
      <w:r w:rsidRPr="00B342FC">
        <w:rPr>
          <w:rFonts w:cs="Arial"/>
        </w:rPr>
        <w:t>https://www2.health.vic.gov.au/about/publications/policiesandguidelines/Evaluation-framework-for-health-promotion-and-disease-prevention-programs</w:t>
      </w:r>
      <w:r w:rsidRPr="0FECBB6D">
        <w:rPr>
          <w:rStyle w:val="eop"/>
          <w:rFonts w:cs="Arial"/>
          <w:color w:val="000000" w:themeColor="text1"/>
        </w:rPr>
        <w:t>&gt;</w:t>
      </w:r>
      <w:r w:rsidR="00FD11F6">
        <w:rPr>
          <w:rStyle w:val="eop"/>
          <w:rFonts w:cs="Arial"/>
          <w:color w:val="000000" w:themeColor="text1"/>
        </w:rPr>
        <w:t xml:space="preserve">. </w:t>
      </w:r>
    </w:p>
    <w:p w14:paraId="47FFC2E7" w14:textId="2F6CF8AE" w:rsidR="002617B5" w:rsidRDefault="002617B5" w:rsidP="002617B5">
      <w:pPr>
        <w:pStyle w:val="Heading2"/>
      </w:pPr>
      <w:bookmarkStart w:id="21" w:name="_Toc194663090"/>
      <w:r>
        <w:t>Reporting</w:t>
      </w:r>
      <w:bookmarkEnd w:id="21"/>
    </w:p>
    <w:p w14:paraId="10A6AEC9" w14:textId="77777777" w:rsidR="00940A1D" w:rsidRDefault="00940A1D" w:rsidP="00940A1D">
      <w:pPr>
        <w:spacing w:after="0" w:line="240" w:lineRule="auto"/>
        <w:textAlignment w:val="baseline"/>
        <w:rPr>
          <w:rFonts w:cs="Arial"/>
          <w:sz w:val="20"/>
          <w:lang w:eastAsia="en-AU"/>
        </w:rPr>
      </w:pPr>
      <w:r w:rsidRPr="00DF6E74">
        <w:rPr>
          <w:rFonts w:cs="Arial"/>
          <w:sz w:val="20"/>
          <w:lang w:eastAsia="en-AU"/>
        </w:rPr>
        <w:t>Annual reporting requirements for CH-HP funded agencies include: </w:t>
      </w:r>
    </w:p>
    <w:p w14:paraId="658C03FF" w14:textId="77777777" w:rsidR="00940A1D" w:rsidRPr="00DF6E74" w:rsidRDefault="00940A1D" w:rsidP="00940A1D">
      <w:pPr>
        <w:spacing w:after="0" w:line="240" w:lineRule="auto"/>
        <w:textAlignment w:val="baseline"/>
        <w:rPr>
          <w:rFonts w:cs="Arial"/>
          <w:sz w:val="20"/>
          <w:lang w:eastAsia="en-AU"/>
        </w:rPr>
      </w:pPr>
    </w:p>
    <w:p w14:paraId="47824991" w14:textId="77777777" w:rsidR="00940A1D" w:rsidRPr="00DF6E74" w:rsidRDefault="00940A1D" w:rsidP="00940A1D">
      <w:pPr>
        <w:pStyle w:val="Bullet1"/>
        <w:rPr>
          <w:lang w:eastAsia="en-AU"/>
        </w:rPr>
      </w:pPr>
      <w:r>
        <w:rPr>
          <w:lang w:eastAsia="en-AU"/>
        </w:rPr>
        <w:t>Indicators webform for healthy eating, active living and tobacco and e-cigarettes</w:t>
      </w:r>
      <w:r w:rsidRPr="00DF6E74">
        <w:rPr>
          <w:lang w:eastAsia="en-AU"/>
        </w:rPr>
        <w:t> </w:t>
      </w:r>
    </w:p>
    <w:p w14:paraId="6C4D2A26" w14:textId="77777777" w:rsidR="00940A1D" w:rsidRPr="00DF6E74" w:rsidRDefault="00940A1D" w:rsidP="00940A1D">
      <w:pPr>
        <w:pStyle w:val="Bullet1"/>
        <w:rPr>
          <w:lang w:eastAsia="en-AU"/>
        </w:rPr>
      </w:pPr>
      <w:r w:rsidRPr="00DF6E74">
        <w:rPr>
          <w:lang w:eastAsia="en-AU"/>
        </w:rPr>
        <w:t>Narrative report </w:t>
      </w:r>
    </w:p>
    <w:p w14:paraId="08BFDD3F" w14:textId="523B2101" w:rsidR="00940A1D" w:rsidRDefault="00940A1D" w:rsidP="00940A1D">
      <w:pPr>
        <w:pStyle w:val="Bullet1"/>
        <w:rPr>
          <w:lang w:eastAsia="en-AU"/>
        </w:rPr>
      </w:pPr>
      <w:r w:rsidRPr="00DF6E74">
        <w:rPr>
          <w:lang w:eastAsia="en-AU"/>
        </w:rPr>
        <w:t xml:space="preserve">Budget acquittal (see Appendix five: </w:t>
      </w:r>
      <w:r>
        <w:rPr>
          <w:lang w:eastAsia="en-AU"/>
        </w:rPr>
        <w:t>b</w:t>
      </w:r>
      <w:r w:rsidRPr="00DF6E74">
        <w:rPr>
          <w:lang w:eastAsia="en-AU"/>
        </w:rPr>
        <w:t>udget template). </w:t>
      </w:r>
    </w:p>
    <w:p w14:paraId="34B138E4" w14:textId="77777777" w:rsidR="00940A1D" w:rsidRPr="00940A1D" w:rsidRDefault="00940A1D" w:rsidP="00940A1D">
      <w:pPr>
        <w:pStyle w:val="Bullet1"/>
        <w:numPr>
          <w:ilvl w:val="0"/>
          <w:numId w:val="0"/>
        </w:numPr>
        <w:ind w:left="284"/>
        <w:rPr>
          <w:lang w:eastAsia="en-AU"/>
        </w:rPr>
      </w:pPr>
    </w:p>
    <w:p w14:paraId="43976831" w14:textId="77777777" w:rsidR="00940A1D" w:rsidRPr="004A3307" w:rsidRDefault="00940A1D" w:rsidP="00940A1D">
      <w:pPr>
        <w:pStyle w:val="Body"/>
      </w:pPr>
      <w:r w:rsidRPr="004A3307">
        <w:t>Currently, the new Breakfast Club bites are not reflected in the indicators webform however agencies are encouraged to include any achievements against this bite in their annual narrative report. </w:t>
      </w:r>
    </w:p>
    <w:p w14:paraId="07D3F7CB" w14:textId="77777777" w:rsidR="00940A1D" w:rsidRDefault="00940A1D" w:rsidP="00940A1D">
      <w:pPr>
        <w:pStyle w:val="Body"/>
      </w:pPr>
      <w:r>
        <w:t>For guidance on how to complete the narrative report, p</w:t>
      </w:r>
      <w:r w:rsidRPr="000B1791">
        <w:t>lease see Appendix</w:t>
      </w:r>
      <w:r>
        <w:t xml:space="preserve"> six: </w:t>
      </w:r>
      <w:r w:rsidRPr="000B1791">
        <w:t>narrative report template</w:t>
      </w:r>
      <w:r>
        <w:t>.</w:t>
      </w:r>
    </w:p>
    <w:p w14:paraId="573F48C5" w14:textId="77777777" w:rsidR="00537838" w:rsidRDefault="00537838" w:rsidP="00940A1D">
      <w:pPr>
        <w:pStyle w:val="Body"/>
      </w:pPr>
    </w:p>
    <w:p w14:paraId="369779C1" w14:textId="77777777" w:rsidR="00537838" w:rsidRDefault="00537838" w:rsidP="00940A1D">
      <w:pPr>
        <w:pStyle w:val="Body"/>
      </w:pPr>
    </w:p>
    <w:p w14:paraId="21D3F75D" w14:textId="77777777" w:rsidR="00537838" w:rsidRDefault="00537838" w:rsidP="00940A1D">
      <w:pPr>
        <w:pStyle w:val="Body"/>
      </w:pPr>
    </w:p>
    <w:p w14:paraId="3E537B4A" w14:textId="77777777" w:rsidR="00537838" w:rsidRDefault="00537838" w:rsidP="00940A1D">
      <w:pPr>
        <w:pStyle w:val="Body"/>
      </w:pPr>
    </w:p>
    <w:p w14:paraId="5365B574" w14:textId="77777777" w:rsidR="00537838" w:rsidRDefault="00537838" w:rsidP="00940A1D">
      <w:pPr>
        <w:pStyle w:val="Body"/>
      </w:pPr>
    </w:p>
    <w:p w14:paraId="0D9D042C" w14:textId="77777777" w:rsidR="00537838" w:rsidRDefault="00537838" w:rsidP="00940A1D">
      <w:pPr>
        <w:pStyle w:val="Body"/>
      </w:pPr>
    </w:p>
    <w:p w14:paraId="64EC75A5" w14:textId="77777777" w:rsidR="00537838" w:rsidRDefault="00537838" w:rsidP="00940A1D">
      <w:pPr>
        <w:pStyle w:val="Body"/>
      </w:pPr>
    </w:p>
    <w:p w14:paraId="26D44C85" w14:textId="77777777" w:rsidR="00537838" w:rsidRDefault="00537838" w:rsidP="00940A1D">
      <w:pPr>
        <w:pStyle w:val="Body"/>
      </w:pPr>
    </w:p>
    <w:p w14:paraId="3D804658" w14:textId="77777777" w:rsidR="00537838" w:rsidRDefault="00537838" w:rsidP="00940A1D">
      <w:pPr>
        <w:pStyle w:val="Body"/>
      </w:pPr>
    </w:p>
    <w:p w14:paraId="5BE90EBC" w14:textId="3CE428BB" w:rsidR="00537838" w:rsidRDefault="00537838" w:rsidP="00940A1D">
      <w:pPr>
        <w:pStyle w:val="Body"/>
      </w:pPr>
    </w:p>
    <w:p w14:paraId="4C976913" w14:textId="7C4F2C1B" w:rsidR="004D7AF9" w:rsidRDefault="00537838" w:rsidP="00537838">
      <w:pPr>
        <w:pStyle w:val="Tablecaption"/>
      </w:pPr>
      <w:r>
        <w:t>Table three: schedule for reporting</w:t>
      </w:r>
    </w:p>
    <w:tbl>
      <w:tblPr>
        <w:tblStyle w:val="TableGrid"/>
        <w:tblW w:w="0" w:type="auto"/>
        <w:tblLook w:val="04A0" w:firstRow="1" w:lastRow="0" w:firstColumn="1" w:lastColumn="0" w:noHBand="0" w:noVBand="1"/>
      </w:tblPr>
      <w:tblGrid>
        <w:gridCol w:w="4644"/>
        <w:gridCol w:w="4644"/>
      </w:tblGrid>
      <w:tr w:rsidR="00537838" w14:paraId="592FB740" w14:textId="77777777" w:rsidTr="00537838">
        <w:tc>
          <w:tcPr>
            <w:tcW w:w="4644" w:type="dxa"/>
          </w:tcPr>
          <w:p w14:paraId="4F49CC5C" w14:textId="56532B8E" w:rsidR="00537838" w:rsidRDefault="00537838" w:rsidP="00537838">
            <w:pPr>
              <w:pStyle w:val="Tablecolhead"/>
            </w:pPr>
            <w:r w:rsidRPr="004E5639">
              <w:t>CH-HP reporting requirements</w:t>
            </w:r>
          </w:p>
        </w:tc>
        <w:tc>
          <w:tcPr>
            <w:tcW w:w="4644" w:type="dxa"/>
          </w:tcPr>
          <w:p w14:paraId="5D31C3C1" w14:textId="4FBACC90" w:rsidR="00537838" w:rsidRDefault="00537838" w:rsidP="00537838">
            <w:pPr>
              <w:pStyle w:val="Tablecolhead"/>
            </w:pPr>
            <w:r w:rsidRPr="004E5639">
              <w:t>Due date</w:t>
            </w:r>
          </w:p>
        </w:tc>
      </w:tr>
      <w:tr w:rsidR="00537838" w14:paraId="1977E38A" w14:textId="77777777" w:rsidTr="00537838">
        <w:tc>
          <w:tcPr>
            <w:tcW w:w="4644" w:type="dxa"/>
          </w:tcPr>
          <w:p w14:paraId="169600EC" w14:textId="4C469251" w:rsidR="00537838" w:rsidRDefault="00537838" w:rsidP="00537838">
            <w:pPr>
              <w:pStyle w:val="Tabletext"/>
            </w:pPr>
            <w:r w:rsidRPr="004E5639">
              <w:lastRenderedPageBreak/>
              <w:t>Annual report 2024 – 25</w:t>
            </w:r>
          </w:p>
        </w:tc>
        <w:tc>
          <w:tcPr>
            <w:tcW w:w="4644" w:type="dxa"/>
          </w:tcPr>
          <w:p w14:paraId="13AE1C14" w14:textId="4A681DBE" w:rsidR="00537838" w:rsidRDefault="00537838" w:rsidP="00537838">
            <w:pPr>
              <w:pStyle w:val="Tabletext"/>
            </w:pPr>
            <w:r w:rsidRPr="004E5639">
              <w:t>31 July 2025</w:t>
            </w:r>
          </w:p>
        </w:tc>
      </w:tr>
      <w:tr w:rsidR="00537838" w14:paraId="4D37124A" w14:textId="77777777" w:rsidTr="00537838">
        <w:tc>
          <w:tcPr>
            <w:tcW w:w="4644" w:type="dxa"/>
          </w:tcPr>
          <w:p w14:paraId="2760E86C" w14:textId="1749E694" w:rsidR="00537838" w:rsidRDefault="00537838" w:rsidP="00537838">
            <w:pPr>
              <w:pStyle w:val="Tabletext"/>
            </w:pPr>
            <w:r w:rsidRPr="004E5639">
              <w:t>Strategic plan 2025 – 2029 including annual plan 2025 –2026</w:t>
            </w:r>
          </w:p>
        </w:tc>
        <w:tc>
          <w:tcPr>
            <w:tcW w:w="4644" w:type="dxa"/>
          </w:tcPr>
          <w:p w14:paraId="4BC12F0E" w14:textId="091F8C78" w:rsidR="00537838" w:rsidRDefault="00537838" w:rsidP="00537838">
            <w:pPr>
              <w:pStyle w:val="Tabletext"/>
            </w:pPr>
            <w:r w:rsidRPr="004E5639">
              <w:t xml:space="preserve">31 August 2025 </w:t>
            </w:r>
          </w:p>
        </w:tc>
      </w:tr>
      <w:tr w:rsidR="00537838" w14:paraId="736832AF" w14:textId="77777777" w:rsidTr="00537838">
        <w:tc>
          <w:tcPr>
            <w:tcW w:w="4644" w:type="dxa"/>
          </w:tcPr>
          <w:p w14:paraId="54C5716E" w14:textId="1A5C7CC3" w:rsidR="00537838" w:rsidRDefault="00537838" w:rsidP="00537838">
            <w:pPr>
              <w:pStyle w:val="Tabletext"/>
            </w:pPr>
            <w:r w:rsidRPr="004E5639">
              <w:t>Annual report 2025 – 2026</w:t>
            </w:r>
          </w:p>
        </w:tc>
        <w:tc>
          <w:tcPr>
            <w:tcW w:w="4644" w:type="dxa"/>
          </w:tcPr>
          <w:p w14:paraId="359D6CEB" w14:textId="692AFBE9" w:rsidR="00537838" w:rsidRDefault="00537838" w:rsidP="00537838">
            <w:pPr>
              <w:pStyle w:val="Tabletext"/>
            </w:pPr>
            <w:r w:rsidRPr="004E5639">
              <w:t>31 July2026</w:t>
            </w:r>
          </w:p>
        </w:tc>
      </w:tr>
      <w:tr w:rsidR="00537838" w14:paraId="2F8405F4" w14:textId="77777777" w:rsidTr="00537838">
        <w:tc>
          <w:tcPr>
            <w:tcW w:w="4644" w:type="dxa"/>
          </w:tcPr>
          <w:p w14:paraId="7F6D5011" w14:textId="310F06E4" w:rsidR="00537838" w:rsidRDefault="00537838" w:rsidP="00537838">
            <w:pPr>
              <w:pStyle w:val="Tabletext"/>
            </w:pPr>
            <w:r w:rsidRPr="004E5639">
              <w:t>Annual plan 2026 – 2027</w:t>
            </w:r>
          </w:p>
        </w:tc>
        <w:tc>
          <w:tcPr>
            <w:tcW w:w="4644" w:type="dxa"/>
          </w:tcPr>
          <w:p w14:paraId="1FA59CFB" w14:textId="28882C3A" w:rsidR="00537838" w:rsidRDefault="00537838" w:rsidP="00537838">
            <w:pPr>
              <w:pStyle w:val="Tabletext"/>
            </w:pPr>
            <w:r w:rsidRPr="004E5639">
              <w:t>31 August 2026</w:t>
            </w:r>
          </w:p>
        </w:tc>
      </w:tr>
      <w:tr w:rsidR="00537838" w14:paraId="25670C1F" w14:textId="77777777" w:rsidTr="00537838">
        <w:tc>
          <w:tcPr>
            <w:tcW w:w="4644" w:type="dxa"/>
          </w:tcPr>
          <w:p w14:paraId="76E52107" w14:textId="0B1566EB" w:rsidR="00537838" w:rsidRDefault="00537838" w:rsidP="00537838">
            <w:pPr>
              <w:pStyle w:val="Tabletext"/>
            </w:pPr>
            <w:r w:rsidRPr="004E5639">
              <w:t>Annual report 2026 – 2027</w:t>
            </w:r>
          </w:p>
        </w:tc>
        <w:tc>
          <w:tcPr>
            <w:tcW w:w="4644" w:type="dxa"/>
          </w:tcPr>
          <w:p w14:paraId="4F30FD02" w14:textId="4F1A018A" w:rsidR="00537838" w:rsidRDefault="00537838" w:rsidP="00537838">
            <w:pPr>
              <w:pStyle w:val="Tabletext"/>
            </w:pPr>
            <w:r w:rsidRPr="004E5639">
              <w:t>31 July 2027</w:t>
            </w:r>
          </w:p>
        </w:tc>
      </w:tr>
      <w:tr w:rsidR="00537838" w14:paraId="7B0B36E1" w14:textId="77777777" w:rsidTr="00537838">
        <w:tc>
          <w:tcPr>
            <w:tcW w:w="4644" w:type="dxa"/>
          </w:tcPr>
          <w:p w14:paraId="5F447E38" w14:textId="33B9DF81" w:rsidR="00537838" w:rsidRDefault="00537838" w:rsidP="00537838">
            <w:pPr>
              <w:pStyle w:val="Tabletext"/>
            </w:pPr>
            <w:r w:rsidRPr="004E5639">
              <w:t>Annual plan 2027 – 2028</w:t>
            </w:r>
          </w:p>
        </w:tc>
        <w:tc>
          <w:tcPr>
            <w:tcW w:w="4644" w:type="dxa"/>
          </w:tcPr>
          <w:p w14:paraId="61AB132B" w14:textId="7CC01F91" w:rsidR="00537838" w:rsidRDefault="00537838" w:rsidP="00537838">
            <w:pPr>
              <w:pStyle w:val="Tabletext"/>
            </w:pPr>
            <w:r w:rsidRPr="004E5639">
              <w:t>31 August 2027</w:t>
            </w:r>
          </w:p>
        </w:tc>
      </w:tr>
      <w:tr w:rsidR="00537838" w14:paraId="632079D2" w14:textId="77777777" w:rsidTr="00537838">
        <w:tc>
          <w:tcPr>
            <w:tcW w:w="4644" w:type="dxa"/>
          </w:tcPr>
          <w:p w14:paraId="5EACC3D0" w14:textId="7187F75B" w:rsidR="00537838" w:rsidRDefault="00537838" w:rsidP="00537838">
            <w:pPr>
              <w:pStyle w:val="Tabletext"/>
            </w:pPr>
            <w:r w:rsidRPr="004E5639">
              <w:t>Annual report 2027 – 2028</w:t>
            </w:r>
          </w:p>
        </w:tc>
        <w:tc>
          <w:tcPr>
            <w:tcW w:w="4644" w:type="dxa"/>
          </w:tcPr>
          <w:p w14:paraId="24E0E791" w14:textId="08295DAA" w:rsidR="00537838" w:rsidRDefault="00537838" w:rsidP="00537838">
            <w:pPr>
              <w:pStyle w:val="Tabletext"/>
            </w:pPr>
            <w:r w:rsidRPr="004E5639">
              <w:t>31 July 2028</w:t>
            </w:r>
          </w:p>
        </w:tc>
      </w:tr>
      <w:tr w:rsidR="00537838" w14:paraId="1FB97F36" w14:textId="77777777" w:rsidTr="00537838">
        <w:tc>
          <w:tcPr>
            <w:tcW w:w="4644" w:type="dxa"/>
          </w:tcPr>
          <w:p w14:paraId="789309D7" w14:textId="2AB628D6" w:rsidR="00537838" w:rsidRDefault="00537838" w:rsidP="00537838">
            <w:pPr>
              <w:pStyle w:val="Tabletext"/>
            </w:pPr>
            <w:r w:rsidRPr="00AA7F6A">
              <w:t xml:space="preserve">Annual plan 2028 – 2029 </w:t>
            </w:r>
          </w:p>
        </w:tc>
        <w:tc>
          <w:tcPr>
            <w:tcW w:w="4644" w:type="dxa"/>
          </w:tcPr>
          <w:p w14:paraId="3BED754B" w14:textId="29496F03" w:rsidR="00537838" w:rsidRDefault="00537838" w:rsidP="00537838">
            <w:pPr>
              <w:pStyle w:val="Tabletext"/>
            </w:pPr>
            <w:r w:rsidRPr="00AA7F6A">
              <w:t>31 August 2028</w:t>
            </w:r>
          </w:p>
        </w:tc>
      </w:tr>
      <w:tr w:rsidR="00537838" w14:paraId="18332470" w14:textId="77777777" w:rsidTr="00537838">
        <w:tc>
          <w:tcPr>
            <w:tcW w:w="4644" w:type="dxa"/>
          </w:tcPr>
          <w:p w14:paraId="0EC860B7" w14:textId="013494B2" w:rsidR="00537838" w:rsidRDefault="00537838" w:rsidP="00537838">
            <w:pPr>
              <w:pStyle w:val="Tabletext"/>
            </w:pPr>
            <w:r w:rsidRPr="00AA7F6A">
              <w:t>Annual report 2028 – 2029</w:t>
            </w:r>
          </w:p>
        </w:tc>
        <w:tc>
          <w:tcPr>
            <w:tcW w:w="4644" w:type="dxa"/>
          </w:tcPr>
          <w:p w14:paraId="38330427" w14:textId="59391288" w:rsidR="00537838" w:rsidRDefault="00537838" w:rsidP="00537838">
            <w:pPr>
              <w:pStyle w:val="Tabletext"/>
            </w:pPr>
            <w:r w:rsidRPr="00AA7F6A">
              <w:t>31 July 2029</w:t>
            </w:r>
          </w:p>
        </w:tc>
      </w:tr>
      <w:tr w:rsidR="00537838" w14:paraId="3B9AFFC4" w14:textId="77777777" w:rsidTr="00537838">
        <w:tc>
          <w:tcPr>
            <w:tcW w:w="4644" w:type="dxa"/>
          </w:tcPr>
          <w:p w14:paraId="6B41F561" w14:textId="7D88C924" w:rsidR="00537838" w:rsidRDefault="00537838" w:rsidP="00537838">
            <w:pPr>
              <w:pStyle w:val="Tabletext"/>
            </w:pPr>
            <w:r w:rsidRPr="00AA7F6A">
              <w:t>Strategic plan 2029-2033 including annual plan 2029 – 2030</w:t>
            </w:r>
          </w:p>
        </w:tc>
        <w:tc>
          <w:tcPr>
            <w:tcW w:w="4644" w:type="dxa"/>
          </w:tcPr>
          <w:p w14:paraId="5C6F79A8" w14:textId="0399584D" w:rsidR="00537838" w:rsidRDefault="00537838" w:rsidP="00537838">
            <w:pPr>
              <w:pStyle w:val="Tabletext"/>
            </w:pPr>
            <w:r w:rsidRPr="00AA7F6A">
              <w:t>31 August 2029</w:t>
            </w:r>
          </w:p>
        </w:tc>
      </w:tr>
    </w:tbl>
    <w:p w14:paraId="33763349" w14:textId="77777777" w:rsidR="002E77C6" w:rsidRDefault="002E77C6" w:rsidP="002E77C6">
      <w:pPr>
        <w:pStyle w:val="Body"/>
        <w:spacing w:before="120"/>
      </w:pPr>
      <w:r w:rsidRPr="0093B6B6">
        <w:rPr>
          <w:rFonts w:eastAsia="Arial" w:cs="Arial"/>
          <w:color w:val="000000" w:themeColor="text1"/>
          <w:szCs w:val="21"/>
        </w:rPr>
        <w:t xml:space="preserve">Note: Budget acquittals for the previous financial year are due by 31 August each year. For more information on </w:t>
      </w:r>
      <w:r>
        <w:rPr>
          <w:rFonts w:eastAsia="Arial" w:cs="Arial"/>
          <w:color w:val="000000" w:themeColor="text1"/>
          <w:szCs w:val="21"/>
        </w:rPr>
        <w:t xml:space="preserve">budget </w:t>
      </w:r>
      <w:r w:rsidRPr="0093B6B6">
        <w:rPr>
          <w:rFonts w:eastAsia="Arial" w:cs="Arial"/>
          <w:color w:val="000000" w:themeColor="text1"/>
          <w:szCs w:val="21"/>
        </w:rPr>
        <w:t xml:space="preserve">due dates please see Appendix 5: budget </w:t>
      </w:r>
      <w:r>
        <w:rPr>
          <w:rFonts w:eastAsia="Arial" w:cs="Arial"/>
          <w:color w:val="000000" w:themeColor="text1"/>
          <w:szCs w:val="21"/>
        </w:rPr>
        <w:t xml:space="preserve">forecast and acquittal </w:t>
      </w:r>
      <w:r w:rsidRPr="0093B6B6">
        <w:rPr>
          <w:rFonts w:eastAsia="Arial" w:cs="Arial"/>
          <w:color w:val="000000" w:themeColor="text1"/>
          <w:szCs w:val="21"/>
        </w:rPr>
        <w:t xml:space="preserve">template. </w:t>
      </w:r>
      <w:r w:rsidRPr="0093B6B6">
        <w:t xml:space="preserve"> </w:t>
      </w:r>
    </w:p>
    <w:p w14:paraId="2EDD01B4" w14:textId="58910E53" w:rsidR="00641FBE" w:rsidRDefault="00641FBE" w:rsidP="00641FBE">
      <w:pPr>
        <w:pStyle w:val="Heading2"/>
      </w:pPr>
      <w:bookmarkStart w:id="22" w:name="_Toc194663091"/>
      <w:r>
        <w:t>Annual plans</w:t>
      </w:r>
      <w:bookmarkEnd w:id="22"/>
    </w:p>
    <w:p w14:paraId="7C42A20B" w14:textId="037D6F1E" w:rsidR="00FC7FBA" w:rsidRPr="00FC7FBA" w:rsidRDefault="00FC7FBA" w:rsidP="00FC7FBA">
      <w:pPr>
        <w:pStyle w:val="Body"/>
        <w:rPr>
          <w:rFonts w:eastAsia="Times New Roman"/>
        </w:rPr>
      </w:pPr>
      <w:r w:rsidRPr="153A1F7D">
        <w:rPr>
          <w:rFonts w:eastAsia="Times New Roman"/>
        </w:rPr>
        <w:t xml:space="preserve">Agencies are required to submit their endorsed annual plans to the state-wide </w:t>
      </w:r>
      <w:hyperlink r:id="rId39" w:history="1">
        <w:r w:rsidRPr="00FC7FBA">
          <w:rPr>
            <w:rStyle w:val="Hyperlink"/>
            <w:rFonts w:eastAsia="Times New Roman"/>
          </w:rPr>
          <w:t>prevention inbox</w:t>
        </w:r>
      </w:hyperlink>
      <w:r>
        <w:rPr>
          <w:rFonts w:eastAsia="Times New Roman"/>
        </w:rPr>
        <w:t xml:space="preserve"> &lt;</w:t>
      </w:r>
      <w:hyperlink r:id="rId40" w:history="1">
        <w:r w:rsidRPr="0096799D">
          <w:rPr>
            <w:rStyle w:val="Hyperlink"/>
            <w:rFonts w:eastAsia="Times New Roman"/>
            <w:szCs w:val="21"/>
          </w:rPr>
          <w:t>Prevention@health.vic.gov.au</w:t>
        </w:r>
      </w:hyperlink>
      <w:r>
        <w:rPr>
          <w:rFonts w:eastAsia="Times New Roman"/>
          <w:szCs w:val="21"/>
        </w:rPr>
        <w:t xml:space="preserve">&gt;. </w:t>
      </w:r>
    </w:p>
    <w:p w14:paraId="234F87EB" w14:textId="77777777" w:rsidR="00FC7FBA" w:rsidRDefault="00FC7FBA" w:rsidP="00FC7FBA">
      <w:pPr>
        <w:pStyle w:val="Body"/>
      </w:pPr>
      <w:r w:rsidRPr="153A1F7D">
        <w:t xml:space="preserve">The program is aligned to the priorities of the </w:t>
      </w:r>
      <w:r w:rsidRPr="153A1F7D">
        <w:rPr>
          <w:i/>
          <w:iCs/>
        </w:rPr>
        <w:t>Victorian public health and wellbeing plan 2023-2027</w:t>
      </w:r>
      <w:r w:rsidRPr="153A1F7D">
        <w:t xml:space="preserve"> and will work in partnership with</w:t>
      </w:r>
      <w:r>
        <w:t xml:space="preserve"> LPHUs</w:t>
      </w:r>
      <w:r w:rsidRPr="153A1F7D">
        <w:t xml:space="preserve">, local government, women’s health and other prevention partners to ensure complementary, mutually reinforcing interventions, to address the significant contributors to the burden of disease. </w:t>
      </w:r>
    </w:p>
    <w:p w14:paraId="3D1E0907" w14:textId="77777777" w:rsidR="00FC7FBA" w:rsidRDefault="00FC7FBA" w:rsidP="00FC7FBA">
      <w:pPr>
        <w:pStyle w:val="Body"/>
      </w:pPr>
      <w:r w:rsidRPr="341EB58C">
        <w:t xml:space="preserve">In the first year of the planning cycle, CH-HP agencies should highlight their four-year objectives and outcomes alongside their annual actions. </w:t>
      </w:r>
    </w:p>
    <w:p w14:paraId="444D3666" w14:textId="77777777" w:rsidR="00FC7FBA" w:rsidRPr="00D85767" w:rsidRDefault="00FC7FBA" w:rsidP="00FC7FBA">
      <w:pPr>
        <w:pStyle w:val="Body"/>
      </w:pPr>
      <w:r w:rsidRPr="00D85767">
        <w:t>The plan (on a template of your agency’s choice) should</w:t>
      </w:r>
      <w:r>
        <w:t xml:space="preserve"> reflect the program guidelines and</w:t>
      </w:r>
      <w:r w:rsidRPr="00D85767">
        <w:t>:</w:t>
      </w:r>
    </w:p>
    <w:p w14:paraId="612CAD43" w14:textId="77777777" w:rsidR="00FC7FBA" w:rsidRPr="00D85767" w:rsidRDefault="00FC7FBA" w:rsidP="00FC7FBA">
      <w:pPr>
        <w:pStyle w:val="Bullet1"/>
      </w:pPr>
      <w:r w:rsidRPr="153A1F7D">
        <w:t>Include key initiatives to be undertaken (including settings, approaches, target groups, indicators of success and timeframes).</w:t>
      </w:r>
    </w:p>
    <w:p w14:paraId="09FFC4C0" w14:textId="77777777" w:rsidR="00FC7FBA" w:rsidRPr="00D85767" w:rsidRDefault="00FC7FBA" w:rsidP="00FC7FBA">
      <w:pPr>
        <w:pStyle w:val="Bullet1"/>
      </w:pPr>
      <w:r w:rsidRPr="47AB8948">
        <w:t>Clearly identify the total budget allocated to implementation of the annual plan, by completing a budget using the template (Appendix 5). The acquittal for 2024-25 and should be submitted against this budget using the same template (</w:t>
      </w:r>
      <w:r>
        <w:t>e.g.</w:t>
      </w:r>
      <w:r w:rsidRPr="47AB8948">
        <w:t xml:space="preserve"> leave the column headed ‘Actuals’ blank when submitting your budget with the annual plan).</w:t>
      </w:r>
    </w:p>
    <w:p w14:paraId="342BB252" w14:textId="77777777" w:rsidR="00FC7FBA" w:rsidRPr="00D85767" w:rsidRDefault="00FC7FBA" w:rsidP="00FC7FBA">
      <w:pPr>
        <w:pStyle w:val="Bullet1"/>
      </w:pPr>
      <w:r w:rsidRPr="153A1F7D">
        <w:t xml:space="preserve">Identify indicators and definitions of success that guide implementation and assist with shorter term decision-making. </w:t>
      </w:r>
    </w:p>
    <w:p w14:paraId="0B64D2F4" w14:textId="77777777" w:rsidR="00FC7FBA" w:rsidRPr="00D85767" w:rsidRDefault="00FC7FBA" w:rsidP="00FC7FBA">
      <w:pPr>
        <w:pStyle w:val="Bullet1"/>
        <w:rPr>
          <w:rFonts w:cs="Arial"/>
          <w:szCs w:val="21"/>
          <w:lang w:eastAsia="en-AU"/>
        </w:rPr>
      </w:pPr>
      <w:r>
        <w:rPr>
          <w:rFonts w:cs="Arial"/>
          <w:szCs w:val="21"/>
          <w:lang w:eastAsia="en-AU"/>
        </w:rPr>
        <w:t>O</w:t>
      </w:r>
      <w:r w:rsidRPr="00D85767">
        <w:rPr>
          <w:rFonts w:cs="Arial"/>
          <w:szCs w:val="21"/>
          <w:lang w:eastAsia="en-AU"/>
        </w:rPr>
        <w:t>utline how existing statewide resources and programs will be engaged and implemented locally, including: </w:t>
      </w:r>
    </w:p>
    <w:p w14:paraId="35FD81FB" w14:textId="6F372F1A" w:rsidR="00FC7FBA" w:rsidRPr="00D85767" w:rsidRDefault="00FC7FBA" w:rsidP="00FC7FBA">
      <w:pPr>
        <w:pStyle w:val="Bullet2"/>
        <w:rPr>
          <w:rFonts w:cs="Arial"/>
          <w:szCs w:val="21"/>
          <w:lang w:eastAsia="en-AU"/>
        </w:rPr>
      </w:pPr>
      <w:hyperlink r:id="rId41" w:history="1">
        <w:r w:rsidRPr="003C2743">
          <w:rPr>
            <w:rStyle w:val="Hyperlink"/>
            <w:lang w:eastAsia="en-AU"/>
          </w:rPr>
          <w:t>Achievement Program</w:t>
        </w:r>
      </w:hyperlink>
      <w:r w:rsidRPr="003C2743">
        <w:t xml:space="preserve"> </w:t>
      </w:r>
      <w:r w:rsidRPr="00D85767">
        <w:rPr>
          <w:rFonts w:cs="Arial"/>
          <w:szCs w:val="21"/>
          <w:lang w:eastAsia="en-AU"/>
        </w:rPr>
        <w:t>&lt;</w:t>
      </w:r>
      <w:r w:rsidR="00C372C8" w:rsidRPr="00B342FC">
        <w:rPr>
          <w:rFonts w:cs="Arial"/>
          <w:szCs w:val="21"/>
          <w:lang w:eastAsia="en-AU"/>
        </w:rPr>
        <w:t>https://www.achievementprogram.health.vic.gov.au/</w:t>
      </w:r>
      <w:r w:rsidR="00B342FC">
        <w:t>&gt;</w:t>
      </w:r>
    </w:p>
    <w:p w14:paraId="59703B85" w14:textId="124835C0" w:rsidR="00FC7FBA" w:rsidRPr="00D85767" w:rsidRDefault="00FC7FBA" w:rsidP="00FC7FBA">
      <w:pPr>
        <w:pStyle w:val="Bullet2"/>
        <w:rPr>
          <w:rFonts w:cs="Arial"/>
          <w:szCs w:val="21"/>
          <w:lang w:eastAsia="en-AU"/>
        </w:rPr>
      </w:pPr>
      <w:hyperlink r:id="rId42" w:history="1">
        <w:r w:rsidRPr="00D85767">
          <w:rPr>
            <w:rStyle w:val="Hyperlink"/>
            <w:rFonts w:cs="Arial"/>
            <w:szCs w:val="21"/>
            <w:lang w:eastAsia="en-AU"/>
          </w:rPr>
          <w:t>Vic Kids Eat Well</w:t>
        </w:r>
      </w:hyperlink>
      <w:r w:rsidRPr="00D85767">
        <w:rPr>
          <w:rFonts w:cs="Arial"/>
          <w:szCs w:val="21"/>
          <w:lang w:eastAsia="en-AU"/>
        </w:rPr>
        <w:t xml:space="preserve"> &lt;</w:t>
      </w:r>
      <w:r w:rsidRPr="00B342FC">
        <w:rPr>
          <w:rFonts w:cs="Arial"/>
          <w:szCs w:val="21"/>
          <w:lang w:eastAsia="en-AU"/>
        </w:rPr>
        <w:t>https://www.vickidseatwell.health.vic.gov.au</w:t>
      </w:r>
      <w:r w:rsidRPr="00D85767">
        <w:rPr>
          <w:rFonts w:cs="Arial"/>
          <w:szCs w:val="21"/>
          <w:lang w:eastAsia="en-AU"/>
        </w:rPr>
        <w:t>/&gt;</w:t>
      </w:r>
    </w:p>
    <w:p w14:paraId="41A84624" w14:textId="54934464" w:rsidR="00FC7FBA" w:rsidRDefault="00FC7FBA" w:rsidP="00FC7FBA">
      <w:pPr>
        <w:pStyle w:val="Bullet2"/>
        <w:rPr>
          <w:rFonts w:cs="Arial"/>
          <w:lang w:eastAsia="en-AU"/>
        </w:rPr>
      </w:pPr>
      <w:hyperlink r:id="rId43">
        <w:r w:rsidRPr="28D4EB44">
          <w:rPr>
            <w:rStyle w:val="Hyperlink"/>
            <w:rFonts w:cs="Arial"/>
            <w:lang w:eastAsia="en-AU"/>
          </w:rPr>
          <w:t>Healthy Eating Advisory Service</w:t>
        </w:r>
      </w:hyperlink>
      <w:r w:rsidRPr="28D4EB44">
        <w:rPr>
          <w:rFonts w:cs="Arial"/>
          <w:lang w:eastAsia="en-AU"/>
        </w:rPr>
        <w:t xml:space="preserve"> &lt;</w:t>
      </w:r>
      <w:r w:rsidR="00C372C8" w:rsidRPr="00B342FC">
        <w:rPr>
          <w:rFonts w:cs="Arial"/>
          <w:lang w:eastAsia="en-AU"/>
        </w:rPr>
        <w:t>https://heas.health.vic.gov.au</w:t>
      </w:r>
      <w:r w:rsidRPr="28D4EB44">
        <w:rPr>
          <w:rFonts w:cs="Arial"/>
          <w:lang w:eastAsia="en-AU"/>
        </w:rPr>
        <w:t xml:space="preserve">&gt; </w:t>
      </w:r>
    </w:p>
    <w:p w14:paraId="6F97B156" w14:textId="5F47A54C" w:rsidR="00FC7FBA" w:rsidRPr="00D85767" w:rsidRDefault="00FC7FBA" w:rsidP="00FC7FBA">
      <w:pPr>
        <w:pStyle w:val="Bullet2"/>
        <w:rPr>
          <w:rFonts w:cs="Arial"/>
          <w:lang w:eastAsia="en-AU"/>
        </w:rPr>
      </w:pPr>
      <w:hyperlink r:id="rId44" w:history="1">
        <w:r w:rsidRPr="28D4EB44">
          <w:rPr>
            <w:rStyle w:val="Hyperlink"/>
            <w:rFonts w:cs="Arial"/>
            <w:lang w:eastAsia="en-AU"/>
          </w:rPr>
          <w:t>Menu planning guidelines for long day care</w:t>
        </w:r>
      </w:hyperlink>
      <w:r w:rsidRPr="28D4EB44">
        <w:rPr>
          <w:rFonts w:cs="Arial"/>
          <w:lang w:eastAsia="en-AU"/>
        </w:rPr>
        <w:t xml:space="preserve"> &lt;</w:t>
      </w:r>
      <w:r w:rsidR="00C12667" w:rsidRPr="00B342FC">
        <w:rPr>
          <w:rFonts w:cs="Arial"/>
          <w:lang w:eastAsia="en-AU"/>
        </w:rPr>
        <w:t>https://heas.health.vic.gov.au/resources/plan-a-menu/menu-planning-guidelines-for-long-day-care/</w:t>
      </w:r>
      <w:r w:rsidR="00C12667">
        <w:rPr>
          <w:rFonts w:cs="Arial"/>
          <w:lang w:eastAsia="en-AU"/>
        </w:rPr>
        <w:t xml:space="preserve">&gt; </w:t>
      </w:r>
      <w:r w:rsidRPr="28D4EB44">
        <w:rPr>
          <w:rFonts w:cs="Arial"/>
          <w:lang w:eastAsia="en-AU"/>
        </w:rPr>
        <w:t xml:space="preserve">including via </w:t>
      </w:r>
      <w:hyperlink r:id="rId45" w:history="1">
        <w:r w:rsidRPr="28D4EB44">
          <w:rPr>
            <w:rStyle w:val="Hyperlink"/>
            <w:rFonts w:cs="Arial"/>
            <w:lang w:eastAsia="en-AU"/>
          </w:rPr>
          <w:t>Cooks Connect</w:t>
        </w:r>
      </w:hyperlink>
      <w:r w:rsidRPr="28D4EB44">
        <w:rPr>
          <w:rFonts w:cs="Arial"/>
          <w:lang w:eastAsia="en-AU"/>
        </w:rPr>
        <w:t xml:space="preserve"> &lt;</w:t>
      </w:r>
      <w:r w:rsidRPr="00B342FC">
        <w:rPr>
          <w:rFonts w:cs="Arial"/>
          <w:lang w:eastAsia="en-AU"/>
        </w:rPr>
        <w:t>https://heas.health.vic.gov.au/resources/health-promoter-resources</w:t>
      </w:r>
      <w:r w:rsidRPr="28D4EB44">
        <w:rPr>
          <w:rFonts w:cs="Arial"/>
          <w:lang w:eastAsia="en-AU"/>
        </w:rPr>
        <w:t>/&gt;</w:t>
      </w:r>
    </w:p>
    <w:p w14:paraId="297B1D6A" w14:textId="5D282B22" w:rsidR="00FC7FBA" w:rsidRPr="00D85767" w:rsidRDefault="00FC7FBA" w:rsidP="00FC7FBA">
      <w:pPr>
        <w:pStyle w:val="Bullet2"/>
        <w:rPr>
          <w:rFonts w:cs="Arial"/>
          <w:lang w:eastAsia="en-AU"/>
        </w:rPr>
      </w:pPr>
      <w:hyperlink r:id="rId46">
        <w:r w:rsidRPr="5CF0B45F">
          <w:rPr>
            <w:rStyle w:val="Hyperlink"/>
            <w:rFonts w:cs="Arial"/>
            <w:lang w:eastAsia="en-AU"/>
          </w:rPr>
          <w:t>Healthy Choices guidelines</w:t>
        </w:r>
      </w:hyperlink>
      <w:r w:rsidRPr="5CF0B45F">
        <w:rPr>
          <w:rFonts w:cs="Arial"/>
          <w:color w:val="004C97"/>
          <w:u w:val="single"/>
          <w:lang w:eastAsia="en-AU"/>
        </w:rPr>
        <w:t xml:space="preserve"> </w:t>
      </w:r>
      <w:r>
        <w:rPr>
          <w:rFonts w:cs="Arial"/>
          <w:color w:val="004C97"/>
          <w:u w:val="single"/>
          <w:lang w:eastAsia="en-AU"/>
        </w:rPr>
        <w:t xml:space="preserve">(including Healthy choices policy directive and Practice note) </w:t>
      </w:r>
      <w:r w:rsidRPr="5CF0B45F">
        <w:rPr>
          <w:rFonts w:cs="Arial"/>
          <w:lang w:eastAsia="en-AU"/>
        </w:rPr>
        <w:t>&lt;</w:t>
      </w:r>
      <w:r w:rsidRPr="00B342FC">
        <w:rPr>
          <w:rFonts w:cs="Arial"/>
          <w:lang w:eastAsia="en-AU"/>
        </w:rPr>
        <w:t>https://www.health.vic.gov.au/preventive-health/healthy-choices</w:t>
      </w:r>
      <w:r w:rsidRPr="003704C9" w:rsidDel="003704C9">
        <w:rPr>
          <w:rFonts w:cs="Arial"/>
          <w:lang w:eastAsia="en-AU"/>
        </w:rPr>
        <w:t xml:space="preserve"> </w:t>
      </w:r>
      <w:r w:rsidRPr="5CF0B45F">
        <w:rPr>
          <w:rFonts w:cs="Arial"/>
          <w:lang w:eastAsia="en-AU"/>
        </w:rPr>
        <w:t>&gt; </w:t>
      </w:r>
    </w:p>
    <w:p w14:paraId="73243802" w14:textId="19D08409" w:rsidR="00FC7FBA" w:rsidRPr="00D85767" w:rsidRDefault="00FC7FBA" w:rsidP="00FC7FBA">
      <w:pPr>
        <w:pStyle w:val="Bullet2"/>
        <w:rPr>
          <w:rFonts w:cs="Arial"/>
          <w:szCs w:val="21"/>
          <w:lang w:eastAsia="en-AU"/>
        </w:rPr>
      </w:pPr>
      <w:hyperlink r:id="rId47" w:history="1">
        <w:r w:rsidRPr="00823B58">
          <w:rPr>
            <w:rStyle w:val="Hyperlink"/>
            <w:rFonts w:cs="Arial"/>
            <w:szCs w:val="21"/>
            <w:lang w:eastAsia="en-AU"/>
          </w:rPr>
          <w:t>Smiles 4 Miles</w:t>
        </w:r>
      </w:hyperlink>
      <w:r w:rsidRPr="00D85767">
        <w:rPr>
          <w:rFonts w:cs="Arial"/>
          <w:szCs w:val="21"/>
          <w:lang w:eastAsia="en-AU"/>
        </w:rPr>
        <w:t xml:space="preserve"> &lt;</w:t>
      </w:r>
      <w:hyperlink r:id="rId48" w:history="1">
        <w:r w:rsidRPr="00B16312">
          <w:rPr>
            <w:rStyle w:val="Hyperlink"/>
            <w:rFonts w:cs="Arial"/>
            <w:szCs w:val="21"/>
            <w:lang w:eastAsia="en-AU"/>
          </w:rPr>
          <w:t>https://www.dhsv.org.au/oral-health-programs/smiles4miles</w:t>
        </w:r>
      </w:hyperlink>
      <w:r w:rsidRPr="00D85767">
        <w:rPr>
          <w:rFonts w:cs="Arial"/>
          <w:szCs w:val="21"/>
          <w:lang w:eastAsia="en-AU"/>
        </w:rPr>
        <w:t>&gt;</w:t>
      </w:r>
    </w:p>
    <w:p w14:paraId="4F859006" w14:textId="005CE1F8" w:rsidR="00FC7FBA" w:rsidRPr="00D85767" w:rsidRDefault="00FC7FBA" w:rsidP="00FC7FBA">
      <w:pPr>
        <w:pStyle w:val="Bullet2"/>
        <w:rPr>
          <w:rFonts w:cs="Arial"/>
          <w:szCs w:val="21"/>
          <w:lang w:eastAsia="en-AU"/>
        </w:rPr>
      </w:pPr>
      <w:hyperlink r:id="rId49">
        <w:r w:rsidRPr="28D4EB44">
          <w:rPr>
            <w:rStyle w:val="Hyperlink"/>
          </w:rPr>
          <w:t>Quit</w:t>
        </w:r>
      </w:hyperlink>
      <w:r w:rsidRPr="28D4EB44">
        <w:rPr>
          <w:rFonts w:cs="Arial"/>
          <w:lang w:eastAsia="en-AU"/>
        </w:rPr>
        <w:t xml:space="preserve"> &lt;</w:t>
      </w:r>
      <w:r w:rsidRPr="00B342FC">
        <w:rPr>
          <w:rFonts w:cs="Arial"/>
          <w:lang w:eastAsia="en-AU"/>
        </w:rPr>
        <w:t>https://www.quit.org.au/</w:t>
      </w:r>
      <w:r w:rsidRPr="28D4EB44">
        <w:rPr>
          <w:rFonts w:cs="Arial"/>
          <w:lang w:eastAsia="en-AU"/>
        </w:rPr>
        <w:t xml:space="preserve">&gt; </w:t>
      </w:r>
    </w:p>
    <w:p w14:paraId="51F31437" w14:textId="77777777" w:rsidR="00FC7FBA" w:rsidRDefault="00FC7FBA" w:rsidP="00482FA2">
      <w:pPr>
        <w:pStyle w:val="Body"/>
        <w:rPr>
          <w:lang w:eastAsia="en-AU"/>
        </w:rPr>
      </w:pPr>
    </w:p>
    <w:p w14:paraId="755B5A3E" w14:textId="77777777" w:rsidR="00FC7FBA" w:rsidRDefault="00FC7FBA" w:rsidP="00482FA2">
      <w:pPr>
        <w:pStyle w:val="Body"/>
        <w:rPr>
          <w:lang w:eastAsia="en-AU"/>
        </w:rPr>
      </w:pPr>
      <w:r w:rsidRPr="153A1F7D">
        <w:rPr>
          <w:lang w:eastAsia="en-AU"/>
        </w:rPr>
        <w:t>In preparing the plan, the agencies are also required to demonstrate how they will partner with L</w:t>
      </w:r>
      <w:r>
        <w:rPr>
          <w:lang w:eastAsia="en-AU"/>
        </w:rPr>
        <w:t xml:space="preserve">PHUs, </w:t>
      </w:r>
      <w:r w:rsidRPr="153A1F7D">
        <w:rPr>
          <w:lang w:eastAsia="en-AU"/>
        </w:rPr>
        <w:t>local government</w:t>
      </w:r>
      <w:r>
        <w:rPr>
          <w:lang w:eastAsia="en-AU"/>
        </w:rPr>
        <w:t xml:space="preserve"> and </w:t>
      </w:r>
      <w:r w:rsidRPr="153A1F7D">
        <w:rPr>
          <w:lang w:eastAsia="en-AU"/>
        </w:rPr>
        <w:t>Victorian women’s health organisations. Further information about these initiatives is available in Appendix one.</w:t>
      </w:r>
    </w:p>
    <w:p w14:paraId="659DD2DC" w14:textId="4CA1FBAD" w:rsidR="00641FBE" w:rsidRDefault="00FC7FBA" w:rsidP="00482FA2">
      <w:pPr>
        <w:pStyle w:val="Body"/>
      </w:pPr>
      <w:r w:rsidRPr="0FECBB6D">
        <w:t>As in previous years, funded agencies are expected to work with, promote and support HEAS and the local implementation of the Achievement Program.</w:t>
      </w:r>
    </w:p>
    <w:p w14:paraId="043F2C00" w14:textId="36EC24E3" w:rsidR="001533C2" w:rsidRDefault="001533C2" w:rsidP="001533C2">
      <w:pPr>
        <w:pStyle w:val="Heading1"/>
      </w:pPr>
      <w:bookmarkStart w:id="23" w:name="_Toc194663092"/>
      <w:r>
        <w:t>Appendix one: State-wide health and wellbeing initiatives</w:t>
      </w:r>
      <w:bookmarkEnd w:id="23"/>
    </w:p>
    <w:p w14:paraId="40631F47" w14:textId="5541E422" w:rsidR="001533C2" w:rsidRPr="001533C2" w:rsidRDefault="0086798D" w:rsidP="00BF0CD2">
      <w:pPr>
        <w:pStyle w:val="Heading2"/>
      </w:pPr>
      <w:r>
        <w:t>Initiative/Reform</w:t>
      </w:r>
    </w:p>
    <w:p w14:paraId="57C1E010" w14:textId="77777777" w:rsidR="0088427C" w:rsidRPr="00BF0CD2" w:rsidRDefault="0088427C" w:rsidP="00BF0CD2">
      <w:pPr>
        <w:pStyle w:val="Heading3"/>
        <w:rPr>
          <w:rStyle w:val="eop"/>
          <w:rFonts w:cs="Arial"/>
          <w:szCs w:val="30"/>
        </w:rPr>
      </w:pPr>
      <w:r w:rsidRPr="00BF0CD2">
        <w:rPr>
          <w:rStyle w:val="eop"/>
          <w:rFonts w:cs="Arial"/>
          <w:szCs w:val="30"/>
        </w:rPr>
        <w:t>Achievement Program and Vic Kids Eat Well</w:t>
      </w:r>
    </w:p>
    <w:p w14:paraId="1C241400" w14:textId="77777777" w:rsidR="004E2448" w:rsidRDefault="004E2448" w:rsidP="00D62D18">
      <w:pPr>
        <w:pStyle w:val="Body"/>
        <w:rPr>
          <w:rStyle w:val="normaltextrun"/>
          <w:rFonts w:eastAsia="MS Gothic" w:cs="Arial"/>
          <w:sz w:val="20"/>
        </w:rPr>
      </w:pPr>
      <w:r w:rsidRPr="153A1F7D">
        <w:rPr>
          <w:rStyle w:val="normaltextrun"/>
          <w:rFonts w:eastAsia="MS Gothic" w:cs="Arial"/>
          <w:sz w:val="20"/>
        </w:rPr>
        <w:t>Following the 2023 review of the Achievement Program (AP), including Vic Kids Eat Well, the AP will continue to be delivered by Cancer Council Victoria over 2024-27. The AP</w:t>
      </w:r>
      <w:r w:rsidRPr="153A1F7D">
        <w:rPr>
          <w:rStyle w:val="normaltextrun"/>
          <w:rFonts w:eastAsia="MS Gothic"/>
        </w:rPr>
        <w:t xml:space="preserve"> is </w:t>
      </w:r>
      <w:r w:rsidRPr="153A1F7D">
        <w:t xml:space="preserve">undergoing significant strategic enhancements </w:t>
      </w:r>
      <w:r w:rsidRPr="153A1F7D">
        <w:rPr>
          <w:rStyle w:val="normaltextrun"/>
          <w:rFonts w:eastAsia="MS Gothic" w:cs="Arial"/>
          <w:sz w:val="20"/>
        </w:rPr>
        <w:t>t</w:t>
      </w:r>
      <w:r w:rsidRPr="153A1F7D">
        <w:rPr>
          <w:rStyle w:val="normaltextrun"/>
          <w:rFonts w:eastAsia="MS Gothic"/>
        </w:rPr>
        <w:t xml:space="preserve">o </w:t>
      </w:r>
      <w:r w:rsidRPr="153A1F7D">
        <w:rPr>
          <w:rStyle w:val="normaltextrun"/>
          <w:rFonts w:eastAsia="MS Gothic" w:cs="Arial"/>
          <w:sz w:val="20"/>
        </w:rPr>
        <w:t xml:space="preserve">streamline the program and align with the focus of the </w:t>
      </w:r>
      <w:r>
        <w:rPr>
          <w:rStyle w:val="normaltextrun"/>
          <w:rFonts w:eastAsia="MS Gothic" w:cs="Arial"/>
          <w:i/>
          <w:iCs/>
          <w:sz w:val="20"/>
        </w:rPr>
        <w:t>he</w:t>
      </w:r>
      <w:r w:rsidRPr="00286EBA">
        <w:rPr>
          <w:rStyle w:val="normaltextrun"/>
          <w:rFonts w:eastAsia="MS Gothic" w:cs="Arial"/>
          <w:i/>
          <w:iCs/>
          <w:sz w:val="20"/>
        </w:rPr>
        <w:t>althy kids, healthy futures plan</w:t>
      </w:r>
      <w:r w:rsidRPr="153A1F7D">
        <w:rPr>
          <w:rStyle w:val="normaltextrun"/>
          <w:rFonts w:eastAsia="MS Gothic" w:cs="Arial"/>
          <w:sz w:val="20"/>
        </w:rPr>
        <w:t>. These</w:t>
      </w:r>
      <w:r w:rsidRPr="153A1F7D">
        <w:t xml:space="preserve"> include AP brand refresh; benchmarks review; </w:t>
      </w:r>
      <w:r w:rsidRPr="153A1F7D">
        <w:rPr>
          <w:rStyle w:val="normaltextrun"/>
          <w:rFonts w:eastAsia="MS Gothic" w:cs="Arial"/>
          <w:sz w:val="20"/>
        </w:rPr>
        <w:t xml:space="preserve">and completion of the Healthy Workplaces component of the program. </w:t>
      </w:r>
    </w:p>
    <w:p w14:paraId="2F1FFB4C" w14:textId="77777777" w:rsidR="004E2448" w:rsidRDefault="004E2448" w:rsidP="00D62D18">
      <w:pPr>
        <w:pStyle w:val="Body"/>
        <w:rPr>
          <w:rStyle w:val="normaltextrun"/>
          <w:rFonts w:eastAsia="MS Gothic" w:cs="Arial"/>
          <w:sz w:val="20"/>
          <w:lang w:val="en-US"/>
        </w:rPr>
      </w:pPr>
      <w:r w:rsidRPr="28D4EB44">
        <w:rPr>
          <w:rStyle w:val="normaltextrun"/>
          <w:rFonts w:eastAsia="MS Gothic" w:cs="Arial"/>
          <w:sz w:val="20"/>
        </w:rPr>
        <w:t xml:space="preserve">Changes will also be made to Vic Kids Eat Well, the statewide initiative </w:t>
      </w:r>
      <w:r w:rsidRPr="28D4EB44">
        <w:rPr>
          <w:rStyle w:val="normaltextrun"/>
          <w:rFonts w:eastAsia="MS Gothic" w:cs="Arial"/>
          <w:sz w:val="20"/>
          <w:lang w:val="en-US"/>
        </w:rPr>
        <w:t>focused on boosting healthy food and drink options in the place’s children spend their time - including schools, out of school hours care, sports clubs, recreation facilities, council operated facilities and more. This includes the addition of a Breakfast Club bite in 2025 and introduction of new models of support to complement the current one on one health promoter support to settings</w:t>
      </w:r>
      <w:r>
        <w:rPr>
          <w:rStyle w:val="normaltextrun"/>
          <w:rFonts w:eastAsia="MS Gothic" w:cs="Arial"/>
          <w:sz w:val="20"/>
          <w:lang w:val="en-US"/>
        </w:rPr>
        <w:t>.</w:t>
      </w:r>
    </w:p>
    <w:p w14:paraId="78F86E65" w14:textId="1F3F8BE2" w:rsidR="004E2448" w:rsidRPr="006B4C48" w:rsidRDefault="004E2448" w:rsidP="00D62D18">
      <w:pPr>
        <w:pStyle w:val="Body"/>
        <w:rPr>
          <w:rStyle w:val="normaltextrun"/>
          <w:rFonts w:eastAsia="MS Gothic"/>
          <w:sz w:val="20"/>
        </w:rPr>
      </w:pPr>
      <w:r w:rsidRPr="153A1F7D">
        <w:rPr>
          <w:rStyle w:val="normaltextrun"/>
          <w:rFonts w:eastAsia="MS Gothic" w:cs="Arial"/>
          <w:sz w:val="20"/>
        </w:rPr>
        <w:t xml:space="preserve">Both programs will continue to rely on </w:t>
      </w:r>
      <w:r w:rsidRPr="153A1F7D">
        <w:rPr>
          <w:rStyle w:val="normaltextrun"/>
          <w:rFonts w:eastAsia="MS Gothic"/>
          <w:sz w:val="20"/>
        </w:rPr>
        <w:t>the leadership and expertise of local health promoters driving change in local communities.</w:t>
      </w:r>
      <w:r w:rsidRPr="153A1F7D">
        <w:rPr>
          <w:rFonts w:ascii="Calibri" w:hAnsi="Calibri" w:cs="Calibri"/>
          <w:color w:val="000000" w:themeColor="text1"/>
          <w:kern w:val="24"/>
        </w:rPr>
        <w:t xml:space="preserve"> </w:t>
      </w:r>
      <w:r w:rsidRPr="153A1F7D">
        <w:rPr>
          <w:rStyle w:val="normaltextrun"/>
          <w:rFonts w:eastAsia="MS Gothic"/>
          <w:sz w:val="20"/>
        </w:rPr>
        <w:t xml:space="preserve">Health promoters can register to support </w:t>
      </w:r>
      <w:bookmarkStart w:id="24" w:name="_Hlk194497691"/>
      <w:r>
        <w:fldChar w:fldCharType="begin"/>
      </w:r>
      <w:r>
        <w:instrText>HYPERLINK "https://www.vickidseatwell.health.vic.gov.au/get-involved/health-promoters.html" \h</w:instrText>
      </w:r>
      <w:r>
        <w:fldChar w:fldCharType="separate"/>
      </w:r>
      <w:r w:rsidRPr="153A1F7D">
        <w:rPr>
          <w:rStyle w:val="Hyperlink"/>
          <w:rFonts w:eastAsia="MS Gothic"/>
          <w:sz w:val="20"/>
        </w:rPr>
        <w:t>Vic Kids Eat Well.</w:t>
      </w:r>
      <w:r>
        <w:fldChar w:fldCharType="end"/>
      </w:r>
      <w:bookmarkEnd w:id="24"/>
      <w:r>
        <w:t>&lt;</w:t>
      </w:r>
      <w:r w:rsidRPr="004E2448">
        <w:t xml:space="preserve"> </w:t>
      </w:r>
      <w:r w:rsidRPr="00B342FC">
        <w:t>https://www.vickidseatwell.health.vic.gov.au/get-involved/health-promoters.html</w:t>
      </w:r>
      <w:r>
        <w:t xml:space="preserve">&gt;. </w:t>
      </w:r>
    </w:p>
    <w:p w14:paraId="6DB00616" w14:textId="77777777" w:rsidR="004E2448" w:rsidRPr="006B4C48" w:rsidRDefault="004E2448" w:rsidP="00D62D18">
      <w:pPr>
        <w:pStyle w:val="Body"/>
        <w:rPr>
          <w:rStyle w:val="normaltextrun"/>
          <w:rFonts w:eastAsia="MS Gothic" w:cs="Arial"/>
          <w:sz w:val="20"/>
        </w:rPr>
      </w:pPr>
      <w:r w:rsidRPr="153A1F7D">
        <w:rPr>
          <w:rStyle w:val="normaltextrun"/>
          <w:rFonts w:eastAsia="MS Gothic" w:cs="Arial"/>
          <w:sz w:val="20"/>
        </w:rPr>
        <w:t xml:space="preserve">Registered health promoters across Victoria have access to an extensive support network and support from Cancer Council Victoria and </w:t>
      </w:r>
      <w:r>
        <w:rPr>
          <w:rStyle w:val="normaltextrun"/>
          <w:rFonts w:eastAsia="MS Gothic" w:cs="Arial"/>
          <w:sz w:val="20"/>
        </w:rPr>
        <w:t xml:space="preserve">HEAS </w:t>
      </w:r>
      <w:r w:rsidRPr="153A1F7D">
        <w:rPr>
          <w:rStyle w:val="normaltextrun"/>
          <w:rFonts w:eastAsia="MS Gothic" w:cs="Arial"/>
          <w:sz w:val="20"/>
        </w:rPr>
        <w:t xml:space="preserve">through training and development opportunities and data to track progress and achievements. </w:t>
      </w:r>
    </w:p>
    <w:p w14:paraId="6C2CD54E" w14:textId="14E65B54" w:rsidR="001533C2" w:rsidRDefault="004E2448" w:rsidP="00D62D18">
      <w:pPr>
        <w:pStyle w:val="Body"/>
        <w:rPr>
          <w:rStyle w:val="normaltextrun"/>
          <w:rFonts w:eastAsia="MS Gothic"/>
          <w:sz w:val="20"/>
        </w:rPr>
      </w:pPr>
      <w:r w:rsidRPr="153A1F7D">
        <w:rPr>
          <w:rStyle w:val="normaltextrun"/>
          <w:rFonts w:eastAsia="MS Gothic"/>
          <w:sz w:val="20"/>
        </w:rPr>
        <w:t>Community organisations that participate in Vic Kids Eat Well a</w:t>
      </w:r>
      <w:r w:rsidRPr="153A1F7D">
        <w:rPr>
          <w:rStyle w:val="normaltextrun"/>
          <w:rFonts w:eastAsia="MS Gothic"/>
        </w:rPr>
        <w:t>re</w:t>
      </w:r>
      <w:r w:rsidRPr="153A1F7D">
        <w:rPr>
          <w:rStyle w:val="normaltextrun"/>
          <w:rFonts w:eastAsia="MS Gothic"/>
          <w:sz w:val="20"/>
        </w:rPr>
        <w:t xml:space="preserve"> encouraged to continue their healthy eating journey through the Achievement Program and </w:t>
      </w:r>
      <w:r>
        <w:rPr>
          <w:rStyle w:val="normaltextrun"/>
          <w:rFonts w:eastAsia="MS Gothic"/>
          <w:sz w:val="20"/>
        </w:rPr>
        <w:t>HEAS.</w:t>
      </w:r>
    </w:p>
    <w:p w14:paraId="13B0B2CC" w14:textId="77777777" w:rsidR="00EB5D88" w:rsidRPr="00BF0CD2" w:rsidRDefault="00EB5D88" w:rsidP="00BF0CD2">
      <w:pPr>
        <w:pStyle w:val="Heading3"/>
        <w:rPr>
          <w:rStyle w:val="eop"/>
          <w:rFonts w:cs="Arial"/>
          <w:szCs w:val="30"/>
        </w:rPr>
      </w:pPr>
      <w:r w:rsidRPr="00BF0CD2">
        <w:rPr>
          <w:rStyle w:val="eop"/>
          <w:rFonts w:cs="Arial"/>
          <w:szCs w:val="30"/>
        </w:rPr>
        <w:t>Women’s Health – Health Promotion Program</w:t>
      </w:r>
    </w:p>
    <w:p w14:paraId="44FC074B" w14:textId="4813CCA8" w:rsidR="00EB5D88" w:rsidRDefault="00D62D18" w:rsidP="00D62D18">
      <w:pPr>
        <w:pStyle w:val="Body"/>
        <w:rPr>
          <w:rStyle w:val="normaltextrun"/>
        </w:rPr>
      </w:pPr>
      <w:r w:rsidRPr="00D62D18">
        <w:rPr>
          <w:rStyle w:val="normaltextrun"/>
        </w:rPr>
        <w:t xml:space="preserve">The Women’s Health – Health Promotion program is focused on addressing the health consequences of gender inequity, sexual and reproductive health, gendered violence prevention and the mental health and wellbeing of women. The Blood Borne Virus and Sexually Transmitted Infections - Health Promotion and Prevention program will continue to improve prevention, testing and treatment of blood borne viruses and sexually transmissible infections, and support work to </w:t>
      </w:r>
      <w:r w:rsidRPr="00D62D18">
        <w:rPr>
          <w:rStyle w:val="normaltextrun"/>
        </w:rPr>
        <w:lastRenderedPageBreak/>
        <w:t>eliminate associated stigma and discrimination. The Women’s Health - Health Promotion guidelines were finalised in September 2022. These guidelines have been aligned to and complement the Community Health – Health Promotion guidelines. To ensure gender equality is central to Victoria’s future of public health, funding of $19.4 million over two years (2022-23 and 2023-24) will be provided to Victoria’s women’s health services to improve the health and wellbeing of Victorian women, targeting the most at-risk and disadvantaged communities. This new funding recognises the key role of Women’s Health Services in the Victorian public health system in leading statewide and regionalised approaches to reducing the impact of gender inequality on health and wellbeing outcomes for Victorian women. Approximately 20 per cent of the funding will be allocated to prevention of gender-based violence activity, with the remainder to boost capacity to deliver the Women’s Health Program.</w:t>
      </w:r>
    </w:p>
    <w:p w14:paraId="4F77A37D" w14:textId="1FAC8C5D" w:rsidR="00D62D18" w:rsidRPr="00BF0CD2" w:rsidRDefault="00960AC7" w:rsidP="00BF0CD2">
      <w:pPr>
        <w:pStyle w:val="Heading3"/>
        <w:rPr>
          <w:rStyle w:val="eop"/>
          <w:rFonts w:cs="Arial"/>
          <w:szCs w:val="30"/>
        </w:rPr>
      </w:pPr>
      <w:r w:rsidRPr="00BF0CD2">
        <w:rPr>
          <w:rStyle w:val="eop"/>
          <w:rFonts w:cs="Arial"/>
          <w:szCs w:val="30"/>
        </w:rPr>
        <w:t>Prevention functions in Local Public Health Units</w:t>
      </w:r>
    </w:p>
    <w:p w14:paraId="5CB38A5F" w14:textId="3AF42C83" w:rsidR="00960AC7" w:rsidRDefault="00200E3F" w:rsidP="00960AC7">
      <w:pPr>
        <w:pStyle w:val="Body"/>
        <w:rPr>
          <w:rFonts w:eastAsia="MS Gothic"/>
          <w:sz w:val="20"/>
        </w:rPr>
      </w:pPr>
      <w:bookmarkStart w:id="25" w:name="_Hlk104367480"/>
      <w:r w:rsidRPr="00200E3F">
        <w:t xml:space="preserve">Local Public Health Units work with partners in their regional catchment including community health, women’s health, local government and Aboriginal organisations to support and coordinate and deliver preventive health in the catchment. </w:t>
      </w:r>
      <w:bookmarkEnd w:id="25"/>
      <w:r w:rsidRPr="00200E3F">
        <w:t>Each Local Public Health Unit is required to develop a Population Health Catchment Plan and outlining local priorities determined through needs assessments and consultation. Catchment plans are required to align with state public health and wellbeing plan priorities and have an implementation focus detailing initiatives to be undertaken with stakeholders over a 6-year duration (unless otherwise negotiated with the Department) with an opportunity for revision in 2025</w:t>
      </w:r>
      <w:r w:rsidRPr="7364CBED">
        <w:rPr>
          <w:rFonts w:eastAsia="MS Gothic"/>
          <w:sz w:val="20"/>
        </w:rPr>
        <w:t>.</w:t>
      </w:r>
    </w:p>
    <w:p w14:paraId="62CBC158" w14:textId="77777777" w:rsidR="006A3C6D" w:rsidRPr="00BF0CD2" w:rsidRDefault="006A3C6D" w:rsidP="00BF0CD2">
      <w:pPr>
        <w:pStyle w:val="Heading3"/>
        <w:rPr>
          <w:rStyle w:val="eop"/>
          <w:rFonts w:cs="Arial"/>
          <w:szCs w:val="30"/>
        </w:rPr>
      </w:pPr>
      <w:r w:rsidRPr="00BF0CD2">
        <w:rPr>
          <w:rStyle w:val="eop"/>
          <w:rFonts w:cs="Arial"/>
          <w:szCs w:val="30"/>
        </w:rPr>
        <w:t>Mental Health and Wellbeing reforms</w:t>
      </w:r>
    </w:p>
    <w:p w14:paraId="5C861B31" w14:textId="1054D493" w:rsidR="00593A10" w:rsidRPr="00BE2670" w:rsidRDefault="00593A10" w:rsidP="00593A10">
      <w:pPr>
        <w:pStyle w:val="Body"/>
        <w:rPr>
          <w:rStyle w:val="normaltextrun"/>
          <w:rFonts w:eastAsia="MS Gothic" w:cs="Arial"/>
          <w:color w:val="000000" w:themeColor="text1"/>
          <w:sz w:val="20"/>
        </w:rPr>
      </w:pPr>
      <w:r w:rsidRPr="153A1F7D">
        <w:rPr>
          <w:rStyle w:val="normaltextrun"/>
          <w:rFonts w:eastAsia="MS Gothic" w:cs="Arial"/>
          <w:color w:val="000000" w:themeColor="text1"/>
          <w:sz w:val="20"/>
        </w:rPr>
        <w:t xml:space="preserve">Following the </w:t>
      </w:r>
      <w:hyperlink r:id="rId50">
        <w:r w:rsidRPr="153A1F7D">
          <w:rPr>
            <w:rStyle w:val="Hyperlink"/>
            <w:rFonts w:eastAsia="MS Gothic" w:cs="Arial"/>
            <w:sz w:val="20"/>
          </w:rPr>
          <w:t>final report of the Royal Commission into Victoria’s Mental Health System</w:t>
        </w:r>
      </w:hyperlink>
      <w:r w:rsidRPr="153A1F7D">
        <w:rPr>
          <w:rStyle w:val="normaltextrun"/>
          <w:rFonts w:eastAsia="MS Gothic" w:cs="Arial"/>
          <w:color w:val="000000" w:themeColor="text1"/>
          <w:sz w:val="20"/>
        </w:rPr>
        <w:t xml:space="preserve"> &lt;</w:t>
      </w:r>
      <w:r w:rsidR="00B16312" w:rsidRPr="00B342FC">
        <w:rPr>
          <w:rFonts w:eastAsia="MS Gothic" w:cs="Arial"/>
          <w:sz w:val="20"/>
        </w:rPr>
        <w:t>https://finalreport.rcvmhs.vic.gov.au/download-the-interim-report/</w:t>
      </w:r>
      <w:r w:rsidR="00B16312">
        <w:rPr>
          <w:rStyle w:val="normaltextrun"/>
          <w:rFonts w:eastAsia="MS Gothic" w:cs="Arial"/>
          <w:color w:val="000000" w:themeColor="text1"/>
          <w:sz w:val="20"/>
        </w:rPr>
        <w:t xml:space="preserve">&gt;, </w:t>
      </w:r>
      <w:r w:rsidRPr="153A1F7D">
        <w:rPr>
          <w:rStyle w:val="normaltextrun"/>
          <w:rFonts w:eastAsia="MS Gothic" w:cs="Arial"/>
          <w:color w:val="000000" w:themeColor="text1"/>
          <w:sz w:val="20"/>
        </w:rPr>
        <w:t>the Department of Health is leading work to reform the mental health and wellbeing system in Victoria. As part of these reforms, a Wellbeing Promotion Office has been established within the department and is led by Victoria’s first State Wellbeing Promotion Adviser.</w:t>
      </w:r>
      <w:r w:rsidRPr="153A1F7D">
        <w:rPr>
          <w:rStyle w:val="eop"/>
          <w:rFonts w:cs="Arial"/>
          <w:color w:val="000000" w:themeColor="text1"/>
          <w:sz w:val="20"/>
        </w:rPr>
        <w:t> </w:t>
      </w:r>
    </w:p>
    <w:p w14:paraId="1FCE1745" w14:textId="77777777" w:rsidR="00593A10" w:rsidRDefault="00593A10" w:rsidP="00593A10">
      <w:pPr>
        <w:pStyle w:val="Body"/>
        <w:rPr>
          <w:rStyle w:val="normaltextrun"/>
          <w:rFonts w:eastAsia="MS Gothic" w:cs="Arial"/>
          <w:color w:val="000000" w:themeColor="text1"/>
          <w:sz w:val="20"/>
        </w:rPr>
      </w:pPr>
      <w:r w:rsidRPr="153A1F7D">
        <w:rPr>
          <w:rStyle w:val="normaltextrun"/>
          <w:rFonts w:eastAsia="MS Gothic" w:cs="Arial"/>
          <w:color w:val="000000" w:themeColor="text1"/>
          <w:sz w:val="20"/>
        </w:rPr>
        <w:t xml:space="preserve">The </w:t>
      </w:r>
      <w:r w:rsidRPr="153A1F7D">
        <w:rPr>
          <w:rStyle w:val="normaltextrun"/>
          <w:rFonts w:eastAsia="MS Gothic"/>
          <w:color w:val="000000" w:themeColor="text1"/>
          <w:sz w:val="20"/>
        </w:rPr>
        <w:t xml:space="preserve">Wellbeing Promotion Office provides leadership and coordination and supports capacity building for mental health and wellbeing promotion (via partnership with Prevention United), across sectors and whole-of-government to foster a </w:t>
      </w:r>
      <w:r w:rsidRPr="153A1F7D">
        <w:rPr>
          <w:rStyle w:val="normaltextrun"/>
          <w:rFonts w:eastAsia="MS Gothic" w:cs="Arial"/>
          <w:color w:val="000000" w:themeColor="text1"/>
          <w:sz w:val="20"/>
        </w:rPr>
        <w:t>statewide approach to promoting good mental wellbeing and preventing mental distress in Victoria. The Wellbeing Promotion Office will coordinate actions with partners to begin shifting towards a society with wellbeing promotion and prevention-led approaches at the centre</w:t>
      </w:r>
      <w:r>
        <w:rPr>
          <w:rStyle w:val="normaltextrun"/>
          <w:rFonts w:eastAsia="MS Gothic" w:cs="Arial"/>
          <w:color w:val="000000" w:themeColor="text1"/>
          <w:sz w:val="20"/>
        </w:rPr>
        <w:t xml:space="preserve">. </w:t>
      </w:r>
    </w:p>
    <w:p w14:paraId="1574B2D4" w14:textId="405F7E32" w:rsidR="00200E3F" w:rsidRDefault="00593A10" w:rsidP="00593A10">
      <w:pPr>
        <w:pStyle w:val="Body"/>
      </w:pPr>
      <w:r w:rsidRPr="341EB58C">
        <w:t xml:space="preserve">The </w:t>
      </w:r>
      <w:r w:rsidRPr="341EB58C">
        <w:rPr>
          <w:i/>
          <w:iCs/>
        </w:rPr>
        <w:t>Wellbeing Strategy (to be released in 2025)</w:t>
      </w:r>
      <w:r w:rsidRPr="341EB58C">
        <w:t xml:space="preserve"> is a 10-year strategy that outlines the needs and aspirations of Victorians in order to thrive, both now and for future generations. The</w:t>
      </w:r>
      <w:r w:rsidRPr="341EB58C">
        <w:rPr>
          <w:i/>
          <w:iCs/>
        </w:rPr>
        <w:t xml:space="preserve"> Wellbeing Strategy </w:t>
      </w:r>
      <w:r w:rsidRPr="341EB58C">
        <w:t xml:space="preserve">outlines eight priorities </w:t>
      </w:r>
      <w:r w:rsidRPr="341EB58C">
        <w:rPr>
          <w:rFonts w:eastAsia="Arial"/>
          <w:color w:val="000000" w:themeColor="text1"/>
        </w:rPr>
        <w:t>to strengthen wellbeing in places where we live, learn, work and play</w:t>
      </w:r>
      <w:r w:rsidRPr="341EB58C">
        <w:t>. It calls for collective action across communities, business and community organisations, service providers, and government to prevent mental distress and promote wellbeing. The first of a series of rolling Wellbeing Action Plans will set the foundations for a wellbeing promotion system: strengthening leadership, resourcing, collaborative relationships, capability, and evidence, data and monitoring. Reporting and monitoring for the Wellbeing Strategy will align with the Mental Health and Wellbeing Outcomes and Performance Framework, released in December 2024.</w:t>
      </w:r>
    </w:p>
    <w:p w14:paraId="6534DA5D" w14:textId="77777777" w:rsidR="00045B9A" w:rsidRPr="00BF0CD2" w:rsidRDefault="00045B9A" w:rsidP="00BF0CD2">
      <w:pPr>
        <w:pStyle w:val="Heading3"/>
        <w:rPr>
          <w:rStyle w:val="eop"/>
          <w:rFonts w:cs="Arial"/>
          <w:szCs w:val="30"/>
        </w:rPr>
      </w:pPr>
      <w:r w:rsidRPr="00BF0CD2">
        <w:rPr>
          <w:rStyle w:val="eop"/>
          <w:rFonts w:cs="Arial"/>
          <w:szCs w:val="30"/>
        </w:rPr>
        <w:t>VicHealth</w:t>
      </w:r>
    </w:p>
    <w:p w14:paraId="02BCECDB" w14:textId="77777777" w:rsidR="006C3449" w:rsidRDefault="006C3449" w:rsidP="006C3449">
      <w:pPr>
        <w:pStyle w:val="Body"/>
        <w:rPr>
          <w:rStyle w:val="normaltextrun"/>
          <w:rFonts w:cs="Arial"/>
          <w:color w:val="000000" w:themeColor="text1"/>
          <w:sz w:val="20"/>
        </w:rPr>
      </w:pPr>
      <w:r w:rsidRPr="7364CBED">
        <w:rPr>
          <w:color w:val="000000"/>
          <w:shd w:val="clear" w:color="auto" w:fill="FFFFFF"/>
        </w:rPr>
        <w:t>Agencies may collaborate with organis</w:t>
      </w:r>
      <w:r w:rsidRPr="7364CBED">
        <w:t xml:space="preserve">ations to support the implementation of VicHealth-funded grants or initiatives, provided these efforts are directly aligned with one or more of the </w:t>
      </w:r>
      <w:bookmarkStart w:id="26" w:name="_Int_Syb2MtXY"/>
      <w:r w:rsidRPr="7364CBED">
        <w:t>priority</w:t>
      </w:r>
      <w:bookmarkEnd w:id="26"/>
      <w:r w:rsidRPr="7364CBED">
        <w:rPr>
          <w:color w:val="000000"/>
          <w:shd w:val="clear" w:color="auto" w:fill="FFFFFF"/>
        </w:rPr>
        <w:t xml:space="preserve"> focus </w:t>
      </w:r>
      <w:r w:rsidRPr="7364CBED">
        <w:rPr>
          <w:color w:val="000000"/>
          <w:shd w:val="clear" w:color="auto" w:fill="FFFFFF"/>
        </w:rPr>
        <w:lastRenderedPageBreak/>
        <w:t>areas outlined in the program guidelines. VicHealth also offers support to organisations in the form of training, workshops, and resources</w:t>
      </w:r>
      <w:r w:rsidRPr="7364CBED">
        <w:t xml:space="preserve"> to help build capacity</w:t>
      </w:r>
      <w:r w:rsidRPr="7364CBED">
        <w:rPr>
          <w:color w:val="000000"/>
          <w:shd w:val="clear" w:color="auto" w:fill="FFFFFF"/>
        </w:rPr>
        <w:t xml:space="preserve"> in health promotion.</w:t>
      </w:r>
    </w:p>
    <w:p w14:paraId="32FFCAB0" w14:textId="77777777" w:rsidR="008F0660" w:rsidRPr="00BF0CD2" w:rsidRDefault="008F0660" w:rsidP="00BF0CD2">
      <w:pPr>
        <w:pStyle w:val="Heading3"/>
        <w:rPr>
          <w:rStyle w:val="eop"/>
          <w:rFonts w:cs="Arial"/>
          <w:szCs w:val="30"/>
        </w:rPr>
      </w:pPr>
      <w:r w:rsidRPr="00BF0CD2">
        <w:rPr>
          <w:rStyle w:val="eop"/>
          <w:rFonts w:cs="Arial"/>
          <w:szCs w:val="30"/>
        </w:rPr>
        <w:t>Local government prevention effort</w:t>
      </w:r>
    </w:p>
    <w:p w14:paraId="5931B264" w14:textId="77777777" w:rsidR="00C42F0F" w:rsidRPr="006B4C48" w:rsidRDefault="00C42F0F" w:rsidP="00C42F0F">
      <w:pPr>
        <w:pStyle w:val="paragraph"/>
        <w:spacing w:before="80" w:beforeAutospacing="0" w:after="80" w:afterAutospacing="0"/>
        <w:textAlignment w:val="baseline"/>
        <w:rPr>
          <w:rStyle w:val="eop"/>
          <w:rFonts w:ascii="Arial" w:eastAsia="MS Mincho" w:hAnsi="Arial" w:cs="Arial"/>
          <w:sz w:val="20"/>
          <w:szCs w:val="20"/>
        </w:rPr>
      </w:pPr>
      <w:r w:rsidRPr="006B4C48">
        <w:rPr>
          <w:rStyle w:val="normaltextrun"/>
          <w:rFonts w:ascii="Arial" w:eastAsia="MS Gothic" w:hAnsi="Arial" w:cs="Arial"/>
          <w:sz w:val="20"/>
          <w:szCs w:val="20"/>
        </w:rPr>
        <w:t>Local government performs important legislated functions to protect, improve and promote public health and wellbeing. They do this by:</w:t>
      </w:r>
    </w:p>
    <w:p w14:paraId="62957AB2" w14:textId="77777777" w:rsidR="00C42F0F" w:rsidRPr="006B4C48" w:rsidRDefault="00C42F0F" w:rsidP="00C42F0F">
      <w:pPr>
        <w:pStyle w:val="Bullet1"/>
        <w:rPr>
          <w:rStyle w:val="eop"/>
          <w:rFonts w:cs="Arial"/>
          <w:sz w:val="20"/>
        </w:rPr>
      </w:pPr>
      <w:r w:rsidRPr="153A1F7D">
        <w:rPr>
          <w:rStyle w:val="normaltextrun"/>
          <w:rFonts w:eastAsia="MS Gothic" w:cs="Arial"/>
          <w:sz w:val="20"/>
        </w:rPr>
        <w:t>creating environments which supports the health of members of the local community and strengthens the capacity of the community and individuals to achieve better health</w:t>
      </w:r>
    </w:p>
    <w:p w14:paraId="1B90ECBC" w14:textId="77777777" w:rsidR="00C42F0F" w:rsidRPr="006B4C48" w:rsidRDefault="00C42F0F" w:rsidP="00C42F0F">
      <w:pPr>
        <w:pStyle w:val="Bullet1"/>
        <w:rPr>
          <w:rStyle w:val="eop"/>
          <w:rFonts w:cs="Arial"/>
          <w:sz w:val="20"/>
        </w:rPr>
      </w:pPr>
      <w:r w:rsidRPr="153A1F7D">
        <w:rPr>
          <w:rStyle w:val="normaltextrun"/>
          <w:rFonts w:eastAsia="MS Gothic" w:cs="Arial"/>
          <w:sz w:val="20"/>
        </w:rPr>
        <w:t>initiating, supporting and managing public health planning processes at the local government level</w:t>
      </w:r>
    </w:p>
    <w:p w14:paraId="21D6BB9F" w14:textId="77777777" w:rsidR="00C42F0F" w:rsidRPr="006B4C48" w:rsidRDefault="00C42F0F" w:rsidP="00C42F0F">
      <w:pPr>
        <w:pStyle w:val="Bullet1"/>
        <w:rPr>
          <w:rStyle w:val="eop"/>
          <w:rFonts w:cs="Arial"/>
          <w:sz w:val="20"/>
        </w:rPr>
      </w:pPr>
      <w:r w:rsidRPr="006B4C48">
        <w:rPr>
          <w:rStyle w:val="normaltextrun"/>
          <w:rFonts w:eastAsia="MS Gothic" w:cs="Arial"/>
          <w:sz w:val="20"/>
        </w:rPr>
        <w:t xml:space="preserve">developing and implementing public health policies and programs within the municipal </w:t>
      </w:r>
      <w:r w:rsidRPr="28D4EB44">
        <w:rPr>
          <w:rStyle w:val="normaltextrun"/>
          <w:rFonts w:eastAsia="MS Gothic" w:cs="Arial"/>
          <w:sz w:val="20"/>
        </w:rPr>
        <w:t>district</w:t>
      </w:r>
    </w:p>
    <w:p w14:paraId="45E875A3" w14:textId="77777777" w:rsidR="00C42F0F" w:rsidRPr="006B4C48" w:rsidRDefault="00C42F0F" w:rsidP="00C42F0F">
      <w:pPr>
        <w:pStyle w:val="Bullet1"/>
        <w:rPr>
          <w:rStyle w:val="normaltextrun"/>
          <w:rFonts w:cs="Arial"/>
          <w:sz w:val="20"/>
        </w:rPr>
      </w:pPr>
      <w:r w:rsidRPr="006B4C48">
        <w:rPr>
          <w:rStyle w:val="normaltextrun"/>
          <w:rFonts w:eastAsia="MS Gothic" w:cs="Arial"/>
          <w:sz w:val="20"/>
        </w:rPr>
        <w:t>facilitating and supporting local agencies whose work has an impact on public health and wellbeing to improve public health and wellbeing in the local community.</w:t>
      </w:r>
    </w:p>
    <w:p w14:paraId="0B50D138" w14:textId="01F5D4DF" w:rsidR="00045B9A" w:rsidRPr="00045B9A" w:rsidRDefault="00C42F0F" w:rsidP="00C42F0F">
      <w:pPr>
        <w:pStyle w:val="Body"/>
      </w:pPr>
      <w:r w:rsidRPr="7364CBED">
        <w:rPr>
          <w:rStyle w:val="normaltextrun"/>
          <w:rFonts w:cs="Arial"/>
          <w:sz w:val="20"/>
        </w:rPr>
        <w:t>Local Government are required to develop a municipal public health and wellbeing plan every four years.</w:t>
      </w:r>
    </w:p>
    <w:p w14:paraId="6408A51D" w14:textId="77777777" w:rsidR="008C013C" w:rsidRPr="00BF0CD2" w:rsidRDefault="008C013C" w:rsidP="00BF0CD2">
      <w:pPr>
        <w:pStyle w:val="Heading3"/>
        <w:rPr>
          <w:rStyle w:val="eop"/>
          <w:rFonts w:cs="Arial"/>
          <w:szCs w:val="30"/>
        </w:rPr>
      </w:pPr>
      <w:r w:rsidRPr="00BF0CD2">
        <w:rPr>
          <w:rStyle w:val="eop"/>
          <w:rFonts w:cs="Arial"/>
          <w:szCs w:val="30"/>
        </w:rPr>
        <w:t>Active Schools Initiative</w:t>
      </w:r>
    </w:p>
    <w:p w14:paraId="3BD7A9EF" w14:textId="5137934B" w:rsidR="00593A10" w:rsidRDefault="007A562E" w:rsidP="007A562E">
      <w:pPr>
        <w:pStyle w:val="Body"/>
      </w:pPr>
      <w:r w:rsidRPr="007A562E">
        <w:rPr>
          <w:rStyle w:val="normaltextrun"/>
        </w:rPr>
        <w:t xml:space="preserve">The Department of Education is implementing the Active Schools program in Victorian Government Schools to ensure all students have the skills, confidence and motivation to be active for life. This includes an Active Schools toolkit for school leaders and teachers, the Active Schools Expert Support Service, and funding for schools that need it most to get kids moving. The Community Health - Health Promotion program </w:t>
      </w:r>
      <w:r w:rsidRPr="007A562E">
        <w:t>can work collaboratively with schools to support implementation of the Active Schools Framework by leveraging the Active Schools Toolkit and supports. </w:t>
      </w:r>
    </w:p>
    <w:p w14:paraId="4C0B4E04" w14:textId="77777777" w:rsidR="00937636" w:rsidRPr="00BF0CD2" w:rsidRDefault="00937636" w:rsidP="00BF0CD2">
      <w:pPr>
        <w:pStyle w:val="Heading3"/>
        <w:rPr>
          <w:rStyle w:val="eop"/>
          <w:rFonts w:cs="Arial"/>
          <w:szCs w:val="30"/>
        </w:rPr>
      </w:pPr>
      <w:r w:rsidRPr="00BF0CD2">
        <w:rPr>
          <w:rStyle w:val="eop"/>
          <w:rFonts w:cs="Arial"/>
          <w:szCs w:val="30"/>
        </w:rPr>
        <w:t>Prevention of family violence, violence against women and gender equality</w:t>
      </w:r>
    </w:p>
    <w:p w14:paraId="26232480" w14:textId="77777777" w:rsidR="0034070E" w:rsidRPr="00961529" w:rsidRDefault="0034070E" w:rsidP="0034070E">
      <w:pPr>
        <w:spacing w:before="80" w:after="80" w:line="240" w:lineRule="auto"/>
        <w:rPr>
          <w:rFonts w:eastAsia="Arial" w:cs="Arial"/>
          <w:iCs/>
          <w:sz w:val="20"/>
        </w:rPr>
      </w:pPr>
      <w:r w:rsidRPr="00961529">
        <w:rPr>
          <w:rFonts w:eastAsia="Arial" w:cs="Arial"/>
          <w:iCs/>
          <w:sz w:val="20"/>
        </w:rPr>
        <w:t xml:space="preserve">The Department of Families, Fairness and Housing leads the roll out of </w:t>
      </w:r>
      <w:r w:rsidRPr="00190611">
        <w:rPr>
          <w:rFonts w:eastAsia="Arial" w:cs="Arial"/>
          <w:i/>
          <w:sz w:val="20"/>
        </w:rPr>
        <w:t xml:space="preserve">Ending Family Violence: Victoria’s 10-Year Plan for Change </w:t>
      </w:r>
      <w:r w:rsidRPr="00961529">
        <w:rPr>
          <w:rFonts w:eastAsia="Arial" w:cs="Arial"/>
          <w:iCs/>
          <w:sz w:val="20"/>
        </w:rPr>
        <w:t xml:space="preserve">including the development of the final rolling action plan scheduled for release in </w:t>
      </w:r>
      <w:r>
        <w:rPr>
          <w:rFonts w:eastAsia="Arial" w:cs="Arial"/>
          <w:iCs/>
          <w:sz w:val="20"/>
        </w:rPr>
        <w:t>mid-2025</w:t>
      </w:r>
      <w:r w:rsidRPr="00961529">
        <w:rPr>
          <w:rFonts w:eastAsia="Arial" w:cs="Arial"/>
          <w:iCs/>
          <w:sz w:val="20"/>
        </w:rPr>
        <w:t>. Other key strategies and frameworks include</w:t>
      </w:r>
      <w:r>
        <w:rPr>
          <w:rFonts w:eastAsia="Arial" w:cs="Arial"/>
          <w:iCs/>
          <w:sz w:val="20"/>
        </w:rPr>
        <w:t>:</w:t>
      </w:r>
    </w:p>
    <w:p w14:paraId="2D3BFA53" w14:textId="77777777" w:rsidR="0034070E" w:rsidRDefault="0034070E" w:rsidP="0034070E">
      <w:pPr>
        <w:pStyle w:val="Bullet1"/>
      </w:pPr>
      <w:r w:rsidRPr="00B5555E">
        <w:rPr>
          <w:i/>
        </w:rPr>
        <w:t xml:space="preserve">Free from Violence, </w:t>
      </w:r>
      <w:r w:rsidRPr="006025BA">
        <w:t xml:space="preserve">Victoria’s </w:t>
      </w:r>
      <w:r>
        <w:t>10-year strategy</w:t>
      </w:r>
      <w:r w:rsidRPr="004648BD">
        <w:t xml:space="preserve"> to prevent family violence and all forms of violence against women</w:t>
      </w:r>
      <w:r>
        <w:t xml:space="preserve">. A range of prevention programs are delivered under </w:t>
      </w:r>
      <w:r w:rsidRPr="006025BA">
        <w:rPr>
          <w:i/>
        </w:rPr>
        <w:t>Free from Violence</w:t>
      </w:r>
      <w:r>
        <w:t xml:space="preserve"> in the places that people live, work, learn</w:t>
      </w:r>
      <w:r w:rsidRPr="004648BD">
        <w:t xml:space="preserve"> and </w:t>
      </w:r>
      <w:r>
        <w:t xml:space="preserve">socialise. </w:t>
      </w:r>
    </w:p>
    <w:p w14:paraId="70FF01FD" w14:textId="77777777" w:rsidR="0034070E" w:rsidRPr="004648BD" w:rsidRDefault="0034070E" w:rsidP="0034070E">
      <w:pPr>
        <w:pStyle w:val="Bullet1"/>
      </w:pPr>
      <w:r>
        <w:t>Victoria’s approach to</w:t>
      </w:r>
      <w:r w:rsidRPr="004648BD">
        <w:t xml:space="preserve"> primary prevention </w:t>
      </w:r>
      <w:r>
        <w:t>is guided by the evidence base in</w:t>
      </w:r>
      <w:r w:rsidRPr="004648BD">
        <w:t xml:space="preserve"> </w:t>
      </w:r>
      <w:r w:rsidRPr="006025BA">
        <w:rPr>
          <w:i/>
        </w:rPr>
        <w:t>Change the Story</w:t>
      </w:r>
      <w:r>
        <w:t>, which defines</w:t>
      </w:r>
      <w:r w:rsidRPr="004648BD">
        <w:t xml:space="preserve"> the primary, or underlying, drivers of violence. </w:t>
      </w:r>
    </w:p>
    <w:p w14:paraId="01FC3DD3" w14:textId="77777777" w:rsidR="0034070E" w:rsidRPr="004648BD" w:rsidRDefault="0034070E" w:rsidP="0034070E">
      <w:pPr>
        <w:pStyle w:val="Bullet1"/>
      </w:pPr>
      <w:r w:rsidRPr="004648BD">
        <w:t xml:space="preserve">Respect Victoria’s whole-of-community behaviour change campaigns raise awareness about family violence and change the culture that allows family violence to happen in the first place. </w:t>
      </w:r>
    </w:p>
    <w:p w14:paraId="44DC8552" w14:textId="77777777" w:rsidR="0034070E" w:rsidRPr="004648BD" w:rsidRDefault="0034070E" w:rsidP="0034070E">
      <w:pPr>
        <w:pStyle w:val="Bullet1"/>
      </w:pPr>
      <w:r w:rsidRPr="153A1F7D">
        <w:t xml:space="preserve">The Respectful Relationships program, delivered by the Department of Education and Training, supports schools and early childhood settings to promote and model respect, and teach children how to build healthy relationships, resilience and confidence. </w:t>
      </w:r>
    </w:p>
    <w:p w14:paraId="3D9634CA" w14:textId="5AF36113" w:rsidR="00937636" w:rsidRDefault="0034070E" w:rsidP="0034070E">
      <w:pPr>
        <w:pStyle w:val="Body"/>
        <w:rPr>
          <w:rFonts w:eastAsia="Arial" w:cs="Arial"/>
          <w:color w:val="000000" w:themeColor="text1"/>
          <w:sz w:val="20"/>
        </w:rPr>
      </w:pPr>
      <w:r w:rsidRPr="153A1F7D">
        <w:rPr>
          <w:rFonts w:eastAsia="Arial" w:cs="Arial"/>
          <w:sz w:val="20"/>
        </w:rPr>
        <w:t>The Free from Violence Local Government Program provides funding to 27 Victorian councils to embed prevention initiatives in their workforces and the services they deliver,  such as community sport, early childhood services and parenting groups, to promote respectful relationships and increase community understanding of the causes of family violence and violence against women.</w:t>
      </w:r>
      <w:r w:rsidRPr="153A1F7D">
        <w:rPr>
          <w:rFonts w:eastAsia="Arial" w:cs="Arial"/>
          <w:color w:val="000000" w:themeColor="text1"/>
          <w:sz w:val="20"/>
        </w:rPr>
        <w:t xml:space="preserve"> The establishment of the Commission for Gender Equality in the Public Sector to oversee the implementation of the </w:t>
      </w:r>
      <w:r w:rsidRPr="153A1F7D">
        <w:rPr>
          <w:rFonts w:eastAsia="Arial" w:cs="Arial"/>
          <w:i/>
          <w:iCs/>
          <w:sz w:val="20"/>
        </w:rPr>
        <w:t>Gender Equality Act 2020</w:t>
      </w:r>
      <w:r w:rsidRPr="153A1F7D">
        <w:rPr>
          <w:rFonts w:eastAsia="Arial" w:cs="Arial"/>
          <w:sz w:val="20"/>
        </w:rPr>
        <w:t xml:space="preserve"> </w:t>
      </w:r>
      <w:r w:rsidRPr="153A1F7D">
        <w:rPr>
          <w:rFonts w:eastAsia="Arial" w:cs="Arial"/>
          <w:color w:val="000000" w:themeColor="text1"/>
          <w:sz w:val="20"/>
        </w:rPr>
        <w:t>further supports primary prevention efforts in Victoria.</w:t>
      </w:r>
    </w:p>
    <w:p w14:paraId="34016D3C" w14:textId="35C85E5B" w:rsidR="00833CAC" w:rsidRPr="00BF0CD2" w:rsidRDefault="00833CAC" w:rsidP="00BF0CD2">
      <w:pPr>
        <w:pStyle w:val="Heading3"/>
        <w:rPr>
          <w:rStyle w:val="eop"/>
        </w:rPr>
      </w:pPr>
      <w:r w:rsidRPr="00BF0CD2">
        <w:rPr>
          <w:rStyle w:val="eop"/>
        </w:rPr>
        <w:lastRenderedPageBreak/>
        <w:t>Victorian Aboriginal Health and Wellbeing Partnership Action Plan 2023-2025</w:t>
      </w:r>
    </w:p>
    <w:p w14:paraId="208E9BD0" w14:textId="77777777" w:rsidR="00AA40C8" w:rsidRDefault="00AA40C8" w:rsidP="00AA40C8">
      <w:pPr>
        <w:pStyle w:val="Body"/>
      </w:pPr>
      <w:r w:rsidRPr="251E3353">
        <w:t xml:space="preserve">The department is a member of the Aboriginal Health and Wellbeing Partnership Forum, the lead decision-making body for Aboriginal health and wellbeing in Victoria. Members are committed to implementing the self-determined Aboriginal Health and Wellbeing Partnership Action Plans which are aligned to Victoria’s commitments under the National Agreement on Closing the Gap. The Action Plans are reviewed every two years to drive health system reform for Victorian Aboriginal people. The first domain within the Aboriginal Health and Wellbeing Partnership Forum Agreement and Action Plan is </w:t>
      </w:r>
      <w:r w:rsidRPr="251E3353">
        <w:rPr>
          <w:i/>
          <w:iCs/>
        </w:rPr>
        <w:t xml:space="preserve">Prevention and early intervention are central to health </w:t>
      </w:r>
      <w:r w:rsidRPr="251E3353">
        <w:t>and includes several priority preventative health actions.</w:t>
      </w:r>
    </w:p>
    <w:p w14:paraId="123D1E2A" w14:textId="5E678167" w:rsidR="00AA40C8" w:rsidRPr="00BF0CD2" w:rsidRDefault="008C2531" w:rsidP="00BF0CD2">
      <w:pPr>
        <w:pStyle w:val="Heading3"/>
      </w:pPr>
      <w:r w:rsidRPr="00BF0CD2">
        <w:rPr>
          <w:rStyle w:val="eop"/>
        </w:rPr>
        <w:t>Quitline</w:t>
      </w:r>
    </w:p>
    <w:p w14:paraId="7D23B39B" w14:textId="169E9B7A" w:rsidR="00833CAC" w:rsidRDefault="00465667" w:rsidP="00833CAC">
      <w:pPr>
        <w:pStyle w:val="Body"/>
        <w:rPr>
          <w:rFonts w:eastAsia="Arial" w:cs="Arial"/>
          <w:sz w:val="20"/>
        </w:rPr>
      </w:pPr>
      <w:r w:rsidRPr="7364CBED">
        <w:rPr>
          <w:rFonts w:eastAsia="Arial" w:cs="Arial"/>
          <w:sz w:val="20"/>
        </w:rPr>
        <w:t>Since 1985, the Victorian Government has funded Quit Victoria to deliver the Quitline to help Victorians quit smoking. Today, Quit Victoria continues to provide cessation support which now includes vaping cessation and innovations such as the use of digital tools to increase interaction with all ages and generations who need support. Quit has also been funded to develop the national digital cessation hub: Quit.org.au</w:t>
      </w:r>
    </w:p>
    <w:p w14:paraId="3F3CBEF3" w14:textId="77777777" w:rsidR="00AE14F0" w:rsidRPr="00BF0CD2" w:rsidRDefault="00AE14F0" w:rsidP="00BF0CD2">
      <w:pPr>
        <w:pStyle w:val="Heading3"/>
        <w:rPr>
          <w:rStyle w:val="eop"/>
          <w:rFonts w:cs="Arial"/>
          <w:szCs w:val="30"/>
        </w:rPr>
      </w:pPr>
      <w:r w:rsidRPr="00BF0CD2">
        <w:rPr>
          <w:rStyle w:val="eop"/>
          <w:rFonts w:cs="Arial"/>
          <w:szCs w:val="30"/>
        </w:rPr>
        <w:t xml:space="preserve">Healthy Eating Advisory Service </w:t>
      </w:r>
    </w:p>
    <w:p w14:paraId="6017CC57" w14:textId="77777777" w:rsidR="00856733" w:rsidRPr="002D5D88" w:rsidRDefault="00856733" w:rsidP="00856733">
      <w:pPr>
        <w:pStyle w:val="Body"/>
      </w:pPr>
      <w:r>
        <w:rPr>
          <w:rFonts w:eastAsia="Arial"/>
        </w:rPr>
        <w:t>HEAS</w:t>
      </w:r>
      <w:r w:rsidRPr="153A1F7D">
        <w:rPr>
          <w:rFonts w:eastAsia="Arial"/>
        </w:rPr>
        <w:t xml:space="preserve"> is delivered by the National Nutrition Foundation and funded by the Victorian Government. HEAS supports key</w:t>
      </w:r>
      <w:r w:rsidRPr="153A1F7D">
        <w:t xml:space="preserve"> settings, including early childhood services, schools, health services, sport and recreation facilities and workplaces, with implementing Victorian Government healthy food and drink policies and guidelines and increasing access to healthier food and drinks.  It also builds the capacity of the health promotion workforce to support these settings. Alongside this, HEAS supports the Victorian Government with ensuring healthier and more sustainable food procurement, such as through delivery of the Catering for Good Directory (outlined below).</w:t>
      </w:r>
    </w:p>
    <w:p w14:paraId="0C0711F5" w14:textId="77777777" w:rsidR="00856733" w:rsidRPr="00BF0CD2" w:rsidRDefault="00856733" w:rsidP="00BF0CD2">
      <w:pPr>
        <w:pStyle w:val="Heading3"/>
        <w:rPr>
          <w:szCs w:val="30"/>
        </w:rPr>
      </w:pPr>
      <w:r w:rsidRPr="00BF0CD2">
        <w:rPr>
          <w:szCs w:val="30"/>
        </w:rPr>
        <w:t>Cooks Connect</w:t>
      </w:r>
    </w:p>
    <w:p w14:paraId="06488A25" w14:textId="3FC8556A" w:rsidR="00856733" w:rsidRPr="002D5D88" w:rsidRDefault="00856733" w:rsidP="00856733">
      <w:pPr>
        <w:spacing w:line="257" w:lineRule="auto"/>
        <w:jc w:val="both"/>
        <w:rPr>
          <w:rFonts w:eastAsia="Arial" w:cs="Arial"/>
          <w:color w:val="000000" w:themeColor="text1"/>
          <w:sz w:val="20"/>
        </w:rPr>
      </w:pPr>
      <w:r w:rsidRPr="002D5D88">
        <w:rPr>
          <w:rFonts w:eastAsia="Arial" w:cs="Arial"/>
          <w:sz w:val="20"/>
        </w:rPr>
        <w:t xml:space="preserve">The </w:t>
      </w:r>
      <w:r w:rsidRPr="002D5D88">
        <w:rPr>
          <w:rFonts w:eastAsia="Arial" w:cs="Arial"/>
          <w:i/>
          <w:iCs/>
          <w:sz w:val="20"/>
        </w:rPr>
        <w:t>Cooks Connect</w:t>
      </w:r>
      <w:r w:rsidRPr="002D5D88">
        <w:rPr>
          <w:rFonts w:eastAsia="Arial" w:cs="Arial"/>
          <w:sz w:val="20"/>
        </w:rPr>
        <w:t xml:space="preserve"> initiative strengthens support for long day care services to meet Victorian menu planning guidelines. It includes </w:t>
      </w:r>
      <w:r w:rsidRPr="002D5D88">
        <w:rPr>
          <w:rFonts w:eastAsia="Arial" w:cs="Arial"/>
          <w:color w:val="000000" w:themeColor="text1"/>
          <w:sz w:val="20"/>
        </w:rPr>
        <w:t>a toolkit and supporting resources for the health promotion workforce to develop and scale up cooks’ networks across Victoria.</w:t>
      </w:r>
      <w:r>
        <w:rPr>
          <w:rFonts w:eastAsia="Arial" w:cs="Arial"/>
          <w:color w:val="000000" w:themeColor="text1"/>
          <w:sz w:val="20"/>
        </w:rPr>
        <w:t xml:space="preserve"> For more information and to access the toolkit and supporting resources, visit </w:t>
      </w:r>
      <w:hyperlink r:id="rId51" w:history="1">
        <w:r w:rsidRPr="00856733">
          <w:rPr>
            <w:rStyle w:val="Hyperlink"/>
            <w:rFonts w:eastAsia="Arial" w:cs="Arial"/>
            <w:sz w:val="20"/>
          </w:rPr>
          <w:t>Cooks Connect</w:t>
        </w:r>
      </w:hyperlink>
      <w:r>
        <w:rPr>
          <w:rFonts w:eastAsia="Arial" w:cs="Arial"/>
          <w:color w:val="000000" w:themeColor="text1"/>
          <w:sz w:val="20"/>
        </w:rPr>
        <w:t xml:space="preserve"> &lt;</w:t>
      </w:r>
      <w:r w:rsidRPr="00B342FC">
        <w:rPr>
          <w:rFonts w:eastAsia="Arial" w:cs="Arial"/>
          <w:sz w:val="20"/>
        </w:rPr>
        <w:t>https://heas.health.vic.gov.au/health-promoter-resources/cooks-connect/</w:t>
      </w:r>
      <w:r>
        <w:rPr>
          <w:rFonts w:eastAsia="Arial" w:cs="Arial"/>
          <w:color w:val="000000" w:themeColor="text1"/>
          <w:sz w:val="20"/>
        </w:rPr>
        <w:t xml:space="preserve">&gt;. </w:t>
      </w:r>
    </w:p>
    <w:p w14:paraId="27E87261" w14:textId="77777777" w:rsidR="00856733" w:rsidRPr="00BF0CD2" w:rsidRDefault="00856733" w:rsidP="00BF0CD2">
      <w:pPr>
        <w:pStyle w:val="Heading3"/>
        <w:rPr>
          <w:szCs w:val="30"/>
        </w:rPr>
      </w:pPr>
      <w:r w:rsidRPr="00BF0CD2">
        <w:rPr>
          <w:szCs w:val="30"/>
        </w:rPr>
        <w:t>Catering for Good</w:t>
      </w:r>
    </w:p>
    <w:p w14:paraId="32EC213B" w14:textId="20C5B6C1" w:rsidR="00465667" w:rsidRPr="00833CAC" w:rsidRDefault="00856733" w:rsidP="00856733">
      <w:pPr>
        <w:pStyle w:val="Body"/>
      </w:pPr>
      <w:r w:rsidRPr="153A1F7D">
        <w:rPr>
          <w:rFonts w:eastAsia="Arial" w:cs="Arial"/>
          <w:sz w:val="20"/>
        </w:rPr>
        <w:t xml:space="preserve">Catering for Good is a commitment to healthier and more sustainable food procurement that delivers health, environmental and social outcomes. As such it is ‘good for people’, ‘good for the environment’ and ‘good for the community’. The Catering for Good Directory </w:t>
      </w:r>
      <w:r w:rsidRPr="153A1F7D">
        <w:rPr>
          <w:rFonts w:cs="Arial"/>
          <w:sz w:val="20"/>
        </w:rPr>
        <w:t>makes it easier for Victorian organisations to organise catering that is healthier and more sustainable and delivers on social outcomes by considering caterers that are certified social enterprises and Aboriginal and Torres Strait Islander owned businesses.</w:t>
      </w:r>
      <w:r w:rsidRPr="153A1F7D">
        <w:rPr>
          <w:rFonts w:eastAsia="Arial" w:cs="Arial"/>
          <w:sz w:val="20"/>
        </w:rPr>
        <w:t xml:space="preserve"> The Catering for Good Toolkit assists the health promotion workforce to </w:t>
      </w:r>
      <w:r w:rsidRPr="153A1F7D">
        <w:rPr>
          <w:rFonts w:cs="Arial"/>
          <w:sz w:val="20"/>
        </w:rPr>
        <w:t xml:space="preserve">engage and support new caterers in their local community to be listed on the Directory. For more information and to access the directory, visit </w:t>
      </w:r>
      <w:r w:rsidR="008D44E8">
        <w:rPr>
          <w:rFonts w:cs="Arial"/>
          <w:sz w:val="20"/>
        </w:rPr>
        <w:t xml:space="preserve">the </w:t>
      </w:r>
      <w:hyperlink r:id="rId52" w:history="1">
        <w:r w:rsidR="008D44E8" w:rsidRPr="008D44E8">
          <w:rPr>
            <w:rStyle w:val="Hyperlink"/>
            <w:rFonts w:cs="Arial"/>
            <w:sz w:val="20"/>
          </w:rPr>
          <w:t>Catering for Good Directory</w:t>
        </w:r>
      </w:hyperlink>
      <w:r w:rsidR="008D44E8">
        <w:rPr>
          <w:rFonts w:cs="Arial"/>
          <w:sz w:val="20"/>
        </w:rPr>
        <w:t xml:space="preserve"> </w:t>
      </w:r>
      <w:r>
        <w:rPr>
          <w:rFonts w:cs="Arial"/>
          <w:sz w:val="20"/>
        </w:rPr>
        <w:t>&lt;</w:t>
      </w:r>
      <w:r w:rsidRPr="00B342FC">
        <w:rPr>
          <w:rFonts w:cs="Arial"/>
          <w:sz w:val="20"/>
        </w:rPr>
        <w:t>https://heas.health.vic.gov.au/catering-for-good/directory/</w:t>
      </w:r>
      <w:r w:rsidR="008D44E8">
        <w:rPr>
          <w:rFonts w:cs="Arial"/>
          <w:sz w:val="20"/>
        </w:rPr>
        <w:t xml:space="preserve">&gt;. </w:t>
      </w:r>
    </w:p>
    <w:p w14:paraId="0C82CDC4" w14:textId="4B4F15BB" w:rsidR="00641FBE" w:rsidRDefault="00641FBE" w:rsidP="00C44B24">
      <w:pPr>
        <w:pStyle w:val="Heading1"/>
      </w:pPr>
      <w:bookmarkStart w:id="27" w:name="_Toc194663093"/>
      <w:r>
        <w:lastRenderedPageBreak/>
        <w:t>Appendix two: Socio-ecological model of health</w:t>
      </w:r>
      <w:bookmarkEnd w:id="27"/>
    </w:p>
    <w:p w14:paraId="377B4039" w14:textId="77777777" w:rsidR="00F105F7" w:rsidRPr="00640731" w:rsidRDefault="00F105F7" w:rsidP="00F105F7">
      <w:pPr>
        <w:pStyle w:val="Body"/>
      </w:pPr>
      <w:r w:rsidRPr="153A1F7D">
        <w:t>An ecological framework recognises that individual health behaviours are influenced at different levels within a complex environment (</w:t>
      </w:r>
      <w:r w:rsidRPr="153A1F7D">
        <w:rPr>
          <w:rFonts w:eastAsia="MS Gothic"/>
        </w:rPr>
        <w:t>Cent</w:t>
      </w:r>
      <w:r>
        <w:rPr>
          <w:rFonts w:eastAsia="MS Gothic"/>
        </w:rPr>
        <w:t>ers</w:t>
      </w:r>
      <w:r w:rsidRPr="153A1F7D">
        <w:rPr>
          <w:rFonts w:eastAsia="MS Gothic"/>
        </w:rPr>
        <w:t xml:space="preserve"> for Disease Control and Prevention 2022</w:t>
      </w:r>
      <w:r w:rsidRPr="153A1F7D">
        <w:rPr>
          <w:rStyle w:val="Hyperlink"/>
          <w:rFonts w:eastAsia="MS Gothic"/>
          <w:color w:val="auto"/>
        </w:rPr>
        <w:t>)</w:t>
      </w:r>
      <w:r w:rsidRPr="153A1F7D">
        <w:t xml:space="preserve"> This type of framework is commonly used in health program planning, as it illustrates these different levels as embedded health planning systems which are interrelated and not mutually exclusive. The social ecological model understands health to be affected by the interaction between the individual, the group/community, and the physical, social, and political environments (McCloskey et al. 2015). This approach focuses on integrating approaches to change the physical and social environments rather than modifying only individual health behaviours.</w:t>
      </w:r>
    </w:p>
    <w:p w14:paraId="0E5B9C15" w14:textId="77777777" w:rsidR="00F105F7" w:rsidRDefault="00F105F7" w:rsidP="00F105F7">
      <w:pPr>
        <w:pStyle w:val="Body"/>
      </w:pPr>
      <w:r w:rsidRPr="153A1F7D">
        <w:t>The first level of the model includes individual biology and other personal characteristics, such as age, education, income, and health history. The second level, the interpersonal level, includes a person’s closest social circle, such as friends, partners, and family members, all of whom influence a person’s behaviour and contribute to his or her experiences. The third level, community, explores the settings in which people have social relationships, such as schools, workplaces, and neighbourhoods, and seeks to identify the characteristics of these settings that affect health. Finally, the fourth level looks at the broad societal factors that favour or impair health. Examples here include cultural and social norms and the health, economic, educational, and social policies that help to create, maintain, or lessen socioeconomic inequalities between groups (Centers for Disease Control and Prevention 2022; Krug et al. 2002).</w:t>
      </w:r>
    </w:p>
    <w:p w14:paraId="44ABC3C9" w14:textId="22473350" w:rsidR="00641FBE" w:rsidRDefault="007E39ED" w:rsidP="00641FBE">
      <w:pPr>
        <w:pStyle w:val="Body"/>
      </w:pPr>
      <w:r>
        <w:rPr>
          <w:noProof/>
        </w:rPr>
        <w:drawing>
          <wp:inline distT="0" distB="0" distL="0" distR="0" wp14:anchorId="38D816CB" wp14:editId="12210EF0">
            <wp:extent cx="5486400" cy="3200400"/>
            <wp:effectExtent l="0" t="0" r="0" b="19050"/>
            <wp:docPr id="1642788433" name="Diagram 1642788433" descr="The social-ecological model, individual, interpersonal, community/organisational, societal/policy"/>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3" r:lo="rId54" r:qs="rId55" r:cs="rId56"/>
              </a:graphicData>
            </a:graphic>
          </wp:inline>
        </w:drawing>
      </w:r>
    </w:p>
    <w:p w14:paraId="6FF0A95B" w14:textId="7661CBCF" w:rsidR="000D2E94" w:rsidRPr="00C07976" w:rsidRDefault="000D2E94" w:rsidP="00C07976">
      <w:pPr>
        <w:pStyle w:val="Tablefigurenote"/>
      </w:pPr>
      <w:r w:rsidRPr="00C07976">
        <w:t xml:space="preserve">Figure 3: Socio-ecological model of health adapted from Centers for Disease Control and Prevention 2022, </w:t>
      </w:r>
      <w:hyperlink r:id="rId58" w:history="1">
        <w:r w:rsidRPr="00C07976">
          <w:t>The social-ecological model,</w:t>
        </w:r>
      </w:hyperlink>
      <w:r w:rsidRPr="00C07976">
        <w:t xml:space="preserve"> viewed 20 June 2022, &lt;</w:t>
      </w:r>
      <w:hyperlink r:id="rId59" w:history="1">
        <w:r w:rsidRPr="00C07976">
          <w:rPr>
            <w:rStyle w:val="Hyperlink"/>
            <w:color w:val="auto"/>
            <w:u w:val="none"/>
          </w:rPr>
          <w:t>https://www.cdc.gov/violenceprevention/about/social-ecologicalmodel.html</w:t>
        </w:r>
      </w:hyperlink>
      <w:r w:rsidRPr="00C07976">
        <w:t>l&gt;</w:t>
      </w:r>
    </w:p>
    <w:p w14:paraId="59A38F27" w14:textId="77777777" w:rsidR="000D2E94" w:rsidRDefault="000D2E94" w:rsidP="00641FBE">
      <w:pPr>
        <w:pStyle w:val="Body"/>
      </w:pPr>
    </w:p>
    <w:p w14:paraId="63BE75B3" w14:textId="6D7A460D" w:rsidR="00641FBE" w:rsidRDefault="00641FBE" w:rsidP="00C44B24">
      <w:pPr>
        <w:pStyle w:val="Heading1"/>
      </w:pPr>
      <w:bookmarkStart w:id="28" w:name="_Toc194663094"/>
      <w:r>
        <w:lastRenderedPageBreak/>
        <w:t>Appendix three: Aboriginal and Torres Strait Islander self-determination</w:t>
      </w:r>
      <w:bookmarkEnd w:id="28"/>
    </w:p>
    <w:p w14:paraId="29D1C600" w14:textId="77777777" w:rsidR="00986D0D" w:rsidRPr="004F26CF" w:rsidRDefault="00986D0D" w:rsidP="00986D0D">
      <w:pPr>
        <w:pStyle w:val="DHHSbody"/>
      </w:pPr>
      <w:r w:rsidRPr="153A1F7D">
        <w:t xml:space="preserve">According to the National Aboriginal Community Controlled Health Organisation, self-determination is: The ability of </w:t>
      </w:r>
      <w:r>
        <w:t>Aboriginal and Torres Strait Islander communities</w:t>
      </w:r>
      <w:r w:rsidRPr="153A1F7D">
        <w:t xml:space="preserve"> to determine their own political, economic, social and cultural development (NAHSWP 1989). Specifically, this means that rather than </w:t>
      </w:r>
      <w:r>
        <w:t>Aboriginal and Torres Strait Islander communities</w:t>
      </w:r>
      <w:r w:rsidRPr="153A1F7D">
        <w:t xml:space="preserve"> merely being ‘engaged’ or ‘consulted’ as ‘advisors’ or ‘co-designers’ of services and policies, they are authorised and empowered to own, direct and make strategic decisions about the following: </w:t>
      </w:r>
    </w:p>
    <w:p w14:paraId="6FA5AFA2" w14:textId="77777777" w:rsidR="00986D0D" w:rsidRPr="00986D0D" w:rsidRDefault="00986D0D" w:rsidP="00986D0D">
      <w:pPr>
        <w:pStyle w:val="Bullet1"/>
      </w:pPr>
      <w:r w:rsidRPr="00986D0D">
        <w:t xml:space="preserve">values and motivations on which a policy or program is based </w:t>
      </w:r>
    </w:p>
    <w:p w14:paraId="424FDE8D" w14:textId="77777777" w:rsidR="00986D0D" w:rsidRPr="00986D0D" w:rsidRDefault="00986D0D" w:rsidP="00986D0D">
      <w:pPr>
        <w:pStyle w:val="Bullet1"/>
      </w:pPr>
      <w:r w:rsidRPr="00986D0D">
        <w:t xml:space="preserve">strategic intent </w:t>
      </w:r>
    </w:p>
    <w:p w14:paraId="0D199514" w14:textId="77777777" w:rsidR="00986D0D" w:rsidRPr="00986D0D" w:rsidRDefault="00986D0D" w:rsidP="00986D0D">
      <w:pPr>
        <w:pStyle w:val="Bullet1"/>
      </w:pPr>
      <w:r w:rsidRPr="00986D0D">
        <w:t xml:space="preserve">policy or program design </w:t>
      </w:r>
    </w:p>
    <w:p w14:paraId="2978C92E" w14:textId="77777777" w:rsidR="00986D0D" w:rsidRPr="00986D0D" w:rsidRDefault="00986D0D" w:rsidP="00986D0D">
      <w:pPr>
        <w:pStyle w:val="Bullet1"/>
      </w:pPr>
      <w:r w:rsidRPr="00986D0D">
        <w:t xml:space="preserve">funding and allocation of resources </w:t>
      </w:r>
    </w:p>
    <w:p w14:paraId="19CAA3EF" w14:textId="77777777" w:rsidR="00986D0D" w:rsidRPr="00986D0D" w:rsidRDefault="00986D0D" w:rsidP="00986D0D">
      <w:pPr>
        <w:pStyle w:val="Bullet1"/>
      </w:pPr>
      <w:r w:rsidRPr="00986D0D">
        <w:t xml:space="preserve">implementation and operations </w:t>
      </w:r>
    </w:p>
    <w:p w14:paraId="0DFFC079" w14:textId="77777777" w:rsidR="00986D0D" w:rsidRPr="00986D0D" w:rsidRDefault="00986D0D" w:rsidP="00986D0D">
      <w:pPr>
        <w:pStyle w:val="Bullet1"/>
      </w:pPr>
      <w:r w:rsidRPr="00986D0D">
        <w:t xml:space="preserve">evaluation measures and definitions of success. </w:t>
      </w:r>
    </w:p>
    <w:p w14:paraId="2787A1B9" w14:textId="77777777" w:rsidR="00986D0D" w:rsidRPr="004F26CF" w:rsidRDefault="00986D0D" w:rsidP="00986D0D">
      <w:pPr>
        <w:pStyle w:val="Bullet1"/>
        <w:numPr>
          <w:ilvl w:val="0"/>
          <w:numId w:val="0"/>
        </w:numPr>
        <w:ind w:left="284"/>
      </w:pPr>
    </w:p>
    <w:p w14:paraId="1953FFCA" w14:textId="77777777" w:rsidR="00986D0D" w:rsidRPr="00973B77" w:rsidRDefault="00986D0D" w:rsidP="00986D0D">
      <w:pPr>
        <w:pStyle w:val="DHHSbody"/>
      </w:pPr>
      <w:r>
        <w:t>These strategic decisions are best made based on Aboriginal and Torres Strait Islander values and traditions, as defined by Aboriginal and Torres Strait Islander communities, in a particular location or geographic area.</w:t>
      </w:r>
    </w:p>
    <w:p w14:paraId="67A030B3" w14:textId="4D2FADA6" w:rsidR="00641FBE" w:rsidRDefault="00641FBE" w:rsidP="00BF0CD2">
      <w:pPr>
        <w:pStyle w:val="Heading2"/>
      </w:pPr>
      <w:r>
        <w:t>Victorian Aboriginal Health and Wellbeing Partnership Agreement Action Plan 2023-2025</w:t>
      </w:r>
    </w:p>
    <w:p w14:paraId="64E04CA6" w14:textId="77777777" w:rsidR="009D4A8C" w:rsidRDefault="009D4A8C" w:rsidP="009D4A8C">
      <w:pPr>
        <w:pStyle w:val="DHHSbody"/>
      </w:pPr>
      <w:r>
        <w:t>The actions address five domains and fifteen self-determined priorities:</w:t>
      </w:r>
    </w:p>
    <w:p w14:paraId="0BE96030" w14:textId="77777777" w:rsidR="009D4A8C" w:rsidRDefault="009D4A8C" w:rsidP="009D4A8C">
      <w:pPr>
        <w:pStyle w:val="Bullet1"/>
      </w:pPr>
      <w:r>
        <w:t>Prevention and early intervention are central to health</w:t>
      </w:r>
    </w:p>
    <w:p w14:paraId="131BC9C9" w14:textId="77777777" w:rsidR="009D4A8C" w:rsidRDefault="009D4A8C" w:rsidP="009D4A8C">
      <w:pPr>
        <w:pStyle w:val="Bullet1"/>
      </w:pPr>
      <w:r>
        <w:t>Culturally safe healthcare</w:t>
      </w:r>
    </w:p>
    <w:p w14:paraId="2C18EE46" w14:textId="77777777" w:rsidR="009D4A8C" w:rsidRDefault="009D4A8C" w:rsidP="009D4A8C">
      <w:pPr>
        <w:pStyle w:val="Bullet1"/>
      </w:pPr>
      <w:r>
        <w:t>A self-determined health system</w:t>
      </w:r>
    </w:p>
    <w:p w14:paraId="1A747315" w14:textId="77777777" w:rsidR="009D4A8C" w:rsidRDefault="009D4A8C" w:rsidP="009D4A8C">
      <w:pPr>
        <w:pStyle w:val="Bullet1"/>
      </w:pPr>
      <w:r>
        <w:t>Working from shared evidence based</w:t>
      </w:r>
    </w:p>
    <w:p w14:paraId="035213C6" w14:textId="274B9A8A" w:rsidR="002617B5" w:rsidRPr="002365B4" w:rsidRDefault="009D4A8C" w:rsidP="009D4A8C">
      <w:pPr>
        <w:pStyle w:val="Bullet1"/>
      </w:pPr>
      <w:r>
        <w:t>Building a sustainable health sector</w:t>
      </w:r>
    </w:p>
    <w:p w14:paraId="20A81F4E" w14:textId="3739C6E3" w:rsidR="002617B5" w:rsidRDefault="00641FBE" w:rsidP="00BF0CD2">
      <w:pPr>
        <w:pStyle w:val="Heading2"/>
      </w:pPr>
      <w:r>
        <w:t>Treaty in Victoria</w:t>
      </w:r>
    </w:p>
    <w:p w14:paraId="6F5C0FED" w14:textId="77777777" w:rsidR="009E79F3" w:rsidRDefault="009E79F3" w:rsidP="009E79F3">
      <w:pPr>
        <w:pStyle w:val="Body"/>
      </w:pPr>
      <w:r w:rsidRPr="153A1F7D">
        <w:t>Statewide Treaty negotiations opened with a ceremonial event at Darebin Parklands on 21 November 2024.</w:t>
      </w:r>
    </w:p>
    <w:p w14:paraId="39DBDF79" w14:textId="77777777" w:rsidR="009E79F3" w:rsidRDefault="009E79F3" w:rsidP="009E79F3">
      <w:pPr>
        <w:pStyle w:val="Body"/>
      </w:pPr>
      <w:r w:rsidRPr="153A1F7D">
        <w:t>Laws passed by the Victorian Parliament determine what can be included in Treaty agreements.</w:t>
      </w:r>
    </w:p>
    <w:p w14:paraId="4318FFD8" w14:textId="77777777" w:rsidR="009E79F3" w:rsidRDefault="009E79F3" w:rsidP="009E79F3">
      <w:pPr>
        <w:pStyle w:val="Body"/>
      </w:pPr>
      <w:r w:rsidRPr="153A1F7D">
        <w:t>Australia’s first formal truth-telling process, the Yoorrook Justice Commission, is investigating parts of our past that have been buried. It is shining a light on the injustices of today. Treaty will be informed by the Commission's findings and recommendations.</w:t>
      </w:r>
    </w:p>
    <w:p w14:paraId="311BE7F9" w14:textId="77777777" w:rsidR="009E79F3" w:rsidRDefault="009E79F3" w:rsidP="009E79F3">
      <w:pPr>
        <w:pStyle w:val="Body"/>
      </w:pPr>
      <w:r w:rsidRPr="153A1F7D">
        <w:t>The First Peoples’ Assembly of Victoria has been operating effectively for four years as the independent body representing First Peoples in Victoria’s Treaty process. Assembly members are democratically elected representatives from Traditional Owners in all areas of the state.</w:t>
      </w:r>
    </w:p>
    <w:p w14:paraId="169F0185" w14:textId="77777777" w:rsidR="009E79F3" w:rsidRDefault="009E79F3" w:rsidP="009E79F3">
      <w:pPr>
        <w:pStyle w:val="Body"/>
      </w:pPr>
      <w:r>
        <w:t>Victoria’s Treaty is about putting practical frameworks in place to implement better policies and make sure First People have a say in decisions that impact First Peoples’ lives.</w:t>
      </w:r>
    </w:p>
    <w:p w14:paraId="7F03F4D5" w14:textId="6E825F39" w:rsidR="00641FBE" w:rsidRDefault="00641FBE" w:rsidP="00BF0CD2">
      <w:pPr>
        <w:pStyle w:val="Heading2"/>
      </w:pPr>
      <w:r>
        <w:lastRenderedPageBreak/>
        <w:t>Cultural safety</w:t>
      </w:r>
    </w:p>
    <w:p w14:paraId="3D673707" w14:textId="77777777" w:rsidR="004E6F56" w:rsidRPr="00303D5D" w:rsidRDefault="004E6F56" w:rsidP="004E6F56">
      <w:pPr>
        <w:spacing w:beforeAutospacing="1" w:afterAutospacing="1"/>
        <w:rPr>
          <w:rFonts w:eastAsia="Arial" w:cs="Arial"/>
          <w:color w:val="548DD4" w:themeColor="text2" w:themeTint="99"/>
        </w:rPr>
      </w:pPr>
      <w:r w:rsidRPr="004E6F56">
        <w:rPr>
          <w:rStyle w:val="BodyChar"/>
        </w:rPr>
        <w:t>Aboriginal and Torres Strait Islander cultural safety occurs when Aboriginal and Torres Strait Islander people and communities feel respected and safe – and the cultural richness, diversity, histories, strength and knowledge held by Victoria’s Aboriginal and Torres Strait Islander communities is recognised, understood and valued. Cultural safety is underpinned by Aboriginal and Torres Strait Islander self-determination, where Aboriginal and Torres Strait Islander voices contribute to the design and delivery of services, as articulated in the Victorian Government's</w:t>
      </w:r>
      <w:r w:rsidRPr="43FA6D84">
        <w:rPr>
          <w:rFonts w:eastAsia="Arial" w:cs="Arial"/>
        </w:rPr>
        <w:t xml:space="preserve"> </w:t>
      </w:r>
      <w:hyperlink r:id="rId60">
        <w:r w:rsidRPr="43FA6D84">
          <w:rPr>
            <w:rFonts w:eastAsia="Arial" w:cs="Arial"/>
            <w:color w:val="004C97"/>
            <w:u w:val="dotted"/>
          </w:rPr>
          <w:t>Self-determination reform framework</w:t>
        </w:r>
      </w:hyperlink>
      <w:r w:rsidRPr="43FA6D84">
        <w:rPr>
          <w:rFonts w:eastAsia="Arial" w:cs="Arial"/>
          <w:color w:val="004C97"/>
          <w:u w:val="dotted"/>
        </w:rPr>
        <w:t xml:space="preserve"> </w:t>
      </w:r>
      <w:r w:rsidRPr="43FA6D84">
        <w:rPr>
          <w:rFonts w:eastAsia="Arial" w:cs="Arial"/>
        </w:rPr>
        <w:t>&lt;https://www.firstpeoplesrelations.vic.gov.au/self-determination-reform-framework&gt;.</w:t>
      </w:r>
    </w:p>
    <w:p w14:paraId="3BB6EE0C" w14:textId="77777777" w:rsidR="004E6F56" w:rsidRDefault="004E6F56" w:rsidP="004E6F56">
      <w:pPr>
        <w:rPr>
          <w:rFonts w:eastAsia="Arial" w:cs="Arial"/>
        </w:rPr>
      </w:pPr>
      <w:r w:rsidRPr="43FA6D84">
        <w:rPr>
          <w:rFonts w:eastAsia="Arial" w:cs="Arial"/>
        </w:rPr>
        <w:t>The responsibility to lead, act and to improve the healthcare experience and healthcare outcomes for Aboriginal and Torres Strait Islander communities lies across all health services and programs.</w:t>
      </w:r>
    </w:p>
    <w:p w14:paraId="73D7086A" w14:textId="77777777" w:rsidR="004E6F56" w:rsidRDefault="004E6F56" w:rsidP="004E6F56">
      <w:pPr>
        <w:rPr>
          <w:rFonts w:eastAsia="Arial" w:cs="Arial"/>
          <w:szCs w:val="21"/>
        </w:rPr>
      </w:pPr>
      <w:r w:rsidRPr="47AB8948">
        <w:rPr>
          <w:rFonts w:eastAsia="Arial" w:cs="Arial"/>
          <w:szCs w:val="21"/>
        </w:rPr>
        <w:t xml:space="preserve">The </w:t>
      </w:r>
      <w:hyperlink r:id="rId61">
        <w:r w:rsidRPr="47AB8948">
          <w:rPr>
            <w:rStyle w:val="Hyperlink"/>
            <w:rFonts w:eastAsia="Arial" w:cs="Arial"/>
            <w:szCs w:val="21"/>
            <w:u w:val="single"/>
          </w:rPr>
          <w:t>Aboriginal and Torres Strait Islander cultural safety framework</w:t>
        </w:r>
      </w:hyperlink>
      <w:r w:rsidRPr="47AB8948">
        <w:rPr>
          <w:rFonts w:eastAsia="Arial" w:cs="Arial"/>
          <w:szCs w:val="21"/>
        </w:rPr>
        <w:t xml:space="preserve"> &lt;https://www.health.vic.gov.au/publications/aboriginal-and-torres-strait-islander-cultural-safety-framework-part-1&gt; supports mainstream Victorian health, human and community services, along with the department, to create culturally safe environments, services and workplaces.</w:t>
      </w:r>
    </w:p>
    <w:p w14:paraId="54D6AE3E" w14:textId="2CA85BF1" w:rsidR="004E6F56" w:rsidRDefault="004E6F56" w:rsidP="004E6F56">
      <w:pPr>
        <w:pStyle w:val="Heading1"/>
      </w:pPr>
      <w:bookmarkStart w:id="29" w:name="_Toc194663095"/>
      <w:r>
        <w:t>Appendix four: Program logic template</w:t>
      </w:r>
      <w:bookmarkEnd w:id="29"/>
    </w:p>
    <w:p w14:paraId="702DA553" w14:textId="77777777" w:rsidR="00E91FB3" w:rsidRDefault="00E91FB3" w:rsidP="00E91FB3">
      <w:pPr>
        <w:pStyle w:val="paragraph"/>
        <w:spacing w:before="0" w:beforeAutospacing="0" w:after="0" w:afterAutospacing="0"/>
        <w:textAlignment w:val="baseline"/>
        <w:rPr>
          <w:rStyle w:val="eop"/>
          <w:rFonts w:eastAsia="MS Mincho" w:cs="Arial"/>
          <w:sz w:val="21"/>
          <w:szCs w:val="21"/>
        </w:rPr>
      </w:pPr>
      <w:r w:rsidRPr="00E91FB3">
        <w:rPr>
          <w:rStyle w:val="BodyChar"/>
        </w:rPr>
        <w:t>A program logic is a high-level planning tool that succinctly demonstrates the logical reasoning connecting the program activities to long term outcomes. There should be a clear link between the activities implemented and the expected outputs and impacts, together with a consideration of the contextual or uncontrolled influences</w:t>
      </w:r>
      <w:r w:rsidRPr="153A1F7D">
        <w:rPr>
          <w:rStyle w:val="normaltextrun"/>
          <w:rFonts w:eastAsia="MS Gothic" w:cs="Arial"/>
          <w:sz w:val="21"/>
          <w:szCs w:val="21"/>
        </w:rPr>
        <w:t>.</w:t>
      </w:r>
      <w:r w:rsidRPr="153A1F7D">
        <w:rPr>
          <w:rStyle w:val="eop"/>
          <w:rFonts w:eastAsia="MS Mincho" w:cs="Arial"/>
          <w:sz w:val="21"/>
          <w:szCs w:val="21"/>
        </w:rPr>
        <w:t> </w:t>
      </w:r>
    </w:p>
    <w:p w14:paraId="35A7496A" w14:textId="77777777" w:rsidR="00967BF9" w:rsidRDefault="00967BF9" w:rsidP="00E91FB3">
      <w:pPr>
        <w:pStyle w:val="paragraph"/>
        <w:spacing w:before="0" w:beforeAutospacing="0" w:after="0" w:afterAutospacing="0"/>
        <w:textAlignment w:val="baseline"/>
        <w:rPr>
          <w:rFonts w:ascii="Segoe UI" w:hAnsi="Segoe UI" w:cs="Segoe UI"/>
          <w:sz w:val="18"/>
          <w:szCs w:val="18"/>
        </w:rPr>
      </w:pPr>
    </w:p>
    <w:p w14:paraId="3F7DB6B2" w14:textId="28FFE839" w:rsidR="004E6F56" w:rsidRDefault="00967BF9" w:rsidP="00FC6FE3">
      <w:pPr>
        <w:pStyle w:val="Tablecaption"/>
      </w:pPr>
      <w:r>
        <w:t xml:space="preserve">Table four: </w:t>
      </w:r>
      <w:r w:rsidR="00B02FA1">
        <w:t>program logic template</w:t>
      </w:r>
    </w:p>
    <w:tbl>
      <w:tblPr>
        <w:tblStyle w:val="TableGrid"/>
        <w:tblW w:w="0" w:type="auto"/>
        <w:tblLook w:val="04A0" w:firstRow="1" w:lastRow="0" w:firstColumn="1" w:lastColumn="0" w:noHBand="0" w:noVBand="1"/>
      </w:tblPr>
      <w:tblGrid>
        <w:gridCol w:w="1857"/>
        <w:gridCol w:w="1857"/>
        <w:gridCol w:w="1858"/>
        <w:gridCol w:w="1858"/>
        <w:gridCol w:w="1858"/>
      </w:tblGrid>
      <w:tr w:rsidR="0028297E" w14:paraId="3AAF45A4" w14:textId="77777777" w:rsidTr="0028297E">
        <w:tc>
          <w:tcPr>
            <w:tcW w:w="1857" w:type="dxa"/>
          </w:tcPr>
          <w:p w14:paraId="272186B1" w14:textId="2660154B" w:rsidR="0028297E" w:rsidRDefault="0028297E" w:rsidP="00B02FA1">
            <w:pPr>
              <w:pStyle w:val="Tablecolhead"/>
            </w:pPr>
            <w:r>
              <w:t>Inputs</w:t>
            </w:r>
          </w:p>
        </w:tc>
        <w:tc>
          <w:tcPr>
            <w:tcW w:w="1857" w:type="dxa"/>
          </w:tcPr>
          <w:p w14:paraId="4C390A65" w14:textId="779AF86D" w:rsidR="0028297E" w:rsidRDefault="0028297E" w:rsidP="00B02FA1">
            <w:pPr>
              <w:pStyle w:val="Tablecolhead"/>
            </w:pPr>
            <w:r>
              <w:t>Activities</w:t>
            </w:r>
          </w:p>
        </w:tc>
        <w:tc>
          <w:tcPr>
            <w:tcW w:w="1858" w:type="dxa"/>
          </w:tcPr>
          <w:p w14:paraId="43509337" w14:textId="5360107F" w:rsidR="0028297E" w:rsidRDefault="0028297E" w:rsidP="00B02FA1">
            <w:pPr>
              <w:pStyle w:val="Tablecolhead"/>
            </w:pPr>
            <w:r>
              <w:t>Outputs</w:t>
            </w:r>
          </w:p>
        </w:tc>
        <w:tc>
          <w:tcPr>
            <w:tcW w:w="1858" w:type="dxa"/>
          </w:tcPr>
          <w:p w14:paraId="052C8C9C" w14:textId="12417608" w:rsidR="0028297E" w:rsidRDefault="0028297E" w:rsidP="00B02FA1">
            <w:pPr>
              <w:pStyle w:val="Tablecolhead"/>
            </w:pPr>
            <w:r>
              <w:t>Impacts</w:t>
            </w:r>
          </w:p>
        </w:tc>
        <w:tc>
          <w:tcPr>
            <w:tcW w:w="1858" w:type="dxa"/>
          </w:tcPr>
          <w:p w14:paraId="191AF82B" w14:textId="2F5165E2" w:rsidR="0028297E" w:rsidRDefault="0028297E" w:rsidP="00B02FA1">
            <w:pPr>
              <w:pStyle w:val="Tablecolhead"/>
            </w:pPr>
            <w:r>
              <w:t>Outcomes</w:t>
            </w:r>
          </w:p>
        </w:tc>
      </w:tr>
      <w:tr w:rsidR="0028297E" w14:paraId="33619B64" w14:textId="77777777" w:rsidTr="0028297E">
        <w:tc>
          <w:tcPr>
            <w:tcW w:w="1857" w:type="dxa"/>
          </w:tcPr>
          <w:p w14:paraId="710F6B02" w14:textId="12464EEE" w:rsidR="0028297E" w:rsidRDefault="0028297E" w:rsidP="00B02FA1">
            <w:pPr>
              <w:pStyle w:val="Tabletext"/>
            </w:pPr>
            <w:r>
              <w:t>Resources (inc. budget)</w:t>
            </w:r>
          </w:p>
        </w:tc>
        <w:tc>
          <w:tcPr>
            <w:tcW w:w="1857" w:type="dxa"/>
          </w:tcPr>
          <w:p w14:paraId="77892209" w14:textId="29CC817C" w:rsidR="0028297E" w:rsidRDefault="0028297E" w:rsidP="00B02FA1">
            <w:pPr>
              <w:pStyle w:val="Tabletext"/>
            </w:pPr>
            <w:r>
              <w:t>What you will do</w:t>
            </w:r>
          </w:p>
        </w:tc>
        <w:tc>
          <w:tcPr>
            <w:tcW w:w="1858" w:type="dxa"/>
          </w:tcPr>
          <w:p w14:paraId="7F2EC4B8" w14:textId="77777777" w:rsidR="0028297E" w:rsidRDefault="0028297E" w:rsidP="00B02FA1">
            <w:pPr>
              <w:pStyle w:val="Tabletext"/>
            </w:pPr>
            <w:r>
              <w:t>Program or strategy deliverables immediately after intervention</w:t>
            </w:r>
          </w:p>
          <w:p w14:paraId="36EE6A70" w14:textId="77777777" w:rsidR="0028297E" w:rsidRDefault="0028297E" w:rsidP="00B02FA1">
            <w:pPr>
              <w:pStyle w:val="Tabletext"/>
            </w:pPr>
            <w:r>
              <w:t xml:space="preserve">Linked to process indicators </w:t>
            </w:r>
          </w:p>
          <w:p w14:paraId="62EBAC47" w14:textId="0B591A1A" w:rsidR="0028297E" w:rsidRDefault="0028297E" w:rsidP="00B02FA1">
            <w:pPr>
              <w:pStyle w:val="Tabletext"/>
            </w:pPr>
            <w:r>
              <w:t>e.g. reach</w:t>
            </w:r>
          </w:p>
        </w:tc>
        <w:tc>
          <w:tcPr>
            <w:tcW w:w="1858" w:type="dxa"/>
          </w:tcPr>
          <w:p w14:paraId="22B89113" w14:textId="77777777" w:rsidR="0028297E" w:rsidRDefault="0028297E" w:rsidP="00B02FA1">
            <w:pPr>
              <w:pStyle w:val="Tabletext"/>
            </w:pPr>
            <w:r>
              <w:t>Linked to objectives/impact measures</w:t>
            </w:r>
          </w:p>
          <w:p w14:paraId="2871861C" w14:textId="77777777" w:rsidR="0028297E" w:rsidRDefault="0028297E" w:rsidP="00B02FA1">
            <w:pPr>
              <w:pStyle w:val="Tablebullet1"/>
            </w:pPr>
            <w:r>
              <w:t>Change in knowledge</w:t>
            </w:r>
            <w:r w:rsidR="00967BF9">
              <w:t>, skills and/or attitudes (1-18 months post intervention)</w:t>
            </w:r>
          </w:p>
          <w:p w14:paraId="11B3B31A" w14:textId="77777777" w:rsidR="00967BF9" w:rsidRDefault="00967BF9" w:rsidP="00B02FA1">
            <w:pPr>
              <w:pStyle w:val="Tablebullet1"/>
            </w:pPr>
            <w:r>
              <w:t>Change in environment</w:t>
            </w:r>
          </w:p>
          <w:p w14:paraId="063D071F" w14:textId="0284DC83" w:rsidR="00967BF9" w:rsidRDefault="00967BF9" w:rsidP="00B02FA1">
            <w:pPr>
              <w:pStyle w:val="Tablebullet1"/>
            </w:pPr>
            <w:r>
              <w:t>Change in behaviours (12 months-3 years post intervention)</w:t>
            </w:r>
          </w:p>
        </w:tc>
        <w:tc>
          <w:tcPr>
            <w:tcW w:w="1858" w:type="dxa"/>
          </w:tcPr>
          <w:p w14:paraId="6E46F63E" w14:textId="66C1C0D8" w:rsidR="0028297E" w:rsidRDefault="00967BF9" w:rsidP="00B02FA1">
            <w:pPr>
              <w:pStyle w:val="Tabletext"/>
            </w:pPr>
            <w:r>
              <w:t xml:space="preserve">Linked to outcomes and measures in the </w:t>
            </w:r>
            <w:r w:rsidRPr="00967BF9">
              <w:rPr>
                <w:i/>
                <w:iCs/>
              </w:rPr>
              <w:t>Victorian public health and wellbeing framework</w:t>
            </w:r>
          </w:p>
        </w:tc>
      </w:tr>
    </w:tbl>
    <w:p w14:paraId="5A2A4486" w14:textId="70A85270" w:rsidR="00641FBE" w:rsidRDefault="00641FBE" w:rsidP="00C44B24">
      <w:pPr>
        <w:pStyle w:val="Heading1"/>
      </w:pPr>
      <w:bookmarkStart w:id="30" w:name="_Toc194663096"/>
      <w:r>
        <w:lastRenderedPageBreak/>
        <w:t>Appendix five: Budget forecast and acquittal template</w:t>
      </w:r>
      <w:bookmarkEnd w:id="30"/>
    </w:p>
    <w:p w14:paraId="05DD2CFD" w14:textId="77777777" w:rsidR="007F6D32" w:rsidRPr="00401526" w:rsidRDefault="007F6D32" w:rsidP="007F6D32">
      <w:pPr>
        <w:pStyle w:val="Body"/>
        <w:rPr>
          <w:rFonts w:eastAsiaTheme="majorEastAsia"/>
        </w:rPr>
      </w:pPr>
      <w:r w:rsidRPr="153A1F7D">
        <w:t>A budget template includes a statement of income and expenditure in a given financial year (e.g. 1 July 2024 – 30 June 2025).</w:t>
      </w:r>
    </w:p>
    <w:p w14:paraId="11138921" w14:textId="77777777" w:rsidR="007F6D32" w:rsidRDefault="007F6D32" w:rsidP="007F6D32">
      <w:pPr>
        <w:pStyle w:val="Body"/>
        <w:rPr>
          <w:rFonts w:cs="Arial"/>
          <w:lang w:eastAsia="en-AU"/>
        </w:rPr>
      </w:pPr>
      <w:r w:rsidRPr="153A1F7D">
        <w:rPr>
          <w:rFonts w:cs="Arial"/>
          <w:lang w:eastAsia="en-AU"/>
        </w:rPr>
        <w:t>The statement is used to show where funding is planned to be allocated (forecast/estimate) and is an accompanying document to the CH-HP annual plan. Annual plans are due to be submitted by due 31 August 2025. A program manager or director should sign the statement.</w:t>
      </w:r>
    </w:p>
    <w:p w14:paraId="358078B4" w14:textId="77777777" w:rsidR="007F6D32" w:rsidRDefault="007F6D32" w:rsidP="007F6D32">
      <w:pPr>
        <w:pStyle w:val="Body"/>
        <w:rPr>
          <w:rFonts w:cs="Arial"/>
          <w:lang w:eastAsia="en-AU"/>
        </w:rPr>
      </w:pPr>
      <w:r w:rsidRPr="7364CBED">
        <w:rPr>
          <w:rFonts w:cs="Arial"/>
          <w:lang w:eastAsia="en-AU"/>
        </w:rPr>
        <w:t>For acquittal purposes only, this statement (Part A) requires sign off by the Chief Executive Officer or the Chief Financial Officer. Acquittals are due by 31 August each year. </w:t>
      </w:r>
    </w:p>
    <w:p w14:paraId="1CA35055" w14:textId="77777777" w:rsidR="007F6D32" w:rsidRPr="00401526" w:rsidRDefault="007F6D32" w:rsidP="007F6D32">
      <w:pPr>
        <w:pStyle w:val="Body"/>
        <w:rPr>
          <w:rFonts w:cstheme="minorBidi"/>
        </w:rPr>
      </w:pPr>
      <w:r w:rsidRPr="153A1F7D">
        <w:rPr>
          <w:rFonts w:cstheme="minorBidi"/>
        </w:rPr>
        <w:t>In addition, agencies are required to estimate program costs under the priority areas.</w:t>
      </w:r>
    </w:p>
    <w:p w14:paraId="404D9689" w14:textId="77777777" w:rsidR="007F6D32" w:rsidRPr="00401526" w:rsidRDefault="007F6D32" w:rsidP="007F6D32">
      <w:pPr>
        <w:pStyle w:val="Body"/>
        <w:rPr>
          <w:rFonts w:cs="Arial"/>
          <w:lang w:eastAsia="en-AU"/>
        </w:rPr>
      </w:pPr>
      <w:r w:rsidRPr="003D660C">
        <w:rPr>
          <w:rFonts w:cs="Arial"/>
          <w:lang w:eastAsia="en-AU"/>
        </w:rPr>
        <w:t>When completing this form</w:t>
      </w:r>
      <w:r>
        <w:rPr>
          <w:rFonts w:cs="Arial"/>
          <w:lang w:eastAsia="en-AU"/>
        </w:rPr>
        <w:t>,</w:t>
      </w:r>
      <w:r w:rsidRPr="003D660C">
        <w:rPr>
          <w:rFonts w:cs="Arial"/>
          <w:lang w:eastAsia="en-AU"/>
        </w:rPr>
        <w:t xml:space="preserve"> please ensure that only current year CH-HP funding</w:t>
      </w:r>
      <w:r>
        <w:rPr>
          <w:rFonts w:cs="Arial"/>
          <w:lang w:eastAsia="en-AU"/>
        </w:rPr>
        <w:t xml:space="preserve"> (activity code 28085 CH-HP, 35048 Small rural or other not specified health promotion)</w:t>
      </w:r>
      <w:r w:rsidRPr="003D660C">
        <w:rPr>
          <w:rFonts w:cs="Arial"/>
          <w:lang w:eastAsia="en-AU"/>
        </w:rPr>
        <w:t xml:space="preserve"> is captured/reported. </w:t>
      </w:r>
    </w:p>
    <w:p w14:paraId="16C0F2F6" w14:textId="7A436C86" w:rsidR="007F6D32" w:rsidRPr="007F6D32" w:rsidRDefault="007F6D32" w:rsidP="007F6D32">
      <w:pPr>
        <w:pStyle w:val="Body"/>
        <w:rPr>
          <w:rFonts w:cs="Arial"/>
          <w:lang w:eastAsia="en-AU"/>
        </w:rPr>
      </w:pPr>
      <w:r w:rsidRPr="153A1F7D">
        <w:rPr>
          <w:rFonts w:cs="Arial"/>
          <w:lang w:eastAsia="en-AU"/>
        </w:rPr>
        <w:t xml:space="preserve">Assistance with this task is available </w:t>
      </w:r>
      <w:r>
        <w:rPr>
          <w:rFonts w:cs="Arial"/>
          <w:lang w:eastAsia="en-AU"/>
        </w:rPr>
        <w:t xml:space="preserve">from the Health Promotion Programs team. </w:t>
      </w:r>
    </w:p>
    <w:p w14:paraId="0335917A" w14:textId="77777777" w:rsidR="007F6D32" w:rsidRDefault="007F6D32" w:rsidP="007F6D32">
      <w:pPr>
        <w:pStyle w:val="Body"/>
        <w:rPr>
          <w:lang w:eastAsia="en-AU"/>
        </w:rPr>
      </w:pPr>
      <w:r w:rsidRPr="7364CBED">
        <w:rPr>
          <w:lang w:eastAsia="en-AU"/>
        </w:rPr>
        <w:t xml:space="preserve">The department recommends that no more than 25% of funds be allocated towards organisational overheads. </w:t>
      </w:r>
    </w:p>
    <w:p w14:paraId="6FF4FE2A" w14:textId="77777777" w:rsidR="00D054B8" w:rsidRDefault="00D054B8" w:rsidP="00D054B8">
      <w:pPr>
        <w:spacing w:before="20" w:after="40" w:line="240" w:lineRule="auto"/>
        <w:rPr>
          <w:rFonts w:cs="Arial"/>
          <w:b/>
          <w:bCs/>
          <w:sz w:val="20"/>
          <w:lang w:eastAsia="en-AU"/>
        </w:rPr>
      </w:pPr>
    </w:p>
    <w:p w14:paraId="24C7785C" w14:textId="77777777" w:rsidR="00D054B8" w:rsidRPr="00401526" w:rsidRDefault="00D054B8" w:rsidP="00D054B8">
      <w:pPr>
        <w:spacing w:before="20" w:after="40" w:line="240" w:lineRule="auto"/>
        <w:textAlignment w:val="baseline"/>
        <w:rPr>
          <w:rFonts w:cs="Arial"/>
          <w:sz w:val="20"/>
          <w:lang w:eastAsia="en-AU"/>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20"/>
        <w:gridCol w:w="6180"/>
      </w:tblGrid>
      <w:tr w:rsidR="00D054B8" w:rsidRPr="003D660C" w14:paraId="131C4EFB" w14:textId="77777777" w:rsidTr="0083412A">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auto"/>
            <w:hideMark/>
          </w:tcPr>
          <w:p w14:paraId="136138DE" w14:textId="77777777" w:rsidR="00D054B8" w:rsidRPr="00BE3162" w:rsidRDefault="00D054B8" w:rsidP="0083412A">
            <w:pPr>
              <w:spacing w:after="0" w:line="240" w:lineRule="auto"/>
              <w:textAlignment w:val="baseline"/>
              <w:rPr>
                <w:rFonts w:cs="Arial"/>
                <w:b/>
                <w:bCs/>
                <w:sz w:val="24"/>
                <w:szCs w:val="24"/>
                <w:lang w:eastAsia="en-AU"/>
              </w:rPr>
            </w:pPr>
            <w:r w:rsidRPr="00BE3162">
              <w:rPr>
                <w:rFonts w:cs="Arial"/>
                <w:b/>
                <w:bCs/>
                <w:sz w:val="20"/>
                <w:lang w:eastAsia="en-AU"/>
              </w:rPr>
              <w:t>Agency</w:t>
            </w:r>
          </w:p>
        </w:tc>
        <w:tc>
          <w:tcPr>
            <w:tcW w:w="6180" w:type="dxa"/>
            <w:tcBorders>
              <w:top w:val="single" w:sz="6" w:space="0" w:color="auto"/>
              <w:left w:val="single" w:sz="6" w:space="0" w:color="auto"/>
              <w:bottom w:val="single" w:sz="6" w:space="0" w:color="auto"/>
              <w:right w:val="single" w:sz="6" w:space="0" w:color="auto"/>
            </w:tcBorders>
            <w:shd w:val="clear" w:color="auto" w:fill="auto"/>
            <w:hideMark/>
          </w:tcPr>
          <w:p w14:paraId="13CF4F27" w14:textId="77777777" w:rsidR="00D054B8" w:rsidRPr="003D660C" w:rsidRDefault="00D054B8" w:rsidP="0083412A">
            <w:pPr>
              <w:spacing w:after="0" w:line="240" w:lineRule="auto"/>
              <w:textAlignment w:val="baseline"/>
              <w:rPr>
                <w:rFonts w:cs="Arial"/>
                <w:sz w:val="24"/>
                <w:szCs w:val="24"/>
                <w:lang w:eastAsia="en-AU"/>
              </w:rPr>
            </w:pPr>
            <w:r w:rsidRPr="003D660C">
              <w:rPr>
                <w:rFonts w:cs="Arial"/>
                <w:sz w:val="20"/>
                <w:lang w:eastAsia="en-AU"/>
              </w:rPr>
              <w:t> </w:t>
            </w:r>
          </w:p>
        </w:tc>
      </w:tr>
      <w:tr w:rsidR="00D054B8" w:rsidRPr="003D660C" w14:paraId="73A6A906" w14:textId="77777777" w:rsidTr="0083412A">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auto"/>
            <w:hideMark/>
          </w:tcPr>
          <w:p w14:paraId="400EB56C" w14:textId="77777777" w:rsidR="00D054B8" w:rsidRPr="00BE3162" w:rsidRDefault="00D054B8" w:rsidP="0083412A">
            <w:pPr>
              <w:spacing w:after="0" w:line="240" w:lineRule="auto"/>
              <w:textAlignment w:val="baseline"/>
              <w:rPr>
                <w:rFonts w:cs="Arial"/>
                <w:b/>
                <w:bCs/>
                <w:sz w:val="24"/>
                <w:szCs w:val="24"/>
                <w:lang w:eastAsia="en-AU"/>
              </w:rPr>
            </w:pPr>
            <w:r w:rsidRPr="00BE3162">
              <w:rPr>
                <w:rFonts w:cs="Arial"/>
                <w:b/>
                <w:bCs/>
                <w:sz w:val="20"/>
                <w:lang w:eastAsia="en-AU"/>
              </w:rPr>
              <w:t>Primary contact (name)</w:t>
            </w:r>
          </w:p>
        </w:tc>
        <w:tc>
          <w:tcPr>
            <w:tcW w:w="6180" w:type="dxa"/>
            <w:tcBorders>
              <w:top w:val="single" w:sz="6" w:space="0" w:color="auto"/>
              <w:left w:val="single" w:sz="6" w:space="0" w:color="auto"/>
              <w:bottom w:val="single" w:sz="6" w:space="0" w:color="auto"/>
              <w:right w:val="single" w:sz="6" w:space="0" w:color="auto"/>
            </w:tcBorders>
            <w:shd w:val="clear" w:color="auto" w:fill="auto"/>
            <w:hideMark/>
          </w:tcPr>
          <w:p w14:paraId="0F52B998" w14:textId="77777777" w:rsidR="00D054B8" w:rsidRPr="003D660C" w:rsidRDefault="00D054B8" w:rsidP="0083412A">
            <w:pPr>
              <w:spacing w:after="0" w:line="240" w:lineRule="auto"/>
              <w:textAlignment w:val="baseline"/>
              <w:rPr>
                <w:rFonts w:cs="Arial"/>
                <w:sz w:val="24"/>
                <w:szCs w:val="24"/>
                <w:lang w:eastAsia="en-AU"/>
              </w:rPr>
            </w:pPr>
            <w:r w:rsidRPr="003D660C">
              <w:rPr>
                <w:rFonts w:cs="Arial"/>
                <w:sz w:val="20"/>
                <w:lang w:eastAsia="en-AU"/>
              </w:rPr>
              <w:t> </w:t>
            </w:r>
          </w:p>
        </w:tc>
      </w:tr>
      <w:tr w:rsidR="00D054B8" w:rsidRPr="003D660C" w14:paraId="53E2B7E6" w14:textId="77777777" w:rsidTr="0083412A">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auto"/>
            <w:hideMark/>
          </w:tcPr>
          <w:p w14:paraId="5BAF3CD8" w14:textId="77777777" w:rsidR="00D054B8" w:rsidRPr="00BE3162" w:rsidRDefault="00D054B8" w:rsidP="0083412A">
            <w:pPr>
              <w:spacing w:after="0" w:line="240" w:lineRule="auto"/>
              <w:textAlignment w:val="baseline"/>
              <w:rPr>
                <w:rFonts w:cs="Arial"/>
                <w:b/>
                <w:bCs/>
                <w:sz w:val="24"/>
                <w:szCs w:val="24"/>
                <w:lang w:eastAsia="en-AU"/>
              </w:rPr>
            </w:pPr>
            <w:r w:rsidRPr="00BE3162">
              <w:rPr>
                <w:rFonts w:cs="Arial"/>
                <w:b/>
                <w:bCs/>
                <w:sz w:val="20"/>
                <w:lang w:eastAsia="en-AU"/>
              </w:rPr>
              <w:t>Email</w:t>
            </w:r>
          </w:p>
        </w:tc>
        <w:tc>
          <w:tcPr>
            <w:tcW w:w="6180" w:type="dxa"/>
            <w:tcBorders>
              <w:top w:val="single" w:sz="6" w:space="0" w:color="auto"/>
              <w:left w:val="single" w:sz="6" w:space="0" w:color="auto"/>
              <w:bottom w:val="single" w:sz="6" w:space="0" w:color="auto"/>
              <w:right w:val="single" w:sz="6" w:space="0" w:color="auto"/>
            </w:tcBorders>
            <w:shd w:val="clear" w:color="auto" w:fill="auto"/>
            <w:hideMark/>
          </w:tcPr>
          <w:p w14:paraId="6CBE196F" w14:textId="77777777" w:rsidR="00D054B8" w:rsidRPr="003D660C" w:rsidRDefault="00D054B8" w:rsidP="0083412A">
            <w:pPr>
              <w:spacing w:after="0" w:line="240" w:lineRule="auto"/>
              <w:textAlignment w:val="baseline"/>
              <w:rPr>
                <w:rFonts w:cs="Arial"/>
                <w:sz w:val="24"/>
                <w:szCs w:val="24"/>
                <w:lang w:eastAsia="en-AU"/>
              </w:rPr>
            </w:pPr>
            <w:r w:rsidRPr="003D660C">
              <w:rPr>
                <w:rFonts w:cs="Arial"/>
                <w:sz w:val="20"/>
                <w:lang w:eastAsia="en-AU"/>
              </w:rPr>
              <w:t> </w:t>
            </w:r>
          </w:p>
        </w:tc>
      </w:tr>
    </w:tbl>
    <w:p w14:paraId="3BB5E712" w14:textId="77777777" w:rsidR="00D054B8" w:rsidRPr="00AC5511" w:rsidRDefault="00D054B8" w:rsidP="00D054B8">
      <w:pPr>
        <w:spacing w:after="0" w:line="240" w:lineRule="auto"/>
        <w:textAlignment w:val="baseline"/>
        <w:rPr>
          <w:rFonts w:ascii="Segoe UI" w:hAnsi="Segoe UI" w:cs="Segoe UI"/>
          <w:sz w:val="18"/>
          <w:szCs w:val="18"/>
          <w:lang w:eastAsia="en-AU"/>
        </w:rPr>
      </w:pPr>
      <w:r w:rsidRPr="00AC5511">
        <w:rPr>
          <w:rFonts w:ascii="Calibri" w:hAnsi="Calibri" w:cs="Calibri"/>
          <w:sz w:val="22"/>
          <w:szCs w:val="22"/>
          <w:lang w:eastAsia="en-AU"/>
        </w:rPr>
        <w:t> </w:t>
      </w:r>
    </w:p>
    <w:p w14:paraId="4C6E6253" w14:textId="77777777" w:rsidR="00D054B8" w:rsidRPr="00D054B8" w:rsidRDefault="00D054B8" w:rsidP="00D054B8">
      <w:pPr>
        <w:spacing w:after="0" w:line="240" w:lineRule="auto"/>
        <w:textAlignment w:val="baseline"/>
        <w:rPr>
          <w:rFonts w:cs="Arial"/>
          <w:sz w:val="18"/>
          <w:szCs w:val="18"/>
          <w:lang w:eastAsia="en-AU"/>
        </w:rPr>
      </w:pPr>
      <w:r w:rsidRPr="00D054B8">
        <w:rPr>
          <w:rFonts w:cs="Arial"/>
          <w:b/>
          <w:bCs/>
          <w:sz w:val="28"/>
          <w:szCs w:val="28"/>
          <w:lang w:eastAsia="en-AU"/>
        </w:rPr>
        <w:t>Part A. Budget forecast and acquittal</w:t>
      </w:r>
    </w:p>
    <w:p w14:paraId="41BEDA40" w14:textId="77777777" w:rsidR="00D054B8" w:rsidRPr="00D054B8" w:rsidRDefault="00D054B8" w:rsidP="00D054B8">
      <w:pPr>
        <w:spacing w:after="0" w:line="240" w:lineRule="auto"/>
        <w:textAlignment w:val="baseline"/>
        <w:rPr>
          <w:rFonts w:cs="Arial"/>
          <w:sz w:val="18"/>
          <w:szCs w:val="18"/>
          <w:lang w:eastAsia="en-AU"/>
        </w:rPr>
      </w:pPr>
      <w:r w:rsidRPr="00D054B8">
        <w:rPr>
          <w:rFonts w:cs="Arial"/>
          <w:b/>
          <w:bCs/>
          <w:sz w:val="28"/>
          <w:szCs w:val="28"/>
          <w:lang w:eastAsia="en-AU"/>
        </w:rPr>
        <w:t>Revenue</w:t>
      </w:r>
      <w:r w:rsidRPr="00D054B8">
        <w:rPr>
          <w:rFonts w:cs="Arial"/>
          <w:sz w:val="28"/>
          <w:szCs w:val="28"/>
          <w:lang w:eastAsia="en-AU"/>
        </w:rPr>
        <w:t> </w:t>
      </w:r>
    </w:p>
    <w:p w14:paraId="51C7A9C2" w14:textId="77777777" w:rsidR="00D054B8" w:rsidRPr="00D054B8" w:rsidRDefault="00D054B8" w:rsidP="00D054B8">
      <w:pPr>
        <w:spacing w:after="0" w:line="240" w:lineRule="auto"/>
        <w:textAlignment w:val="baseline"/>
        <w:rPr>
          <w:rFonts w:cs="Arial"/>
          <w:sz w:val="18"/>
          <w:szCs w:val="18"/>
          <w:lang w:eastAsia="en-AU"/>
        </w:rPr>
      </w:pPr>
      <w:r w:rsidRPr="00D054B8">
        <w:rPr>
          <w:rFonts w:cs="Arial"/>
          <w:b/>
          <w:bCs/>
          <w:sz w:val="24"/>
          <w:szCs w:val="24"/>
          <w:lang w:eastAsia="en-AU"/>
        </w:rPr>
        <w:t>Section 1. CH-HP Program funding received from the department for the reporting period</w:t>
      </w:r>
      <w:r w:rsidRPr="00D054B8">
        <w:rPr>
          <w:rFonts w:cs="Arial"/>
          <w:sz w:val="22"/>
          <w:szCs w:val="22"/>
          <w:lang w:eastAsia="en-AU"/>
        </w:rPr>
        <w:t xml:space="preserve"> </w:t>
      </w:r>
      <w:r w:rsidRPr="00D054B8">
        <w:rPr>
          <w:rFonts w:cs="Arial"/>
          <w:sz w:val="22"/>
          <w:szCs w:val="22"/>
          <w:lang w:eastAsia="en-AU"/>
        </w:rPr>
        <w:br/>
      </w:r>
      <w:r w:rsidRPr="00D054B8">
        <w:rPr>
          <w:rFonts w:cs="Arial"/>
          <w:sz w:val="20"/>
          <w:lang w:eastAsia="en-AU"/>
        </w:rPr>
        <w:t>Excluding carry forward or other income streams</w:t>
      </w:r>
    </w:p>
    <w:tbl>
      <w:tblPr>
        <w:tblW w:w="89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70"/>
        <w:gridCol w:w="3585"/>
      </w:tblGrid>
      <w:tr w:rsidR="00D054B8" w:rsidRPr="00D054B8" w14:paraId="0BFA4540" w14:textId="77777777" w:rsidTr="0083412A">
        <w:trPr>
          <w:trHeight w:val="300"/>
        </w:trPr>
        <w:tc>
          <w:tcPr>
            <w:tcW w:w="5370" w:type="dxa"/>
            <w:tcBorders>
              <w:top w:val="single" w:sz="6" w:space="0" w:color="auto"/>
              <w:left w:val="single" w:sz="6" w:space="0" w:color="auto"/>
              <w:bottom w:val="single" w:sz="6" w:space="0" w:color="auto"/>
              <w:right w:val="single" w:sz="6" w:space="0" w:color="auto"/>
            </w:tcBorders>
            <w:shd w:val="clear" w:color="auto" w:fill="FFF2CC"/>
            <w:hideMark/>
          </w:tcPr>
          <w:p w14:paraId="73C84F84" w14:textId="77777777" w:rsidR="00D054B8" w:rsidRPr="00D054B8" w:rsidRDefault="00D054B8" w:rsidP="0083412A">
            <w:pPr>
              <w:spacing w:after="0" w:line="240" w:lineRule="auto"/>
              <w:textAlignment w:val="baseline"/>
              <w:rPr>
                <w:rFonts w:cs="Arial"/>
                <w:sz w:val="24"/>
                <w:szCs w:val="24"/>
                <w:lang w:eastAsia="en-AU"/>
              </w:rPr>
            </w:pPr>
            <w:r w:rsidRPr="00D054B8">
              <w:rPr>
                <w:rFonts w:cs="Arial"/>
                <w:b/>
                <w:bCs/>
                <w:sz w:val="24"/>
                <w:szCs w:val="24"/>
                <w:lang w:eastAsia="en-AU"/>
              </w:rPr>
              <w:t>Section 1. CH-HP Program funding received from the department for the reporting period</w:t>
            </w:r>
            <w:r w:rsidRPr="00D054B8">
              <w:rPr>
                <w:rFonts w:cs="Arial"/>
                <w:sz w:val="22"/>
                <w:szCs w:val="22"/>
                <w:lang w:eastAsia="en-AU"/>
              </w:rPr>
              <w:t xml:space="preserve"> </w:t>
            </w:r>
            <w:r w:rsidRPr="00D054B8">
              <w:rPr>
                <w:rFonts w:cs="Arial"/>
                <w:sz w:val="20"/>
                <w:lang w:eastAsia="en-AU"/>
              </w:rPr>
              <w:t>(excluding carry forward or other income streams)  </w:t>
            </w:r>
          </w:p>
        </w:tc>
        <w:tc>
          <w:tcPr>
            <w:tcW w:w="3585" w:type="dxa"/>
            <w:tcBorders>
              <w:top w:val="single" w:sz="6" w:space="0" w:color="auto"/>
              <w:left w:val="single" w:sz="6" w:space="0" w:color="auto"/>
              <w:bottom w:val="single" w:sz="6" w:space="0" w:color="auto"/>
              <w:right w:val="single" w:sz="6" w:space="0" w:color="auto"/>
            </w:tcBorders>
            <w:shd w:val="clear" w:color="auto" w:fill="FFF2CC"/>
            <w:hideMark/>
          </w:tcPr>
          <w:p w14:paraId="669F6533" w14:textId="77777777" w:rsidR="00D054B8" w:rsidRPr="00D054B8" w:rsidRDefault="00D054B8" w:rsidP="0083412A">
            <w:pPr>
              <w:spacing w:after="0" w:line="240" w:lineRule="auto"/>
              <w:jc w:val="center"/>
              <w:textAlignment w:val="baseline"/>
              <w:rPr>
                <w:rFonts w:cs="Arial"/>
                <w:sz w:val="24"/>
                <w:szCs w:val="24"/>
                <w:lang w:eastAsia="en-AU"/>
              </w:rPr>
            </w:pPr>
            <w:r w:rsidRPr="00D054B8">
              <w:rPr>
                <w:rFonts w:cs="Arial"/>
                <w:b/>
                <w:bCs/>
                <w:sz w:val="20"/>
                <w:lang w:eastAsia="en-AU"/>
              </w:rPr>
              <w:t>Total CH-HP funding provided </w:t>
            </w:r>
            <w:r w:rsidRPr="00D054B8">
              <w:rPr>
                <w:rFonts w:cs="Arial"/>
                <w:sz w:val="20"/>
                <w:lang w:eastAsia="en-AU"/>
              </w:rPr>
              <w:t> </w:t>
            </w:r>
          </w:p>
        </w:tc>
      </w:tr>
      <w:tr w:rsidR="00D054B8" w:rsidRPr="00D054B8" w14:paraId="3C9713A5" w14:textId="77777777" w:rsidTr="0083412A">
        <w:trPr>
          <w:trHeight w:val="300"/>
        </w:trPr>
        <w:tc>
          <w:tcPr>
            <w:tcW w:w="5370" w:type="dxa"/>
            <w:tcBorders>
              <w:top w:val="single" w:sz="6" w:space="0" w:color="auto"/>
              <w:left w:val="single" w:sz="6" w:space="0" w:color="auto"/>
              <w:bottom w:val="single" w:sz="6" w:space="0" w:color="auto"/>
              <w:right w:val="single" w:sz="6" w:space="0" w:color="auto"/>
            </w:tcBorders>
            <w:shd w:val="clear" w:color="auto" w:fill="auto"/>
            <w:hideMark/>
          </w:tcPr>
          <w:p w14:paraId="1B3F550F" w14:textId="77777777" w:rsidR="00D054B8" w:rsidRPr="00D054B8" w:rsidRDefault="00D054B8" w:rsidP="0083412A">
            <w:pPr>
              <w:spacing w:after="0" w:line="240" w:lineRule="auto"/>
              <w:textAlignment w:val="baseline"/>
              <w:rPr>
                <w:rFonts w:cs="Arial"/>
                <w:sz w:val="24"/>
                <w:szCs w:val="24"/>
                <w:lang w:eastAsia="en-AU"/>
              </w:rPr>
            </w:pPr>
            <w:r w:rsidRPr="00D054B8">
              <w:rPr>
                <w:rFonts w:cs="Arial"/>
                <w:b/>
                <w:bCs/>
                <w:sz w:val="20"/>
                <w:lang w:eastAsia="en-AU"/>
              </w:rPr>
              <w:t>Total income</w:t>
            </w:r>
            <w:r w:rsidRPr="00D054B8">
              <w:rPr>
                <w:rFonts w:cs="Arial"/>
                <w:sz w:val="20"/>
                <w:lang w:eastAsia="en-AU"/>
              </w:rPr>
              <w:t xml:space="preserve"> T</w:t>
            </w:r>
            <w:r w:rsidRPr="00D054B8">
              <w:rPr>
                <w:rFonts w:cs="Arial"/>
                <w:sz w:val="16"/>
                <w:szCs w:val="16"/>
                <w:lang w:eastAsia="en-AU"/>
              </w:rPr>
              <w:t>his refers to the</w:t>
            </w:r>
            <w:r w:rsidRPr="00D054B8">
              <w:rPr>
                <w:rFonts w:cs="Arial"/>
                <w:color w:val="333333"/>
                <w:sz w:val="16"/>
                <w:szCs w:val="16"/>
                <w:lang w:eastAsia="en-AU"/>
              </w:rPr>
              <w:t xml:space="preserve"> 'total annual funding’ from</w:t>
            </w:r>
            <w:r w:rsidRPr="00D054B8">
              <w:rPr>
                <w:rFonts w:cs="Arial"/>
                <w:sz w:val="16"/>
                <w:szCs w:val="16"/>
                <w:lang w:eastAsia="en-AU"/>
              </w:rPr>
              <w:t xml:space="preserve"> CH-HP you will receive in the 2023-24 budget period </w:t>
            </w:r>
          </w:p>
        </w:tc>
        <w:tc>
          <w:tcPr>
            <w:tcW w:w="3585" w:type="dxa"/>
            <w:tcBorders>
              <w:top w:val="single" w:sz="6" w:space="0" w:color="auto"/>
              <w:left w:val="single" w:sz="6" w:space="0" w:color="auto"/>
              <w:bottom w:val="single" w:sz="6" w:space="0" w:color="auto"/>
              <w:right w:val="single" w:sz="6" w:space="0" w:color="auto"/>
            </w:tcBorders>
            <w:shd w:val="clear" w:color="auto" w:fill="auto"/>
            <w:hideMark/>
          </w:tcPr>
          <w:p w14:paraId="67AEEBC0" w14:textId="77777777" w:rsidR="00D054B8" w:rsidRPr="00D054B8" w:rsidRDefault="00D054B8" w:rsidP="0083412A">
            <w:pPr>
              <w:spacing w:after="0" w:line="240" w:lineRule="auto"/>
              <w:textAlignment w:val="baseline"/>
              <w:rPr>
                <w:rFonts w:cs="Arial"/>
                <w:sz w:val="24"/>
                <w:szCs w:val="24"/>
                <w:lang w:eastAsia="en-AU"/>
              </w:rPr>
            </w:pPr>
            <w:r w:rsidRPr="00D054B8">
              <w:rPr>
                <w:rFonts w:cs="Arial"/>
                <w:sz w:val="20"/>
                <w:lang w:eastAsia="en-AU"/>
              </w:rPr>
              <w:t>$ </w:t>
            </w:r>
          </w:p>
        </w:tc>
      </w:tr>
    </w:tbl>
    <w:p w14:paraId="0AD97431" w14:textId="77777777" w:rsidR="00D054B8" w:rsidRPr="00D054B8" w:rsidRDefault="00D054B8" w:rsidP="00D054B8">
      <w:pPr>
        <w:spacing w:after="0" w:line="240" w:lineRule="auto"/>
        <w:textAlignment w:val="baseline"/>
        <w:rPr>
          <w:rFonts w:cs="Arial"/>
          <w:sz w:val="18"/>
          <w:szCs w:val="18"/>
          <w:lang w:eastAsia="en-AU"/>
        </w:rPr>
      </w:pPr>
      <w:r w:rsidRPr="00D054B8">
        <w:rPr>
          <w:rFonts w:cs="Arial"/>
          <w:sz w:val="22"/>
          <w:szCs w:val="22"/>
          <w:lang w:eastAsia="en-AU"/>
        </w:rPr>
        <w:t> </w:t>
      </w:r>
    </w:p>
    <w:p w14:paraId="534B27B5" w14:textId="77777777" w:rsidR="00D054B8" w:rsidRPr="00D054B8" w:rsidRDefault="00D054B8" w:rsidP="00D054B8">
      <w:pPr>
        <w:spacing w:after="0" w:line="240" w:lineRule="auto"/>
        <w:textAlignment w:val="baseline"/>
        <w:rPr>
          <w:rFonts w:cs="Arial"/>
          <w:sz w:val="18"/>
          <w:szCs w:val="18"/>
          <w:lang w:eastAsia="en-AU"/>
        </w:rPr>
      </w:pPr>
      <w:r w:rsidRPr="00D054B8">
        <w:rPr>
          <w:rFonts w:cs="Arial"/>
          <w:b/>
          <w:bCs/>
          <w:sz w:val="28"/>
          <w:szCs w:val="28"/>
          <w:lang w:eastAsia="en-AU"/>
        </w:rPr>
        <w:t>Expenditure </w:t>
      </w:r>
      <w:r w:rsidRPr="00D054B8">
        <w:rPr>
          <w:rFonts w:cs="Arial"/>
          <w:sz w:val="28"/>
          <w:szCs w:val="28"/>
          <w:lang w:eastAsia="en-AU"/>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0"/>
        <w:gridCol w:w="4650"/>
        <w:gridCol w:w="1886"/>
        <w:gridCol w:w="1785"/>
      </w:tblGrid>
      <w:tr w:rsidR="00D054B8" w:rsidRPr="00D054B8" w14:paraId="77A68064" w14:textId="77777777" w:rsidTr="0083412A">
        <w:trPr>
          <w:trHeight w:val="300"/>
        </w:trPr>
        <w:tc>
          <w:tcPr>
            <w:tcW w:w="5370" w:type="dxa"/>
            <w:gridSpan w:val="2"/>
            <w:tcBorders>
              <w:top w:val="single" w:sz="6" w:space="0" w:color="auto"/>
              <w:left w:val="single" w:sz="6" w:space="0" w:color="auto"/>
              <w:bottom w:val="single" w:sz="6" w:space="0" w:color="auto"/>
              <w:right w:val="single" w:sz="6" w:space="0" w:color="auto"/>
            </w:tcBorders>
            <w:shd w:val="clear" w:color="auto" w:fill="FFF2CC"/>
            <w:hideMark/>
          </w:tcPr>
          <w:p w14:paraId="053F3588" w14:textId="77777777" w:rsidR="00D054B8" w:rsidRPr="00D054B8" w:rsidRDefault="00D054B8" w:rsidP="0083412A">
            <w:pPr>
              <w:spacing w:after="0" w:line="240" w:lineRule="auto"/>
              <w:textAlignment w:val="baseline"/>
              <w:rPr>
                <w:rFonts w:cs="Arial"/>
                <w:sz w:val="24"/>
                <w:szCs w:val="24"/>
                <w:lang w:eastAsia="en-AU"/>
              </w:rPr>
            </w:pPr>
            <w:r w:rsidRPr="00D054B8">
              <w:rPr>
                <w:rFonts w:cs="Arial"/>
                <w:b/>
                <w:bCs/>
                <w:sz w:val="24"/>
                <w:szCs w:val="24"/>
                <w:lang w:eastAsia="en-AU"/>
              </w:rPr>
              <w:t>Section 2: Staffing complement and expenditure costs</w:t>
            </w:r>
            <w:r w:rsidRPr="00D054B8">
              <w:rPr>
                <w:rFonts w:cs="Arial"/>
                <w:sz w:val="24"/>
                <w:szCs w:val="24"/>
                <w:lang w:eastAsia="en-AU"/>
              </w:rPr>
              <w:t> </w:t>
            </w:r>
          </w:p>
        </w:tc>
        <w:tc>
          <w:tcPr>
            <w:tcW w:w="1845" w:type="dxa"/>
            <w:tcBorders>
              <w:top w:val="single" w:sz="6" w:space="0" w:color="auto"/>
              <w:left w:val="single" w:sz="6" w:space="0" w:color="auto"/>
              <w:bottom w:val="single" w:sz="6" w:space="0" w:color="auto"/>
              <w:right w:val="single" w:sz="6" w:space="0" w:color="auto"/>
            </w:tcBorders>
            <w:shd w:val="clear" w:color="auto" w:fill="FFF2CC"/>
            <w:hideMark/>
          </w:tcPr>
          <w:p w14:paraId="64F54FA9" w14:textId="77777777" w:rsidR="00D054B8" w:rsidRPr="00D054B8" w:rsidRDefault="00D054B8" w:rsidP="0083412A">
            <w:pPr>
              <w:spacing w:after="0" w:line="240" w:lineRule="auto"/>
              <w:jc w:val="center"/>
              <w:textAlignment w:val="baseline"/>
              <w:rPr>
                <w:rFonts w:cs="Arial"/>
                <w:sz w:val="24"/>
                <w:szCs w:val="24"/>
                <w:lang w:eastAsia="en-AU"/>
              </w:rPr>
            </w:pPr>
            <w:r w:rsidRPr="00D054B8">
              <w:rPr>
                <w:rFonts w:cs="Arial"/>
                <w:sz w:val="22"/>
                <w:szCs w:val="22"/>
                <w:lang w:eastAsia="en-AU"/>
              </w:rPr>
              <w:t>Forecast/estimate  </w:t>
            </w:r>
          </w:p>
        </w:tc>
        <w:tc>
          <w:tcPr>
            <w:tcW w:w="1785" w:type="dxa"/>
            <w:tcBorders>
              <w:top w:val="single" w:sz="6" w:space="0" w:color="auto"/>
              <w:left w:val="single" w:sz="6" w:space="0" w:color="auto"/>
              <w:bottom w:val="single" w:sz="6" w:space="0" w:color="auto"/>
              <w:right w:val="single" w:sz="6" w:space="0" w:color="auto"/>
            </w:tcBorders>
            <w:shd w:val="clear" w:color="auto" w:fill="FFF2CC"/>
            <w:hideMark/>
          </w:tcPr>
          <w:p w14:paraId="31FDFB82" w14:textId="77777777" w:rsidR="00D054B8" w:rsidRPr="00D054B8" w:rsidRDefault="00D054B8" w:rsidP="0083412A">
            <w:pPr>
              <w:spacing w:after="0" w:line="240" w:lineRule="auto"/>
              <w:jc w:val="center"/>
              <w:textAlignment w:val="baseline"/>
              <w:rPr>
                <w:rFonts w:cs="Arial"/>
                <w:sz w:val="24"/>
                <w:szCs w:val="24"/>
                <w:lang w:eastAsia="en-AU"/>
              </w:rPr>
            </w:pPr>
            <w:r w:rsidRPr="00D054B8">
              <w:rPr>
                <w:rFonts w:cs="Arial"/>
                <w:sz w:val="22"/>
                <w:szCs w:val="22"/>
                <w:lang w:eastAsia="en-AU"/>
              </w:rPr>
              <w:t>Actuals </w:t>
            </w:r>
          </w:p>
        </w:tc>
      </w:tr>
      <w:tr w:rsidR="00D054B8" w:rsidRPr="00D054B8" w14:paraId="27C83688" w14:textId="77777777" w:rsidTr="0083412A">
        <w:trPr>
          <w:trHeight w:val="300"/>
        </w:trPr>
        <w:tc>
          <w:tcPr>
            <w:tcW w:w="5370" w:type="dxa"/>
            <w:gridSpan w:val="2"/>
            <w:tcBorders>
              <w:top w:val="single" w:sz="6" w:space="0" w:color="auto"/>
              <w:left w:val="single" w:sz="6" w:space="0" w:color="auto"/>
              <w:bottom w:val="single" w:sz="6" w:space="0" w:color="auto"/>
              <w:right w:val="single" w:sz="6" w:space="0" w:color="auto"/>
            </w:tcBorders>
            <w:shd w:val="clear" w:color="auto" w:fill="auto"/>
            <w:hideMark/>
          </w:tcPr>
          <w:p w14:paraId="4998782F" w14:textId="77777777" w:rsidR="00D054B8" w:rsidRPr="00D054B8" w:rsidRDefault="00D054B8" w:rsidP="0083412A">
            <w:pPr>
              <w:spacing w:after="0" w:line="240" w:lineRule="auto"/>
              <w:textAlignment w:val="baseline"/>
              <w:rPr>
                <w:rFonts w:cs="Arial"/>
                <w:sz w:val="24"/>
                <w:szCs w:val="24"/>
                <w:lang w:eastAsia="en-AU"/>
              </w:rPr>
            </w:pPr>
            <w:r w:rsidRPr="00D054B8">
              <w:rPr>
                <w:rFonts w:cs="Arial"/>
                <w:b/>
                <w:bCs/>
                <w:sz w:val="22"/>
                <w:szCs w:val="22"/>
                <w:lang w:eastAsia="en-AU"/>
              </w:rPr>
              <w:t>Total equivalent full time (EFT)</w:t>
            </w:r>
            <w:r w:rsidRPr="00D054B8">
              <w:rPr>
                <w:rFonts w:cs="Arial"/>
                <w:sz w:val="22"/>
                <w:szCs w:val="22"/>
                <w:lang w:eastAsia="en-AU"/>
              </w:rPr>
              <w:t>  </w:t>
            </w:r>
          </w:p>
          <w:p w14:paraId="794786A7" w14:textId="77777777" w:rsidR="00D054B8" w:rsidRPr="00D054B8" w:rsidRDefault="00D054B8" w:rsidP="0083412A">
            <w:pPr>
              <w:spacing w:after="0" w:line="240" w:lineRule="auto"/>
              <w:textAlignment w:val="baseline"/>
              <w:rPr>
                <w:rFonts w:cs="Arial"/>
                <w:sz w:val="24"/>
                <w:szCs w:val="24"/>
                <w:lang w:eastAsia="en-AU"/>
              </w:rPr>
            </w:pPr>
            <w:r w:rsidRPr="00D054B8">
              <w:rPr>
                <w:rFonts w:cs="Arial"/>
                <w:sz w:val="16"/>
                <w:szCs w:val="16"/>
                <w:lang w:eastAsia="en-AU"/>
              </w:rPr>
              <w:t>Please only record the portion directly allocated to CH-HP related work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48059DDE" w14:textId="77777777" w:rsidR="00D054B8" w:rsidRPr="00D054B8" w:rsidRDefault="00D054B8" w:rsidP="0083412A">
            <w:pPr>
              <w:spacing w:after="0" w:line="240" w:lineRule="auto"/>
              <w:textAlignment w:val="baseline"/>
              <w:rPr>
                <w:rFonts w:cs="Arial"/>
                <w:sz w:val="24"/>
                <w:szCs w:val="24"/>
                <w:lang w:eastAsia="en-AU"/>
              </w:rPr>
            </w:pPr>
            <w:r w:rsidRPr="00D054B8">
              <w:rPr>
                <w:rFonts w:cs="Arial"/>
                <w:sz w:val="22"/>
                <w:szCs w:val="22"/>
                <w:lang w:eastAsia="en-AU"/>
              </w:rPr>
              <w:t>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1A862864" w14:textId="77777777" w:rsidR="00D054B8" w:rsidRPr="00D054B8" w:rsidRDefault="00D054B8" w:rsidP="0083412A">
            <w:pPr>
              <w:spacing w:after="0" w:line="240" w:lineRule="auto"/>
              <w:textAlignment w:val="baseline"/>
              <w:rPr>
                <w:rFonts w:cs="Arial"/>
                <w:sz w:val="24"/>
                <w:szCs w:val="24"/>
                <w:lang w:eastAsia="en-AU"/>
              </w:rPr>
            </w:pPr>
            <w:r w:rsidRPr="00D054B8">
              <w:rPr>
                <w:rFonts w:cs="Arial"/>
                <w:sz w:val="22"/>
                <w:szCs w:val="22"/>
                <w:lang w:eastAsia="en-AU"/>
              </w:rPr>
              <w:t> </w:t>
            </w:r>
          </w:p>
        </w:tc>
      </w:tr>
      <w:tr w:rsidR="00D054B8" w:rsidRPr="00D054B8" w14:paraId="694F729A" w14:textId="77777777" w:rsidTr="0083412A">
        <w:trPr>
          <w:trHeight w:val="300"/>
        </w:trPr>
        <w:tc>
          <w:tcPr>
            <w:tcW w:w="5370" w:type="dxa"/>
            <w:gridSpan w:val="2"/>
            <w:tcBorders>
              <w:top w:val="single" w:sz="6" w:space="0" w:color="auto"/>
              <w:left w:val="single" w:sz="6" w:space="0" w:color="auto"/>
              <w:bottom w:val="single" w:sz="6" w:space="0" w:color="auto"/>
              <w:right w:val="single" w:sz="6" w:space="0" w:color="auto"/>
            </w:tcBorders>
            <w:shd w:val="clear" w:color="auto" w:fill="auto"/>
            <w:hideMark/>
          </w:tcPr>
          <w:p w14:paraId="46E0CDB5" w14:textId="77777777" w:rsidR="00D054B8" w:rsidRPr="00D054B8" w:rsidRDefault="00D054B8" w:rsidP="0083412A">
            <w:pPr>
              <w:spacing w:after="0" w:line="240" w:lineRule="auto"/>
              <w:textAlignment w:val="baseline"/>
              <w:rPr>
                <w:rFonts w:cs="Arial"/>
                <w:sz w:val="24"/>
                <w:szCs w:val="24"/>
                <w:lang w:eastAsia="en-AU"/>
              </w:rPr>
            </w:pPr>
            <w:r w:rsidRPr="00D054B8">
              <w:rPr>
                <w:rFonts w:cs="Arial"/>
                <w:b/>
                <w:bCs/>
                <w:sz w:val="22"/>
                <w:szCs w:val="22"/>
                <w:lang w:eastAsia="en-AU"/>
              </w:rPr>
              <w:t>Number of positions funded </w:t>
            </w:r>
            <w:r w:rsidRPr="00D054B8">
              <w:rPr>
                <w:rFonts w:cs="Arial"/>
                <w:sz w:val="22"/>
                <w:szCs w:val="22"/>
                <w:lang w:eastAsia="en-AU"/>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39406B7A" w14:textId="77777777" w:rsidR="00D054B8" w:rsidRPr="00D054B8" w:rsidRDefault="00D054B8" w:rsidP="0083412A">
            <w:pPr>
              <w:spacing w:after="0" w:line="240" w:lineRule="auto"/>
              <w:textAlignment w:val="baseline"/>
              <w:rPr>
                <w:rFonts w:cs="Arial"/>
                <w:sz w:val="24"/>
                <w:szCs w:val="24"/>
                <w:lang w:eastAsia="en-AU"/>
              </w:rPr>
            </w:pPr>
            <w:r w:rsidRPr="00D054B8">
              <w:rPr>
                <w:rFonts w:cs="Arial"/>
                <w:sz w:val="22"/>
                <w:szCs w:val="22"/>
                <w:lang w:eastAsia="en-AU"/>
              </w:rPr>
              <w:t>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7767EF2C" w14:textId="77777777" w:rsidR="00D054B8" w:rsidRPr="00D054B8" w:rsidRDefault="00D054B8" w:rsidP="0083412A">
            <w:pPr>
              <w:spacing w:after="0" w:line="240" w:lineRule="auto"/>
              <w:textAlignment w:val="baseline"/>
              <w:rPr>
                <w:rFonts w:cs="Arial"/>
                <w:sz w:val="24"/>
                <w:szCs w:val="24"/>
                <w:lang w:eastAsia="en-AU"/>
              </w:rPr>
            </w:pPr>
            <w:r w:rsidRPr="00D054B8">
              <w:rPr>
                <w:rFonts w:cs="Arial"/>
                <w:sz w:val="22"/>
                <w:szCs w:val="22"/>
                <w:lang w:eastAsia="en-AU"/>
              </w:rPr>
              <w:t> </w:t>
            </w:r>
          </w:p>
        </w:tc>
      </w:tr>
      <w:tr w:rsidR="00D054B8" w:rsidRPr="00D054B8" w14:paraId="23170AD3" w14:textId="77777777" w:rsidTr="0083412A">
        <w:trPr>
          <w:trHeight w:val="300"/>
        </w:trPr>
        <w:tc>
          <w:tcPr>
            <w:tcW w:w="5370" w:type="dxa"/>
            <w:gridSpan w:val="2"/>
            <w:tcBorders>
              <w:top w:val="single" w:sz="6" w:space="0" w:color="auto"/>
              <w:left w:val="single" w:sz="6" w:space="0" w:color="auto"/>
              <w:bottom w:val="single" w:sz="6" w:space="0" w:color="auto"/>
              <w:right w:val="single" w:sz="6" w:space="0" w:color="auto"/>
            </w:tcBorders>
            <w:shd w:val="clear" w:color="auto" w:fill="FFF2CC"/>
            <w:hideMark/>
          </w:tcPr>
          <w:p w14:paraId="27EC7575" w14:textId="77777777" w:rsidR="00D054B8" w:rsidRPr="00D054B8" w:rsidRDefault="00D054B8" w:rsidP="0083412A">
            <w:pPr>
              <w:spacing w:after="0" w:line="240" w:lineRule="auto"/>
              <w:textAlignment w:val="baseline"/>
              <w:rPr>
                <w:rFonts w:cs="Arial"/>
                <w:sz w:val="24"/>
                <w:szCs w:val="24"/>
                <w:lang w:eastAsia="en-AU"/>
              </w:rPr>
            </w:pPr>
            <w:r w:rsidRPr="00D054B8">
              <w:rPr>
                <w:rFonts w:cs="Arial"/>
                <w:sz w:val="22"/>
                <w:szCs w:val="22"/>
                <w:lang w:eastAsia="en-AU"/>
              </w:rPr>
              <w:t> </w:t>
            </w:r>
          </w:p>
        </w:tc>
        <w:tc>
          <w:tcPr>
            <w:tcW w:w="1845" w:type="dxa"/>
            <w:tcBorders>
              <w:top w:val="single" w:sz="6" w:space="0" w:color="auto"/>
              <w:left w:val="single" w:sz="6" w:space="0" w:color="auto"/>
              <w:bottom w:val="single" w:sz="6" w:space="0" w:color="auto"/>
              <w:right w:val="single" w:sz="6" w:space="0" w:color="auto"/>
            </w:tcBorders>
            <w:shd w:val="clear" w:color="auto" w:fill="FFF2CC"/>
            <w:hideMark/>
          </w:tcPr>
          <w:p w14:paraId="3562D87B" w14:textId="77777777" w:rsidR="00D054B8" w:rsidRPr="00D054B8" w:rsidRDefault="00D054B8" w:rsidP="0083412A">
            <w:pPr>
              <w:spacing w:after="0" w:line="240" w:lineRule="auto"/>
              <w:jc w:val="center"/>
              <w:textAlignment w:val="baseline"/>
              <w:rPr>
                <w:rFonts w:cs="Arial"/>
                <w:sz w:val="24"/>
                <w:szCs w:val="24"/>
                <w:lang w:eastAsia="en-AU"/>
              </w:rPr>
            </w:pPr>
            <w:r w:rsidRPr="00D054B8">
              <w:rPr>
                <w:rFonts w:cs="Arial"/>
                <w:sz w:val="22"/>
                <w:szCs w:val="22"/>
                <w:lang w:eastAsia="en-AU"/>
              </w:rPr>
              <w:t>Forecast/estimate  </w:t>
            </w:r>
          </w:p>
        </w:tc>
        <w:tc>
          <w:tcPr>
            <w:tcW w:w="1785" w:type="dxa"/>
            <w:tcBorders>
              <w:top w:val="single" w:sz="6" w:space="0" w:color="auto"/>
              <w:left w:val="single" w:sz="6" w:space="0" w:color="auto"/>
              <w:bottom w:val="single" w:sz="6" w:space="0" w:color="auto"/>
              <w:right w:val="single" w:sz="6" w:space="0" w:color="auto"/>
            </w:tcBorders>
            <w:shd w:val="clear" w:color="auto" w:fill="FFF2CC"/>
            <w:hideMark/>
          </w:tcPr>
          <w:p w14:paraId="2C17AB65" w14:textId="77777777" w:rsidR="00D054B8" w:rsidRPr="00D054B8" w:rsidRDefault="00D054B8" w:rsidP="0083412A">
            <w:pPr>
              <w:spacing w:after="0" w:line="240" w:lineRule="auto"/>
              <w:jc w:val="center"/>
              <w:textAlignment w:val="baseline"/>
              <w:rPr>
                <w:rFonts w:cs="Arial"/>
                <w:sz w:val="24"/>
                <w:szCs w:val="24"/>
                <w:lang w:eastAsia="en-AU"/>
              </w:rPr>
            </w:pPr>
            <w:r w:rsidRPr="00D054B8">
              <w:rPr>
                <w:rFonts w:cs="Arial"/>
                <w:sz w:val="22"/>
                <w:szCs w:val="22"/>
                <w:lang w:eastAsia="en-AU"/>
              </w:rPr>
              <w:t>Actuals </w:t>
            </w:r>
          </w:p>
        </w:tc>
      </w:tr>
      <w:tr w:rsidR="00D054B8" w:rsidRPr="00AC5511" w14:paraId="4129E571" w14:textId="77777777" w:rsidTr="0083412A">
        <w:trPr>
          <w:trHeight w:val="300"/>
        </w:trPr>
        <w:tc>
          <w:tcPr>
            <w:tcW w:w="5370" w:type="dxa"/>
            <w:gridSpan w:val="2"/>
            <w:tcBorders>
              <w:top w:val="single" w:sz="6" w:space="0" w:color="auto"/>
              <w:left w:val="single" w:sz="6" w:space="0" w:color="auto"/>
              <w:bottom w:val="single" w:sz="6" w:space="0" w:color="auto"/>
              <w:right w:val="single" w:sz="6" w:space="0" w:color="auto"/>
            </w:tcBorders>
            <w:shd w:val="clear" w:color="auto" w:fill="auto"/>
            <w:hideMark/>
          </w:tcPr>
          <w:p w14:paraId="4606FEEB" w14:textId="77777777" w:rsidR="00D054B8" w:rsidRPr="00D054B8" w:rsidRDefault="00D054B8" w:rsidP="0083412A">
            <w:pPr>
              <w:spacing w:after="0" w:line="240" w:lineRule="auto"/>
              <w:textAlignment w:val="baseline"/>
              <w:rPr>
                <w:rFonts w:cs="Arial"/>
                <w:sz w:val="24"/>
                <w:szCs w:val="24"/>
                <w:lang w:eastAsia="en-AU"/>
              </w:rPr>
            </w:pPr>
            <w:r w:rsidRPr="00D054B8">
              <w:rPr>
                <w:rFonts w:cs="Arial"/>
                <w:b/>
                <w:bCs/>
                <w:sz w:val="22"/>
                <w:szCs w:val="22"/>
                <w:lang w:eastAsia="en-AU"/>
              </w:rPr>
              <w:t xml:space="preserve">Salaries </w:t>
            </w:r>
            <w:r w:rsidRPr="00D054B8">
              <w:rPr>
                <w:rFonts w:cs="Arial"/>
                <w:sz w:val="16"/>
                <w:szCs w:val="16"/>
                <w:lang w:eastAsia="en-AU"/>
              </w:rPr>
              <w:t>Total expended on staff salaries inclusive of work cover, superannuation, leave provisions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156E550A" w14:textId="77777777" w:rsidR="00D054B8" w:rsidRPr="00D054B8" w:rsidRDefault="00D054B8" w:rsidP="0083412A">
            <w:pPr>
              <w:spacing w:after="0" w:line="240" w:lineRule="auto"/>
              <w:textAlignment w:val="baseline"/>
              <w:rPr>
                <w:rFonts w:cs="Arial"/>
                <w:sz w:val="24"/>
                <w:szCs w:val="24"/>
                <w:lang w:eastAsia="en-AU"/>
              </w:rPr>
            </w:pPr>
            <w:r w:rsidRPr="00D054B8">
              <w:rPr>
                <w:rFonts w:cs="Arial"/>
                <w:sz w:val="22"/>
                <w:szCs w:val="22"/>
                <w:lang w:eastAsia="en-AU"/>
              </w:rPr>
              <w:t>$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44C1280A" w14:textId="77777777" w:rsidR="00D054B8" w:rsidRPr="00D054B8" w:rsidRDefault="00D054B8" w:rsidP="0083412A">
            <w:pPr>
              <w:spacing w:after="0" w:line="240" w:lineRule="auto"/>
              <w:textAlignment w:val="baseline"/>
              <w:rPr>
                <w:rFonts w:cs="Arial"/>
                <w:sz w:val="24"/>
                <w:szCs w:val="24"/>
                <w:lang w:eastAsia="en-AU"/>
              </w:rPr>
            </w:pPr>
            <w:r w:rsidRPr="00D054B8">
              <w:rPr>
                <w:rFonts w:cs="Arial"/>
                <w:sz w:val="22"/>
                <w:szCs w:val="22"/>
                <w:lang w:eastAsia="en-AU"/>
              </w:rPr>
              <w:t>$ </w:t>
            </w:r>
          </w:p>
        </w:tc>
      </w:tr>
      <w:tr w:rsidR="00D054B8" w:rsidRPr="00AC5511" w14:paraId="45AD3BD9" w14:textId="77777777" w:rsidTr="0083412A">
        <w:trPr>
          <w:trHeight w:val="300"/>
        </w:trPr>
        <w:tc>
          <w:tcPr>
            <w:tcW w:w="5370" w:type="dxa"/>
            <w:gridSpan w:val="2"/>
            <w:tcBorders>
              <w:top w:val="single" w:sz="6" w:space="0" w:color="auto"/>
              <w:left w:val="single" w:sz="6" w:space="0" w:color="auto"/>
              <w:bottom w:val="double" w:sz="6" w:space="0" w:color="auto"/>
              <w:right w:val="single" w:sz="6" w:space="0" w:color="auto"/>
            </w:tcBorders>
            <w:shd w:val="clear" w:color="auto" w:fill="auto"/>
            <w:hideMark/>
          </w:tcPr>
          <w:p w14:paraId="7F5409C5" w14:textId="77777777" w:rsidR="00D054B8" w:rsidRPr="00D054B8" w:rsidRDefault="00D054B8" w:rsidP="0083412A">
            <w:pPr>
              <w:spacing w:after="0" w:line="240" w:lineRule="auto"/>
              <w:textAlignment w:val="baseline"/>
              <w:rPr>
                <w:rFonts w:cs="Arial"/>
                <w:sz w:val="24"/>
                <w:szCs w:val="24"/>
                <w:lang w:eastAsia="en-AU"/>
              </w:rPr>
            </w:pPr>
            <w:r w:rsidRPr="00D054B8">
              <w:rPr>
                <w:rFonts w:cs="Arial"/>
                <w:b/>
                <w:bCs/>
                <w:sz w:val="22"/>
                <w:szCs w:val="22"/>
                <w:lang w:eastAsia="en-AU"/>
              </w:rPr>
              <w:t> Staffing expenses </w:t>
            </w:r>
            <w:r w:rsidRPr="00D054B8">
              <w:rPr>
                <w:rFonts w:cs="Arial"/>
                <w:sz w:val="22"/>
                <w:szCs w:val="22"/>
                <w:lang w:eastAsia="en-AU"/>
              </w:rPr>
              <w:t> </w:t>
            </w:r>
          </w:p>
          <w:p w14:paraId="5607D615" w14:textId="77777777" w:rsidR="00D054B8" w:rsidRPr="00D054B8" w:rsidRDefault="00D054B8" w:rsidP="0083412A">
            <w:pPr>
              <w:spacing w:after="0" w:line="240" w:lineRule="auto"/>
              <w:textAlignment w:val="baseline"/>
              <w:rPr>
                <w:rFonts w:cs="Arial"/>
                <w:sz w:val="24"/>
                <w:szCs w:val="24"/>
                <w:lang w:eastAsia="en-AU"/>
              </w:rPr>
            </w:pPr>
            <w:r w:rsidRPr="00D054B8">
              <w:rPr>
                <w:rFonts w:cs="Arial"/>
                <w:sz w:val="16"/>
                <w:szCs w:val="16"/>
                <w:lang w:eastAsia="en-AU"/>
              </w:rPr>
              <w:t>For example, travel, accommodation, training </w:t>
            </w:r>
          </w:p>
        </w:tc>
        <w:tc>
          <w:tcPr>
            <w:tcW w:w="1845" w:type="dxa"/>
            <w:tcBorders>
              <w:top w:val="single" w:sz="6" w:space="0" w:color="auto"/>
              <w:left w:val="single" w:sz="6" w:space="0" w:color="auto"/>
              <w:bottom w:val="double" w:sz="6" w:space="0" w:color="auto"/>
              <w:right w:val="single" w:sz="6" w:space="0" w:color="auto"/>
            </w:tcBorders>
            <w:shd w:val="clear" w:color="auto" w:fill="auto"/>
            <w:hideMark/>
          </w:tcPr>
          <w:p w14:paraId="05ACC5DD" w14:textId="77777777" w:rsidR="00D054B8" w:rsidRPr="00D054B8" w:rsidRDefault="00D054B8" w:rsidP="0083412A">
            <w:pPr>
              <w:spacing w:after="0" w:line="240" w:lineRule="auto"/>
              <w:textAlignment w:val="baseline"/>
              <w:rPr>
                <w:rFonts w:cs="Arial"/>
                <w:sz w:val="24"/>
                <w:szCs w:val="24"/>
                <w:lang w:eastAsia="en-AU"/>
              </w:rPr>
            </w:pPr>
            <w:r w:rsidRPr="00D054B8">
              <w:rPr>
                <w:rFonts w:cs="Arial"/>
                <w:sz w:val="22"/>
                <w:szCs w:val="22"/>
                <w:lang w:eastAsia="en-AU"/>
              </w:rPr>
              <w:t>$ </w:t>
            </w:r>
          </w:p>
        </w:tc>
        <w:tc>
          <w:tcPr>
            <w:tcW w:w="1785" w:type="dxa"/>
            <w:tcBorders>
              <w:top w:val="single" w:sz="6" w:space="0" w:color="auto"/>
              <w:left w:val="single" w:sz="6" w:space="0" w:color="auto"/>
              <w:bottom w:val="double" w:sz="6" w:space="0" w:color="auto"/>
              <w:right w:val="single" w:sz="6" w:space="0" w:color="auto"/>
            </w:tcBorders>
            <w:shd w:val="clear" w:color="auto" w:fill="auto"/>
            <w:hideMark/>
          </w:tcPr>
          <w:p w14:paraId="502F67C8" w14:textId="77777777" w:rsidR="00D054B8" w:rsidRPr="00D054B8" w:rsidRDefault="00D054B8" w:rsidP="0083412A">
            <w:pPr>
              <w:spacing w:after="0" w:line="240" w:lineRule="auto"/>
              <w:textAlignment w:val="baseline"/>
              <w:rPr>
                <w:rFonts w:cs="Arial"/>
                <w:sz w:val="24"/>
                <w:szCs w:val="24"/>
                <w:lang w:eastAsia="en-AU"/>
              </w:rPr>
            </w:pPr>
            <w:r w:rsidRPr="00D054B8">
              <w:rPr>
                <w:rFonts w:cs="Arial"/>
                <w:sz w:val="22"/>
                <w:szCs w:val="22"/>
                <w:lang w:eastAsia="en-AU"/>
              </w:rPr>
              <w:t>$ </w:t>
            </w:r>
          </w:p>
        </w:tc>
      </w:tr>
      <w:tr w:rsidR="00D054B8" w:rsidRPr="00AC5511" w14:paraId="7C0F1A43" w14:textId="77777777" w:rsidTr="0083412A">
        <w:trPr>
          <w:trHeight w:val="300"/>
        </w:trPr>
        <w:tc>
          <w:tcPr>
            <w:tcW w:w="5370" w:type="dxa"/>
            <w:gridSpan w:val="2"/>
            <w:tcBorders>
              <w:top w:val="double" w:sz="6" w:space="0" w:color="auto"/>
              <w:left w:val="single" w:sz="6" w:space="0" w:color="auto"/>
              <w:bottom w:val="double" w:sz="6" w:space="0" w:color="auto"/>
              <w:right w:val="single" w:sz="6" w:space="0" w:color="auto"/>
            </w:tcBorders>
            <w:shd w:val="clear" w:color="auto" w:fill="auto"/>
            <w:hideMark/>
          </w:tcPr>
          <w:p w14:paraId="21DDC5A8" w14:textId="77777777" w:rsidR="00D054B8" w:rsidRPr="00D054B8" w:rsidRDefault="00D054B8" w:rsidP="0083412A">
            <w:pPr>
              <w:spacing w:after="0" w:line="240" w:lineRule="auto"/>
              <w:textAlignment w:val="baseline"/>
              <w:rPr>
                <w:rFonts w:cs="Arial"/>
                <w:sz w:val="24"/>
                <w:szCs w:val="24"/>
                <w:lang w:eastAsia="en-AU"/>
              </w:rPr>
            </w:pPr>
            <w:r w:rsidRPr="00D054B8">
              <w:rPr>
                <w:rFonts w:cs="Arial"/>
                <w:b/>
                <w:bCs/>
                <w:sz w:val="22"/>
                <w:szCs w:val="22"/>
                <w:lang w:eastAsia="en-AU"/>
              </w:rPr>
              <w:t>Sub total </w:t>
            </w:r>
            <w:r w:rsidRPr="00D054B8">
              <w:rPr>
                <w:rFonts w:cs="Arial"/>
                <w:sz w:val="22"/>
                <w:szCs w:val="22"/>
                <w:lang w:eastAsia="en-AU"/>
              </w:rPr>
              <w:t> </w:t>
            </w:r>
          </w:p>
        </w:tc>
        <w:tc>
          <w:tcPr>
            <w:tcW w:w="1845" w:type="dxa"/>
            <w:tcBorders>
              <w:top w:val="double" w:sz="6" w:space="0" w:color="auto"/>
              <w:left w:val="single" w:sz="6" w:space="0" w:color="auto"/>
              <w:bottom w:val="double" w:sz="6" w:space="0" w:color="auto"/>
              <w:right w:val="single" w:sz="6" w:space="0" w:color="auto"/>
            </w:tcBorders>
            <w:shd w:val="clear" w:color="auto" w:fill="auto"/>
            <w:hideMark/>
          </w:tcPr>
          <w:p w14:paraId="53F47EFE" w14:textId="77777777" w:rsidR="00D054B8" w:rsidRPr="00D054B8" w:rsidRDefault="00D054B8" w:rsidP="0083412A">
            <w:pPr>
              <w:spacing w:after="0" w:line="240" w:lineRule="auto"/>
              <w:textAlignment w:val="baseline"/>
              <w:rPr>
                <w:rFonts w:cs="Arial"/>
                <w:sz w:val="24"/>
                <w:szCs w:val="24"/>
                <w:lang w:eastAsia="en-AU"/>
              </w:rPr>
            </w:pPr>
            <w:r w:rsidRPr="00D054B8">
              <w:rPr>
                <w:rFonts w:cs="Arial"/>
                <w:sz w:val="22"/>
                <w:szCs w:val="22"/>
                <w:lang w:eastAsia="en-AU"/>
              </w:rPr>
              <w:t> </w:t>
            </w:r>
          </w:p>
        </w:tc>
        <w:tc>
          <w:tcPr>
            <w:tcW w:w="1785" w:type="dxa"/>
            <w:tcBorders>
              <w:top w:val="double" w:sz="6" w:space="0" w:color="auto"/>
              <w:left w:val="single" w:sz="6" w:space="0" w:color="auto"/>
              <w:bottom w:val="double" w:sz="6" w:space="0" w:color="auto"/>
              <w:right w:val="single" w:sz="6" w:space="0" w:color="auto"/>
            </w:tcBorders>
            <w:shd w:val="clear" w:color="auto" w:fill="auto"/>
            <w:hideMark/>
          </w:tcPr>
          <w:p w14:paraId="65B8C29E" w14:textId="77777777" w:rsidR="00D054B8" w:rsidRPr="00D054B8" w:rsidRDefault="00D054B8" w:rsidP="0083412A">
            <w:pPr>
              <w:spacing w:after="0" w:line="240" w:lineRule="auto"/>
              <w:textAlignment w:val="baseline"/>
              <w:rPr>
                <w:rFonts w:cs="Arial"/>
                <w:sz w:val="24"/>
                <w:szCs w:val="24"/>
                <w:lang w:eastAsia="en-AU"/>
              </w:rPr>
            </w:pPr>
            <w:r w:rsidRPr="00D054B8">
              <w:rPr>
                <w:rFonts w:cs="Arial"/>
                <w:sz w:val="22"/>
                <w:szCs w:val="22"/>
                <w:lang w:eastAsia="en-AU"/>
              </w:rPr>
              <w:t> </w:t>
            </w:r>
          </w:p>
        </w:tc>
      </w:tr>
      <w:tr w:rsidR="00D054B8" w:rsidRPr="00AC5511" w14:paraId="160CD9BF" w14:textId="77777777" w:rsidTr="0083412A">
        <w:trPr>
          <w:trHeight w:val="300"/>
        </w:trPr>
        <w:tc>
          <w:tcPr>
            <w:tcW w:w="5370" w:type="dxa"/>
            <w:gridSpan w:val="2"/>
            <w:tcBorders>
              <w:top w:val="single" w:sz="6" w:space="0" w:color="auto"/>
              <w:left w:val="single" w:sz="6" w:space="0" w:color="auto"/>
              <w:bottom w:val="single" w:sz="6" w:space="0" w:color="auto"/>
              <w:right w:val="single" w:sz="6" w:space="0" w:color="auto"/>
            </w:tcBorders>
            <w:shd w:val="clear" w:color="auto" w:fill="FFF2CC"/>
            <w:hideMark/>
          </w:tcPr>
          <w:p w14:paraId="6A6F67A3" w14:textId="77777777" w:rsidR="00D054B8" w:rsidRPr="00D054B8" w:rsidRDefault="00D054B8" w:rsidP="0083412A">
            <w:pPr>
              <w:spacing w:after="0" w:line="240" w:lineRule="auto"/>
              <w:textAlignment w:val="baseline"/>
              <w:rPr>
                <w:rFonts w:cs="Arial"/>
                <w:sz w:val="24"/>
                <w:szCs w:val="24"/>
                <w:lang w:eastAsia="en-AU"/>
              </w:rPr>
            </w:pPr>
            <w:r w:rsidRPr="00D054B8">
              <w:rPr>
                <w:rFonts w:cs="Arial"/>
                <w:b/>
                <w:bCs/>
                <w:sz w:val="24"/>
                <w:szCs w:val="24"/>
                <w:lang w:eastAsia="en-AU"/>
              </w:rPr>
              <w:t>Section 3. Organisational overheads</w:t>
            </w:r>
            <w:r w:rsidRPr="00D054B8">
              <w:rPr>
                <w:rFonts w:cs="Arial"/>
                <w:sz w:val="24"/>
                <w:szCs w:val="24"/>
                <w:lang w:eastAsia="en-AU"/>
              </w:rPr>
              <w:t> </w:t>
            </w:r>
          </w:p>
        </w:tc>
        <w:tc>
          <w:tcPr>
            <w:tcW w:w="1845" w:type="dxa"/>
            <w:tcBorders>
              <w:top w:val="single" w:sz="6" w:space="0" w:color="auto"/>
              <w:left w:val="single" w:sz="6" w:space="0" w:color="auto"/>
              <w:bottom w:val="single" w:sz="6" w:space="0" w:color="auto"/>
              <w:right w:val="single" w:sz="6" w:space="0" w:color="auto"/>
            </w:tcBorders>
            <w:shd w:val="clear" w:color="auto" w:fill="FFF2CC"/>
            <w:hideMark/>
          </w:tcPr>
          <w:p w14:paraId="4EE7B640" w14:textId="77777777" w:rsidR="00D054B8" w:rsidRPr="00D054B8" w:rsidRDefault="00D054B8" w:rsidP="0083412A">
            <w:pPr>
              <w:spacing w:after="0" w:line="240" w:lineRule="auto"/>
              <w:jc w:val="center"/>
              <w:textAlignment w:val="baseline"/>
              <w:rPr>
                <w:rFonts w:cs="Arial"/>
                <w:sz w:val="24"/>
                <w:szCs w:val="24"/>
                <w:lang w:eastAsia="en-AU"/>
              </w:rPr>
            </w:pPr>
            <w:r w:rsidRPr="00D054B8">
              <w:rPr>
                <w:rFonts w:cs="Arial"/>
                <w:sz w:val="22"/>
                <w:szCs w:val="22"/>
                <w:lang w:eastAsia="en-AU"/>
              </w:rPr>
              <w:t>Forecast/estimate  </w:t>
            </w:r>
          </w:p>
        </w:tc>
        <w:tc>
          <w:tcPr>
            <w:tcW w:w="1785" w:type="dxa"/>
            <w:tcBorders>
              <w:top w:val="single" w:sz="6" w:space="0" w:color="auto"/>
              <w:left w:val="single" w:sz="6" w:space="0" w:color="auto"/>
              <w:bottom w:val="single" w:sz="6" w:space="0" w:color="auto"/>
              <w:right w:val="single" w:sz="6" w:space="0" w:color="auto"/>
            </w:tcBorders>
            <w:shd w:val="clear" w:color="auto" w:fill="FFF2CC"/>
            <w:hideMark/>
          </w:tcPr>
          <w:p w14:paraId="2A478D84" w14:textId="77777777" w:rsidR="00D054B8" w:rsidRPr="00D054B8" w:rsidRDefault="00D054B8" w:rsidP="0083412A">
            <w:pPr>
              <w:spacing w:after="0" w:line="240" w:lineRule="auto"/>
              <w:jc w:val="center"/>
              <w:textAlignment w:val="baseline"/>
              <w:rPr>
                <w:rFonts w:cs="Arial"/>
                <w:sz w:val="24"/>
                <w:szCs w:val="24"/>
                <w:lang w:eastAsia="en-AU"/>
              </w:rPr>
            </w:pPr>
            <w:r w:rsidRPr="00D054B8">
              <w:rPr>
                <w:rFonts w:cs="Arial"/>
                <w:sz w:val="22"/>
                <w:szCs w:val="22"/>
                <w:lang w:eastAsia="en-AU"/>
              </w:rPr>
              <w:t>Actuals </w:t>
            </w:r>
          </w:p>
        </w:tc>
      </w:tr>
      <w:tr w:rsidR="00D054B8" w:rsidRPr="00AC5511" w14:paraId="36EED443" w14:textId="77777777" w:rsidTr="0083412A">
        <w:trPr>
          <w:trHeight w:val="300"/>
        </w:trPr>
        <w:tc>
          <w:tcPr>
            <w:tcW w:w="5370" w:type="dxa"/>
            <w:gridSpan w:val="2"/>
            <w:tcBorders>
              <w:top w:val="single" w:sz="6" w:space="0" w:color="auto"/>
              <w:left w:val="single" w:sz="6" w:space="0" w:color="auto"/>
              <w:bottom w:val="single" w:sz="6" w:space="0" w:color="auto"/>
              <w:right w:val="single" w:sz="6" w:space="0" w:color="auto"/>
            </w:tcBorders>
            <w:shd w:val="clear" w:color="auto" w:fill="auto"/>
            <w:hideMark/>
          </w:tcPr>
          <w:p w14:paraId="060A313B" w14:textId="77777777" w:rsidR="00D054B8" w:rsidRPr="00D054B8" w:rsidRDefault="00D054B8" w:rsidP="0083412A">
            <w:pPr>
              <w:spacing w:after="0" w:line="240" w:lineRule="auto"/>
              <w:textAlignment w:val="baseline"/>
              <w:rPr>
                <w:rFonts w:cs="Arial"/>
                <w:sz w:val="24"/>
                <w:szCs w:val="24"/>
                <w:lang w:eastAsia="en-AU"/>
              </w:rPr>
            </w:pPr>
            <w:r w:rsidRPr="00D054B8">
              <w:rPr>
                <w:rFonts w:cs="Arial"/>
                <w:b/>
                <w:bCs/>
                <w:sz w:val="22"/>
                <w:szCs w:val="22"/>
                <w:lang w:eastAsia="en-AU"/>
              </w:rPr>
              <w:lastRenderedPageBreak/>
              <w:t>Management </w:t>
            </w:r>
            <w:r w:rsidRPr="00D054B8">
              <w:rPr>
                <w:rFonts w:cs="Arial"/>
                <w:sz w:val="22"/>
                <w:szCs w:val="22"/>
                <w:lang w:eastAsia="en-AU"/>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500F6ACA" w14:textId="77777777" w:rsidR="00D054B8" w:rsidRPr="00D054B8" w:rsidRDefault="00D054B8" w:rsidP="0083412A">
            <w:pPr>
              <w:spacing w:after="0" w:line="240" w:lineRule="auto"/>
              <w:textAlignment w:val="baseline"/>
              <w:rPr>
                <w:rFonts w:cs="Arial"/>
                <w:sz w:val="24"/>
                <w:szCs w:val="24"/>
                <w:lang w:eastAsia="en-AU"/>
              </w:rPr>
            </w:pPr>
            <w:r w:rsidRPr="00D054B8">
              <w:rPr>
                <w:rFonts w:cs="Arial"/>
                <w:sz w:val="22"/>
                <w:szCs w:val="22"/>
                <w:lang w:eastAsia="en-AU"/>
              </w:rPr>
              <w:t>$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7A80B6B9" w14:textId="77777777" w:rsidR="00D054B8" w:rsidRPr="00D054B8" w:rsidRDefault="00D054B8" w:rsidP="0083412A">
            <w:pPr>
              <w:spacing w:after="0" w:line="240" w:lineRule="auto"/>
              <w:textAlignment w:val="baseline"/>
              <w:rPr>
                <w:rFonts w:cs="Arial"/>
                <w:sz w:val="24"/>
                <w:szCs w:val="24"/>
                <w:lang w:eastAsia="en-AU"/>
              </w:rPr>
            </w:pPr>
            <w:r w:rsidRPr="00D054B8">
              <w:rPr>
                <w:rFonts w:cs="Arial"/>
                <w:sz w:val="22"/>
                <w:szCs w:val="22"/>
                <w:lang w:eastAsia="en-AU"/>
              </w:rPr>
              <w:t>$ </w:t>
            </w:r>
          </w:p>
        </w:tc>
      </w:tr>
      <w:tr w:rsidR="00D054B8" w:rsidRPr="00AC5511" w14:paraId="78867C20" w14:textId="77777777" w:rsidTr="0083412A">
        <w:trPr>
          <w:trHeight w:val="300"/>
        </w:trPr>
        <w:tc>
          <w:tcPr>
            <w:tcW w:w="5370" w:type="dxa"/>
            <w:gridSpan w:val="2"/>
            <w:tcBorders>
              <w:top w:val="single" w:sz="6" w:space="0" w:color="auto"/>
              <w:left w:val="single" w:sz="6" w:space="0" w:color="auto"/>
              <w:bottom w:val="single" w:sz="6" w:space="0" w:color="auto"/>
              <w:right w:val="single" w:sz="6" w:space="0" w:color="auto"/>
            </w:tcBorders>
            <w:shd w:val="clear" w:color="auto" w:fill="auto"/>
            <w:hideMark/>
          </w:tcPr>
          <w:p w14:paraId="0351EE54" w14:textId="77777777" w:rsidR="00D054B8" w:rsidRPr="00D054B8" w:rsidRDefault="00D054B8" w:rsidP="0083412A">
            <w:pPr>
              <w:spacing w:after="0" w:line="240" w:lineRule="auto"/>
              <w:textAlignment w:val="baseline"/>
              <w:rPr>
                <w:rFonts w:cs="Arial"/>
                <w:sz w:val="24"/>
                <w:szCs w:val="24"/>
                <w:lang w:eastAsia="en-AU"/>
              </w:rPr>
            </w:pPr>
            <w:r w:rsidRPr="00D054B8">
              <w:rPr>
                <w:rFonts w:cs="Arial"/>
                <w:b/>
                <w:bCs/>
                <w:sz w:val="22"/>
                <w:szCs w:val="22"/>
                <w:lang w:eastAsia="en-AU"/>
              </w:rPr>
              <w:t>Rent, maintenance, utilities, cleaning </w:t>
            </w:r>
            <w:r w:rsidRPr="00D054B8">
              <w:rPr>
                <w:rFonts w:cs="Arial"/>
                <w:sz w:val="22"/>
                <w:szCs w:val="22"/>
                <w:lang w:eastAsia="en-AU"/>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7930B3C6" w14:textId="77777777" w:rsidR="00D054B8" w:rsidRPr="00D054B8" w:rsidRDefault="00D054B8" w:rsidP="0083412A">
            <w:pPr>
              <w:spacing w:after="0" w:line="240" w:lineRule="auto"/>
              <w:textAlignment w:val="baseline"/>
              <w:rPr>
                <w:rFonts w:cs="Arial"/>
                <w:sz w:val="24"/>
                <w:szCs w:val="24"/>
                <w:lang w:eastAsia="en-AU"/>
              </w:rPr>
            </w:pPr>
            <w:r w:rsidRPr="00D054B8">
              <w:rPr>
                <w:rFonts w:cs="Arial"/>
                <w:sz w:val="22"/>
                <w:szCs w:val="22"/>
                <w:lang w:eastAsia="en-AU"/>
              </w:rPr>
              <w:t>$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5C6DBA07" w14:textId="77777777" w:rsidR="00D054B8" w:rsidRPr="00D054B8" w:rsidRDefault="00D054B8" w:rsidP="0083412A">
            <w:pPr>
              <w:spacing w:after="0" w:line="240" w:lineRule="auto"/>
              <w:textAlignment w:val="baseline"/>
              <w:rPr>
                <w:rFonts w:cs="Arial"/>
                <w:sz w:val="24"/>
                <w:szCs w:val="24"/>
                <w:lang w:eastAsia="en-AU"/>
              </w:rPr>
            </w:pPr>
            <w:r w:rsidRPr="00D054B8">
              <w:rPr>
                <w:rFonts w:cs="Arial"/>
                <w:sz w:val="22"/>
                <w:szCs w:val="22"/>
                <w:lang w:eastAsia="en-AU"/>
              </w:rPr>
              <w:t>$ </w:t>
            </w:r>
          </w:p>
        </w:tc>
      </w:tr>
      <w:tr w:rsidR="00D054B8" w:rsidRPr="00AC5511" w14:paraId="59361528" w14:textId="77777777" w:rsidTr="0083412A">
        <w:trPr>
          <w:trHeight w:val="300"/>
        </w:trPr>
        <w:tc>
          <w:tcPr>
            <w:tcW w:w="5370" w:type="dxa"/>
            <w:gridSpan w:val="2"/>
            <w:tcBorders>
              <w:top w:val="single" w:sz="6" w:space="0" w:color="auto"/>
              <w:left w:val="single" w:sz="6" w:space="0" w:color="auto"/>
              <w:bottom w:val="double" w:sz="6" w:space="0" w:color="auto"/>
              <w:right w:val="single" w:sz="6" w:space="0" w:color="auto"/>
            </w:tcBorders>
            <w:shd w:val="clear" w:color="auto" w:fill="auto"/>
            <w:hideMark/>
          </w:tcPr>
          <w:p w14:paraId="5A54D2CE" w14:textId="77777777" w:rsidR="00D054B8" w:rsidRPr="00D054B8" w:rsidRDefault="00D054B8" w:rsidP="0083412A">
            <w:pPr>
              <w:spacing w:after="0" w:line="240" w:lineRule="auto"/>
              <w:textAlignment w:val="baseline"/>
              <w:rPr>
                <w:rFonts w:cs="Arial"/>
                <w:sz w:val="24"/>
                <w:szCs w:val="24"/>
                <w:lang w:eastAsia="en-AU"/>
              </w:rPr>
            </w:pPr>
            <w:r w:rsidRPr="00D054B8">
              <w:rPr>
                <w:rFonts w:cs="Arial"/>
                <w:b/>
                <w:bCs/>
                <w:sz w:val="22"/>
                <w:szCs w:val="22"/>
                <w:lang w:eastAsia="en-AU"/>
              </w:rPr>
              <w:t xml:space="preserve">Other </w:t>
            </w:r>
            <w:r w:rsidRPr="00D054B8">
              <w:rPr>
                <w:rFonts w:cs="Arial"/>
                <w:sz w:val="16"/>
                <w:szCs w:val="16"/>
                <w:lang w:eastAsia="en-AU"/>
              </w:rPr>
              <w:t>please specify </w:t>
            </w:r>
          </w:p>
        </w:tc>
        <w:tc>
          <w:tcPr>
            <w:tcW w:w="1845" w:type="dxa"/>
            <w:tcBorders>
              <w:top w:val="single" w:sz="6" w:space="0" w:color="auto"/>
              <w:left w:val="single" w:sz="6" w:space="0" w:color="auto"/>
              <w:bottom w:val="double" w:sz="6" w:space="0" w:color="auto"/>
              <w:right w:val="single" w:sz="6" w:space="0" w:color="auto"/>
            </w:tcBorders>
            <w:shd w:val="clear" w:color="auto" w:fill="auto"/>
            <w:hideMark/>
          </w:tcPr>
          <w:p w14:paraId="03281A5B" w14:textId="77777777" w:rsidR="00D054B8" w:rsidRPr="00D054B8" w:rsidRDefault="00D054B8" w:rsidP="0083412A">
            <w:pPr>
              <w:spacing w:after="0" w:line="240" w:lineRule="auto"/>
              <w:textAlignment w:val="baseline"/>
              <w:rPr>
                <w:rFonts w:cs="Arial"/>
                <w:sz w:val="24"/>
                <w:szCs w:val="24"/>
                <w:lang w:eastAsia="en-AU"/>
              </w:rPr>
            </w:pPr>
            <w:r w:rsidRPr="00D054B8">
              <w:rPr>
                <w:rFonts w:cs="Arial"/>
                <w:sz w:val="22"/>
                <w:szCs w:val="22"/>
                <w:lang w:eastAsia="en-AU"/>
              </w:rPr>
              <w:t>$ </w:t>
            </w:r>
          </w:p>
        </w:tc>
        <w:tc>
          <w:tcPr>
            <w:tcW w:w="1785" w:type="dxa"/>
            <w:tcBorders>
              <w:top w:val="single" w:sz="6" w:space="0" w:color="auto"/>
              <w:left w:val="single" w:sz="6" w:space="0" w:color="auto"/>
              <w:bottom w:val="double" w:sz="6" w:space="0" w:color="auto"/>
              <w:right w:val="single" w:sz="6" w:space="0" w:color="auto"/>
            </w:tcBorders>
            <w:shd w:val="clear" w:color="auto" w:fill="auto"/>
            <w:hideMark/>
          </w:tcPr>
          <w:p w14:paraId="3487CFA7" w14:textId="77777777" w:rsidR="00D054B8" w:rsidRPr="00D054B8" w:rsidRDefault="00D054B8" w:rsidP="0083412A">
            <w:pPr>
              <w:spacing w:after="0" w:line="240" w:lineRule="auto"/>
              <w:textAlignment w:val="baseline"/>
              <w:rPr>
                <w:rFonts w:cs="Arial"/>
                <w:sz w:val="24"/>
                <w:szCs w:val="24"/>
                <w:lang w:eastAsia="en-AU"/>
              </w:rPr>
            </w:pPr>
            <w:r w:rsidRPr="00D054B8">
              <w:rPr>
                <w:rFonts w:cs="Arial"/>
                <w:sz w:val="22"/>
                <w:szCs w:val="22"/>
                <w:lang w:eastAsia="en-AU"/>
              </w:rPr>
              <w:t>$ </w:t>
            </w:r>
          </w:p>
        </w:tc>
      </w:tr>
      <w:tr w:rsidR="00D054B8" w:rsidRPr="00AC5511" w14:paraId="1EEA3A33" w14:textId="77777777" w:rsidTr="0083412A">
        <w:trPr>
          <w:trHeight w:val="300"/>
        </w:trPr>
        <w:tc>
          <w:tcPr>
            <w:tcW w:w="5370" w:type="dxa"/>
            <w:gridSpan w:val="2"/>
            <w:tcBorders>
              <w:top w:val="double" w:sz="6" w:space="0" w:color="auto"/>
              <w:left w:val="single" w:sz="6" w:space="0" w:color="auto"/>
              <w:bottom w:val="double" w:sz="6" w:space="0" w:color="auto"/>
              <w:right w:val="single" w:sz="6" w:space="0" w:color="auto"/>
            </w:tcBorders>
            <w:shd w:val="clear" w:color="auto" w:fill="auto"/>
            <w:hideMark/>
          </w:tcPr>
          <w:p w14:paraId="0AD6880F" w14:textId="77777777" w:rsidR="00D054B8" w:rsidRPr="00D054B8" w:rsidRDefault="00D054B8" w:rsidP="0083412A">
            <w:pPr>
              <w:spacing w:after="0" w:line="240" w:lineRule="auto"/>
              <w:textAlignment w:val="baseline"/>
              <w:rPr>
                <w:rFonts w:cs="Arial"/>
                <w:sz w:val="24"/>
                <w:szCs w:val="24"/>
                <w:lang w:eastAsia="en-AU"/>
              </w:rPr>
            </w:pPr>
            <w:r w:rsidRPr="00D054B8">
              <w:rPr>
                <w:rFonts w:cs="Arial"/>
                <w:b/>
                <w:bCs/>
                <w:sz w:val="22"/>
                <w:szCs w:val="22"/>
                <w:lang w:eastAsia="en-AU"/>
              </w:rPr>
              <w:t>Sub-total</w:t>
            </w:r>
            <w:r w:rsidRPr="00D054B8">
              <w:rPr>
                <w:rFonts w:cs="Arial"/>
                <w:sz w:val="22"/>
                <w:szCs w:val="22"/>
                <w:lang w:eastAsia="en-AU"/>
              </w:rPr>
              <w:t> </w:t>
            </w:r>
          </w:p>
        </w:tc>
        <w:tc>
          <w:tcPr>
            <w:tcW w:w="1845" w:type="dxa"/>
            <w:tcBorders>
              <w:top w:val="double" w:sz="6" w:space="0" w:color="auto"/>
              <w:left w:val="single" w:sz="6" w:space="0" w:color="auto"/>
              <w:bottom w:val="double" w:sz="6" w:space="0" w:color="auto"/>
              <w:right w:val="single" w:sz="6" w:space="0" w:color="auto"/>
            </w:tcBorders>
            <w:shd w:val="clear" w:color="auto" w:fill="auto"/>
            <w:hideMark/>
          </w:tcPr>
          <w:p w14:paraId="632E69D5" w14:textId="77777777" w:rsidR="00D054B8" w:rsidRPr="00D054B8" w:rsidRDefault="00D054B8" w:rsidP="0083412A">
            <w:pPr>
              <w:spacing w:after="0" w:line="240" w:lineRule="auto"/>
              <w:textAlignment w:val="baseline"/>
              <w:rPr>
                <w:rFonts w:cs="Arial"/>
                <w:sz w:val="24"/>
                <w:szCs w:val="24"/>
                <w:lang w:eastAsia="en-AU"/>
              </w:rPr>
            </w:pPr>
            <w:r w:rsidRPr="00D054B8">
              <w:rPr>
                <w:rFonts w:cs="Arial"/>
                <w:sz w:val="22"/>
                <w:szCs w:val="22"/>
                <w:lang w:eastAsia="en-AU"/>
              </w:rPr>
              <w:t>$ </w:t>
            </w:r>
          </w:p>
        </w:tc>
        <w:tc>
          <w:tcPr>
            <w:tcW w:w="1785" w:type="dxa"/>
            <w:tcBorders>
              <w:top w:val="double" w:sz="6" w:space="0" w:color="auto"/>
              <w:left w:val="single" w:sz="6" w:space="0" w:color="auto"/>
              <w:bottom w:val="double" w:sz="6" w:space="0" w:color="auto"/>
              <w:right w:val="single" w:sz="6" w:space="0" w:color="auto"/>
            </w:tcBorders>
            <w:shd w:val="clear" w:color="auto" w:fill="auto"/>
            <w:hideMark/>
          </w:tcPr>
          <w:p w14:paraId="069F0E0A" w14:textId="77777777" w:rsidR="00D054B8" w:rsidRPr="00D054B8" w:rsidRDefault="00D054B8" w:rsidP="0083412A">
            <w:pPr>
              <w:spacing w:after="0" w:line="240" w:lineRule="auto"/>
              <w:textAlignment w:val="baseline"/>
              <w:rPr>
                <w:rFonts w:cs="Arial"/>
                <w:sz w:val="24"/>
                <w:szCs w:val="24"/>
                <w:lang w:eastAsia="en-AU"/>
              </w:rPr>
            </w:pPr>
            <w:r w:rsidRPr="00D054B8">
              <w:rPr>
                <w:rFonts w:cs="Arial"/>
                <w:sz w:val="22"/>
                <w:szCs w:val="22"/>
                <w:lang w:eastAsia="en-AU"/>
              </w:rPr>
              <w:t>$ </w:t>
            </w:r>
          </w:p>
        </w:tc>
      </w:tr>
      <w:tr w:rsidR="00D054B8" w:rsidRPr="00AC5511" w14:paraId="4B7CD834" w14:textId="77777777" w:rsidTr="0083412A">
        <w:trPr>
          <w:trHeight w:val="300"/>
        </w:trPr>
        <w:tc>
          <w:tcPr>
            <w:tcW w:w="5370" w:type="dxa"/>
            <w:gridSpan w:val="2"/>
            <w:tcBorders>
              <w:top w:val="single" w:sz="6" w:space="0" w:color="auto"/>
              <w:left w:val="single" w:sz="6" w:space="0" w:color="auto"/>
              <w:bottom w:val="single" w:sz="6" w:space="0" w:color="auto"/>
              <w:right w:val="single" w:sz="6" w:space="0" w:color="auto"/>
            </w:tcBorders>
            <w:shd w:val="clear" w:color="auto" w:fill="FFF2CC"/>
            <w:hideMark/>
          </w:tcPr>
          <w:p w14:paraId="1AC78295" w14:textId="77777777" w:rsidR="00D054B8" w:rsidRPr="00D054B8" w:rsidRDefault="00D054B8" w:rsidP="0083412A">
            <w:pPr>
              <w:spacing w:after="0" w:line="240" w:lineRule="auto"/>
              <w:textAlignment w:val="baseline"/>
              <w:rPr>
                <w:rFonts w:cs="Arial"/>
                <w:sz w:val="24"/>
                <w:szCs w:val="24"/>
                <w:lang w:eastAsia="en-AU"/>
              </w:rPr>
            </w:pPr>
            <w:r w:rsidRPr="00D054B8">
              <w:rPr>
                <w:rFonts w:cs="Arial"/>
                <w:b/>
                <w:bCs/>
                <w:sz w:val="24"/>
                <w:szCs w:val="24"/>
                <w:lang w:eastAsia="en-AU"/>
              </w:rPr>
              <w:t>Section 4. Initiative/program costs and other expenses</w:t>
            </w:r>
            <w:r w:rsidRPr="00D054B8">
              <w:rPr>
                <w:rFonts w:cs="Arial"/>
                <w:sz w:val="24"/>
                <w:szCs w:val="24"/>
                <w:lang w:eastAsia="en-AU"/>
              </w:rPr>
              <w:t> </w:t>
            </w:r>
          </w:p>
        </w:tc>
        <w:tc>
          <w:tcPr>
            <w:tcW w:w="1845" w:type="dxa"/>
            <w:tcBorders>
              <w:top w:val="single" w:sz="6" w:space="0" w:color="auto"/>
              <w:left w:val="single" w:sz="6" w:space="0" w:color="auto"/>
              <w:bottom w:val="single" w:sz="6" w:space="0" w:color="auto"/>
              <w:right w:val="single" w:sz="6" w:space="0" w:color="auto"/>
            </w:tcBorders>
            <w:shd w:val="clear" w:color="auto" w:fill="FFF2CC"/>
            <w:hideMark/>
          </w:tcPr>
          <w:p w14:paraId="72E94F9D" w14:textId="77777777" w:rsidR="00D054B8" w:rsidRPr="00D054B8" w:rsidRDefault="00D054B8" w:rsidP="0083412A">
            <w:pPr>
              <w:spacing w:after="0" w:line="240" w:lineRule="auto"/>
              <w:jc w:val="center"/>
              <w:textAlignment w:val="baseline"/>
              <w:rPr>
                <w:rFonts w:cs="Arial"/>
                <w:sz w:val="24"/>
                <w:szCs w:val="24"/>
                <w:lang w:eastAsia="en-AU"/>
              </w:rPr>
            </w:pPr>
            <w:r w:rsidRPr="00D054B8">
              <w:rPr>
                <w:rFonts w:cs="Arial"/>
                <w:sz w:val="22"/>
                <w:szCs w:val="22"/>
                <w:lang w:eastAsia="en-AU"/>
              </w:rPr>
              <w:t>Forecast/estimate  </w:t>
            </w:r>
          </w:p>
        </w:tc>
        <w:tc>
          <w:tcPr>
            <w:tcW w:w="1785" w:type="dxa"/>
            <w:tcBorders>
              <w:top w:val="single" w:sz="6" w:space="0" w:color="auto"/>
              <w:left w:val="single" w:sz="6" w:space="0" w:color="auto"/>
              <w:bottom w:val="single" w:sz="6" w:space="0" w:color="auto"/>
              <w:right w:val="single" w:sz="6" w:space="0" w:color="auto"/>
            </w:tcBorders>
            <w:shd w:val="clear" w:color="auto" w:fill="FFF2CC"/>
            <w:hideMark/>
          </w:tcPr>
          <w:p w14:paraId="7BA030CB" w14:textId="77777777" w:rsidR="00D054B8" w:rsidRPr="00D054B8" w:rsidRDefault="00D054B8" w:rsidP="0083412A">
            <w:pPr>
              <w:spacing w:after="0" w:line="240" w:lineRule="auto"/>
              <w:jc w:val="center"/>
              <w:textAlignment w:val="baseline"/>
              <w:rPr>
                <w:rFonts w:cs="Arial"/>
                <w:sz w:val="24"/>
                <w:szCs w:val="24"/>
                <w:lang w:eastAsia="en-AU"/>
              </w:rPr>
            </w:pPr>
            <w:r w:rsidRPr="00D054B8">
              <w:rPr>
                <w:rFonts w:cs="Arial"/>
                <w:sz w:val="22"/>
                <w:szCs w:val="22"/>
                <w:lang w:eastAsia="en-AU"/>
              </w:rPr>
              <w:t>Actuals </w:t>
            </w:r>
          </w:p>
        </w:tc>
      </w:tr>
      <w:tr w:rsidR="00D054B8" w:rsidRPr="00AC5511" w14:paraId="7584E4D6" w14:textId="77777777" w:rsidTr="0083412A">
        <w:trPr>
          <w:trHeight w:val="300"/>
        </w:trPr>
        <w:tc>
          <w:tcPr>
            <w:tcW w:w="5370" w:type="dxa"/>
            <w:gridSpan w:val="2"/>
            <w:tcBorders>
              <w:top w:val="single" w:sz="6" w:space="0" w:color="auto"/>
              <w:left w:val="single" w:sz="6" w:space="0" w:color="auto"/>
              <w:bottom w:val="single" w:sz="6" w:space="0" w:color="auto"/>
              <w:right w:val="single" w:sz="6" w:space="0" w:color="auto"/>
            </w:tcBorders>
            <w:shd w:val="clear" w:color="auto" w:fill="auto"/>
            <w:hideMark/>
          </w:tcPr>
          <w:p w14:paraId="0F7F117E" w14:textId="77777777" w:rsidR="00D054B8" w:rsidRPr="00D054B8" w:rsidRDefault="00D054B8" w:rsidP="0083412A">
            <w:pPr>
              <w:spacing w:after="0" w:line="240" w:lineRule="auto"/>
              <w:textAlignment w:val="baseline"/>
              <w:rPr>
                <w:rFonts w:cs="Arial"/>
                <w:sz w:val="24"/>
                <w:szCs w:val="24"/>
                <w:lang w:eastAsia="en-AU"/>
              </w:rPr>
            </w:pPr>
            <w:r w:rsidRPr="00D054B8">
              <w:rPr>
                <w:rFonts w:cs="Arial"/>
                <w:b/>
                <w:bCs/>
                <w:sz w:val="22"/>
                <w:szCs w:val="22"/>
                <w:lang w:eastAsia="en-AU"/>
              </w:rPr>
              <w:t>Health promotion costs</w:t>
            </w:r>
            <w:r w:rsidRPr="00D054B8">
              <w:rPr>
                <w:rFonts w:cs="Arial"/>
                <w:sz w:val="22"/>
                <w:szCs w:val="22"/>
                <w:lang w:eastAsia="en-AU"/>
              </w:rPr>
              <w:t xml:space="preserve"> </w:t>
            </w:r>
            <w:r w:rsidRPr="00D054B8">
              <w:rPr>
                <w:rFonts w:cs="Arial"/>
                <w:sz w:val="22"/>
                <w:szCs w:val="22"/>
                <w:lang w:eastAsia="en-AU"/>
              </w:rPr>
              <w:br/>
            </w:r>
            <w:r w:rsidRPr="00D054B8">
              <w:rPr>
                <w:rFonts w:cs="Arial"/>
                <w:sz w:val="16"/>
                <w:szCs w:val="16"/>
                <w:lang w:eastAsia="en-AU"/>
              </w:rPr>
              <w:t>For example costs associated with delivering the CH-HP Program including design and implementation, development of program materials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18CED702" w14:textId="77777777" w:rsidR="00D054B8" w:rsidRPr="00D054B8" w:rsidRDefault="00D054B8" w:rsidP="0083412A">
            <w:pPr>
              <w:spacing w:after="0" w:line="240" w:lineRule="auto"/>
              <w:textAlignment w:val="baseline"/>
              <w:rPr>
                <w:rFonts w:cs="Arial"/>
                <w:sz w:val="24"/>
                <w:szCs w:val="24"/>
                <w:lang w:eastAsia="en-AU"/>
              </w:rPr>
            </w:pPr>
            <w:r w:rsidRPr="00D054B8">
              <w:rPr>
                <w:rFonts w:cs="Arial"/>
                <w:sz w:val="22"/>
                <w:szCs w:val="22"/>
                <w:lang w:eastAsia="en-AU"/>
              </w:rPr>
              <w:t>$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521B1F19" w14:textId="77777777" w:rsidR="00D054B8" w:rsidRPr="00D054B8" w:rsidRDefault="00D054B8" w:rsidP="0083412A">
            <w:pPr>
              <w:spacing w:after="0" w:line="240" w:lineRule="auto"/>
              <w:textAlignment w:val="baseline"/>
              <w:rPr>
                <w:rFonts w:cs="Arial"/>
                <w:sz w:val="24"/>
                <w:szCs w:val="24"/>
                <w:lang w:eastAsia="en-AU"/>
              </w:rPr>
            </w:pPr>
            <w:r w:rsidRPr="00D054B8">
              <w:rPr>
                <w:rFonts w:cs="Arial"/>
                <w:sz w:val="22"/>
                <w:szCs w:val="22"/>
                <w:lang w:eastAsia="en-AU"/>
              </w:rPr>
              <w:t>$ </w:t>
            </w:r>
          </w:p>
        </w:tc>
      </w:tr>
      <w:tr w:rsidR="00D054B8" w:rsidRPr="00AC5511" w14:paraId="1CD2552C" w14:textId="77777777" w:rsidTr="0083412A">
        <w:trPr>
          <w:trHeight w:val="300"/>
        </w:trPr>
        <w:tc>
          <w:tcPr>
            <w:tcW w:w="5370" w:type="dxa"/>
            <w:gridSpan w:val="2"/>
            <w:tcBorders>
              <w:top w:val="single" w:sz="6" w:space="0" w:color="auto"/>
              <w:left w:val="single" w:sz="6" w:space="0" w:color="auto"/>
              <w:bottom w:val="single" w:sz="6" w:space="0" w:color="auto"/>
              <w:right w:val="single" w:sz="6" w:space="0" w:color="auto"/>
            </w:tcBorders>
            <w:shd w:val="clear" w:color="auto" w:fill="auto"/>
            <w:hideMark/>
          </w:tcPr>
          <w:p w14:paraId="064BCF05" w14:textId="77777777" w:rsidR="00D054B8" w:rsidRPr="00D054B8" w:rsidRDefault="00D054B8" w:rsidP="0083412A">
            <w:pPr>
              <w:spacing w:after="0" w:line="240" w:lineRule="auto"/>
              <w:textAlignment w:val="baseline"/>
              <w:rPr>
                <w:rFonts w:cs="Arial"/>
                <w:sz w:val="24"/>
                <w:szCs w:val="24"/>
                <w:lang w:eastAsia="en-AU"/>
              </w:rPr>
            </w:pPr>
            <w:r w:rsidRPr="00D054B8">
              <w:rPr>
                <w:rFonts w:cs="Arial"/>
                <w:b/>
                <w:bCs/>
                <w:sz w:val="22"/>
                <w:szCs w:val="22"/>
                <w:lang w:eastAsia="en-AU"/>
              </w:rPr>
              <w:t>Evaluation</w:t>
            </w:r>
            <w:r w:rsidRPr="00D054B8">
              <w:rPr>
                <w:rFonts w:cs="Arial"/>
                <w:sz w:val="22"/>
                <w:szCs w:val="22"/>
                <w:lang w:eastAsia="en-AU"/>
              </w:rPr>
              <w:t xml:space="preserve"> </w:t>
            </w:r>
            <w:r w:rsidRPr="00D054B8">
              <w:rPr>
                <w:rFonts w:cs="Arial"/>
                <w:sz w:val="16"/>
                <w:szCs w:val="16"/>
                <w:lang w:eastAsia="en-AU"/>
              </w:rPr>
              <w:t>Actual spend only, if any, please do not include EFT here, FTE is captured in Section 7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2551AE3D" w14:textId="77777777" w:rsidR="00D054B8" w:rsidRPr="00D054B8" w:rsidRDefault="00D054B8" w:rsidP="0083412A">
            <w:pPr>
              <w:spacing w:after="0" w:line="240" w:lineRule="auto"/>
              <w:textAlignment w:val="baseline"/>
              <w:rPr>
                <w:rFonts w:cs="Arial"/>
                <w:sz w:val="24"/>
                <w:szCs w:val="24"/>
                <w:lang w:eastAsia="en-AU"/>
              </w:rPr>
            </w:pP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49960F36" w14:textId="77777777" w:rsidR="00D054B8" w:rsidRPr="00D054B8" w:rsidRDefault="00D054B8" w:rsidP="0083412A">
            <w:pPr>
              <w:spacing w:after="0" w:line="240" w:lineRule="auto"/>
              <w:textAlignment w:val="baseline"/>
              <w:rPr>
                <w:rFonts w:cs="Arial"/>
                <w:sz w:val="24"/>
                <w:szCs w:val="24"/>
                <w:lang w:eastAsia="en-AU"/>
              </w:rPr>
            </w:pPr>
          </w:p>
        </w:tc>
      </w:tr>
      <w:tr w:rsidR="00D054B8" w:rsidRPr="00AC5511" w14:paraId="58F1907B" w14:textId="77777777" w:rsidTr="0083412A">
        <w:trPr>
          <w:trHeight w:val="300"/>
        </w:trPr>
        <w:tc>
          <w:tcPr>
            <w:tcW w:w="5370" w:type="dxa"/>
            <w:gridSpan w:val="2"/>
            <w:tcBorders>
              <w:top w:val="single" w:sz="6" w:space="0" w:color="auto"/>
              <w:left w:val="single" w:sz="6" w:space="0" w:color="auto"/>
              <w:bottom w:val="double" w:sz="6" w:space="0" w:color="auto"/>
              <w:right w:val="single" w:sz="6" w:space="0" w:color="auto"/>
            </w:tcBorders>
            <w:shd w:val="clear" w:color="auto" w:fill="auto"/>
            <w:hideMark/>
          </w:tcPr>
          <w:p w14:paraId="4C1A488F" w14:textId="77777777" w:rsidR="00D054B8" w:rsidRPr="00D054B8" w:rsidRDefault="00D054B8" w:rsidP="0083412A">
            <w:pPr>
              <w:spacing w:after="0" w:line="240" w:lineRule="auto"/>
              <w:textAlignment w:val="baseline"/>
              <w:rPr>
                <w:rFonts w:cs="Arial"/>
                <w:sz w:val="24"/>
                <w:szCs w:val="24"/>
                <w:lang w:eastAsia="en-AU"/>
              </w:rPr>
            </w:pPr>
            <w:r w:rsidRPr="00D054B8">
              <w:rPr>
                <w:rFonts w:cs="Arial"/>
                <w:b/>
                <w:bCs/>
                <w:sz w:val="22"/>
                <w:szCs w:val="22"/>
                <w:lang w:eastAsia="en-AU"/>
              </w:rPr>
              <w:t>Other</w:t>
            </w:r>
          </w:p>
          <w:p w14:paraId="275E6C0B" w14:textId="77777777" w:rsidR="00D054B8" w:rsidRPr="00D054B8" w:rsidRDefault="00D054B8" w:rsidP="0083412A">
            <w:pPr>
              <w:spacing w:after="0" w:line="240" w:lineRule="auto"/>
              <w:textAlignment w:val="baseline"/>
              <w:rPr>
                <w:rFonts w:cs="Arial"/>
                <w:sz w:val="24"/>
                <w:szCs w:val="24"/>
                <w:lang w:eastAsia="en-AU"/>
              </w:rPr>
            </w:pPr>
            <w:r w:rsidRPr="00D054B8">
              <w:rPr>
                <w:rFonts w:cs="Arial"/>
                <w:sz w:val="16"/>
                <w:szCs w:val="16"/>
                <w:lang w:eastAsia="en-AU"/>
              </w:rPr>
              <w:t>Not captured above, please specify </w:t>
            </w:r>
          </w:p>
        </w:tc>
        <w:tc>
          <w:tcPr>
            <w:tcW w:w="1845" w:type="dxa"/>
            <w:tcBorders>
              <w:top w:val="single" w:sz="6" w:space="0" w:color="auto"/>
              <w:left w:val="single" w:sz="6" w:space="0" w:color="auto"/>
              <w:bottom w:val="double" w:sz="6" w:space="0" w:color="auto"/>
              <w:right w:val="single" w:sz="6" w:space="0" w:color="auto"/>
            </w:tcBorders>
            <w:shd w:val="clear" w:color="auto" w:fill="auto"/>
            <w:hideMark/>
          </w:tcPr>
          <w:p w14:paraId="6C63B085" w14:textId="77777777" w:rsidR="00D054B8" w:rsidRPr="00D054B8" w:rsidRDefault="00D054B8" w:rsidP="0083412A">
            <w:pPr>
              <w:spacing w:after="0" w:line="240" w:lineRule="auto"/>
              <w:textAlignment w:val="baseline"/>
              <w:rPr>
                <w:rFonts w:cs="Arial"/>
                <w:sz w:val="24"/>
                <w:szCs w:val="24"/>
                <w:lang w:eastAsia="en-AU"/>
              </w:rPr>
            </w:pPr>
          </w:p>
        </w:tc>
        <w:tc>
          <w:tcPr>
            <w:tcW w:w="1785" w:type="dxa"/>
            <w:tcBorders>
              <w:top w:val="single" w:sz="6" w:space="0" w:color="auto"/>
              <w:left w:val="single" w:sz="6" w:space="0" w:color="auto"/>
              <w:bottom w:val="double" w:sz="6" w:space="0" w:color="auto"/>
              <w:right w:val="single" w:sz="6" w:space="0" w:color="auto"/>
            </w:tcBorders>
            <w:shd w:val="clear" w:color="auto" w:fill="auto"/>
            <w:hideMark/>
          </w:tcPr>
          <w:p w14:paraId="4777C5F1" w14:textId="77777777" w:rsidR="00D054B8" w:rsidRPr="00D054B8" w:rsidRDefault="00D054B8" w:rsidP="0083412A">
            <w:pPr>
              <w:spacing w:after="0" w:line="240" w:lineRule="auto"/>
              <w:textAlignment w:val="baseline"/>
              <w:rPr>
                <w:rFonts w:cs="Arial"/>
                <w:sz w:val="24"/>
                <w:szCs w:val="24"/>
                <w:lang w:eastAsia="en-AU"/>
              </w:rPr>
            </w:pPr>
          </w:p>
        </w:tc>
      </w:tr>
      <w:tr w:rsidR="00D054B8" w:rsidRPr="00AC5511" w14:paraId="55BFC030" w14:textId="77777777" w:rsidTr="0083412A">
        <w:trPr>
          <w:trHeight w:val="300"/>
        </w:trPr>
        <w:tc>
          <w:tcPr>
            <w:tcW w:w="5370" w:type="dxa"/>
            <w:gridSpan w:val="2"/>
            <w:tcBorders>
              <w:top w:val="double" w:sz="6" w:space="0" w:color="auto"/>
              <w:left w:val="single" w:sz="6" w:space="0" w:color="auto"/>
              <w:bottom w:val="double" w:sz="6" w:space="0" w:color="auto"/>
              <w:right w:val="single" w:sz="6" w:space="0" w:color="auto"/>
            </w:tcBorders>
            <w:shd w:val="clear" w:color="auto" w:fill="auto"/>
            <w:hideMark/>
          </w:tcPr>
          <w:p w14:paraId="4640A808" w14:textId="77777777" w:rsidR="00D054B8" w:rsidRPr="00D054B8" w:rsidRDefault="00D054B8" w:rsidP="0083412A">
            <w:pPr>
              <w:spacing w:after="0" w:line="240" w:lineRule="auto"/>
              <w:textAlignment w:val="baseline"/>
              <w:rPr>
                <w:rFonts w:cs="Arial"/>
                <w:sz w:val="24"/>
                <w:szCs w:val="24"/>
                <w:lang w:eastAsia="en-AU"/>
              </w:rPr>
            </w:pPr>
            <w:r w:rsidRPr="00D054B8">
              <w:rPr>
                <w:rFonts w:cs="Arial"/>
                <w:b/>
                <w:bCs/>
                <w:sz w:val="22"/>
                <w:szCs w:val="22"/>
                <w:lang w:eastAsia="en-AU"/>
              </w:rPr>
              <w:t>Sub-total</w:t>
            </w:r>
          </w:p>
        </w:tc>
        <w:tc>
          <w:tcPr>
            <w:tcW w:w="1845" w:type="dxa"/>
            <w:tcBorders>
              <w:top w:val="double" w:sz="6" w:space="0" w:color="auto"/>
              <w:left w:val="single" w:sz="6" w:space="0" w:color="auto"/>
              <w:bottom w:val="double" w:sz="6" w:space="0" w:color="auto"/>
              <w:right w:val="single" w:sz="6" w:space="0" w:color="auto"/>
            </w:tcBorders>
            <w:shd w:val="clear" w:color="auto" w:fill="auto"/>
            <w:hideMark/>
          </w:tcPr>
          <w:p w14:paraId="397B2395" w14:textId="77777777" w:rsidR="00D054B8" w:rsidRPr="00D054B8" w:rsidRDefault="00D054B8" w:rsidP="0083412A">
            <w:pPr>
              <w:spacing w:after="0" w:line="240" w:lineRule="auto"/>
              <w:textAlignment w:val="baseline"/>
              <w:rPr>
                <w:rFonts w:cs="Arial"/>
                <w:sz w:val="24"/>
                <w:szCs w:val="24"/>
                <w:lang w:eastAsia="en-AU"/>
              </w:rPr>
            </w:pPr>
            <w:r w:rsidRPr="00D054B8">
              <w:rPr>
                <w:rFonts w:cs="Arial"/>
                <w:b/>
                <w:bCs/>
                <w:sz w:val="22"/>
                <w:szCs w:val="22"/>
                <w:lang w:eastAsia="en-AU"/>
              </w:rPr>
              <w:t>$</w:t>
            </w:r>
          </w:p>
        </w:tc>
        <w:tc>
          <w:tcPr>
            <w:tcW w:w="1785" w:type="dxa"/>
            <w:tcBorders>
              <w:top w:val="double" w:sz="6" w:space="0" w:color="auto"/>
              <w:left w:val="single" w:sz="6" w:space="0" w:color="auto"/>
              <w:bottom w:val="double" w:sz="6" w:space="0" w:color="auto"/>
              <w:right w:val="single" w:sz="6" w:space="0" w:color="auto"/>
            </w:tcBorders>
            <w:shd w:val="clear" w:color="auto" w:fill="auto"/>
            <w:hideMark/>
          </w:tcPr>
          <w:p w14:paraId="4410DB74" w14:textId="77777777" w:rsidR="00D054B8" w:rsidRPr="00D054B8" w:rsidRDefault="00D054B8" w:rsidP="0083412A">
            <w:pPr>
              <w:spacing w:after="0" w:line="240" w:lineRule="auto"/>
              <w:textAlignment w:val="baseline"/>
              <w:rPr>
                <w:rFonts w:cs="Arial"/>
                <w:sz w:val="24"/>
                <w:szCs w:val="24"/>
                <w:lang w:eastAsia="en-AU"/>
              </w:rPr>
            </w:pPr>
            <w:r w:rsidRPr="00D054B8">
              <w:rPr>
                <w:rFonts w:cs="Arial"/>
                <w:b/>
                <w:bCs/>
                <w:sz w:val="22"/>
                <w:szCs w:val="22"/>
                <w:lang w:eastAsia="en-AU"/>
              </w:rPr>
              <w:t>$</w:t>
            </w:r>
          </w:p>
        </w:tc>
      </w:tr>
      <w:tr w:rsidR="00D054B8" w:rsidRPr="00AC5511" w14:paraId="76FADD7A" w14:textId="77777777" w:rsidTr="0083412A">
        <w:trPr>
          <w:trHeight w:val="300"/>
        </w:trPr>
        <w:tc>
          <w:tcPr>
            <w:tcW w:w="5370" w:type="dxa"/>
            <w:gridSpan w:val="2"/>
            <w:tcBorders>
              <w:top w:val="single" w:sz="6" w:space="0" w:color="auto"/>
              <w:left w:val="single" w:sz="6" w:space="0" w:color="auto"/>
              <w:bottom w:val="single" w:sz="6" w:space="0" w:color="auto"/>
              <w:right w:val="single" w:sz="6" w:space="0" w:color="auto"/>
            </w:tcBorders>
            <w:shd w:val="clear" w:color="auto" w:fill="FFF2CC"/>
            <w:hideMark/>
          </w:tcPr>
          <w:p w14:paraId="383CE37B" w14:textId="77777777" w:rsidR="00D054B8" w:rsidRPr="00D054B8" w:rsidRDefault="00D054B8" w:rsidP="0083412A">
            <w:pPr>
              <w:spacing w:after="0" w:line="240" w:lineRule="auto"/>
              <w:textAlignment w:val="baseline"/>
              <w:rPr>
                <w:rFonts w:cs="Arial"/>
                <w:sz w:val="24"/>
                <w:szCs w:val="24"/>
                <w:lang w:eastAsia="en-AU"/>
              </w:rPr>
            </w:pPr>
            <w:r w:rsidRPr="00D054B8">
              <w:rPr>
                <w:rFonts w:cs="Arial"/>
                <w:b/>
                <w:bCs/>
                <w:sz w:val="24"/>
                <w:szCs w:val="24"/>
                <w:lang w:eastAsia="en-AU"/>
              </w:rPr>
              <w:t>Section 5. Annualised expenditure summary and balance </w:t>
            </w:r>
            <w:r w:rsidRPr="00D054B8">
              <w:rPr>
                <w:rFonts w:cs="Arial"/>
                <w:sz w:val="24"/>
                <w:szCs w:val="24"/>
                <w:lang w:eastAsia="en-AU"/>
              </w:rPr>
              <w:t> </w:t>
            </w:r>
          </w:p>
        </w:tc>
        <w:tc>
          <w:tcPr>
            <w:tcW w:w="1845" w:type="dxa"/>
            <w:tcBorders>
              <w:top w:val="single" w:sz="6" w:space="0" w:color="auto"/>
              <w:left w:val="single" w:sz="6" w:space="0" w:color="auto"/>
              <w:bottom w:val="single" w:sz="6" w:space="0" w:color="auto"/>
              <w:right w:val="single" w:sz="6" w:space="0" w:color="auto"/>
            </w:tcBorders>
            <w:shd w:val="clear" w:color="auto" w:fill="FFF2CC"/>
            <w:hideMark/>
          </w:tcPr>
          <w:p w14:paraId="12EFAAB2" w14:textId="77777777" w:rsidR="00D054B8" w:rsidRPr="00D054B8" w:rsidRDefault="00D054B8" w:rsidP="0083412A">
            <w:pPr>
              <w:spacing w:after="0" w:line="240" w:lineRule="auto"/>
              <w:jc w:val="center"/>
              <w:textAlignment w:val="baseline"/>
              <w:rPr>
                <w:rFonts w:cs="Arial"/>
                <w:sz w:val="24"/>
                <w:szCs w:val="24"/>
                <w:lang w:eastAsia="en-AU"/>
              </w:rPr>
            </w:pPr>
            <w:r w:rsidRPr="00D054B8">
              <w:rPr>
                <w:rFonts w:cs="Arial"/>
                <w:sz w:val="22"/>
                <w:szCs w:val="22"/>
                <w:lang w:eastAsia="en-AU"/>
              </w:rPr>
              <w:t>Forecast/estimate  </w:t>
            </w:r>
          </w:p>
        </w:tc>
        <w:tc>
          <w:tcPr>
            <w:tcW w:w="1785" w:type="dxa"/>
            <w:tcBorders>
              <w:top w:val="single" w:sz="6" w:space="0" w:color="auto"/>
              <w:left w:val="single" w:sz="6" w:space="0" w:color="auto"/>
              <w:bottom w:val="single" w:sz="6" w:space="0" w:color="auto"/>
              <w:right w:val="single" w:sz="6" w:space="0" w:color="auto"/>
            </w:tcBorders>
            <w:shd w:val="clear" w:color="auto" w:fill="FFF2CC"/>
            <w:hideMark/>
          </w:tcPr>
          <w:p w14:paraId="0F742D4F" w14:textId="77777777" w:rsidR="00D054B8" w:rsidRPr="00D054B8" w:rsidRDefault="00D054B8" w:rsidP="0083412A">
            <w:pPr>
              <w:spacing w:after="0" w:line="240" w:lineRule="auto"/>
              <w:jc w:val="center"/>
              <w:textAlignment w:val="baseline"/>
              <w:rPr>
                <w:rFonts w:cs="Arial"/>
                <w:sz w:val="24"/>
                <w:szCs w:val="24"/>
                <w:lang w:eastAsia="en-AU"/>
              </w:rPr>
            </w:pPr>
            <w:r w:rsidRPr="00D054B8">
              <w:rPr>
                <w:rFonts w:cs="Arial"/>
                <w:sz w:val="22"/>
                <w:szCs w:val="22"/>
                <w:lang w:eastAsia="en-AU"/>
              </w:rPr>
              <w:t>Actuals </w:t>
            </w:r>
          </w:p>
        </w:tc>
      </w:tr>
      <w:tr w:rsidR="00D054B8" w:rsidRPr="00AC5511" w14:paraId="2048152F" w14:textId="77777777" w:rsidTr="0083412A">
        <w:trPr>
          <w:trHeight w:val="300"/>
        </w:trPr>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110F90DA" w14:textId="77777777" w:rsidR="00D054B8" w:rsidRPr="00D054B8" w:rsidRDefault="00D054B8" w:rsidP="0083412A">
            <w:pPr>
              <w:spacing w:after="0" w:line="240" w:lineRule="auto"/>
              <w:textAlignment w:val="baseline"/>
              <w:rPr>
                <w:rFonts w:cs="Arial"/>
                <w:sz w:val="24"/>
                <w:szCs w:val="24"/>
                <w:lang w:eastAsia="en-AU"/>
              </w:rPr>
            </w:pPr>
            <w:r w:rsidRPr="00D054B8">
              <w:rPr>
                <w:rFonts w:cs="Arial"/>
                <w:b/>
                <w:bCs/>
                <w:sz w:val="22"/>
                <w:szCs w:val="22"/>
                <w:lang w:eastAsia="en-AU"/>
              </w:rPr>
              <w:t>A</w:t>
            </w:r>
          </w:p>
        </w:tc>
        <w:tc>
          <w:tcPr>
            <w:tcW w:w="4650" w:type="dxa"/>
            <w:tcBorders>
              <w:top w:val="single" w:sz="6" w:space="0" w:color="auto"/>
              <w:left w:val="single" w:sz="6" w:space="0" w:color="auto"/>
              <w:bottom w:val="single" w:sz="6" w:space="0" w:color="auto"/>
              <w:right w:val="single" w:sz="6" w:space="0" w:color="auto"/>
            </w:tcBorders>
            <w:shd w:val="clear" w:color="auto" w:fill="auto"/>
            <w:hideMark/>
          </w:tcPr>
          <w:p w14:paraId="1D34B4AB" w14:textId="77777777" w:rsidR="00D054B8" w:rsidRPr="00D054B8" w:rsidRDefault="00D054B8" w:rsidP="0083412A">
            <w:pPr>
              <w:spacing w:after="0" w:line="240" w:lineRule="auto"/>
              <w:textAlignment w:val="baseline"/>
              <w:rPr>
                <w:rFonts w:cs="Arial"/>
                <w:sz w:val="24"/>
                <w:szCs w:val="24"/>
                <w:lang w:eastAsia="en-AU"/>
              </w:rPr>
            </w:pPr>
            <w:r w:rsidRPr="00D054B8">
              <w:rPr>
                <w:rFonts w:cs="Arial"/>
                <w:b/>
                <w:bCs/>
                <w:sz w:val="22"/>
                <w:szCs w:val="22"/>
                <w:lang w:eastAsia="en-AU"/>
              </w:rPr>
              <w:t xml:space="preserve">Total actual expenditure on staffing </w:t>
            </w:r>
            <w:r w:rsidRPr="00D054B8">
              <w:rPr>
                <w:rFonts w:cs="Arial"/>
                <w:b/>
                <w:bCs/>
                <w:sz w:val="22"/>
                <w:szCs w:val="22"/>
                <w:lang w:eastAsia="en-AU"/>
              </w:rPr>
              <w:br/>
            </w:r>
            <w:r w:rsidRPr="00D054B8">
              <w:rPr>
                <w:rFonts w:cs="Arial"/>
                <w:sz w:val="16"/>
                <w:szCs w:val="16"/>
                <w:lang w:eastAsia="en-AU"/>
              </w:rPr>
              <w:t>(subtotal from section2)</w:t>
            </w:r>
            <w:r w:rsidRPr="00D054B8">
              <w:rPr>
                <w:rFonts w:cs="Arial"/>
                <w:b/>
                <w:bCs/>
                <w:sz w:val="22"/>
                <w:szCs w:val="22"/>
                <w:lang w:eastAsia="en-AU"/>
              </w:rPr>
              <w:t> </w:t>
            </w:r>
            <w:r w:rsidRPr="00D054B8">
              <w:rPr>
                <w:rFonts w:cs="Arial"/>
                <w:sz w:val="22"/>
                <w:szCs w:val="22"/>
                <w:lang w:eastAsia="en-AU"/>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0A03C3D0" w14:textId="77777777" w:rsidR="00D054B8" w:rsidRPr="00D054B8" w:rsidRDefault="00D054B8" w:rsidP="0083412A">
            <w:pPr>
              <w:spacing w:after="0" w:line="240" w:lineRule="auto"/>
              <w:textAlignment w:val="baseline"/>
              <w:rPr>
                <w:rFonts w:cs="Arial"/>
                <w:sz w:val="24"/>
                <w:szCs w:val="24"/>
                <w:lang w:eastAsia="en-AU"/>
              </w:rPr>
            </w:pPr>
            <w:r w:rsidRPr="00D054B8">
              <w:rPr>
                <w:rFonts w:cs="Arial"/>
                <w:sz w:val="22"/>
                <w:szCs w:val="22"/>
                <w:lang w:eastAsia="en-AU"/>
              </w:rPr>
              <w:t>$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4D7BC52C" w14:textId="77777777" w:rsidR="00D054B8" w:rsidRPr="00D054B8" w:rsidRDefault="00D054B8" w:rsidP="0083412A">
            <w:pPr>
              <w:spacing w:after="0" w:line="240" w:lineRule="auto"/>
              <w:textAlignment w:val="baseline"/>
              <w:rPr>
                <w:rFonts w:cs="Arial"/>
                <w:sz w:val="24"/>
                <w:szCs w:val="24"/>
                <w:lang w:eastAsia="en-AU"/>
              </w:rPr>
            </w:pPr>
            <w:r w:rsidRPr="00D054B8">
              <w:rPr>
                <w:rFonts w:cs="Arial"/>
                <w:sz w:val="22"/>
                <w:szCs w:val="22"/>
                <w:lang w:eastAsia="en-AU"/>
              </w:rPr>
              <w:t>$ </w:t>
            </w:r>
          </w:p>
        </w:tc>
      </w:tr>
      <w:tr w:rsidR="00D054B8" w:rsidRPr="00AC5511" w14:paraId="6A618E6C" w14:textId="77777777" w:rsidTr="0083412A">
        <w:trPr>
          <w:trHeight w:val="300"/>
        </w:trPr>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08616AA5" w14:textId="77777777" w:rsidR="00D054B8" w:rsidRPr="00D054B8" w:rsidRDefault="00D054B8" w:rsidP="0083412A">
            <w:pPr>
              <w:spacing w:after="0" w:line="240" w:lineRule="auto"/>
              <w:textAlignment w:val="baseline"/>
              <w:rPr>
                <w:rFonts w:cs="Arial"/>
                <w:sz w:val="24"/>
                <w:szCs w:val="24"/>
                <w:lang w:eastAsia="en-AU"/>
              </w:rPr>
            </w:pPr>
            <w:r w:rsidRPr="00D054B8">
              <w:rPr>
                <w:rFonts w:cs="Arial"/>
                <w:b/>
                <w:bCs/>
                <w:sz w:val="22"/>
                <w:szCs w:val="22"/>
                <w:lang w:eastAsia="en-AU"/>
              </w:rPr>
              <w:t>B</w:t>
            </w:r>
          </w:p>
        </w:tc>
        <w:tc>
          <w:tcPr>
            <w:tcW w:w="4650" w:type="dxa"/>
            <w:tcBorders>
              <w:top w:val="single" w:sz="6" w:space="0" w:color="auto"/>
              <w:left w:val="single" w:sz="6" w:space="0" w:color="auto"/>
              <w:bottom w:val="single" w:sz="6" w:space="0" w:color="auto"/>
              <w:right w:val="single" w:sz="6" w:space="0" w:color="auto"/>
            </w:tcBorders>
            <w:shd w:val="clear" w:color="auto" w:fill="auto"/>
            <w:hideMark/>
          </w:tcPr>
          <w:p w14:paraId="1C44E2C2" w14:textId="77777777" w:rsidR="00D054B8" w:rsidRPr="00D054B8" w:rsidRDefault="00D054B8" w:rsidP="0083412A">
            <w:pPr>
              <w:spacing w:after="0" w:line="240" w:lineRule="auto"/>
              <w:textAlignment w:val="baseline"/>
              <w:rPr>
                <w:rFonts w:cs="Arial"/>
                <w:sz w:val="24"/>
                <w:szCs w:val="24"/>
                <w:lang w:eastAsia="en-AU"/>
              </w:rPr>
            </w:pPr>
            <w:r w:rsidRPr="00D054B8">
              <w:rPr>
                <w:rFonts w:cs="Arial"/>
                <w:b/>
                <w:bCs/>
                <w:sz w:val="22"/>
                <w:szCs w:val="22"/>
                <w:lang w:eastAsia="en-AU"/>
              </w:rPr>
              <w:t xml:space="preserve">Total overheads </w:t>
            </w:r>
            <w:r w:rsidRPr="00D054B8">
              <w:rPr>
                <w:rFonts w:cs="Arial"/>
                <w:sz w:val="16"/>
                <w:szCs w:val="16"/>
                <w:lang w:eastAsia="en-AU"/>
              </w:rPr>
              <w:t>(from section 5)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19BBE367" w14:textId="77777777" w:rsidR="00D054B8" w:rsidRPr="00D054B8" w:rsidRDefault="00D054B8" w:rsidP="0083412A">
            <w:pPr>
              <w:spacing w:after="0" w:line="240" w:lineRule="auto"/>
              <w:textAlignment w:val="baseline"/>
              <w:rPr>
                <w:rFonts w:cs="Arial"/>
                <w:sz w:val="24"/>
                <w:szCs w:val="24"/>
                <w:lang w:eastAsia="en-AU"/>
              </w:rPr>
            </w:pPr>
            <w:r w:rsidRPr="00D054B8">
              <w:rPr>
                <w:rFonts w:cs="Arial"/>
                <w:sz w:val="22"/>
                <w:szCs w:val="22"/>
                <w:lang w:eastAsia="en-AU"/>
              </w:rPr>
              <w:t>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580F9F5D" w14:textId="77777777" w:rsidR="00D054B8" w:rsidRPr="00D054B8" w:rsidRDefault="00D054B8" w:rsidP="0083412A">
            <w:pPr>
              <w:spacing w:after="0" w:line="240" w:lineRule="auto"/>
              <w:textAlignment w:val="baseline"/>
              <w:rPr>
                <w:rFonts w:cs="Arial"/>
                <w:sz w:val="24"/>
                <w:szCs w:val="24"/>
                <w:lang w:eastAsia="en-AU"/>
              </w:rPr>
            </w:pPr>
            <w:r w:rsidRPr="00D054B8">
              <w:rPr>
                <w:rFonts w:cs="Arial"/>
                <w:sz w:val="22"/>
                <w:szCs w:val="22"/>
                <w:lang w:eastAsia="en-AU"/>
              </w:rPr>
              <w:t> </w:t>
            </w:r>
          </w:p>
        </w:tc>
      </w:tr>
      <w:tr w:rsidR="00D054B8" w:rsidRPr="00AC5511" w14:paraId="7B46EAE2" w14:textId="77777777" w:rsidTr="0083412A">
        <w:trPr>
          <w:trHeight w:val="300"/>
        </w:trPr>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3BA1A4B2" w14:textId="77777777" w:rsidR="00D054B8" w:rsidRPr="00D054B8" w:rsidRDefault="00D054B8" w:rsidP="0083412A">
            <w:pPr>
              <w:spacing w:after="0" w:line="240" w:lineRule="auto"/>
              <w:textAlignment w:val="baseline"/>
              <w:rPr>
                <w:rFonts w:cs="Arial"/>
                <w:sz w:val="24"/>
                <w:szCs w:val="24"/>
                <w:lang w:eastAsia="en-AU"/>
              </w:rPr>
            </w:pPr>
            <w:r w:rsidRPr="00D054B8">
              <w:rPr>
                <w:rFonts w:cs="Arial"/>
                <w:b/>
                <w:bCs/>
                <w:sz w:val="22"/>
                <w:szCs w:val="22"/>
                <w:lang w:eastAsia="en-AU"/>
              </w:rPr>
              <w:t>C</w:t>
            </w:r>
          </w:p>
        </w:tc>
        <w:tc>
          <w:tcPr>
            <w:tcW w:w="4650" w:type="dxa"/>
            <w:tcBorders>
              <w:top w:val="single" w:sz="6" w:space="0" w:color="auto"/>
              <w:left w:val="single" w:sz="6" w:space="0" w:color="auto"/>
              <w:bottom w:val="single" w:sz="6" w:space="0" w:color="auto"/>
              <w:right w:val="single" w:sz="6" w:space="0" w:color="auto"/>
            </w:tcBorders>
            <w:shd w:val="clear" w:color="auto" w:fill="auto"/>
            <w:hideMark/>
          </w:tcPr>
          <w:p w14:paraId="433803E0" w14:textId="77777777" w:rsidR="00D054B8" w:rsidRPr="00D054B8" w:rsidRDefault="00D054B8" w:rsidP="0083412A">
            <w:pPr>
              <w:spacing w:after="0" w:line="240" w:lineRule="auto"/>
              <w:textAlignment w:val="baseline"/>
              <w:rPr>
                <w:rFonts w:cs="Arial"/>
                <w:sz w:val="24"/>
                <w:szCs w:val="24"/>
                <w:lang w:eastAsia="en-AU"/>
              </w:rPr>
            </w:pPr>
            <w:r w:rsidRPr="00D054B8">
              <w:rPr>
                <w:rFonts w:cs="Arial"/>
                <w:b/>
                <w:bCs/>
                <w:sz w:val="22"/>
                <w:szCs w:val="22"/>
                <w:lang w:eastAsia="en-AU"/>
              </w:rPr>
              <w:t xml:space="preserve">Total actual initiative/program costs </w:t>
            </w:r>
            <w:r w:rsidRPr="00D054B8">
              <w:rPr>
                <w:rFonts w:cs="Arial"/>
                <w:sz w:val="16"/>
                <w:szCs w:val="16"/>
                <w:lang w:eastAsia="en-AU"/>
              </w:rPr>
              <w:t>(from section 4)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56F97F97" w14:textId="77777777" w:rsidR="00D054B8" w:rsidRPr="00D054B8" w:rsidRDefault="00D054B8" w:rsidP="0083412A">
            <w:pPr>
              <w:spacing w:after="0" w:line="240" w:lineRule="auto"/>
              <w:textAlignment w:val="baseline"/>
              <w:rPr>
                <w:rFonts w:cs="Arial"/>
                <w:sz w:val="24"/>
                <w:szCs w:val="24"/>
                <w:lang w:eastAsia="en-AU"/>
              </w:rPr>
            </w:pPr>
            <w:r w:rsidRPr="00D054B8">
              <w:rPr>
                <w:rFonts w:cs="Arial"/>
                <w:sz w:val="22"/>
                <w:szCs w:val="22"/>
                <w:lang w:eastAsia="en-AU"/>
              </w:rPr>
              <w:t>$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3CA0AE2E" w14:textId="77777777" w:rsidR="00D054B8" w:rsidRPr="00D054B8" w:rsidRDefault="00D054B8" w:rsidP="0083412A">
            <w:pPr>
              <w:spacing w:after="0" w:line="240" w:lineRule="auto"/>
              <w:textAlignment w:val="baseline"/>
              <w:rPr>
                <w:rFonts w:cs="Arial"/>
                <w:sz w:val="24"/>
                <w:szCs w:val="24"/>
                <w:lang w:eastAsia="en-AU"/>
              </w:rPr>
            </w:pPr>
            <w:r w:rsidRPr="00D054B8">
              <w:rPr>
                <w:rFonts w:cs="Arial"/>
                <w:sz w:val="22"/>
                <w:szCs w:val="22"/>
                <w:lang w:eastAsia="en-AU"/>
              </w:rPr>
              <w:t>$ </w:t>
            </w:r>
          </w:p>
        </w:tc>
      </w:tr>
      <w:tr w:rsidR="00D054B8" w:rsidRPr="00AC5511" w14:paraId="263E80D0" w14:textId="77777777" w:rsidTr="0083412A">
        <w:trPr>
          <w:trHeight w:val="300"/>
        </w:trPr>
        <w:tc>
          <w:tcPr>
            <w:tcW w:w="720" w:type="dxa"/>
            <w:tcBorders>
              <w:top w:val="double" w:sz="6" w:space="0" w:color="auto"/>
              <w:left w:val="single" w:sz="6" w:space="0" w:color="auto"/>
              <w:bottom w:val="double" w:sz="6" w:space="0" w:color="auto"/>
              <w:right w:val="single" w:sz="6" w:space="0" w:color="auto"/>
            </w:tcBorders>
            <w:shd w:val="clear" w:color="auto" w:fill="auto"/>
            <w:hideMark/>
          </w:tcPr>
          <w:p w14:paraId="6AADC793" w14:textId="77777777" w:rsidR="00D054B8" w:rsidRPr="00D054B8" w:rsidRDefault="00D054B8" w:rsidP="0083412A">
            <w:pPr>
              <w:spacing w:after="0" w:line="240" w:lineRule="auto"/>
              <w:textAlignment w:val="baseline"/>
              <w:rPr>
                <w:rFonts w:cs="Arial"/>
                <w:sz w:val="24"/>
                <w:szCs w:val="24"/>
                <w:lang w:eastAsia="en-AU"/>
              </w:rPr>
            </w:pPr>
            <w:r w:rsidRPr="00D054B8">
              <w:rPr>
                <w:rFonts w:cs="Arial"/>
                <w:sz w:val="22"/>
                <w:szCs w:val="22"/>
                <w:lang w:eastAsia="en-AU"/>
              </w:rPr>
              <w:t>D</w:t>
            </w:r>
          </w:p>
        </w:tc>
        <w:tc>
          <w:tcPr>
            <w:tcW w:w="4650" w:type="dxa"/>
            <w:tcBorders>
              <w:top w:val="double" w:sz="6" w:space="0" w:color="auto"/>
              <w:left w:val="single" w:sz="6" w:space="0" w:color="auto"/>
              <w:bottom w:val="double" w:sz="6" w:space="0" w:color="auto"/>
              <w:right w:val="single" w:sz="6" w:space="0" w:color="auto"/>
            </w:tcBorders>
            <w:shd w:val="clear" w:color="auto" w:fill="auto"/>
            <w:hideMark/>
          </w:tcPr>
          <w:p w14:paraId="27CE4CC3" w14:textId="77777777" w:rsidR="00D054B8" w:rsidRPr="00D054B8" w:rsidRDefault="00D054B8" w:rsidP="0083412A">
            <w:pPr>
              <w:spacing w:after="0" w:line="240" w:lineRule="auto"/>
              <w:textAlignment w:val="baseline"/>
              <w:rPr>
                <w:rFonts w:cs="Arial"/>
                <w:sz w:val="24"/>
                <w:szCs w:val="24"/>
                <w:lang w:eastAsia="en-AU"/>
              </w:rPr>
            </w:pPr>
            <w:r w:rsidRPr="00D054B8">
              <w:rPr>
                <w:rFonts w:cs="Arial"/>
                <w:b/>
                <w:bCs/>
                <w:sz w:val="22"/>
                <w:szCs w:val="22"/>
                <w:lang w:eastAsia="en-AU"/>
              </w:rPr>
              <w:t xml:space="preserve">Total expenditure </w:t>
            </w:r>
            <w:r w:rsidRPr="00D054B8">
              <w:rPr>
                <w:rFonts w:cs="Arial"/>
                <w:sz w:val="16"/>
                <w:szCs w:val="16"/>
                <w:lang w:eastAsia="en-AU"/>
              </w:rPr>
              <w:t>(D=A+B+C) </w:t>
            </w:r>
          </w:p>
        </w:tc>
        <w:tc>
          <w:tcPr>
            <w:tcW w:w="1845" w:type="dxa"/>
            <w:tcBorders>
              <w:top w:val="double" w:sz="6" w:space="0" w:color="auto"/>
              <w:left w:val="single" w:sz="6" w:space="0" w:color="auto"/>
              <w:bottom w:val="double" w:sz="6" w:space="0" w:color="auto"/>
              <w:right w:val="single" w:sz="6" w:space="0" w:color="auto"/>
            </w:tcBorders>
            <w:shd w:val="clear" w:color="auto" w:fill="auto"/>
            <w:hideMark/>
          </w:tcPr>
          <w:p w14:paraId="3063A012" w14:textId="77777777" w:rsidR="00D054B8" w:rsidRPr="00D054B8" w:rsidRDefault="00D054B8" w:rsidP="0083412A">
            <w:pPr>
              <w:spacing w:after="0" w:line="240" w:lineRule="auto"/>
              <w:textAlignment w:val="baseline"/>
              <w:rPr>
                <w:rFonts w:cs="Arial"/>
                <w:sz w:val="24"/>
                <w:szCs w:val="24"/>
                <w:lang w:eastAsia="en-AU"/>
              </w:rPr>
            </w:pPr>
            <w:r w:rsidRPr="00D054B8">
              <w:rPr>
                <w:rFonts w:cs="Arial"/>
                <w:sz w:val="22"/>
                <w:szCs w:val="22"/>
                <w:lang w:eastAsia="en-AU"/>
              </w:rPr>
              <w:t>$ </w:t>
            </w:r>
          </w:p>
        </w:tc>
        <w:tc>
          <w:tcPr>
            <w:tcW w:w="1785" w:type="dxa"/>
            <w:tcBorders>
              <w:top w:val="double" w:sz="6" w:space="0" w:color="auto"/>
              <w:left w:val="single" w:sz="6" w:space="0" w:color="auto"/>
              <w:bottom w:val="double" w:sz="6" w:space="0" w:color="auto"/>
              <w:right w:val="single" w:sz="6" w:space="0" w:color="auto"/>
            </w:tcBorders>
            <w:shd w:val="clear" w:color="auto" w:fill="auto"/>
            <w:hideMark/>
          </w:tcPr>
          <w:p w14:paraId="79009419" w14:textId="77777777" w:rsidR="00D054B8" w:rsidRPr="00D054B8" w:rsidRDefault="00D054B8" w:rsidP="0083412A">
            <w:pPr>
              <w:spacing w:after="0" w:line="240" w:lineRule="auto"/>
              <w:textAlignment w:val="baseline"/>
              <w:rPr>
                <w:rFonts w:cs="Arial"/>
                <w:sz w:val="24"/>
                <w:szCs w:val="24"/>
                <w:lang w:eastAsia="en-AU"/>
              </w:rPr>
            </w:pPr>
            <w:r w:rsidRPr="00D054B8">
              <w:rPr>
                <w:rFonts w:cs="Arial"/>
                <w:sz w:val="22"/>
                <w:szCs w:val="22"/>
                <w:lang w:eastAsia="en-AU"/>
              </w:rPr>
              <w:t>$ </w:t>
            </w:r>
          </w:p>
        </w:tc>
      </w:tr>
      <w:tr w:rsidR="00D054B8" w:rsidRPr="00AC5511" w14:paraId="2A562A6A" w14:textId="77777777" w:rsidTr="0083412A">
        <w:trPr>
          <w:trHeight w:val="300"/>
        </w:trPr>
        <w:tc>
          <w:tcPr>
            <w:tcW w:w="720" w:type="dxa"/>
            <w:tcBorders>
              <w:top w:val="double" w:sz="6" w:space="0" w:color="auto"/>
              <w:left w:val="single" w:sz="6" w:space="0" w:color="auto"/>
              <w:bottom w:val="double" w:sz="6" w:space="0" w:color="auto"/>
              <w:right w:val="single" w:sz="6" w:space="0" w:color="auto"/>
            </w:tcBorders>
            <w:shd w:val="clear" w:color="auto" w:fill="auto"/>
            <w:hideMark/>
          </w:tcPr>
          <w:p w14:paraId="46E07D9C" w14:textId="77777777" w:rsidR="00D054B8" w:rsidRPr="00D054B8" w:rsidRDefault="00D054B8" w:rsidP="0083412A">
            <w:pPr>
              <w:spacing w:after="0" w:line="240" w:lineRule="auto"/>
              <w:textAlignment w:val="baseline"/>
              <w:rPr>
                <w:rFonts w:cs="Arial"/>
                <w:sz w:val="24"/>
                <w:szCs w:val="24"/>
                <w:lang w:eastAsia="en-AU"/>
              </w:rPr>
            </w:pPr>
            <w:r w:rsidRPr="00D054B8">
              <w:rPr>
                <w:rFonts w:cs="Arial"/>
                <w:sz w:val="22"/>
                <w:szCs w:val="22"/>
                <w:lang w:eastAsia="en-AU"/>
              </w:rPr>
              <w:t>E</w:t>
            </w:r>
          </w:p>
        </w:tc>
        <w:tc>
          <w:tcPr>
            <w:tcW w:w="4650" w:type="dxa"/>
            <w:tcBorders>
              <w:top w:val="double" w:sz="6" w:space="0" w:color="auto"/>
              <w:left w:val="single" w:sz="6" w:space="0" w:color="auto"/>
              <w:bottom w:val="double" w:sz="6" w:space="0" w:color="auto"/>
              <w:right w:val="single" w:sz="6" w:space="0" w:color="auto"/>
            </w:tcBorders>
            <w:shd w:val="clear" w:color="auto" w:fill="auto"/>
            <w:hideMark/>
          </w:tcPr>
          <w:p w14:paraId="2D3F9F8B" w14:textId="77777777" w:rsidR="00D054B8" w:rsidRPr="00D054B8" w:rsidRDefault="00D054B8" w:rsidP="0083412A">
            <w:pPr>
              <w:spacing w:after="0" w:line="240" w:lineRule="auto"/>
              <w:textAlignment w:val="baseline"/>
              <w:rPr>
                <w:rFonts w:cs="Arial"/>
                <w:sz w:val="24"/>
                <w:szCs w:val="24"/>
                <w:lang w:eastAsia="en-AU"/>
              </w:rPr>
            </w:pPr>
            <w:r w:rsidRPr="00D054B8">
              <w:rPr>
                <w:rFonts w:cs="Arial"/>
                <w:b/>
                <w:bCs/>
                <w:sz w:val="22"/>
                <w:szCs w:val="22"/>
                <w:lang w:eastAsia="en-AU"/>
              </w:rPr>
              <w:t xml:space="preserve">Balance/variance </w:t>
            </w:r>
            <w:r w:rsidRPr="00D054B8">
              <w:rPr>
                <w:rFonts w:cs="Arial"/>
                <w:sz w:val="16"/>
                <w:szCs w:val="16"/>
                <w:lang w:eastAsia="en-AU"/>
              </w:rPr>
              <w:t>income reported in section 1 minus (-) total expenditure reported in row D, if all current funds are expended this should equal $0.00 </w:t>
            </w:r>
          </w:p>
        </w:tc>
        <w:tc>
          <w:tcPr>
            <w:tcW w:w="1845" w:type="dxa"/>
            <w:tcBorders>
              <w:top w:val="double" w:sz="6" w:space="0" w:color="auto"/>
              <w:left w:val="single" w:sz="6" w:space="0" w:color="auto"/>
              <w:bottom w:val="double" w:sz="6" w:space="0" w:color="auto"/>
              <w:right w:val="single" w:sz="6" w:space="0" w:color="auto"/>
            </w:tcBorders>
            <w:shd w:val="clear" w:color="auto" w:fill="auto"/>
            <w:hideMark/>
          </w:tcPr>
          <w:p w14:paraId="7CD8511D" w14:textId="77777777" w:rsidR="00D054B8" w:rsidRPr="00D054B8" w:rsidRDefault="00D054B8" w:rsidP="0083412A">
            <w:pPr>
              <w:spacing w:after="0" w:line="240" w:lineRule="auto"/>
              <w:textAlignment w:val="baseline"/>
              <w:rPr>
                <w:rFonts w:cs="Arial"/>
                <w:sz w:val="24"/>
                <w:szCs w:val="24"/>
                <w:lang w:eastAsia="en-AU"/>
              </w:rPr>
            </w:pPr>
            <w:r w:rsidRPr="00D054B8">
              <w:rPr>
                <w:rFonts w:cs="Arial"/>
                <w:sz w:val="22"/>
                <w:szCs w:val="22"/>
                <w:lang w:eastAsia="en-AU"/>
              </w:rPr>
              <w:t>$ </w:t>
            </w:r>
          </w:p>
        </w:tc>
        <w:tc>
          <w:tcPr>
            <w:tcW w:w="1785" w:type="dxa"/>
            <w:tcBorders>
              <w:top w:val="double" w:sz="6" w:space="0" w:color="auto"/>
              <w:left w:val="single" w:sz="6" w:space="0" w:color="auto"/>
              <w:bottom w:val="double" w:sz="6" w:space="0" w:color="auto"/>
              <w:right w:val="single" w:sz="6" w:space="0" w:color="auto"/>
            </w:tcBorders>
            <w:shd w:val="clear" w:color="auto" w:fill="auto"/>
            <w:hideMark/>
          </w:tcPr>
          <w:p w14:paraId="11ACB987" w14:textId="77777777" w:rsidR="00D054B8" w:rsidRPr="00D054B8" w:rsidRDefault="00D054B8" w:rsidP="0083412A">
            <w:pPr>
              <w:spacing w:after="0" w:line="240" w:lineRule="auto"/>
              <w:textAlignment w:val="baseline"/>
              <w:rPr>
                <w:rFonts w:cs="Arial"/>
                <w:sz w:val="24"/>
                <w:szCs w:val="24"/>
                <w:lang w:eastAsia="en-AU"/>
              </w:rPr>
            </w:pPr>
            <w:r w:rsidRPr="00D054B8">
              <w:rPr>
                <w:rFonts w:cs="Arial"/>
                <w:sz w:val="22"/>
                <w:szCs w:val="22"/>
                <w:lang w:eastAsia="en-AU"/>
              </w:rPr>
              <w:t>$ </w:t>
            </w:r>
          </w:p>
        </w:tc>
      </w:tr>
    </w:tbl>
    <w:p w14:paraId="46A5EB17" w14:textId="77777777" w:rsidR="00D054B8" w:rsidRPr="00AC5511" w:rsidRDefault="00D054B8" w:rsidP="00D054B8">
      <w:pPr>
        <w:spacing w:after="0" w:line="240" w:lineRule="auto"/>
        <w:textAlignment w:val="baseline"/>
        <w:rPr>
          <w:rFonts w:ascii="Segoe UI" w:hAnsi="Segoe UI" w:cs="Segoe UI"/>
          <w:sz w:val="18"/>
          <w:szCs w:val="18"/>
          <w:lang w:eastAsia="en-AU"/>
        </w:rPr>
      </w:pPr>
      <w:r w:rsidRPr="00AC5511">
        <w:rPr>
          <w:rFonts w:ascii="Calibri" w:hAnsi="Calibri" w:cs="Calibri"/>
          <w:sz w:val="22"/>
          <w:szCs w:val="22"/>
          <w:lang w:eastAsia="en-AU"/>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0"/>
        <w:gridCol w:w="4500"/>
      </w:tblGrid>
      <w:tr w:rsidR="00D054B8" w:rsidRPr="00AC5511" w14:paraId="65DF373A" w14:textId="77777777" w:rsidTr="0083412A">
        <w:trPr>
          <w:trHeight w:val="300"/>
        </w:trPr>
        <w:tc>
          <w:tcPr>
            <w:tcW w:w="4500" w:type="dxa"/>
            <w:tcBorders>
              <w:top w:val="nil"/>
              <w:left w:val="nil"/>
              <w:bottom w:val="nil"/>
              <w:right w:val="nil"/>
            </w:tcBorders>
            <w:shd w:val="clear" w:color="auto" w:fill="auto"/>
            <w:hideMark/>
          </w:tcPr>
          <w:p w14:paraId="6638AF3D" w14:textId="77777777" w:rsidR="00D054B8" w:rsidRPr="00D054B8" w:rsidRDefault="00D054B8" w:rsidP="0083412A">
            <w:pPr>
              <w:spacing w:after="0" w:line="240" w:lineRule="auto"/>
              <w:textAlignment w:val="baseline"/>
              <w:rPr>
                <w:rFonts w:cs="Arial"/>
                <w:sz w:val="24"/>
                <w:szCs w:val="24"/>
                <w:lang w:eastAsia="en-AU"/>
              </w:rPr>
            </w:pPr>
            <w:r w:rsidRPr="00D054B8">
              <w:rPr>
                <w:rFonts w:cs="Arial"/>
                <w:b/>
                <w:bCs/>
                <w:sz w:val="24"/>
                <w:szCs w:val="24"/>
                <w:lang w:eastAsia="en-AU"/>
              </w:rPr>
              <w:t xml:space="preserve">ENDORSEMENT for planned expenditure </w:t>
            </w:r>
            <w:r w:rsidRPr="00D054B8">
              <w:rPr>
                <w:rFonts w:cs="Arial"/>
                <w:sz w:val="16"/>
                <w:szCs w:val="16"/>
                <w:lang w:eastAsia="en-AU"/>
              </w:rPr>
              <w:t>Required for plan approval from program manager or director.</w:t>
            </w:r>
          </w:p>
        </w:tc>
        <w:tc>
          <w:tcPr>
            <w:tcW w:w="4500" w:type="dxa"/>
            <w:tcBorders>
              <w:top w:val="nil"/>
              <w:left w:val="nil"/>
              <w:bottom w:val="nil"/>
              <w:right w:val="nil"/>
            </w:tcBorders>
            <w:shd w:val="clear" w:color="auto" w:fill="auto"/>
            <w:hideMark/>
          </w:tcPr>
          <w:p w14:paraId="27A7A7DB" w14:textId="77777777" w:rsidR="00D054B8" w:rsidRPr="00D054B8" w:rsidRDefault="00D054B8" w:rsidP="0083412A">
            <w:pPr>
              <w:spacing w:after="0" w:line="240" w:lineRule="auto"/>
              <w:textAlignment w:val="baseline"/>
              <w:rPr>
                <w:rFonts w:cs="Arial"/>
                <w:sz w:val="24"/>
                <w:szCs w:val="24"/>
                <w:lang w:eastAsia="en-AU"/>
              </w:rPr>
            </w:pPr>
            <w:r w:rsidRPr="00D054B8">
              <w:rPr>
                <w:rFonts w:cs="Arial"/>
                <w:b/>
                <w:bCs/>
                <w:sz w:val="24"/>
                <w:szCs w:val="24"/>
                <w:lang w:eastAsia="en-AU"/>
              </w:rPr>
              <w:t xml:space="preserve">ACQUITTAL CERTIFICATION and APPROVAL SIGN OFF required by CEO or CFO </w:t>
            </w:r>
            <w:r w:rsidRPr="00D054B8">
              <w:rPr>
                <w:rFonts w:cs="Arial"/>
                <w:b/>
                <w:bCs/>
                <w:sz w:val="24"/>
                <w:szCs w:val="24"/>
                <w:lang w:eastAsia="en-AU"/>
              </w:rPr>
              <w:br/>
            </w:r>
            <w:r w:rsidRPr="00D054B8">
              <w:rPr>
                <w:rFonts w:cs="Arial"/>
                <w:sz w:val="16"/>
                <w:szCs w:val="16"/>
                <w:lang w:eastAsia="en-AU"/>
              </w:rPr>
              <w:t>Required at acquittal only.</w:t>
            </w:r>
          </w:p>
        </w:tc>
      </w:tr>
      <w:tr w:rsidR="00D054B8" w:rsidRPr="00AC5511" w14:paraId="068F89D0" w14:textId="77777777" w:rsidTr="0083412A">
        <w:trPr>
          <w:trHeight w:val="300"/>
        </w:trPr>
        <w:tc>
          <w:tcPr>
            <w:tcW w:w="4500" w:type="dxa"/>
            <w:tcBorders>
              <w:top w:val="nil"/>
              <w:left w:val="nil"/>
              <w:bottom w:val="nil"/>
              <w:right w:val="nil"/>
            </w:tcBorders>
            <w:shd w:val="clear" w:color="auto" w:fill="auto"/>
            <w:hideMark/>
          </w:tcPr>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65"/>
              <w:gridCol w:w="2910"/>
            </w:tblGrid>
            <w:tr w:rsidR="00D054B8" w:rsidRPr="00AC5511" w14:paraId="7119473D" w14:textId="77777777" w:rsidTr="0083412A">
              <w:trPr>
                <w:trHeight w:val="300"/>
              </w:trPr>
              <w:tc>
                <w:tcPr>
                  <w:tcW w:w="1365" w:type="dxa"/>
                  <w:tcBorders>
                    <w:top w:val="single" w:sz="6" w:space="0" w:color="auto"/>
                    <w:left w:val="single" w:sz="6" w:space="0" w:color="auto"/>
                    <w:bottom w:val="single" w:sz="6" w:space="0" w:color="auto"/>
                    <w:right w:val="single" w:sz="6" w:space="0" w:color="auto"/>
                  </w:tcBorders>
                  <w:shd w:val="clear" w:color="auto" w:fill="auto"/>
                  <w:hideMark/>
                </w:tcPr>
                <w:p w14:paraId="3F568E87" w14:textId="77777777" w:rsidR="00D054B8" w:rsidRPr="00AC5511" w:rsidRDefault="00D054B8" w:rsidP="0083412A">
                  <w:pPr>
                    <w:spacing w:after="0" w:line="240" w:lineRule="auto"/>
                    <w:textAlignment w:val="baseline"/>
                    <w:rPr>
                      <w:rFonts w:ascii="Times New Roman" w:hAnsi="Times New Roman"/>
                      <w:sz w:val="24"/>
                      <w:szCs w:val="24"/>
                      <w:lang w:eastAsia="en-AU"/>
                    </w:rPr>
                  </w:pPr>
                  <w:r w:rsidRPr="00AC5511">
                    <w:rPr>
                      <w:rFonts w:ascii="Calibri" w:hAnsi="Calibri" w:cs="Calibri"/>
                      <w:sz w:val="22"/>
                      <w:szCs w:val="22"/>
                      <w:lang w:eastAsia="en-AU"/>
                    </w:rPr>
                    <w:t>Signature</w:t>
                  </w:r>
                </w:p>
              </w:tc>
              <w:tc>
                <w:tcPr>
                  <w:tcW w:w="2910" w:type="dxa"/>
                  <w:tcBorders>
                    <w:top w:val="single" w:sz="6" w:space="0" w:color="auto"/>
                    <w:left w:val="single" w:sz="6" w:space="0" w:color="auto"/>
                    <w:bottom w:val="single" w:sz="6" w:space="0" w:color="auto"/>
                    <w:right w:val="single" w:sz="6" w:space="0" w:color="auto"/>
                  </w:tcBorders>
                  <w:shd w:val="clear" w:color="auto" w:fill="auto"/>
                  <w:hideMark/>
                </w:tcPr>
                <w:p w14:paraId="76A69E71" w14:textId="77777777" w:rsidR="00D054B8" w:rsidRPr="00AC5511" w:rsidRDefault="00D054B8" w:rsidP="0083412A">
                  <w:pPr>
                    <w:spacing w:after="0" w:line="240" w:lineRule="auto"/>
                    <w:textAlignment w:val="baseline"/>
                    <w:rPr>
                      <w:rFonts w:ascii="Times New Roman" w:hAnsi="Times New Roman"/>
                      <w:sz w:val="24"/>
                      <w:szCs w:val="24"/>
                      <w:lang w:eastAsia="en-AU"/>
                    </w:rPr>
                  </w:pPr>
                </w:p>
              </w:tc>
            </w:tr>
            <w:tr w:rsidR="00D054B8" w:rsidRPr="00AC5511" w14:paraId="3E1DF7E6" w14:textId="77777777" w:rsidTr="0083412A">
              <w:trPr>
                <w:trHeight w:val="300"/>
              </w:trPr>
              <w:tc>
                <w:tcPr>
                  <w:tcW w:w="1365" w:type="dxa"/>
                  <w:tcBorders>
                    <w:top w:val="single" w:sz="6" w:space="0" w:color="auto"/>
                    <w:left w:val="single" w:sz="6" w:space="0" w:color="auto"/>
                    <w:bottom w:val="single" w:sz="6" w:space="0" w:color="auto"/>
                    <w:right w:val="single" w:sz="6" w:space="0" w:color="auto"/>
                  </w:tcBorders>
                  <w:shd w:val="clear" w:color="auto" w:fill="auto"/>
                  <w:hideMark/>
                </w:tcPr>
                <w:p w14:paraId="71CEE877" w14:textId="77777777" w:rsidR="00D054B8" w:rsidRPr="00AC5511" w:rsidRDefault="00D054B8" w:rsidP="0083412A">
                  <w:pPr>
                    <w:spacing w:after="0" w:line="240" w:lineRule="auto"/>
                    <w:textAlignment w:val="baseline"/>
                    <w:rPr>
                      <w:rFonts w:ascii="Times New Roman" w:hAnsi="Times New Roman"/>
                      <w:sz w:val="24"/>
                      <w:szCs w:val="24"/>
                      <w:lang w:eastAsia="en-AU"/>
                    </w:rPr>
                  </w:pPr>
                  <w:r w:rsidRPr="00AC5511">
                    <w:rPr>
                      <w:rFonts w:ascii="Calibri" w:hAnsi="Calibri" w:cs="Calibri"/>
                      <w:sz w:val="22"/>
                      <w:szCs w:val="22"/>
                      <w:lang w:eastAsia="en-AU"/>
                    </w:rPr>
                    <w:t>Name</w:t>
                  </w:r>
                </w:p>
              </w:tc>
              <w:tc>
                <w:tcPr>
                  <w:tcW w:w="2910" w:type="dxa"/>
                  <w:tcBorders>
                    <w:top w:val="single" w:sz="6" w:space="0" w:color="auto"/>
                    <w:left w:val="single" w:sz="6" w:space="0" w:color="auto"/>
                    <w:bottom w:val="single" w:sz="6" w:space="0" w:color="auto"/>
                    <w:right w:val="single" w:sz="6" w:space="0" w:color="auto"/>
                  </w:tcBorders>
                  <w:shd w:val="clear" w:color="auto" w:fill="auto"/>
                  <w:hideMark/>
                </w:tcPr>
                <w:p w14:paraId="29B9206E" w14:textId="77777777" w:rsidR="00D054B8" w:rsidRPr="00AC5511" w:rsidRDefault="00D054B8" w:rsidP="0083412A">
                  <w:pPr>
                    <w:spacing w:after="0" w:line="240" w:lineRule="auto"/>
                    <w:textAlignment w:val="baseline"/>
                    <w:rPr>
                      <w:rFonts w:ascii="Times New Roman" w:hAnsi="Times New Roman"/>
                      <w:sz w:val="24"/>
                      <w:szCs w:val="24"/>
                      <w:lang w:eastAsia="en-AU"/>
                    </w:rPr>
                  </w:pPr>
                </w:p>
              </w:tc>
            </w:tr>
            <w:tr w:rsidR="00D054B8" w:rsidRPr="00AC5511" w14:paraId="051AF649" w14:textId="77777777" w:rsidTr="0083412A">
              <w:trPr>
                <w:trHeight w:val="300"/>
              </w:trPr>
              <w:tc>
                <w:tcPr>
                  <w:tcW w:w="1365" w:type="dxa"/>
                  <w:tcBorders>
                    <w:top w:val="single" w:sz="6" w:space="0" w:color="auto"/>
                    <w:left w:val="single" w:sz="6" w:space="0" w:color="auto"/>
                    <w:bottom w:val="single" w:sz="6" w:space="0" w:color="auto"/>
                    <w:right w:val="single" w:sz="6" w:space="0" w:color="auto"/>
                  </w:tcBorders>
                  <w:shd w:val="clear" w:color="auto" w:fill="auto"/>
                  <w:hideMark/>
                </w:tcPr>
                <w:p w14:paraId="1EBC0787" w14:textId="77777777" w:rsidR="00D054B8" w:rsidRPr="00AC5511" w:rsidRDefault="00D054B8" w:rsidP="0083412A">
                  <w:pPr>
                    <w:spacing w:after="0" w:line="240" w:lineRule="auto"/>
                    <w:textAlignment w:val="baseline"/>
                    <w:rPr>
                      <w:rFonts w:ascii="Times New Roman" w:hAnsi="Times New Roman"/>
                      <w:sz w:val="24"/>
                      <w:szCs w:val="24"/>
                      <w:lang w:eastAsia="en-AU"/>
                    </w:rPr>
                  </w:pPr>
                  <w:r w:rsidRPr="00AC5511">
                    <w:rPr>
                      <w:rFonts w:ascii="Calibri" w:hAnsi="Calibri" w:cs="Calibri"/>
                      <w:sz w:val="22"/>
                      <w:szCs w:val="22"/>
                      <w:lang w:eastAsia="en-AU"/>
                    </w:rPr>
                    <w:t>Title</w:t>
                  </w:r>
                </w:p>
              </w:tc>
              <w:tc>
                <w:tcPr>
                  <w:tcW w:w="2910" w:type="dxa"/>
                  <w:tcBorders>
                    <w:top w:val="single" w:sz="6" w:space="0" w:color="auto"/>
                    <w:left w:val="single" w:sz="6" w:space="0" w:color="auto"/>
                    <w:bottom w:val="single" w:sz="6" w:space="0" w:color="auto"/>
                    <w:right w:val="single" w:sz="6" w:space="0" w:color="auto"/>
                  </w:tcBorders>
                  <w:shd w:val="clear" w:color="auto" w:fill="auto"/>
                  <w:hideMark/>
                </w:tcPr>
                <w:p w14:paraId="2E7978C5" w14:textId="77777777" w:rsidR="00D054B8" w:rsidRPr="00AC5511" w:rsidRDefault="00D054B8" w:rsidP="0083412A">
                  <w:pPr>
                    <w:spacing w:after="0" w:line="240" w:lineRule="auto"/>
                    <w:textAlignment w:val="baseline"/>
                    <w:rPr>
                      <w:rFonts w:ascii="Times New Roman" w:hAnsi="Times New Roman"/>
                      <w:sz w:val="24"/>
                      <w:szCs w:val="24"/>
                      <w:lang w:eastAsia="en-AU"/>
                    </w:rPr>
                  </w:pPr>
                </w:p>
              </w:tc>
            </w:tr>
            <w:tr w:rsidR="00D054B8" w:rsidRPr="00AC5511" w14:paraId="1A3C9DBE" w14:textId="77777777" w:rsidTr="0083412A">
              <w:trPr>
                <w:trHeight w:val="300"/>
              </w:trPr>
              <w:tc>
                <w:tcPr>
                  <w:tcW w:w="1365" w:type="dxa"/>
                  <w:tcBorders>
                    <w:top w:val="single" w:sz="6" w:space="0" w:color="auto"/>
                    <w:left w:val="single" w:sz="6" w:space="0" w:color="auto"/>
                    <w:bottom w:val="single" w:sz="6" w:space="0" w:color="auto"/>
                    <w:right w:val="single" w:sz="6" w:space="0" w:color="auto"/>
                  </w:tcBorders>
                  <w:shd w:val="clear" w:color="auto" w:fill="auto"/>
                  <w:hideMark/>
                </w:tcPr>
                <w:p w14:paraId="76670464" w14:textId="77777777" w:rsidR="00D054B8" w:rsidRPr="00AC5511" w:rsidRDefault="00D054B8" w:rsidP="0083412A">
                  <w:pPr>
                    <w:spacing w:after="0" w:line="240" w:lineRule="auto"/>
                    <w:textAlignment w:val="baseline"/>
                    <w:rPr>
                      <w:rFonts w:ascii="Times New Roman" w:hAnsi="Times New Roman"/>
                      <w:sz w:val="24"/>
                      <w:szCs w:val="24"/>
                      <w:lang w:eastAsia="en-AU"/>
                    </w:rPr>
                  </w:pPr>
                  <w:r w:rsidRPr="00AC5511">
                    <w:rPr>
                      <w:rFonts w:ascii="Calibri" w:hAnsi="Calibri" w:cs="Calibri"/>
                      <w:sz w:val="22"/>
                      <w:szCs w:val="22"/>
                      <w:lang w:eastAsia="en-AU"/>
                    </w:rPr>
                    <w:t>Date</w:t>
                  </w:r>
                </w:p>
              </w:tc>
              <w:tc>
                <w:tcPr>
                  <w:tcW w:w="2910" w:type="dxa"/>
                  <w:tcBorders>
                    <w:top w:val="single" w:sz="6" w:space="0" w:color="auto"/>
                    <w:left w:val="single" w:sz="6" w:space="0" w:color="auto"/>
                    <w:bottom w:val="single" w:sz="6" w:space="0" w:color="auto"/>
                    <w:right w:val="single" w:sz="6" w:space="0" w:color="auto"/>
                  </w:tcBorders>
                  <w:shd w:val="clear" w:color="auto" w:fill="auto"/>
                  <w:hideMark/>
                </w:tcPr>
                <w:p w14:paraId="6920612B" w14:textId="77777777" w:rsidR="00D054B8" w:rsidRPr="00AC5511" w:rsidRDefault="00D054B8" w:rsidP="0083412A">
                  <w:pPr>
                    <w:spacing w:after="0" w:line="240" w:lineRule="auto"/>
                    <w:textAlignment w:val="baseline"/>
                    <w:rPr>
                      <w:rFonts w:ascii="Times New Roman" w:hAnsi="Times New Roman"/>
                      <w:sz w:val="24"/>
                      <w:szCs w:val="24"/>
                      <w:lang w:eastAsia="en-AU"/>
                    </w:rPr>
                  </w:pPr>
                </w:p>
              </w:tc>
            </w:tr>
          </w:tbl>
          <w:p w14:paraId="227C43D0" w14:textId="77777777" w:rsidR="00D054B8" w:rsidRPr="00AC5511" w:rsidRDefault="00D054B8" w:rsidP="0083412A">
            <w:pPr>
              <w:spacing w:after="0" w:line="240" w:lineRule="auto"/>
              <w:textAlignment w:val="baseline"/>
              <w:rPr>
                <w:rFonts w:ascii="Times New Roman" w:hAnsi="Times New Roman"/>
                <w:sz w:val="24"/>
                <w:szCs w:val="24"/>
                <w:lang w:eastAsia="en-AU"/>
              </w:rPr>
            </w:pPr>
            <w:r w:rsidRPr="00AC5511">
              <w:rPr>
                <w:rFonts w:ascii="Calibri" w:hAnsi="Calibri" w:cs="Calibri"/>
                <w:sz w:val="24"/>
                <w:szCs w:val="24"/>
                <w:lang w:eastAsia="en-AU"/>
              </w:rPr>
              <w:t> </w:t>
            </w:r>
          </w:p>
        </w:tc>
        <w:tc>
          <w:tcPr>
            <w:tcW w:w="4500" w:type="dxa"/>
            <w:tcBorders>
              <w:top w:val="nil"/>
              <w:left w:val="nil"/>
              <w:bottom w:val="nil"/>
              <w:right w:val="nil"/>
            </w:tcBorders>
            <w:shd w:val="clear" w:color="auto" w:fill="auto"/>
            <w:hideMark/>
          </w:tcPr>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65"/>
              <w:gridCol w:w="2910"/>
            </w:tblGrid>
            <w:tr w:rsidR="00D054B8" w:rsidRPr="00AC5511" w14:paraId="1AD61DD5" w14:textId="77777777" w:rsidTr="0083412A">
              <w:trPr>
                <w:trHeight w:val="300"/>
              </w:trPr>
              <w:tc>
                <w:tcPr>
                  <w:tcW w:w="1365" w:type="dxa"/>
                  <w:tcBorders>
                    <w:top w:val="single" w:sz="6" w:space="0" w:color="auto"/>
                    <w:left w:val="single" w:sz="6" w:space="0" w:color="auto"/>
                    <w:bottom w:val="single" w:sz="6" w:space="0" w:color="auto"/>
                    <w:right w:val="single" w:sz="6" w:space="0" w:color="auto"/>
                  </w:tcBorders>
                  <w:shd w:val="clear" w:color="auto" w:fill="auto"/>
                  <w:hideMark/>
                </w:tcPr>
                <w:p w14:paraId="14424879" w14:textId="77777777" w:rsidR="00D054B8" w:rsidRPr="00AC5511" w:rsidRDefault="00D054B8" w:rsidP="0083412A">
                  <w:pPr>
                    <w:spacing w:after="0" w:line="240" w:lineRule="auto"/>
                    <w:textAlignment w:val="baseline"/>
                    <w:rPr>
                      <w:rFonts w:ascii="Times New Roman" w:hAnsi="Times New Roman"/>
                      <w:sz w:val="24"/>
                      <w:szCs w:val="24"/>
                      <w:lang w:eastAsia="en-AU"/>
                    </w:rPr>
                  </w:pPr>
                  <w:r w:rsidRPr="00AC5511">
                    <w:rPr>
                      <w:rFonts w:ascii="Calibri" w:hAnsi="Calibri" w:cs="Calibri"/>
                      <w:sz w:val="22"/>
                      <w:szCs w:val="22"/>
                      <w:lang w:eastAsia="en-AU"/>
                    </w:rPr>
                    <w:t>Signature</w:t>
                  </w:r>
                </w:p>
              </w:tc>
              <w:tc>
                <w:tcPr>
                  <w:tcW w:w="2910" w:type="dxa"/>
                  <w:tcBorders>
                    <w:top w:val="single" w:sz="6" w:space="0" w:color="auto"/>
                    <w:left w:val="single" w:sz="6" w:space="0" w:color="auto"/>
                    <w:bottom w:val="single" w:sz="6" w:space="0" w:color="auto"/>
                    <w:right w:val="single" w:sz="6" w:space="0" w:color="auto"/>
                  </w:tcBorders>
                  <w:shd w:val="clear" w:color="auto" w:fill="auto"/>
                  <w:hideMark/>
                </w:tcPr>
                <w:p w14:paraId="4DE30F7D" w14:textId="77777777" w:rsidR="00D054B8" w:rsidRPr="00AC5511" w:rsidRDefault="00D054B8" w:rsidP="0083412A">
                  <w:pPr>
                    <w:spacing w:after="0" w:line="240" w:lineRule="auto"/>
                    <w:textAlignment w:val="baseline"/>
                    <w:rPr>
                      <w:rFonts w:ascii="Times New Roman" w:hAnsi="Times New Roman"/>
                      <w:sz w:val="24"/>
                      <w:szCs w:val="24"/>
                      <w:lang w:eastAsia="en-AU"/>
                    </w:rPr>
                  </w:pPr>
                </w:p>
              </w:tc>
            </w:tr>
            <w:tr w:rsidR="00D054B8" w:rsidRPr="00AC5511" w14:paraId="15679F40" w14:textId="77777777" w:rsidTr="0083412A">
              <w:trPr>
                <w:trHeight w:val="300"/>
              </w:trPr>
              <w:tc>
                <w:tcPr>
                  <w:tcW w:w="1365" w:type="dxa"/>
                  <w:tcBorders>
                    <w:top w:val="single" w:sz="6" w:space="0" w:color="auto"/>
                    <w:left w:val="single" w:sz="6" w:space="0" w:color="auto"/>
                    <w:bottom w:val="single" w:sz="6" w:space="0" w:color="auto"/>
                    <w:right w:val="single" w:sz="6" w:space="0" w:color="auto"/>
                  </w:tcBorders>
                  <w:shd w:val="clear" w:color="auto" w:fill="auto"/>
                  <w:hideMark/>
                </w:tcPr>
                <w:p w14:paraId="23432BAE" w14:textId="77777777" w:rsidR="00D054B8" w:rsidRPr="00AC5511" w:rsidRDefault="00D054B8" w:rsidP="0083412A">
                  <w:pPr>
                    <w:spacing w:after="0" w:line="240" w:lineRule="auto"/>
                    <w:textAlignment w:val="baseline"/>
                    <w:rPr>
                      <w:rFonts w:ascii="Times New Roman" w:hAnsi="Times New Roman"/>
                      <w:sz w:val="24"/>
                      <w:szCs w:val="24"/>
                      <w:lang w:eastAsia="en-AU"/>
                    </w:rPr>
                  </w:pPr>
                  <w:r w:rsidRPr="00AC5511">
                    <w:rPr>
                      <w:rFonts w:ascii="Calibri" w:hAnsi="Calibri" w:cs="Calibri"/>
                      <w:sz w:val="22"/>
                      <w:szCs w:val="22"/>
                      <w:lang w:eastAsia="en-AU"/>
                    </w:rPr>
                    <w:t>Name</w:t>
                  </w:r>
                </w:p>
              </w:tc>
              <w:tc>
                <w:tcPr>
                  <w:tcW w:w="2910" w:type="dxa"/>
                  <w:tcBorders>
                    <w:top w:val="single" w:sz="6" w:space="0" w:color="auto"/>
                    <w:left w:val="single" w:sz="6" w:space="0" w:color="auto"/>
                    <w:bottom w:val="single" w:sz="6" w:space="0" w:color="auto"/>
                    <w:right w:val="single" w:sz="6" w:space="0" w:color="auto"/>
                  </w:tcBorders>
                  <w:shd w:val="clear" w:color="auto" w:fill="auto"/>
                  <w:hideMark/>
                </w:tcPr>
                <w:p w14:paraId="62EF67A2" w14:textId="77777777" w:rsidR="00D054B8" w:rsidRPr="00AC5511" w:rsidRDefault="00D054B8" w:rsidP="0083412A">
                  <w:pPr>
                    <w:spacing w:after="0" w:line="240" w:lineRule="auto"/>
                    <w:textAlignment w:val="baseline"/>
                    <w:rPr>
                      <w:rFonts w:ascii="Times New Roman" w:hAnsi="Times New Roman"/>
                      <w:sz w:val="24"/>
                      <w:szCs w:val="24"/>
                      <w:lang w:eastAsia="en-AU"/>
                    </w:rPr>
                  </w:pPr>
                </w:p>
              </w:tc>
            </w:tr>
            <w:tr w:rsidR="00D054B8" w:rsidRPr="00AC5511" w14:paraId="720602FA" w14:textId="77777777" w:rsidTr="0083412A">
              <w:trPr>
                <w:trHeight w:val="300"/>
              </w:trPr>
              <w:tc>
                <w:tcPr>
                  <w:tcW w:w="1365" w:type="dxa"/>
                  <w:tcBorders>
                    <w:top w:val="single" w:sz="6" w:space="0" w:color="auto"/>
                    <w:left w:val="single" w:sz="6" w:space="0" w:color="auto"/>
                    <w:bottom w:val="single" w:sz="6" w:space="0" w:color="auto"/>
                    <w:right w:val="single" w:sz="6" w:space="0" w:color="auto"/>
                  </w:tcBorders>
                  <w:shd w:val="clear" w:color="auto" w:fill="auto"/>
                  <w:hideMark/>
                </w:tcPr>
                <w:p w14:paraId="43551538" w14:textId="77777777" w:rsidR="00D054B8" w:rsidRPr="00AC5511" w:rsidRDefault="00D054B8" w:rsidP="0083412A">
                  <w:pPr>
                    <w:spacing w:after="0" w:line="240" w:lineRule="auto"/>
                    <w:textAlignment w:val="baseline"/>
                    <w:rPr>
                      <w:rFonts w:ascii="Times New Roman" w:hAnsi="Times New Roman"/>
                      <w:sz w:val="24"/>
                      <w:szCs w:val="24"/>
                      <w:lang w:eastAsia="en-AU"/>
                    </w:rPr>
                  </w:pPr>
                  <w:r w:rsidRPr="00AC5511">
                    <w:rPr>
                      <w:rFonts w:ascii="Calibri" w:hAnsi="Calibri" w:cs="Calibri"/>
                      <w:sz w:val="22"/>
                      <w:szCs w:val="22"/>
                      <w:lang w:eastAsia="en-AU"/>
                    </w:rPr>
                    <w:t>Title</w:t>
                  </w:r>
                </w:p>
              </w:tc>
              <w:tc>
                <w:tcPr>
                  <w:tcW w:w="2910" w:type="dxa"/>
                  <w:tcBorders>
                    <w:top w:val="single" w:sz="6" w:space="0" w:color="auto"/>
                    <w:left w:val="single" w:sz="6" w:space="0" w:color="auto"/>
                    <w:bottom w:val="single" w:sz="6" w:space="0" w:color="auto"/>
                    <w:right w:val="single" w:sz="6" w:space="0" w:color="auto"/>
                  </w:tcBorders>
                  <w:shd w:val="clear" w:color="auto" w:fill="auto"/>
                  <w:hideMark/>
                </w:tcPr>
                <w:p w14:paraId="321BDD50" w14:textId="77777777" w:rsidR="00D054B8" w:rsidRPr="00AC5511" w:rsidRDefault="00D054B8" w:rsidP="0083412A">
                  <w:pPr>
                    <w:spacing w:after="0" w:line="240" w:lineRule="auto"/>
                    <w:textAlignment w:val="baseline"/>
                    <w:rPr>
                      <w:rFonts w:ascii="Times New Roman" w:hAnsi="Times New Roman"/>
                      <w:sz w:val="24"/>
                      <w:szCs w:val="24"/>
                      <w:lang w:eastAsia="en-AU"/>
                    </w:rPr>
                  </w:pPr>
                </w:p>
              </w:tc>
            </w:tr>
            <w:tr w:rsidR="00D054B8" w:rsidRPr="00AC5511" w14:paraId="7F8C64EA" w14:textId="77777777" w:rsidTr="00D054B8">
              <w:trPr>
                <w:trHeight w:val="72"/>
              </w:trPr>
              <w:tc>
                <w:tcPr>
                  <w:tcW w:w="1365" w:type="dxa"/>
                  <w:tcBorders>
                    <w:top w:val="single" w:sz="6" w:space="0" w:color="auto"/>
                    <w:left w:val="single" w:sz="6" w:space="0" w:color="auto"/>
                    <w:bottom w:val="single" w:sz="6" w:space="0" w:color="auto"/>
                    <w:right w:val="single" w:sz="6" w:space="0" w:color="auto"/>
                  </w:tcBorders>
                  <w:shd w:val="clear" w:color="auto" w:fill="auto"/>
                  <w:hideMark/>
                </w:tcPr>
                <w:p w14:paraId="6BAD2482" w14:textId="77777777" w:rsidR="00D054B8" w:rsidRPr="00AC5511" w:rsidRDefault="00D054B8" w:rsidP="0083412A">
                  <w:pPr>
                    <w:spacing w:after="0" w:line="240" w:lineRule="auto"/>
                    <w:textAlignment w:val="baseline"/>
                    <w:rPr>
                      <w:rFonts w:ascii="Times New Roman" w:hAnsi="Times New Roman"/>
                      <w:sz w:val="24"/>
                      <w:szCs w:val="24"/>
                      <w:lang w:eastAsia="en-AU"/>
                    </w:rPr>
                  </w:pPr>
                  <w:r w:rsidRPr="00AC5511">
                    <w:rPr>
                      <w:rFonts w:ascii="Calibri" w:hAnsi="Calibri" w:cs="Calibri"/>
                      <w:sz w:val="22"/>
                      <w:szCs w:val="22"/>
                      <w:lang w:eastAsia="en-AU"/>
                    </w:rPr>
                    <w:t>Date</w:t>
                  </w:r>
                </w:p>
              </w:tc>
              <w:tc>
                <w:tcPr>
                  <w:tcW w:w="2910" w:type="dxa"/>
                  <w:tcBorders>
                    <w:top w:val="single" w:sz="6" w:space="0" w:color="auto"/>
                    <w:left w:val="single" w:sz="6" w:space="0" w:color="auto"/>
                    <w:bottom w:val="single" w:sz="6" w:space="0" w:color="auto"/>
                    <w:right w:val="single" w:sz="6" w:space="0" w:color="auto"/>
                  </w:tcBorders>
                  <w:shd w:val="clear" w:color="auto" w:fill="auto"/>
                  <w:hideMark/>
                </w:tcPr>
                <w:p w14:paraId="6C5E7A72" w14:textId="77777777" w:rsidR="00D054B8" w:rsidRPr="00AC5511" w:rsidRDefault="00D054B8" w:rsidP="0083412A">
                  <w:pPr>
                    <w:spacing w:after="0" w:line="240" w:lineRule="auto"/>
                    <w:textAlignment w:val="baseline"/>
                    <w:rPr>
                      <w:rFonts w:ascii="Times New Roman" w:hAnsi="Times New Roman"/>
                      <w:sz w:val="24"/>
                      <w:szCs w:val="24"/>
                      <w:lang w:eastAsia="en-AU"/>
                    </w:rPr>
                  </w:pPr>
                </w:p>
              </w:tc>
            </w:tr>
          </w:tbl>
          <w:p w14:paraId="48086ECD" w14:textId="77777777" w:rsidR="00D054B8" w:rsidRPr="00AC5511" w:rsidRDefault="00D054B8" w:rsidP="0083412A">
            <w:pPr>
              <w:spacing w:after="0" w:line="240" w:lineRule="auto"/>
              <w:textAlignment w:val="baseline"/>
              <w:rPr>
                <w:rFonts w:ascii="Times New Roman" w:hAnsi="Times New Roman"/>
                <w:sz w:val="24"/>
                <w:szCs w:val="24"/>
                <w:lang w:eastAsia="en-AU"/>
              </w:rPr>
            </w:pPr>
            <w:r w:rsidRPr="00AC5511">
              <w:rPr>
                <w:rFonts w:ascii="Calibri" w:hAnsi="Calibri" w:cs="Calibri"/>
                <w:sz w:val="24"/>
                <w:szCs w:val="24"/>
                <w:lang w:eastAsia="en-AU"/>
              </w:rPr>
              <w:t> </w:t>
            </w:r>
          </w:p>
        </w:tc>
      </w:tr>
    </w:tbl>
    <w:p w14:paraId="4BA6B426" w14:textId="77777777" w:rsidR="00D054B8" w:rsidRPr="00AC5511" w:rsidRDefault="00D054B8" w:rsidP="00D054B8">
      <w:pPr>
        <w:spacing w:after="0" w:line="240" w:lineRule="auto"/>
        <w:textAlignment w:val="baseline"/>
        <w:rPr>
          <w:rFonts w:ascii="Segoe UI" w:hAnsi="Segoe UI" w:cs="Segoe UI"/>
          <w:sz w:val="18"/>
          <w:szCs w:val="18"/>
          <w:lang w:eastAsia="en-AU"/>
        </w:rPr>
      </w:pPr>
      <w:r w:rsidRPr="00AC5511">
        <w:rPr>
          <w:rFonts w:ascii="Calibri" w:hAnsi="Calibri" w:cs="Calibri"/>
          <w:sz w:val="28"/>
          <w:szCs w:val="28"/>
          <w:lang w:eastAsia="en-AU"/>
        </w:rPr>
        <w:t> </w:t>
      </w:r>
    </w:p>
    <w:p w14:paraId="5559E980" w14:textId="77777777" w:rsidR="00D054B8" w:rsidRPr="00D054B8" w:rsidRDefault="00D054B8" w:rsidP="00D054B8">
      <w:pPr>
        <w:spacing w:after="0" w:line="240" w:lineRule="auto"/>
        <w:textAlignment w:val="baseline"/>
        <w:rPr>
          <w:rFonts w:cs="Arial"/>
          <w:szCs w:val="21"/>
          <w:lang w:eastAsia="en-AU"/>
        </w:rPr>
      </w:pPr>
      <w:r w:rsidRPr="00D054B8">
        <w:rPr>
          <w:rFonts w:cs="Arial"/>
          <w:b/>
          <w:bCs/>
          <w:szCs w:val="21"/>
          <w:lang w:eastAsia="en-AU"/>
        </w:rPr>
        <w:t>Part B. Program activity and evaluation</w:t>
      </w:r>
      <w:r w:rsidRPr="00D054B8">
        <w:rPr>
          <w:rFonts w:cs="Arial"/>
          <w:szCs w:val="21"/>
          <w:lang w:eastAsia="en-AU"/>
        </w:rPr>
        <w:t> </w:t>
      </w:r>
    </w:p>
    <w:p w14:paraId="755FA937" w14:textId="77777777" w:rsidR="00D054B8" w:rsidRPr="00D054B8" w:rsidRDefault="00D054B8" w:rsidP="00D054B8">
      <w:pPr>
        <w:spacing w:after="0" w:line="240" w:lineRule="auto"/>
        <w:textAlignment w:val="baseline"/>
        <w:rPr>
          <w:rFonts w:cs="Arial"/>
          <w:szCs w:val="21"/>
          <w:lang w:eastAsia="en-AU"/>
        </w:rPr>
      </w:pPr>
    </w:p>
    <w:p w14:paraId="71EB9B63" w14:textId="77777777" w:rsidR="00D054B8" w:rsidRPr="00D054B8" w:rsidRDefault="00D054B8" w:rsidP="00D054B8">
      <w:pPr>
        <w:spacing w:after="0" w:line="240" w:lineRule="auto"/>
        <w:textAlignment w:val="baseline"/>
        <w:rPr>
          <w:rFonts w:cs="Arial"/>
          <w:szCs w:val="21"/>
          <w:lang w:eastAsia="en-AU"/>
        </w:rPr>
      </w:pPr>
      <w:r w:rsidRPr="00D054B8">
        <w:rPr>
          <w:rFonts w:cs="Arial"/>
          <w:szCs w:val="21"/>
          <w:lang w:eastAsia="en-AU"/>
        </w:rPr>
        <w:t xml:space="preserve">To monitor the level of activity against each of the priority areas outlines in the CH-HP Program guidelines, agencies are asked to estimate the proportion of their program budget against these priorities. </w:t>
      </w:r>
    </w:p>
    <w:p w14:paraId="76B52145" w14:textId="77777777" w:rsidR="00D054B8" w:rsidRPr="00D054B8" w:rsidRDefault="00D054B8" w:rsidP="00D054B8">
      <w:pPr>
        <w:spacing w:after="0" w:line="240" w:lineRule="auto"/>
        <w:textAlignment w:val="baseline"/>
        <w:rPr>
          <w:rFonts w:cs="Arial"/>
          <w:szCs w:val="21"/>
          <w:lang w:eastAsia="en-AU"/>
        </w:rPr>
      </w:pPr>
    </w:p>
    <w:p w14:paraId="1DCA3B18" w14:textId="77777777" w:rsidR="00D054B8" w:rsidRPr="00D054B8" w:rsidRDefault="00D054B8" w:rsidP="00D054B8">
      <w:pPr>
        <w:spacing w:after="0" w:line="240" w:lineRule="auto"/>
        <w:textAlignment w:val="baseline"/>
        <w:rPr>
          <w:rFonts w:cs="Arial"/>
          <w:szCs w:val="21"/>
          <w:lang w:eastAsia="en-AU"/>
        </w:rPr>
      </w:pPr>
      <w:r w:rsidRPr="00D054B8">
        <w:rPr>
          <w:rFonts w:cs="Arial"/>
          <w:szCs w:val="21"/>
          <w:lang w:eastAsia="en-AU"/>
        </w:rPr>
        <w:t>For example, if total funding being acquitted is $100,000 then the funding distributed below should total $100,000.  </w:t>
      </w:r>
    </w:p>
    <w:p w14:paraId="7249D844" w14:textId="77777777" w:rsidR="00D054B8" w:rsidRDefault="00D054B8" w:rsidP="00D054B8">
      <w:pPr>
        <w:spacing w:after="0" w:line="240" w:lineRule="auto"/>
        <w:textAlignment w:val="baseline"/>
        <w:rPr>
          <w:rFonts w:ascii="Calibri" w:hAnsi="Calibri" w:cs="Calibri"/>
          <w:sz w:val="22"/>
          <w:szCs w:val="22"/>
          <w:lang w:eastAsia="en-AU"/>
        </w:rPr>
      </w:pPr>
    </w:p>
    <w:tbl>
      <w:tblPr>
        <w:tblStyle w:val="TableGrid"/>
        <w:tblW w:w="0" w:type="auto"/>
        <w:tblLook w:val="04A0" w:firstRow="1" w:lastRow="0" w:firstColumn="1" w:lastColumn="0" w:noHBand="0" w:noVBand="1"/>
      </w:tblPr>
      <w:tblGrid>
        <w:gridCol w:w="4508"/>
        <w:gridCol w:w="2008"/>
        <w:gridCol w:w="2008"/>
      </w:tblGrid>
      <w:tr w:rsidR="00D054B8" w14:paraId="306A7F79" w14:textId="77777777" w:rsidTr="0083412A">
        <w:tc>
          <w:tcPr>
            <w:tcW w:w="4508" w:type="dxa"/>
            <w:shd w:val="clear" w:color="auto" w:fill="E5DFEC" w:themeFill="accent4" w:themeFillTint="33"/>
          </w:tcPr>
          <w:p w14:paraId="15FA8CA9" w14:textId="77777777" w:rsidR="00D054B8" w:rsidRPr="00D054B8" w:rsidRDefault="00D054B8" w:rsidP="0083412A">
            <w:pPr>
              <w:rPr>
                <w:rFonts w:cs="Arial"/>
              </w:rPr>
            </w:pPr>
            <w:bookmarkStart w:id="31" w:name="_Hlk135897293"/>
            <w:r w:rsidRPr="00D054B8">
              <w:rPr>
                <w:rFonts w:cs="Arial"/>
                <w:b/>
                <w:bCs/>
                <w:sz w:val="28"/>
                <w:szCs w:val="28"/>
              </w:rPr>
              <w:t>Section 6. Program activity</w:t>
            </w:r>
          </w:p>
        </w:tc>
        <w:tc>
          <w:tcPr>
            <w:tcW w:w="2008" w:type="dxa"/>
            <w:shd w:val="clear" w:color="auto" w:fill="E5DFEC" w:themeFill="accent4" w:themeFillTint="33"/>
          </w:tcPr>
          <w:p w14:paraId="47F2EEDC" w14:textId="77777777" w:rsidR="00D054B8" w:rsidRPr="00D054B8" w:rsidRDefault="00D054B8" w:rsidP="0083412A">
            <w:pPr>
              <w:spacing w:line="259" w:lineRule="auto"/>
              <w:jc w:val="center"/>
              <w:rPr>
                <w:rFonts w:cs="Arial"/>
              </w:rPr>
            </w:pPr>
            <w:r w:rsidRPr="00D054B8">
              <w:rPr>
                <w:rFonts w:cs="Arial"/>
              </w:rPr>
              <w:t xml:space="preserve">Forecast/estimate </w:t>
            </w:r>
          </w:p>
        </w:tc>
        <w:tc>
          <w:tcPr>
            <w:tcW w:w="2008" w:type="dxa"/>
            <w:shd w:val="clear" w:color="auto" w:fill="E5DFEC" w:themeFill="accent4" w:themeFillTint="33"/>
          </w:tcPr>
          <w:p w14:paraId="4DC241FE" w14:textId="77777777" w:rsidR="00D054B8" w:rsidRPr="00D054B8" w:rsidRDefault="00D054B8" w:rsidP="0083412A">
            <w:pPr>
              <w:spacing w:line="259" w:lineRule="auto"/>
              <w:jc w:val="center"/>
              <w:rPr>
                <w:rFonts w:cs="Arial"/>
              </w:rPr>
            </w:pPr>
            <w:r w:rsidRPr="00D054B8">
              <w:rPr>
                <w:rFonts w:cs="Arial"/>
              </w:rPr>
              <w:t>Actuals</w:t>
            </w:r>
          </w:p>
        </w:tc>
      </w:tr>
      <w:tr w:rsidR="00D054B8" w14:paraId="09B38447" w14:textId="77777777" w:rsidTr="0083412A">
        <w:tc>
          <w:tcPr>
            <w:tcW w:w="4508" w:type="dxa"/>
          </w:tcPr>
          <w:p w14:paraId="00A90267" w14:textId="77777777" w:rsidR="00D054B8" w:rsidRPr="00D054B8" w:rsidRDefault="00D054B8" w:rsidP="0083412A">
            <w:pPr>
              <w:rPr>
                <w:rFonts w:cs="Arial"/>
              </w:rPr>
            </w:pPr>
            <w:r w:rsidRPr="00D054B8">
              <w:rPr>
                <w:rFonts w:cs="Arial"/>
              </w:rPr>
              <w:t xml:space="preserve">Increasing healthy eating </w:t>
            </w:r>
          </w:p>
        </w:tc>
        <w:tc>
          <w:tcPr>
            <w:tcW w:w="2008" w:type="dxa"/>
          </w:tcPr>
          <w:p w14:paraId="6ECDDACB" w14:textId="77777777" w:rsidR="00D054B8" w:rsidRPr="00D054B8" w:rsidRDefault="00D054B8" w:rsidP="0083412A">
            <w:pPr>
              <w:rPr>
                <w:rFonts w:cs="Arial"/>
              </w:rPr>
            </w:pPr>
            <w:r w:rsidRPr="00D054B8">
              <w:rPr>
                <w:rFonts w:cs="Arial"/>
              </w:rPr>
              <w:t>$</w:t>
            </w:r>
          </w:p>
        </w:tc>
        <w:tc>
          <w:tcPr>
            <w:tcW w:w="2008" w:type="dxa"/>
          </w:tcPr>
          <w:p w14:paraId="6A4F927C" w14:textId="77777777" w:rsidR="00D054B8" w:rsidRPr="00D054B8" w:rsidRDefault="00D054B8" w:rsidP="0083412A">
            <w:pPr>
              <w:rPr>
                <w:rFonts w:cs="Arial"/>
              </w:rPr>
            </w:pPr>
          </w:p>
        </w:tc>
      </w:tr>
      <w:tr w:rsidR="00D054B8" w14:paraId="06DD351D" w14:textId="77777777" w:rsidTr="0083412A">
        <w:tc>
          <w:tcPr>
            <w:tcW w:w="4508" w:type="dxa"/>
          </w:tcPr>
          <w:p w14:paraId="46E65A7B" w14:textId="77777777" w:rsidR="00D054B8" w:rsidRPr="00D054B8" w:rsidRDefault="00D054B8" w:rsidP="0083412A">
            <w:pPr>
              <w:rPr>
                <w:rFonts w:cs="Arial"/>
              </w:rPr>
            </w:pPr>
            <w:r w:rsidRPr="00D054B8">
              <w:rPr>
                <w:rFonts w:cs="Arial"/>
              </w:rPr>
              <w:t xml:space="preserve">Increasing active living </w:t>
            </w:r>
          </w:p>
        </w:tc>
        <w:tc>
          <w:tcPr>
            <w:tcW w:w="2008" w:type="dxa"/>
          </w:tcPr>
          <w:p w14:paraId="0E29ED7D" w14:textId="77777777" w:rsidR="00D054B8" w:rsidRPr="00D054B8" w:rsidRDefault="00D054B8" w:rsidP="0083412A">
            <w:pPr>
              <w:rPr>
                <w:rFonts w:cs="Arial"/>
              </w:rPr>
            </w:pPr>
            <w:r w:rsidRPr="00D054B8">
              <w:rPr>
                <w:rFonts w:cs="Arial"/>
              </w:rPr>
              <w:t>$</w:t>
            </w:r>
          </w:p>
        </w:tc>
        <w:tc>
          <w:tcPr>
            <w:tcW w:w="2008" w:type="dxa"/>
          </w:tcPr>
          <w:p w14:paraId="79888EDA" w14:textId="77777777" w:rsidR="00D054B8" w:rsidRPr="00D054B8" w:rsidRDefault="00D054B8" w:rsidP="0083412A">
            <w:pPr>
              <w:rPr>
                <w:rFonts w:cs="Arial"/>
              </w:rPr>
            </w:pPr>
          </w:p>
        </w:tc>
      </w:tr>
      <w:tr w:rsidR="00D054B8" w14:paraId="744ED466" w14:textId="77777777" w:rsidTr="0083412A">
        <w:tc>
          <w:tcPr>
            <w:tcW w:w="4508" w:type="dxa"/>
          </w:tcPr>
          <w:p w14:paraId="6F4B4D02" w14:textId="77777777" w:rsidR="00D054B8" w:rsidRPr="00D054B8" w:rsidRDefault="00D054B8" w:rsidP="0083412A">
            <w:pPr>
              <w:rPr>
                <w:rFonts w:cs="Arial"/>
              </w:rPr>
            </w:pPr>
            <w:r w:rsidRPr="00D054B8">
              <w:rPr>
                <w:rFonts w:cs="Arial"/>
              </w:rPr>
              <w:lastRenderedPageBreak/>
              <w:t>Reducing smoking and e-cigarette related harm</w:t>
            </w:r>
          </w:p>
        </w:tc>
        <w:tc>
          <w:tcPr>
            <w:tcW w:w="2008" w:type="dxa"/>
          </w:tcPr>
          <w:p w14:paraId="36D63DC3" w14:textId="77777777" w:rsidR="00D054B8" w:rsidRPr="00D054B8" w:rsidRDefault="00D054B8" w:rsidP="0083412A">
            <w:pPr>
              <w:rPr>
                <w:rFonts w:cs="Arial"/>
              </w:rPr>
            </w:pPr>
            <w:r w:rsidRPr="00D054B8">
              <w:rPr>
                <w:rFonts w:cs="Arial"/>
              </w:rPr>
              <w:t>$</w:t>
            </w:r>
          </w:p>
        </w:tc>
        <w:tc>
          <w:tcPr>
            <w:tcW w:w="2008" w:type="dxa"/>
          </w:tcPr>
          <w:p w14:paraId="540C3B61" w14:textId="77777777" w:rsidR="00D054B8" w:rsidRPr="00D054B8" w:rsidRDefault="00D054B8" w:rsidP="0083412A">
            <w:pPr>
              <w:rPr>
                <w:rFonts w:cs="Arial"/>
              </w:rPr>
            </w:pPr>
          </w:p>
        </w:tc>
      </w:tr>
      <w:tr w:rsidR="00D054B8" w14:paraId="33745B5B" w14:textId="77777777" w:rsidTr="0083412A">
        <w:tc>
          <w:tcPr>
            <w:tcW w:w="4508" w:type="dxa"/>
          </w:tcPr>
          <w:p w14:paraId="0F3736EF" w14:textId="77777777" w:rsidR="00D054B8" w:rsidRPr="00D054B8" w:rsidRDefault="00D054B8" w:rsidP="0083412A">
            <w:pPr>
              <w:rPr>
                <w:rFonts w:cs="Arial"/>
              </w:rPr>
            </w:pPr>
            <w:bookmarkStart w:id="32" w:name="_Hlk135842483"/>
            <w:r w:rsidRPr="00D054B8">
              <w:rPr>
                <w:rFonts w:cs="Arial"/>
              </w:rPr>
              <w:t xml:space="preserve">Mental Health and wellbeing </w:t>
            </w:r>
          </w:p>
        </w:tc>
        <w:tc>
          <w:tcPr>
            <w:tcW w:w="2008" w:type="dxa"/>
          </w:tcPr>
          <w:p w14:paraId="54431543" w14:textId="77777777" w:rsidR="00D054B8" w:rsidRPr="00D054B8" w:rsidRDefault="00D054B8" w:rsidP="0083412A">
            <w:pPr>
              <w:rPr>
                <w:rFonts w:cs="Arial"/>
              </w:rPr>
            </w:pPr>
            <w:r w:rsidRPr="00D054B8">
              <w:rPr>
                <w:rFonts w:cs="Arial"/>
              </w:rPr>
              <w:t>$</w:t>
            </w:r>
          </w:p>
        </w:tc>
        <w:tc>
          <w:tcPr>
            <w:tcW w:w="2008" w:type="dxa"/>
          </w:tcPr>
          <w:p w14:paraId="2C938C26" w14:textId="77777777" w:rsidR="00D054B8" w:rsidRPr="00D054B8" w:rsidRDefault="00D054B8" w:rsidP="0083412A">
            <w:pPr>
              <w:rPr>
                <w:rFonts w:cs="Arial"/>
              </w:rPr>
            </w:pPr>
          </w:p>
        </w:tc>
      </w:tr>
      <w:tr w:rsidR="00D054B8" w14:paraId="782656E3" w14:textId="77777777" w:rsidTr="0083412A">
        <w:tc>
          <w:tcPr>
            <w:tcW w:w="4508" w:type="dxa"/>
            <w:tcBorders>
              <w:bottom w:val="double" w:sz="4" w:space="0" w:color="auto"/>
            </w:tcBorders>
          </w:tcPr>
          <w:p w14:paraId="11E18BD3" w14:textId="77777777" w:rsidR="00D054B8" w:rsidRPr="00D054B8" w:rsidRDefault="00D054B8" w:rsidP="0083412A">
            <w:pPr>
              <w:rPr>
                <w:rFonts w:cs="Arial"/>
              </w:rPr>
            </w:pPr>
            <w:r w:rsidRPr="00D054B8">
              <w:rPr>
                <w:rFonts w:cs="Arial"/>
              </w:rPr>
              <w:t xml:space="preserve">Other </w:t>
            </w:r>
            <w:r w:rsidRPr="00D054B8">
              <w:rPr>
                <w:rFonts w:cs="Arial"/>
                <w:sz w:val="16"/>
                <w:szCs w:val="16"/>
              </w:rPr>
              <w:t>(</w:t>
            </w:r>
            <w:r w:rsidRPr="00D054B8">
              <w:rPr>
                <w:rFonts w:cs="Arial"/>
                <w:b/>
                <w:bCs/>
                <w:sz w:val="16"/>
                <w:szCs w:val="16"/>
              </w:rPr>
              <w:t>please select</w:t>
            </w:r>
            <w:r w:rsidRPr="00D054B8">
              <w:rPr>
                <w:rFonts w:cs="Arial"/>
                <w:sz w:val="16"/>
                <w:szCs w:val="16"/>
              </w:rPr>
              <w:t xml:space="preserve"> from Victorian Public Health and Wellbeing Plan priorities of preventing of all forms of violence, improving sexual and reproductive health, reducing harmful alcohol and drug use as identified in your organisation’s current action plan).</w:t>
            </w:r>
          </w:p>
        </w:tc>
        <w:tc>
          <w:tcPr>
            <w:tcW w:w="2008" w:type="dxa"/>
            <w:tcBorders>
              <w:bottom w:val="double" w:sz="4" w:space="0" w:color="auto"/>
            </w:tcBorders>
          </w:tcPr>
          <w:p w14:paraId="14BDE85C" w14:textId="77777777" w:rsidR="00D054B8" w:rsidRPr="00D054B8" w:rsidRDefault="00D054B8" w:rsidP="0083412A">
            <w:pPr>
              <w:rPr>
                <w:rFonts w:cs="Arial"/>
              </w:rPr>
            </w:pPr>
            <w:r w:rsidRPr="00D054B8">
              <w:rPr>
                <w:rFonts w:cs="Arial"/>
              </w:rPr>
              <w:t>$</w:t>
            </w:r>
          </w:p>
        </w:tc>
        <w:tc>
          <w:tcPr>
            <w:tcW w:w="2008" w:type="dxa"/>
            <w:tcBorders>
              <w:bottom w:val="double" w:sz="4" w:space="0" w:color="auto"/>
            </w:tcBorders>
          </w:tcPr>
          <w:p w14:paraId="5487C891" w14:textId="77777777" w:rsidR="00D054B8" w:rsidRPr="00D054B8" w:rsidRDefault="00D054B8" w:rsidP="0083412A">
            <w:pPr>
              <w:rPr>
                <w:rFonts w:cs="Arial"/>
              </w:rPr>
            </w:pPr>
          </w:p>
        </w:tc>
      </w:tr>
      <w:tr w:rsidR="00D054B8" w14:paraId="461CA800" w14:textId="77777777" w:rsidTr="0083412A">
        <w:tc>
          <w:tcPr>
            <w:tcW w:w="4508" w:type="dxa"/>
            <w:tcBorders>
              <w:top w:val="double" w:sz="4" w:space="0" w:color="auto"/>
              <w:bottom w:val="double" w:sz="4" w:space="0" w:color="auto"/>
            </w:tcBorders>
          </w:tcPr>
          <w:p w14:paraId="71E03819" w14:textId="77777777" w:rsidR="00D054B8" w:rsidRPr="00D054B8" w:rsidRDefault="00D054B8" w:rsidP="0083412A">
            <w:pPr>
              <w:rPr>
                <w:rFonts w:cs="Arial"/>
              </w:rPr>
            </w:pPr>
            <w:r w:rsidRPr="00D054B8">
              <w:rPr>
                <w:rFonts w:cs="Arial"/>
              </w:rPr>
              <w:t xml:space="preserve">Total </w:t>
            </w:r>
            <w:r w:rsidRPr="00D054B8">
              <w:rPr>
                <w:rFonts w:cs="Arial"/>
                <w:sz w:val="16"/>
                <w:szCs w:val="16"/>
              </w:rPr>
              <w:t>(this total should match the total annual funding in Section 1 if fully allocated and balance with row D in section 5)</w:t>
            </w:r>
          </w:p>
        </w:tc>
        <w:tc>
          <w:tcPr>
            <w:tcW w:w="2008" w:type="dxa"/>
            <w:tcBorders>
              <w:top w:val="double" w:sz="4" w:space="0" w:color="auto"/>
              <w:bottom w:val="double" w:sz="4" w:space="0" w:color="auto"/>
            </w:tcBorders>
          </w:tcPr>
          <w:p w14:paraId="41D51E2E" w14:textId="77777777" w:rsidR="00D054B8" w:rsidRPr="00D054B8" w:rsidRDefault="00D054B8" w:rsidP="0083412A">
            <w:pPr>
              <w:rPr>
                <w:rFonts w:cs="Arial"/>
              </w:rPr>
            </w:pPr>
            <w:r w:rsidRPr="00D054B8">
              <w:rPr>
                <w:rFonts w:cs="Arial"/>
              </w:rPr>
              <w:t>$</w:t>
            </w:r>
          </w:p>
        </w:tc>
        <w:tc>
          <w:tcPr>
            <w:tcW w:w="2008" w:type="dxa"/>
            <w:tcBorders>
              <w:top w:val="double" w:sz="4" w:space="0" w:color="auto"/>
              <w:bottom w:val="double" w:sz="4" w:space="0" w:color="auto"/>
            </w:tcBorders>
          </w:tcPr>
          <w:p w14:paraId="27F3915F" w14:textId="77777777" w:rsidR="00D054B8" w:rsidRPr="00D054B8" w:rsidRDefault="00D054B8" w:rsidP="0083412A">
            <w:pPr>
              <w:spacing w:line="259" w:lineRule="auto"/>
              <w:rPr>
                <w:rFonts w:cs="Arial"/>
              </w:rPr>
            </w:pPr>
            <w:r w:rsidRPr="00D054B8">
              <w:rPr>
                <w:rFonts w:cs="Arial"/>
              </w:rPr>
              <w:t>$</w:t>
            </w:r>
          </w:p>
        </w:tc>
      </w:tr>
      <w:bookmarkEnd w:id="31"/>
      <w:bookmarkEnd w:id="32"/>
    </w:tbl>
    <w:p w14:paraId="5465F492" w14:textId="77777777" w:rsidR="00D054B8" w:rsidRDefault="00D054B8" w:rsidP="00D054B8">
      <w:pPr>
        <w:spacing w:after="0" w:line="240" w:lineRule="auto"/>
        <w:textAlignment w:val="baseline"/>
        <w:rPr>
          <w:rFonts w:ascii="Calibri" w:hAnsi="Calibri" w:cs="Calibri"/>
          <w:sz w:val="22"/>
          <w:szCs w:val="22"/>
          <w:lang w:eastAsia="en-AU"/>
        </w:rPr>
      </w:pPr>
    </w:p>
    <w:p w14:paraId="66646672" w14:textId="77777777" w:rsidR="00D054B8" w:rsidRPr="00AC5511" w:rsidRDefault="00D054B8" w:rsidP="00D054B8">
      <w:pPr>
        <w:spacing w:after="0" w:line="240" w:lineRule="auto"/>
        <w:textAlignment w:val="baseline"/>
        <w:rPr>
          <w:rFonts w:ascii="Segoe UI" w:hAnsi="Segoe UI" w:cs="Segoe UI"/>
          <w:sz w:val="18"/>
          <w:szCs w:val="18"/>
          <w:lang w:eastAsia="en-AU"/>
        </w:rPr>
      </w:pPr>
    </w:p>
    <w:p w14:paraId="34BB0259" w14:textId="77777777" w:rsidR="00D054B8" w:rsidRPr="00D054B8" w:rsidRDefault="00D054B8" w:rsidP="00D054B8">
      <w:pPr>
        <w:spacing w:after="0" w:line="240" w:lineRule="auto"/>
        <w:textAlignment w:val="baseline"/>
        <w:rPr>
          <w:rFonts w:cs="Arial"/>
          <w:sz w:val="18"/>
          <w:szCs w:val="18"/>
          <w:lang w:eastAsia="en-AU"/>
        </w:rPr>
      </w:pPr>
      <w:r w:rsidRPr="00D054B8">
        <w:rPr>
          <w:rFonts w:cs="Arial"/>
          <w:b/>
          <w:bCs/>
          <w:sz w:val="28"/>
          <w:szCs w:val="28"/>
          <w:lang w:eastAsia="en-AU"/>
        </w:rPr>
        <w:t>Evaluation activity (by funded staff)</w:t>
      </w:r>
    </w:p>
    <w:p w14:paraId="0555EF7F" w14:textId="77777777" w:rsidR="00D054B8" w:rsidRPr="00D054B8" w:rsidRDefault="00D054B8" w:rsidP="00D054B8">
      <w:pPr>
        <w:spacing w:after="0" w:line="240" w:lineRule="auto"/>
        <w:textAlignment w:val="baseline"/>
        <w:rPr>
          <w:rFonts w:cs="Arial"/>
          <w:sz w:val="22"/>
          <w:szCs w:val="22"/>
          <w:lang w:eastAsia="en-AU"/>
        </w:rPr>
      </w:pPr>
      <w:r w:rsidRPr="00D054B8">
        <w:rPr>
          <w:rFonts w:cs="Arial"/>
          <w:sz w:val="22"/>
          <w:szCs w:val="22"/>
          <w:lang w:eastAsia="en-AU"/>
        </w:rPr>
        <w:t>Best practice for evaluation is 5-10% of funding inclusive of direct funding and investment of staff time. In this section, please estimate staff time allocated to evaluation over the funding period. This could include time spent collecting data, contributing to Department of Health data sets or evaluation of new initiatives   Please do not count direct funding for evaluation here, this is captured in section 4.  </w:t>
      </w:r>
    </w:p>
    <w:p w14:paraId="4CD18279" w14:textId="77777777" w:rsidR="00D054B8" w:rsidRPr="00D054B8" w:rsidRDefault="00D054B8" w:rsidP="00D054B8">
      <w:pPr>
        <w:spacing w:after="0" w:line="240" w:lineRule="auto"/>
        <w:textAlignment w:val="baseline"/>
        <w:rPr>
          <w:rFonts w:cs="Arial"/>
          <w:sz w:val="18"/>
          <w:szCs w:val="18"/>
          <w:lang w:eastAsia="en-AU"/>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0"/>
        <w:gridCol w:w="1995"/>
        <w:gridCol w:w="1995"/>
      </w:tblGrid>
      <w:tr w:rsidR="00D054B8" w:rsidRPr="00D054B8" w14:paraId="50229E18" w14:textId="77777777" w:rsidTr="0083412A">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FFF2CC"/>
            <w:hideMark/>
          </w:tcPr>
          <w:p w14:paraId="1C8743A9" w14:textId="77777777" w:rsidR="00D054B8" w:rsidRPr="00D054B8" w:rsidRDefault="00D054B8" w:rsidP="0083412A">
            <w:pPr>
              <w:spacing w:after="0" w:line="240" w:lineRule="auto"/>
              <w:textAlignment w:val="baseline"/>
              <w:rPr>
                <w:rFonts w:cs="Arial"/>
                <w:sz w:val="24"/>
                <w:szCs w:val="24"/>
                <w:lang w:eastAsia="en-AU"/>
              </w:rPr>
            </w:pPr>
            <w:r w:rsidRPr="00D054B8">
              <w:rPr>
                <w:rFonts w:cs="Arial"/>
                <w:b/>
                <w:bCs/>
                <w:sz w:val="28"/>
                <w:szCs w:val="28"/>
                <w:lang w:eastAsia="en-AU"/>
              </w:rPr>
              <w:t>Section 7. Evaluation activity </w:t>
            </w:r>
            <w:r w:rsidRPr="00D054B8">
              <w:rPr>
                <w:rFonts w:cs="Arial"/>
                <w:sz w:val="28"/>
                <w:szCs w:val="28"/>
                <w:lang w:eastAsia="en-AU"/>
              </w:rPr>
              <w:t> </w:t>
            </w:r>
          </w:p>
        </w:tc>
        <w:tc>
          <w:tcPr>
            <w:tcW w:w="1995" w:type="dxa"/>
            <w:tcBorders>
              <w:top w:val="single" w:sz="6" w:space="0" w:color="auto"/>
              <w:left w:val="single" w:sz="6" w:space="0" w:color="auto"/>
              <w:bottom w:val="single" w:sz="6" w:space="0" w:color="auto"/>
              <w:right w:val="single" w:sz="6" w:space="0" w:color="auto"/>
            </w:tcBorders>
            <w:shd w:val="clear" w:color="auto" w:fill="FFF2CC"/>
            <w:hideMark/>
          </w:tcPr>
          <w:p w14:paraId="0C3B6CDC" w14:textId="77777777" w:rsidR="00D054B8" w:rsidRPr="00D054B8" w:rsidRDefault="00D054B8" w:rsidP="0083412A">
            <w:pPr>
              <w:spacing w:after="0" w:line="240" w:lineRule="auto"/>
              <w:textAlignment w:val="baseline"/>
              <w:rPr>
                <w:rFonts w:cs="Arial"/>
                <w:sz w:val="24"/>
                <w:szCs w:val="24"/>
                <w:lang w:eastAsia="en-AU"/>
              </w:rPr>
            </w:pPr>
            <w:r w:rsidRPr="00D054B8">
              <w:rPr>
                <w:rFonts w:cs="Arial"/>
                <w:sz w:val="22"/>
                <w:szCs w:val="22"/>
                <w:lang w:eastAsia="en-AU"/>
              </w:rPr>
              <w:t> Forecast/estimate </w:t>
            </w:r>
          </w:p>
        </w:tc>
        <w:tc>
          <w:tcPr>
            <w:tcW w:w="1995" w:type="dxa"/>
            <w:tcBorders>
              <w:top w:val="single" w:sz="6" w:space="0" w:color="auto"/>
              <w:left w:val="single" w:sz="6" w:space="0" w:color="auto"/>
              <w:bottom w:val="single" w:sz="6" w:space="0" w:color="auto"/>
              <w:right w:val="single" w:sz="6" w:space="0" w:color="auto"/>
            </w:tcBorders>
            <w:shd w:val="clear" w:color="auto" w:fill="FFF2CC"/>
            <w:hideMark/>
          </w:tcPr>
          <w:p w14:paraId="5ECBEBD1" w14:textId="77777777" w:rsidR="00D054B8" w:rsidRPr="00D054B8" w:rsidRDefault="00D054B8" w:rsidP="0083412A">
            <w:pPr>
              <w:spacing w:after="0" w:line="240" w:lineRule="auto"/>
              <w:textAlignment w:val="baseline"/>
              <w:rPr>
                <w:rFonts w:cs="Arial"/>
                <w:sz w:val="24"/>
                <w:szCs w:val="24"/>
                <w:lang w:eastAsia="en-AU"/>
              </w:rPr>
            </w:pPr>
            <w:r w:rsidRPr="00D054B8">
              <w:rPr>
                <w:rFonts w:cs="Arial"/>
                <w:sz w:val="22"/>
                <w:szCs w:val="22"/>
                <w:lang w:eastAsia="en-AU"/>
              </w:rPr>
              <w:t>Actuals </w:t>
            </w:r>
          </w:p>
        </w:tc>
      </w:tr>
      <w:tr w:rsidR="00D054B8" w:rsidRPr="00D054B8" w14:paraId="009FE168" w14:textId="77777777" w:rsidTr="0083412A">
        <w:trPr>
          <w:trHeight w:val="84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5B17F182" w14:textId="77777777" w:rsidR="00D054B8" w:rsidRPr="00D054B8" w:rsidRDefault="00D054B8" w:rsidP="0083412A">
            <w:pPr>
              <w:spacing w:after="0" w:line="240" w:lineRule="auto"/>
              <w:textAlignment w:val="baseline"/>
              <w:rPr>
                <w:rFonts w:cs="Arial"/>
                <w:sz w:val="24"/>
                <w:szCs w:val="24"/>
                <w:lang w:eastAsia="en-AU"/>
              </w:rPr>
            </w:pPr>
            <w:r w:rsidRPr="00D054B8">
              <w:rPr>
                <w:rFonts w:cs="Arial"/>
                <w:sz w:val="22"/>
                <w:szCs w:val="22"/>
                <w:lang w:eastAsia="en-AU"/>
              </w:rPr>
              <w:t>Estimate the total number of days staff funded with CH-HP funding spend on evaluation over the funding period </w:t>
            </w:r>
          </w:p>
        </w:tc>
        <w:tc>
          <w:tcPr>
            <w:tcW w:w="1995" w:type="dxa"/>
            <w:tcBorders>
              <w:top w:val="single" w:sz="6" w:space="0" w:color="auto"/>
              <w:left w:val="single" w:sz="6" w:space="0" w:color="auto"/>
              <w:bottom w:val="single" w:sz="6" w:space="0" w:color="auto"/>
              <w:right w:val="single" w:sz="6" w:space="0" w:color="auto"/>
            </w:tcBorders>
            <w:shd w:val="clear" w:color="auto" w:fill="auto"/>
            <w:hideMark/>
          </w:tcPr>
          <w:p w14:paraId="4098EC8E" w14:textId="77777777" w:rsidR="00D054B8" w:rsidRPr="00D054B8" w:rsidRDefault="00D054B8" w:rsidP="0083412A">
            <w:pPr>
              <w:spacing w:after="0" w:line="240" w:lineRule="auto"/>
              <w:textAlignment w:val="baseline"/>
              <w:rPr>
                <w:rFonts w:cs="Arial"/>
                <w:sz w:val="24"/>
                <w:szCs w:val="24"/>
                <w:lang w:eastAsia="en-AU"/>
              </w:rPr>
            </w:pPr>
            <w:r w:rsidRPr="00D054B8">
              <w:rPr>
                <w:rFonts w:cs="Arial"/>
                <w:sz w:val="22"/>
                <w:szCs w:val="22"/>
                <w:lang w:eastAsia="en-AU"/>
              </w:rPr>
              <w:t> </w:t>
            </w:r>
          </w:p>
          <w:p w14:paraId="45B7E5BE" w14:textId="77777777" w:rsidR="00D054B8" w:rsidRPr="00D054B8" w:rsidRDefault="00D054B8" w:rsidP="0083412A">
            <w:pPr>
              <w:spacing w:after="0" w:line="240" w:lineRule="auto"/>
              <w:jc w:val="right"/>
              <w:textAlignment w:val="baseline"/>
              <w:rPr>
                <w:rFonts w:cs="Arial"/>
                <w:sz w:val="24"/>
                <w:szCs w:val="24"/>
                <w:lang w:eastAsia="en-AU"/>
              </w:rPr>
            </w:pPr>
            <w:r w:rsidRPr="00D054B8">
              <w:rPr>
                <w:rFonts w:cs="Arial"/>
                <w:sz w:val="22"/>
                <w:szCs w:val="22"/>
                <w:lang w:eastAsia="en-AU"/>
              </w:rPr>
              <w:t> </w:t>
            </w:r>
          </w:p>
          <w:p w14:paraId="3AF581EA" w14:textId="77777777" w:rsidR="00D054B8" w:rsidRPr="00D054B8" w:rsidRDefault="00D054B8" w:rsidP="0083412A">
            <w:pPr>
              <w:spacing w:after="0" w:line="240" w:lineRule="auto"/>
              <w:jc w:val="right"/>
              <w:textAlignment w:val="baseline"/>
              <w:rPr>
                <w:rFonts w:cs="Arial"/>
                <w:sz w:val="24"/>
                <w:szCs w:val="24"/>
                <w:lang w:eastAsia="en-AU"/>
              </w:rPr>
            </w:pPr>
            <w:r w:rsidRPr="00D054B8">
              <w:rPr>
                <w:rFonts w:cs="Arial"/>
                <w:sz w:val="22"/>
                <w:szCs w:val="22"/>
                <w:lang w:eastAsia="en-AU"/>
              </w:rPr>
              <w:t>_________  Days  </w:t>
            </w:r>
          </w:p>
        </w:tc>
        <w:tc>
          <w:tcPr>
            <w:tcW w:w="1995" w:type="dxa"/>
            <w:tcBorders>
              <w:top w:val="single" w:sz="6" w:space="0" w:color="auto"/>
              <w:left w:val="single" w:sz="6" w:space="0" w:color="auto"/>
              <w:bottom w:val="single" w:sz="6" w:space="0" w:color="auto"/>
              <w:right w:val="single" w:sz="6" w:space="0" w:color="auto"/>
            </w:tcBorders>
            <w:shd w:val="clear" w:color="auto" w:fill="auto"/>
            <w:hideMark/>
          </w:tcPr>
          <w:p w14:paraId="7785CA51" w14:textId="77777777" w:rsidR="00D054B8" w:rsidRPr="00D054B8" w:rsidRDefault="00D054B8" w:rsidP="0083412A">
            <w:pPr>
              <w:spacing w:after="0" w:line="240" w:lineRule="auto"/>
              <w:jc w:val="right"/>
              <w:textAlignment w:val="baseline"/>
              <w:rPr>
                <w:rFonts w:cs="Arial"/>
                <w:sz w:val="24"/>
                <w:szCs w:val="24"/>
                <w:lang w:eastAsia="en-AU"/>
              </w:rPr>
            </w:pPr>
            <w:r w:rsidRPr="00D054B8">
              <w:rPr>
                <w:rFonts w:cs="Arial"/>
                <w:sz w:val="22"/>
                <w:szCs w:val="22"/>
                <w:lang w:eastAsia="en-AU"/>
              </w:rPr>
              <w:t> </w:t>
            </w:r>
          </w:p>
          <w:p w14:paraId="62AF7D3C" w14:textId="77777777" w:rsidR="00D054B8" w:rsidRPr="00D054B8" w:rsidRDefault="00D054B8" w:rsidP="0083412A">
            <w:pPr>
              <w:spacing w:after="0" w:line="240" w:lineRule="auto"/>
              <w:textAlignment w:val="baseline"/>
              <w:rPr>
                <w:rFonts w:cs="Arial"/>
                <w:sz w:val="24"/>
                <w:szCs w:val="24"/>
                <w:lang w:eastAsia="en-AU"/>
              </w:rPr>
            </w:pPr>
            <w:r w:rsidRPr="00D054B8">
              <w:rPr>
                <w:rFonts w:cs="Arial"/>
                <w:sz w:val="22"/>
                <w:szCs w:val="22"/>
                <w:lang w:eastAsia="en-AU"/>
              </w:rPr>
              <w:t> </w:t>
            </w:r>
          </w:p>
          <w:p w14:paraId="016451B9" w14:textId="77777777" w:rsidR="00D054B8" w:rsidRPr="00D054B8" w:rsidRDefault="00D054B8" w:rsidP="0083412A">
            <w:pPr>
              <w:spacing w:after="0" w:line="240" w:lineRule="auto"/>
              <w:jc w:val="right"/>
              <w:textAlignment w:val="baseline"/>
              <w:rPr>
                <w:rFonts w:cs="Arial"/>
                <w:sz w:val="24"/>
                <w:szCs w:val="24"/>
                <w:lang w:eastAsia="en-AU"/>
              </w:rPr>
            </w:pPr>
            <w:r w:rsidRPr="00D054B8">
              <w:rPr>
                <w:rFonts w:cs="Arial"/>
                <w:sz w:val="22"/>
                <w:szCs w:val="22"/>
                <w:lang w:eastAsia="en-AU"/>
              </w:rPr>
              <w:t>________  Days </w:t>
            </w:r>
          </w:p>
        </w:tc>
      </w:tr>
    </w:tbl>
    <w:p w14:paraId="1096F2EE" w14:textId="77777777" w:rsidR="00D054B8" w:rsidRPr="00D054B8" w:rsidRDefault="00D054B8" w:rsidP="00D054B8">
      <w:pPr>
        <w:spacing w:after="0" w:line="240" w:lineRule="auto"/>
        <w:textAlignment w:val="baseline"/>
        <w:rPr>
          <w:rFonts w:cs="Arial"/>
          <w:b/>
        </w:rPr>
      </w:pPr>
      <w:r w:rsidRPr="00D054B8">
        <w:rPr>
          <w:rFonts w:cs="Arial"/>
          <w:sz w:val="28"/>
          <w:szCs w:val="28"/>
          <w:lang w:eastAsia="en-AU"/>
        </w:rPr>
        <w:t> </w:t>
      </w:r>
    </w:p>
    <w:p w14:paraId="09F25084" w14:textId="77777777" w:rsidR="00D054B8" w:rsidRPr="00D054B8" w:rsidRDefault="00D054B8" w:rsidP="00D054B8">
      <w:pPr>
        <w:spacing w:after="0" w:line="240" w:lineRule="auto"/>
        <w:rPr>
          <w:rFonts w:cs="Arial"/>
          <w:b/>
          <w:color w:val="53565A"/>
          <w:sz w:val="32"/>
          <w:szCs w:val="28"/>
        </w:rPr>
      </w:pPr>
      <w:r w:rsidRPr="00D054B8">
        <w:rPr>
          <w:rFonts w:cs="Arial"/>
        </w:rPr>
        <w:br w:type="page"/>
      </w:r>
    </w:p>
    <w:p w14:paraId="6794948F" w14:textId="09B56395" w:rsidR="00641FBE" w:rsidRDefault="00641FBE" w:rsidP="00C44B24">
      <w:pPr>
        <w:pStyle w:val="Heading1"/>
      </w:pPr>
      <w:bookmarkStart w:id="33" w:name="_Toc194663097"/>
      <w:r>
        <w:lastRenderedPageBreak/>
        <w:t>Appendix six: Narrative report template</w:t>
      </w:r>
      <w:bookmarkEnd w:id="33"/>
    </w:p>
    <w:p w14:paraId="39A49083" w14:textId="290E8A0D" w:rsidR="00B37551" w:rsidRDefault="00B37551" w:rsidP="002F5E03">
      <w:pPr>
        <w:pStyle w:val="Body"/>
        <w:rPr>
          <w:lang w:eastAsia="en-AU"/>
        </w:rPr>
      </w:pPr>
      <w:r w:rsidRPr="7364CBED">
        <w:rPr>
          <w:lang w:eastAsia="en-AU"/>
        </w:rPr>
        <w:t xml:space="preserve">The narrative report should accompany and complement the indicators </w:t>
      </w:r>
      <w:r>
        <w:rPr>
          <w:lang w:eastAsia="en-AU"/>
        </w:rPr>
        <w:t>webform for healthy eating, active living and tobacco and e-cigarettes</w:t>
      </w:r>
      <w:r w:rsidRPr="7364CBED">
        <w:rPr>
          <w:lang w:eastAsia="en-AU"/>
        </w:rPr>
        <w:t xml:space="preserve">. It should provide supplementary information on the </w:t>
      </w:r>
      <w:r>
        <w:rPr>
          <w:lang w:eastAsia="en-AU"/>
        </w:rPr>
        <w:t xml:space="preserve">yearly </w:t>
      </w:r>
      <w:r w:rsidRPr="7364CBED">
        <w:rPr>
          <w:lang w:eastAsia="en-AU"/>
        </w:rPr>
        <w:t>progress towards and achievements in improving public health and wellbeing outcomes and equity</w:t>
      </w:r>
      <w:r>
        <w:rPr>
          <w:lang w:eastAsia="en-AU"/>
        </w:rPr>
        <w:t xml:space="preserve">. </w:t>
      </w:r>
      <w:r w:rsidRPr="7364CBED">
        <w:rPr>
          <w:lang w:eastAsia="en-AU"/>
        </w:rPr>
        <w:t>The narrative report may also include quantitative data</w:t>
      </w:r>
      <w:r>
        <w:rPr>
          <w:lang w:eastAsia="en-AU"/>
        </w:rPr>
        <w:t xml:space="preserve">, </w:t>
      </w:r>
      <w:r w:rsidRPr="7364CBED">
        <w:rPr>
          <w:lang w:eastAsia="en-AU"/>
        </w:rPr>
        <w:t xml:space="preserve">where not already captured by the </w:t>
      </w:r>
      <w:r>
        <w:rPr>
          <w:lang w:eastAsia="en-AU"/>
        </w:rPr>
        <w:t xml:space="preserve">webform </w:t>
      </w:r>
      <w:r w:rsidRPr="7364CBED">
        <w:rPr>
          <w:lang w:eastAsia="en-AU"/>
        </w:rPr>
        <w:t>indicators</w:t>
      </w:r>
      <w:r>
        <w:rPr>
          <w:lang w:eastAsia="en-AU"/>
        </w:rPr>
        <w:t>, and for other priority areas.</w:t>
      </w:r>
      <w:r w:rsidRPr="7364CBED">
        <w:rPr>
          <w:lang w:eastAsia="en-AU"/>
        </w:rPr>
        <w:t xml:space="preserve"> In the final year of the planning cycle there is an opportunity to highlight the impacts achieved across the four-year period.</w:t>
      </w:r>
    </w:p>
    <w:p w14:paraId="76DC81B6" w14:textId="55916636" w:rsidR="00B37551" w:rsidRPr="002F5E03" w:rsidRDefault="00B37551" w:rsidP="002F5E03">
      <w:pPr>
        <w:pStyle w:val="Body"/>
        <w:rPr>
          <w:lang w:eastAsia="en-AU"/>
        </w:rPr>
      </w:pPr>
      <w:r w:rsidRPr="002F5E03">
        <w:rPr>
          <w:lang w:eastAsia="en-AU"/>
        </w:rPr>
        <w:t>The length of the report should be approximately 13 pages, including the appendices. </w:t>
      </w:r>
    </w:p>
    <w:p w14:paraId="4D9CF3A5" w14:textId="3ADF3D72" w:rsidR="00B37551" w:rsidRPr="002F5E03" w:rsidRDefault="00B37551" w:rsidP="002F5E03">
      <w:pPr>
        <w:pStyle w:val="Body"/>
        <w:rPr>
          <w:lang w:eastAsia="en-AU"/>
        </w:rPr>
      </w:pPr>
      <w:r w:rsidRPr="00DF6E74">
        <w:rPr>
          <w:lang w:eastAsia="en-AU"/>
        </w:rPr>
        <w:t>The headings for the sections of the report are as follows: </w:t>
      </w:r>
    </w:p>
    <w:p w14:paraId="193BCE1F" w14:textId="77777777" w:rsidR="00B37551" w:rsidRPr="00DF6E74" w:rsidRDefault="00B37551" w:rsidP="002F5E03">
      <w:pPr>
        <w:pStyle w:val="Bullet1"/>
        <w:rPr>
          <w:lang w:eastAsia="en-AU"/>
        </w:rPr>
      </w:pPr>
      <w:r w:rsidRPr="00DF6E74">
        <w:rPr>
          <w:lang w:eastAsia="en-AU"/>
        </w:rPr>
        <w:t>Key messages</w:t>
      </w:r>
      <w:r>
        <w:rPr>
          <w:lang w:eastAsia="en-AU"/>
        </w:rPr>
        <w:t xml:space="preserve">: </w:t>
      </w:r>
      <w:r w:rsidRPr="00DF6E74">
        <w:rPr>
          <w:lang w:eastAsia="en-AU"/>
        </w:rPr>
        <w:t>one page</w:t>
      </w:r>
    </w:p>
    <w:p w14:paraId="265F3230" w14:textId="77777777" w:rsidR="00B37551" w:rsidRPr="00DF6E74" w:rsidRDefault="00B37551" w:rsidP="002F5E03">
      <w:pPr>
        <w:pStyle w:val="Bullet1"/>
        <w:rPr>
          <w:lang w:eastAsia="en-AU"/>
        </w:rPr>
      </w:pPr>
      <w:r w:rsidRPr="00DF6E74">
        <w:rPr>
          <w:lang w:eastAsia="en-AU"/>
        </w:rPr>
        <w:t>Executive summary</w:t>
      </w:r>
      <w:r>
        <w:rPr>
          <w:lang w:eastAsia="en-AU"/>
        </w:rPr>
        <w:t xml:space="preserve">: </w:t>
      </w:r>
      <w:r w:rsidRPr="00DF6E74">
        <w:rPr>
          <w:lang w:eastAsia="en-AU"/>
        </w:rPr>
        <w:t xml:space="preserve">two pages </w:t>
      </w:r>
      <w:r>
        <w:rPr>
          <w:lang w:eastAsia="en-AU"/>
        </w:rPr>
        <w:t>(</w:t>
      </w:r>
      <w:r w:rsidRPr="00DF6E74">
        <w:rPr>
          <w:lang w:eastAsia="en-AU"/>
        </w:rPr>
        <w:t>optional</w:t>
      </w:r>
      <w:r>
        <w:rPr>
          <w:lang w:eastAsia="en-AU"/>
        </w:rPr>
        <w:t>)</w:t>
      </w:r>
    </w:p>
    <w:p w14:paraId="2D151462" w14:textId="77777777" w:rsidR="00B37551" w:rsidRPr="00DF6E74" w:rsidRDefault="00B37551" w:rsidP="002F5E03">
      <w:pPr>
        <w:pStyle w:val="Bullet1"/>
        <w:rPr>
          <w:lang w:eastAsia="en-AU"/>
        </w:rPr>
      </w:pPr>
      <w:r w:rsidRPr="00DF6E74">
        <w:rPr>
          <w:lang w:eastAsia="en-AU"/>
        </w:rPr>
        <w:t>Progress towards outcomes and equity</w:t>
      </w:r>
      <w:r>
        <w:rPr>
          <w:lang w:eastAsia="en-AU"/>
        </w:rPr>
        <w:t xml:space="preserve">: </w:t>
      </w:r>
      <w:r w:rsidRPr="00DF6E74">
        <w:rPr>
          <w:lang w:eastAsia="en-AU"/>
        </w:rPr>
        <w:t>seven pages</w:t>
      </w:r>
    </w:p>
    <w:p w14:paraId="1CBBCF3E" w14:textId="77777777" w:rsidR="00B37551" w:rsidRPr="00DF6E74" w:rsidRDefault="00B37551" w:rsidP="002F5E03">
      <w:pPr>
        <w:pStyle w:val="Bullet1"/>
        <w:rPr>
          <w:lang w:eastAsia="en-AU"/>
        </w:rPr>
      </w:pPr>
      <w:r w:rsidRPr="00DF6E74">
        <w:rPr>
          <w:lang w:eastAsia="en-AU"/>
        </w:rPr>
        <w:t>Learning and insights</w:t>
      </w:r>
      <w:r>
        <w:rPr>
          <w:lang w:eastAsia="en-AU"/>
        </w:rPr>
        <w:t xml:space="preserve">: </w:t>
      </w:r>
      <w:r w:rsidRPr="00DF6E74">
        <w:rPr>
          <w:lang w:eastAsia="en-AU"/>
        </w:rPr>
        <w:t>one page</w:t>
      </w:r>
    </w:p>
    <w:p w14:paraId="6C0A369E" w14:textId="77777777" w:rsidR="00B37551" w:rsidRPr="00DF6E74" w:rsidRDefault="00B37551" w:rsidP="002F5E03">
      <w:pPr>
        <w:pStyle w:val="Bullet1"/>
        <w:rPr>
          <w:lang w:eastAsia="en-AU"/>
        </w:rPr>
      </w:pPr>
      <w:r w:rsidRPr="00DF6E74">
        <w:rPr>
          <w:lang w:eastAsia="en-AU"/>
        </w:rPr>
        <w:t>Appendices</w:t>
      </w:r>
      <w:r>
        <w:rPr>
          <w:lang w:eastAsia="en-AU"/>
        </w:rPr>
        <w:t xml:space="preserve">: </w:t>
      </w:r>
      <w:r w:rsidRPr="00DF6E74">
        <w:rPr>
          <w:lang w:eastAsia="en-AU"/>
        </w:rPr>
        <w:t>two pages</w:t>
      </w:r>
    </w:p>
    <w:p w14:paraId="5EDE34F9" w14:textId="77777777" w:rsidR="00B37551" w:rsidRPr="00DF6E74" w:rsidRDefault="00B37551" w:rsidP="002F5E03">
      <w:pPr>
        <w:pStyle w:val="Bullet1"/>
        <w:rPr>
          <w:lang w:eastAsia="en-AU"/>
        </w:rPr>
      </w:pPr>
      <w:r w:rsidRPr="153A1F7D">
        <w:rPr>
          <w:lang w:eastAsia="en-AU"/>
        </w:rPr>
        <w:t>Additional information (optional).</w:t>
      </w:r>
    </w:p>
    <w:p w14:paraId="0DA30BC0" w14:textId="77777777" w:rsidR="00B37551" w:rsidRPr="00DF6E74" w:rsidRDefault="00B37551" w:rsidP="00B37551">
      <w:pPr>
        <w:spacing w:after="0" w:line="240" w:lineRule="auto"/>
        <w:textAlignment w:val="baseline"/>
        <w:rPr>
          <w:rFonts w:cs="Arial"/>
          <w:b/>
          <w:sz w:val="20"/>
          <w:lang w:eastAsia="en-AU"/>
        </w:rPr>
      </w:pPr>
    </w:p>
    <w:p w14:paraId="43068FAE" w14:textId="77777777" w:rsidR="00B37551" w:rsidRPr="00DF6E74" w:rsidRDefault="00B37551" w:rsidP="00B37551">
      <w:pPr>
        <w:spacing w:after="0" w:line="240" w:lineRule="auto"/>
        <w:textAlignment w:val="baseline"/>
        <w:rPr>
          <w:rFonts w:cs="Arial"/>
          <w:sz w:val="20"/>
          <w:lang w:eastAsia="en-AU"/>
        </w:rPr>
      </w:pPr>
      <w:r w:rsidRPr="00DF6E74">
        <w:rPr>
          <w:rFonts w:cs="Arial"/>
          <w:b/>
          <w:sz w:val="20"/>
          <w:lang w:eastAsia="en-AU"/>
        </w:rPr>
        <w:t>Page 1: Key messages [one page max]</w:t>
      </w:r>
      <w:r w:rsidRPr="00DF6E74">
        <w:rPr>
          <w:rFonts w:cs="Arial"/>
          <w:sz w:val="20"/>
          <w:lang w:eastAsia="en-AU"/>
        </w:rPr>
        <w:t> </w:t>
      </w:r>
    </w:p>
    <w:p w14:paraId="6DC2D243" w14:textId="77777777" w:rsidR="00B37551" w:rsidRDefault="00B37551" w:rsidP="00B37551">
      <w:pPr>
        <w:spacing w:after="0" w:line="240" w:lineRule="auto"/>
        <w:textAlignment w:val="baseline"/>
        <w:rPr>
          <w:rFonts w:cs="Arial"/>
          <w:sz w:val="20"/>
          <w:lang w:eastAsia="en-AU"/>
        </w:rPr>
      </w:pPr>
    </w:p>
    <w:p w14:paraId="0B56F45A" w14:textId="5F3983C5" w:rsidR="00B37551" w:rsidRPr="00DF6E74" w:rsidRDefault="00B37551" w:rsidP="002F5E03">
      <w:pPr>
        <w:pStyle w:val="Body"/>
        <w:rPr>
          <w:lang w:eastAsia="en-AU"/>
        </w:rPr>
      </w:pPr>
      <w:r w:rsidRPr="00DF6E74">
        <w:rPr>
          <w:lang w:eastAsia="en-AU"/>
        </w:rPr>
        <w:t>The one-page summary should be written in bullet point format</w:t>
      </w:r>
      <w:r>
        <w:rPr>
          <w:lang w:eastAsia="en-AU"/>
        </w:rPr>
        <w:t xml:space="preserve"> and include the following key messages:</w:t>
      </w:r>
    </w:p>
    <w:p w14:paraId="21E8DE4A" w14:textId="77777777" w:rsidR="00B37551" w:rsidRPr="00DF6E74" w:rsidRDefault="00B37551" w:rsidP="002F5E03">
      <w:pPr>
        <w:pStyle w:val="Bullet1"/>
        <w:rPr>
          <w:lang w:eastAsia="en-AU"/>
        </w:rPr>
      </w:pPr>
      <w:r>
        <w:rPr>
          <w:lang w:eastAsia="en-AU"/>
        </w:rPr>
        <w:t xml:space="preserve">Focus on </w:t>
      </w:r>
      <w:r w:rsidRPr="00DF6E74">
        <w:rPr>
          <w:lang w:eastAsia="en-AU"/>
        </w:rPr>
        <w:t xml:space="preserve">changes made to progress towards and achieve better public health and wellbeing outcomes and equity, </w:t>
      </w:r>
      <w:r w:rsidRPr="28D4EB44">
        <w:rPr>
          <w:lang w:eastAsia="en-AU"/>
        </w:rPr>
        <w:t>each</w:t>
      </w:r>
      <w:r w:rsidRPr="5CF0B45F">
        <w:rPr>
          <w:lang w:eastAsia="en-AU"/>
        </w:rPr>
        <w:t xml:space="preserve"> year.  </w:t>
      </w:r>
    </w:p>
    <w:p w14:paraId="7DA47C32" w14:textId="77777777" w:rsidR="00B37551" w:rsidRPr="00DF6E74" w:rsidRDefault="00B37551" w:rsidP="002F5E03">
      <w:pPr>
        <w:pStyle w:val="Bullet1"/>
        <w:rPr>
          <w:lang w:eastAsia="en-AU"/>
        </w:rPr>
      </w:pPr>
      <w:r>
        <w:rPr>
          <w:lang w:eastAsia="en-AU"/>
        </w:rPr>
        <w:t>E</w:t>
      </w:r>
      <w:r w:rsidRPr="153A1F7D">
        <w:rPr>
          <w:lang w:eastAsia="en-AU"/>
        </w:rPr>
        <w:t>mphasise the key population-level progress and achievements gained.  These would be the achievements that have made most difference for specific settings/environments, organisations and communities.  </w:t>
      </w:r>
    </w:p>
    <w:p w14:paraId="12FE0BD6" w14:textId="1CB43116" w:rsidR="00B37551" w:rsidRPr="002F5E03" w:rsidRDefault="00B37551" w:rsidP="002F5E03">
      <w:pPr>
        <w:pStyle w:val="Bullet1"/>
        <w:rPr>
          <w:lang w:eastAsia="en-AU"/>
        </w:rPr>
      </w:pPr>
      <w:r w:rsidRPr="00DF6E74">
        <w:rPr>
          <w:lang w:eastAsia="en-AU"/>
        </w:rPr>
        <w:t xml:space="preserve">Consider any policy implications of relevance to the Victorian Government. This would include any insights and advice, based on your experience to date, that may be important for other </w:t>
      </w:r>
      <w:r w:rsidRPr="000F2961">
        <w:rPr>
          <w:lang w:eastAsia="en-AU"/>
        </w:rPr>
        <w:t>Victorian Government (or local government) policies or programs to consider.  For example, any critical success factors and/or barriers for implementation of initiatives at a local level, which may have wider relevance or implications.</w:t>
      </w:r>
    </w:p>
    <w:p w14:paraId="3718CD6F" w14:textId="77777777" w:rsidR="00B37551" w:rsidRDefault="00B37551" w:rsidP="002F5E03">
      <w:pPr>
        <w:pStyle w:val="Heading5"/>
        <w:rPr>
          <w:lang w:eastAsia="en-AU"/>
        </w:rPr>
      </w:pPr>
      <w:r w:rsidRPr="00DF6E74">
        <w:rPr>
          <w:lang w:eastAsia="en-AU"/>
        </w:rPr>
        <w:t>Pages 2</w:t>
      </w:r>
      <w:r>
        <w:rPr>
          <w:lang w:eastAsia="en-AU"/>
        </w:rPr>
        <w:t>-</w:t>
      </w:r>
      <w:r w:rsidRPr="00DF6E74">
        <w:rPr>
          <w:lang w:eastAsia="en-AU"/>
        </w:rPr>
        <w:t>3: Executive summary (</w:t>
      </w:r>
      <w:r>
        <w:rPr>
          <w:lang w:eastAsia="en-AU"/>
        </w:rPr>
        <w:t>o</w:t>
      </w:r>
      <w:r w:rsidRPr="00DF6E74">
        <w:rPr>
          <w:lang w:eastAsia="en-AU"/>
        </w:rPr>
        <w:t xml:space="preserve">ptional) </w:t>
      </w:r>
      <w:r>
        <w:rPr>
          <w:lang w:eastAsia="en-AU"/>
        </w:rPr>
        <w:t>(</w:t>
      </w:r>
      <w:r w:rsidRPr="00DF6E74">
        <w:rPr>
          <w:lang w:eastAsia="en-AU"/>
        </w:rPr>
        <w:t>2 pages max</w:t>
      </w:r>
      <w:r>
        <w:rPr>
          <w:lang w:eastAsia="en-AU"/>
        </w:rPr>
        <w:t>)</w:t>
      </w:r>
    </w:p>
    <w:p w14:paraId="4D8DFA1C" w14:textId="77777777" w:rsidR="00B37551" w:rsidRPr="00DF6E74" w:rsidRDefault="00B37551" w:rsidP="00B37551">
      <w:pPr>
        <w:spacing w:after="0" w:line="240" w:lineRule="auto"/>
        <w:textAlignment w:val="baseline"/>
        <w:rPr>
          <w:rFonts w:cs="Arial"/>
          <w:sz w:val="20"/>
          <w:lang w:eastAsia="en-AU"/>
        </w:rPr>
      </w:pPr>
    </w:p>
    <w:p w14:paraId="32C759A3" w14:textId="38A91399" w:rsidR="00B37551" w:rsidRPr="00DF6E74" w:rsidRDefault="00B37551" w:rsidP="002F5E03">
      <w:pPr>
        <w:pStyle w:val="Body"/>
        <w:rPr>
          <w:lang w:eastAsia="en-AU"/>
        </w:rPr>
      </w:pPr>
      <w:r w:rsidRPr="00DF6E74">
        <w:rPr>
          <w:lang w:eastAsia="en-AU"/>
        </w:rPr>
        <w:t>The executive summary should begin with a succinct outline of the key prevention and health promotion issues that are the focus of key initiatives.  </w:t>
      </w:r>
      <w:r>
        <w:rPr>
          <w:lang w:eastAsia="en-AU"/>
        </w:rPr>
        <w:t xml:space="preserve">Please include detail on any: </w:t>
      </w:r>
    </w:p>
    <w:p w14:paraId="24C682CE" w14:textId="77777777" w:rsidR="00B37551" w:rsidRDefault="00B37551" w:rsidP="002F5E03">
      <w:pPr>
        <w:pStyle w:val="Bullet1"/>
        <w:rPr>
          <w:lang w:eastAsia="en-AU"/>
        </w:rPr>
      </w:pPr>
      <w:r w:rsidRPr="002235BB">
        <w:rPr>
          <w:lang w:eastAsia="en-AU"/>
        </w:rPr>
        <w:t>significant changes to issues that have occurred should be briefly discussed. </w:t>
      </w:r>
    </w:p>
    <w:p w14:paraId="6E94E257" w14:textId="77777777" w:rsidR="00B37551" w:rsidRDefault="00B37551" w:rsidP="002F5E03">
      <w:pPr>
        <w:pStyle w:val="Bullet1"/>
        <w:rPr>
          <w:lang w:eastAsia="en-AU"/>
        </w:rPr>
      </w:pPr>
      <w:r w:rsidRPr="002235BB">
        <w:rPr>
          <w:lang w:eastAsia="en-AU"/>
        </w:rPr>
        <w:t>significant learnings and insights, gained throughout implementation</w:t>
      </w:r>
      <w:r>
        <w:rPr>
          <w:lang w:eastAsia="en-AU"/>
        </w:rPr>
        <w:t>.</w:t>
      </w:r>
    </w:p>
    <w:p w14:paraId="280DA38B" w14:textId="26F3BF8A" w:rsidR="00B37551" w:rsidRPr="002F5E03" w:rsidRDefault="00B37551" w:rsidP="002F5E03">
      <w:pPr>
        <w:pStyle w:val="Bullet1"/>
        <w:rPr>
          <w:lang w:eastAsia="en-AU"/>
        </w:rPr>
      </w:pPr>
      <w:r w:rsidRPr="002235BB">
        <w:rPr>
          <w:lang w:eastAsia="en-AU"/>
        </w:rPr>
        <w:t>relevant background and contextual informatio</w:t>
      </w:r>
      <w:r>
        <w:rPr>
          <w:lang w:eastAsia="en-AU"/>
        </w:rPr>
        <w:t xml:space="preserve">n. </w:t>
      </w:r>
    </w:p>
    <w:p w14:paraId="2E47D4C7" w14:textId="77777777" w:rsidR="00B37551" w:rsidRDefault="00B37551" w:rsidP="002F5E03">
      <w:pPr>
        <w:pStyle w:val="Heading5"/>
        <w:rPr>
          <w:lang w:eastAsia="en-AU"/>
        </w:rPr>
      </w:pPr>
      <w:r w:rsidRPr="00DF6E74">
        <w:rPr>
          <w:lang w:eastAsia="en-AU"/>
        </w:rPr>
        <w:t>Pages 4</w:t>
      </w:r>
      <w:r>
        <w:rPr>
          <w:lang w:eastAsia="en-AU"/>
        </w:rPr>
        <w:t>-</w:t>
      </w:r>
      <w:r w:rsidRPr="00DF6E74">
        <w:rPr>
          <w:lang w:eastAsia="en-AU"/>
        </w:rPr>
        <w:t xml:space="preserve">10: Progress towards outcomes and equity </w:t>
      </w:r>
      <w:r>
        <w:rPr>
          <w:lang w:eastAsia="en-AU"/>
        </w:rPr>
        <w:t>(</w:t>
      </w:r>
      <w:r w:rsidRPr="00DF6E74">
        <w:rPr>
          <w:lang w:eastAsia="en-AU"/>
        </w:rPr>
        <w:t>7 pages max</w:t>
      </w:r>
      <w:r>
        <w:rPr>
          <w:lang w:eastAsia="en-AU"/>
        </w:rPr>
        <w:t>)</w:t>
      </w:r>
    </w:p>
    <w:p w14:paraId="14BAA27F" w14:textId="77777777" w:rsidR="00B37551" w:rsidRPr="00DF6E74" w:rsidRDefault="00B37551" w:rsidP="00B37551">
      <w:pPr>
        <w:spacing w:after="0" w:line="240" w:lineRule="auto"/>
        <w:textAlignment w:val="baseline"/>
        <w:rPr>
          <w:rFonts w:cs="Arial"/>
          <w:sz w:val="20"/>
          <w:lang w:eastAsia="en-AU"/>
        </w:rPr>
      </w:pPr>
    </w:p>
    <w:p w14:paraId="1DC0A979" w14:textId="18D25F6F" w:rsidR="00B37551" w:rsidRPr="00DF6E74" w:rsidRDefault="00B37551" w:rsidP="002F5E03">
      <w:pPr>
        <w:pStyle w:val="Body"/>
        <w:rPr>
          <w:lang w:eastAsia="en-AU"/>
        </w:rPr>
      </w:pPr>
      <w:r w:rsidRPr="153A1F7D">
        <w:rPr>
          <w:lang w:eastAsia="en-AU"/>
        </w:rPr>
        <w:t>The main part of the report should provide a brief overview of the initiatives implemented with funding provided. This includes the key changes made, the progress and achievements gained, and any key evaluation results. It should also explore any success factors, the challenges encountered and how they were addressed.  </w:t>
      </w:r>
    </w:p>
    <w:p w14:paraId="0332375D" w14:textId="77777777" w:rsidR="00B37551" w:rsidRPr="00DF6E74" w:rsidRDefault="00B37551" w:rsidP="002F5E03">
      <w:pPr>
        <w:pStyle w:val="Body"/>
        <w:rPr>
          <w:lang w:eastAsia="en-AU"/>
        </w:rPr>
      </w:pPr>
      <w:r w:rsidRPr="00DF6E74">
        <w:rPr>
          <w:lang w:eastAsia="en-AU"/>
        </w:rPr>
        <w:lastRenderedPageBreak/>
        <w:t>The focus should be on examples of contributing to healthy public policy, healthier environments, organisations and communities, and actions across the prevention system.  </w:t>
      </w:r>
      <w:r>
        <w:rPr>
          <w:lang w:eastAsia="en-AU"/>
        </w:rPr>
        <w:t>CH-HP a</w:t>
      </w:r>
      <w:r w:rsidRPr="153A1F7D">
        <w:rPr>
          <w:lang w:eastAsia="en-AU"/>
        </w:rPr>
        <w:t>gencies may choose to express this progress against the objectives, outputs and outcomes detailed in their strategic plan.</w:t>
      </w:r>
    </w:p>
    <w:p w14:paraId="3882AB4D" w14:textId="77777777" w:rsidR="00B37551" w:rsidRPr="00DF6E74" w:rsidRDefault="00B37551" w:rsidP="00B37551">
      <w:pPr>
        <w:spacing w:after="0" w:line="240" w:lineRule="auto"/>
        <w:textAlignment w:val="baseline"/>
        <w:rPr>
          <w:rFonts w:cs="Arial"/>
          <w:sz w:val="20"/>
          <w:lang w:eastAsia="en-AU"/>
        </w:rPr>
      </w:pPr>
    </w:p>
    <w:p w14:paraId="65581C44" w14:textId="114DB859" w:rsidR="002F5E03" w:rsidRDefault="00B37551" w:rsidP="00B37551">
      <w:pPr>
        <w:spacing w:after="0" w:line="240" w:lineRule="auto"/>
        <w:textAlignment w:val="baseline"/>
        <w:rPr>
          <w:rFonts w:cs="Arial"/>
          <w:sz w:val="20"/>
          <w:lang w:eastAsia="en-AU"/>
        </w:rPr>
      </w:pPr>
      <w:r>
        <w:rPr>
          <w:rFonts w:cs="Arial"/>
          <w:sz w:val="20"/>
          <w:lang w:eastAsia="en-AU"/>
        </w:rPr>
        <w:t>CH-HP agencies</w:t>
      </w:r>
      <w:r w:rsidRPr="153A1F7D">
        <w:rPr>
          <w:rFonts w:cs="Arial"/>
          <w:sz w:val="20"/>
          <w:lang w:eastAsia="en-AU"/>
        </w:rPr>
        <w:t xml:space="preserve"> must also clearly identify where they are lead and any co-funding for initiatives.  </w:t>
      </w:r>
    </w:p>
    <w:p w14:paraId="3F94EED4" w14:textId="47DCB38B" w:rsidR="00492392" w:rsidRDefault="002F5E03" w:rsidP="002F5E03">
      <w:pPr>
        <w:pStyle w:val="Tablecaption"/>
        <w:rPr>
          <w:lang w:eastAsia="en-AU"/>
        </w:rPr>
      </w:pPr>
      <w:r>
        <w:rPr>
          <w:lang w:eastAsia="en-AU"/>
        </w:rPr>
        <w:t xml:space="preserve">Table </w:t>
      </w:r>
      <w:r w:rsidR="00FC6FE3">
        <w:rPr>
          <w:lang w:eastAsia="en-AU"/>
        </w:rPr>
        <w:t>five</w:t>
      </w:r>
      <w:r>
        <w:rPr>
          <w:lang w:eastAsia="en-AU"/>
        </w:rPr>
        <w:t xml:space="preserve">: Optional table format that may </w:t>
      </w:r>
      <w:r w:rsidR="00B37551" w:rsidRPr="153A1F7D">
        <w:rPr>
          <w:lang w:eastAsia="en-AU"/>
        </w:rPr>
        <w:t>support agencies to report their progress against each priority area</w:t>
      </w:r>
    </w:p>
    <w:p w14:paraId="07F26B84" w14:textId="0165F5D7" w:rsidR="00B37551" w:rsidRDefault="00B37551" w:rsidP="00B37551">
      <w:pPr>
        <w:spacing w:after="0" w:line="240" w:lineRule="auto"/>
        <w:textAlignment w:val="baseline"/>
        <w:rPr>
          <w:rFonts w:cs="Arial"/>
          <w:sz w:val="20"/>
          <w:lang w:eastAsia="en-AU"/>
        </w:rPr>
      </w:pPr>
      <w:r w:rsidRPr="153A1F7D">
        <w:rPr>
          <w:rFonts w:cs="Arial"/>
          <w:sz w:val="20"/>
          <w:lang w:eastAsia="en-AU"/>
        </w:rPr>
        <w:t>. </w:t>
      </w:r>
    </w:p>
    <w:tbl>
      <w:tblPr>
        <w:tblW w:w="951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34"/>
        <w:gridCol w:w="1440"/>
        <w:gridCol w:w="868"/>
        <w:gridCol w:w="1404"/>
        <w:gridCol w:w="1042"/>
        <w:gridCol w:w="1230"/>
        <w:gridCol w:w="1101"/>
        <w:gridCol w:w="1253"/>
      </w:tblGrid>
      <w:tr w:rsidR="00492392" w:rsidRPr="000923AE" w14:paraId="771F4071" w14:textId="77777777" w:rsidTr="00FC6FE3">
        <w:trPr>
          <w:trHeight w:val="300"/>
        </w:trPr>
        <w:tc>
          <w:tcPr>
            <w:tcW w:w="1146" w:type="dxa"/>
            <w:tcBorders>
              <w:top w:val="single" w:sz="6" w:space="0" w:color="auto"/>
              <w:left w:val="single" w:sz="6" w:space="0" w:color="auto"/>
              <w:bottom w:val="single" w:sz="6" w:space="0" w:color="auto"/>
              <w:right w:val="single" w:sz="6" w:space="0" w:color="auto"/>
            </w:tcBorders>
            <w:shd w:val="clear" w:color="auto" w:fill="auto"/>
            <w:hideMark/>
          </w:tcPr>
          <w:p w14:paraId="26507D47" w14:textId="77777777" w:rsidR="00492392" w:rsidRPr="004407C8" w:rsidRDefault="00492392" w:rsidP="00FC6FE3">
            <w:pPr>
              <w:pStyle w:val="Tablecolhead"/>
              <w:rPr>
                <w:lang w:eastAsia="en-AU"/>
              </w:rPr>
            </w:pPr>
            <w:r w:rsidRPr="004407C8">
              <w:rPr>
                <w:lang w:eastAsia="en-AU"/>
              </w:rPr>
              <w:t>Key initiatives/ interventions</w:t>
            </w:r>
          </w:p>
        </w:tc>
        <w:tc>
          <w:tcPr>
            <w:tcW w:w="1236" w:type="dxa"/>
            <w:tcBorders>
              <w:top w:val="single" w:sz="6" w:space="0" w:color="auto"/>
              <w:left w:val="single" w:sz="6" w:space="0" w:color="auto"/>
              <w:bottom w:val="single" w:sz="6" w:space="0" w:color="auto"/>
              <w:right w:val="single" w:sz="6" w:space="0" w:color="auto"/>
            </w:tcBorders>
            <w:shd w:val="clear" w:color="auto" w:fill="auto"/>
            <w:hideMark/>
          </w:tcPr>
          <w:p w14:paraId="78E2E2F5" w14:textId="77777777" w:rsidR="00492392" w:rsidRPr="004407C8" w:rsidRDefault="00492392" w:rsidP="00FC6FE3">
            <w:pPr>
              <w:pStyle w:val="Tablecolhead"/>
              <w:rPr>
                <w:lang w:eastAsia="en-AU"/>
              </w:rPr>
            </w:pPr>
            <w:r w:rsidRPr="004407C8">
              <w:rPr>
                <w:lang w:eastAsia="en-AU"/>
              </w:rPr>
              <w:t>Lead role of the agency</w:t>
            </w:r>
          </w:p>
        </w:tc>
        <w:tc>
          <w:tcPr>
            <w:tcW w:w="755" w:type="dxa"/>
            <w:tcBorders>
              <w:top w:val="single" w:sz="6" w:space="0" w:color="auto"/>
              <w:left w:val="single" w:sz="6" w:space="0" w:color="auto"/>
              <w:bottom w:val="single" w:sz="6" w:space="0" w:color="auto"/>
              <w:right w:val="single" w:sz="6" w:space="0" w:color="auto"/>
            </w:tcBorders>
            <w:shd w:val="clear" w:color="auto" w:fill="auto"/>
            <w:hideMark/>
          </w:tcPr>
          <w:p w14:paraId="3329CCDD" w14:textId="77777777" w:rsidR="00492392" w:rsidRPr="004407C8" w:rsidRDefault="00492392" w:rsidP="00FC6FE3">
            <w:pPr>
              <w:pStyle w:val="Tablecolhead"/>
              <w:rPr>
                <w:lang w:eastAsia="en-AU"/>
              </w:rPr>
            </w:pPr>
            <w:r w:rsidRPr="004407C8">
              <w:rPr>
                <w:lang w:eastAsia="en-AU"/>
              </w:rPr>
              <w:t>Partners</w:t>
            </w:r>
          </w:p>
        </w:tc>
        <w:tc>
          <w:tcPr>
            <w:tcW w:w="1206" w:type="dxa"/>
            <w:tcBorders>
              <w:top w:val="single" w:sz="6" w:space="0" w:color="auto"/>
              <w:left w:val="single" w:sz="6" w:space="0" w:color="auto"/>
              <w:bottom w:val="single" w:sz="6" w:space="0" w:color="auto"/>
              <w:right w:val="single" w:sz="6" w:space="0" w:color="auto"/>
            </w:tcBorders>
            <w:shd w:val="clear" w:color="auto" w:fill="auto"/>
            <w:hideMark/>
          </w:tcPr>
          <w:p w14:paraId="65A4F780" w14:textId="77777777" w:rsidR="00492392" w:rsidRPr="004407C8" w:rsidRDefault="00492392" w:rsidP="00FC6FE3">
            <w:pPr>
              <w:pStyle w:val="Tablecolhead"/>
              <w:rPr>
                <w:lang w:eastAsia="en-AU"/>
              </w:rPr>
            </w:pPr>
            <w:r w:rsidRPr="004407C8">
              <w:rPr>
                <w:lang w:eastAsia="en-AU"/>
              </w:rPr>
              <w:t>Co-funding arrangements</w:t>
            </w:r>
          </w:p>
        </w:tc>
        <w:tc>
          <w:tcPr>
            <w:tcW w:w="914" w:type="dxa"/>
            <w:tcBorders>
              <w:top w:val="single" w:sz="6" w:space="0" w:color="auto"/>
              <w:left w:val="single" w:sz="6" w:space="0" w:color="auto"/>
              <w:bottom w:val="single" w:sz="6" w:space="0" w:color="auto"/>
              <w:right w:val="single" w:sz="6" w:space="0" w:color="auto"/>
            </w:tcBorders>
            <w:shd w:val="clear" w:color="auto" w:fill="auto"/>
            <w:hideMark/>
          </w:tcPr>
          <w:p w14:paraId="04B7D2B4" w14:textId="77777777" w:rsidR="00492392" w:rsidRPr="004407C8" w:rsidRDefault="00492392" w:rsidP="00FC6FE3">
            <w:pPr>
              <w:pStyle w:val="Tablecolhead"/>
              <w:rPr>
                <w:lang w:eastAsia="en-AU"/>
              </w:rPr>
            </w:pPr>
            <w:r w:rsidRPr="004407C8">
              <w:rPr>
                <w:lang w:eastAsia="en-AU"/>
              </w:rPr>
              <w:t>Planned Outcomes</w:t>
            </w:r>
          </w:p>
        </w:tc>
        <w:tc>
          <w:tcPr>
            <w:tcW w:w="1056" w:type="dxa"/>
            <w:tcBorders>
              <w:top w:val="single" w:sz="6" w:space="0" w:color="auto"/>
              <w:left w:val="single" w:sz="6" w:space="0" w:color="auto"/>
              <w:bottom w:val="single" w:sz="6" w:space="0" w:color="auto"/>
              <w:right w:val="single" w:sz="6" w:space="0" w:color="auto"/>
            </w:tcBorders>
            <w:shd w:val="clear" w:color="auto" w:fill="auto"/>
            <w:hideMark/>
          </w:tcPr>
          <w:p w14:paraId="1B1AF7C5" w14:textId="77777777" w:rsidR="00492392" w:rsidRPr="004407C8" w:rsidRDefault="00492392" w:rsidP="00FC6FE3">
            <w:pPr>
              <w:pStyle w:val="Tablecolhead"/>
              <w:rPr>
                <w:lang w:eastAsia="en-AU"/>
              </w:rPr>
            </w:pPr>
            <w:r w:rsidRPr="004407C8">
              <w:rPr>
                <w:lang w:eastAsia="en-AU"/>
              </w:rPr>
              <w:t>Outputs / deliverables</w:t>
            </w:r>
          </w:p>
        </w:tc>
        <w:tc>
          <w:tcPr>
            <w:tcW w:w="1234" w:type="dxa"/>
            <w:tcBorders>
              <w:top w:val="single" w:sz="6" w:space="0" w:color="auto"/>
              <w:left w:val="single" w:sz="6" w:space="0" w:color="auto"/>
              <w:bottom w:val="single" w:sz="6" w:space="0" w:color="auto"/>
              <w:right w:val="single" w:sz="6" w:space="0" w:color="auto"/>
            </w:tcBorders>
            <w:shd w:val="clear" w:color="auto" w:fill="auto"/>
            <w:hideMark/>
          </w:tcPr>
          <w:p w14:paraId="749FF2C4" w14:textId="77777777" w:rsidR="00492392" w:rsidRPr="004407C8" w:rsidRDefault="00492392" w:rsidP="00FC6FE3">
            <w:pPr>
              <w:pStyle w:val="Tablecolhead"/>
              <w:rPr>
                <w:lang w:eastAsia="en-AU"/>
              </w:rPr>
            </w:pPr>
            <w:r w:rsidRPr="153A1F7D">
              <w:rPr>
                <w:lang w:eastAsia="en-AU"/>
              </w:rPr>
              <w:t>Impacts, outcomes and equity achieved in the reporting period</w:t>
            </w:r>
          </w:p>
        </w:tc>
        <w:tc>
          <w:tcPr>
            <w:tcW w:w="1967" w:type="dxa"/>
            <w:tcBorders>
              <w:top w:val="single" w:sz="6" w:space="0" w:color="auto"/>
              <w:left w:val="single" w:sz="6" w:space="0" w:color="auto"/>
              <w:bottom w:val="single" w:sz="6" w:space="0" w:color="auto"/>
              <w:right w:val="single" w:sz="6" w:space="0" w:color="auto"/>
            </w:tcBorders>
            <w:shd w:val="clear" w:color="auto" w:fill="auto"/>
          </w:tcPr>
          <w:p w14:paraId="37313DDE" w14:textId="77777777" w:rsidR="00492392" w:rsidRPr="54D26CE1" w:rsidRDefault="00492392" w:rsidP="00FC6FE3">
            <w:pPr>
              <w:pStyle w:val="Tablecolhead"/>
              <w:rPr>
                <w:lang w:eastAsia="en-AU"/>
              </w:rPr>
            </w:pPr>
            <w:r w:rsidRPr="54D26CE1">
              <w:rPr>
                <w:lang w:eastAsia="en-AU"/>
              </w:rPr>
              <w:t>Priority population</w:t>
            </w:r>
            <w:r>
              <w:rPr>
                <w:lang w:eastAsia="en-AU"/>
              </w:rPr>
              <w:t xml:space="preserve"> groups </w:t>
            </w:r>
            <w:r w:rsidRPr="54D26CE1">
              <w:rPr>
                <w:lang w:eastAsia="en-AU"/>
              </w:rPr>
              <w:t xml:space="preserve">reached and LGA </w:t>
            </w:r>
          </w:p>
        </w:tc>
      </w:tr>
      <w:tr w:rsidR="00231827" w:rsidRPr="000923AE" w14:paraId="51B37566" w14:textId="77777777" w:rsidTr="00231827">
        <w:trPr>
          <w:trHeight w:val="300"/>
        </w:trPr>
        <w:tc>
          <w:tcPr>
            <w:tcW w:w="1146" w:type="dxa"/>
            <w:tcBorders>
              <w:top w:val="single" w:sz="6" w:space="0" w:color="auto"/>
              <w:left w:val="single" w:sz="6" w:space="0" w:color="auto"/>
              <w:bottom w:val="single" w:sz="6" w:space="0" w:color="auto"/>
              <w:right w:val="single" w:sz="6" w:space="0" w:color="auto"/>
            </w:tcBorders>
            <w:shd w:val="clear" w:color="auto" w:fill="auto"/>
            <w:hideMark/>
          </w:tcPr>
          <w:p w14:paraId="04F8243E" w14:textId="77777777" w:rsidR="00231827" w:rsidRPr="000521FB" w:rsidRDefault="00231827" w:rsidP="002F5E03">
            <w:pPr>
              <w:pStyle w:val="Tabletext"/>
              <w:rPr>
                <w:lang w:eastAsia="en-AU"/>
              </w:rPr>
            </w:pPr>
            <w:r w:rsidRPr="7364CBED">
              <w:rPr>
                <w:lang w:eastAsia="en-AU"/>
              </w:rPr>
              <w:t> e.g. VKEW</w:t>
            </w:r>
          </w:p>
        </w:tc>
        <w:tc>
          <w:tcPr>
            <w:tcW w:w="1236" w:type="dxa"/>
            <w:tcBorders>
              <w:top w:val="single" w:sz="6" w:space="0" w:color="auto"/>
              <w:left w:val="single" w:sz="6" w:space="0" w:color="auto"/>
              <w:bottom w:val="single" w:sz="6" w:space="0" w:color="auto"/>
              <w:right w:val="single" w:sz="6" w:space="0" w:color="auto"/>
            </w:tcBorders>
            <w:shd w:val="clear" w:color="auto" w:fill="auto"/>
            <w:hideMark/>
          </w:tcPr>
          <w:p w14:paraId="3E93154C" w14:textId="77777777" w:rsidR="00231827" w:rsidRPr="000521FB" w:rsidRDefault="00231827" w:rsidP="002F5E03">
            <w:pPr>
              <w:pStyle w:val="Tabletext"/>
              <w:rPr>
                <w:lang w:eastAsia="en-AU"/>
              </w:rPr>
            </w:pPr>
            <w:r w:rsidRPr="7364CBED">
              <w:rPr>
                <w:lang w:eastAsia="en-AU"/>
              </w:rPr>
              <w:t>e.g. lead role in implementation of VKEW</w:t>
            </w:r>
          </w:p>
        </w:tc>
        <w:tc>
          <w:tcPr>
            <w:tcW w:w="755" w:type="dxa"/>
            <w:tcBorders>
              <w:top w:val="single" w:sz="6" w:space="0" w:color="auto"/>
              <w:left w:val="single" w:sz="6" w:space="0" w:color="auto"/>
              <w:bottom w:val="single" w:sz="6" w:space="0" w:color="auto"/>
              <w:right w:val="single" w:sz="6" w:space="0" w:color="auto"/>
            </w:tcBorders>
            <w:shd w:val="clear" w:color="auto" w:fill="auto"/>
            <w:hideMark/>
          </w:tcPr>
          <w:p w14:paraId="2BA4D5FC" w14:textId="77777777" w:rsidR="00231827" w:rsidRPr="000521FB" w:rsidRDefault="00231827" w:rsidP="002F5E03">
            <w:pPr>
              <w:pStyle w:val="Tabletext"/>
              <w:rPr>
                <w:lang w:eastAsia="en-AU"/>
              </w:rPr>
            </w:pPr>
            <w:r w:rsidRPr="7364CBED">
              <w:rPr>
                <w:lang w:eastAsia="en-AU"/>
              </w:rPr>
              <w:t>e.g. schools, sports clubs</w:t>
            </w:r>
          </w:p>
        </w:tc>
        <w:tc>
          <w:tcPr>
            <w:tcW w:w="1206" w:type="dxa"/>
            <w:tcBorders>
              <w:top w:val="single" w:sz="6" w:space="0" w:color="auto"/>
              <w:left w:val="single" w:sz="6" w:space="0" w:color="auto"/>
              <w:bottom w:val="single" w:sz="6" w:space="0" w:color="auto"/>
              <w:right w:val="single" w:sz="6" w:space="0" w:color="auto"/>
            </w:tcBorders>
            <w:shd w:val="clear" w:color="auto" w:fill="auto"/>
            <w:hideMark/>
          </w:tcPr>
          <w:p w14:paraId="6DB1E20F" w14:textId="77777777" w:rsidR="00231827" w:rsidRPr="000521FB" w:rsidRDefault="00231827" w:rsidP="002F5E03">
            <w:pPr>
              <w:pStyle w:val="Tabletext"/>
              <w:rPr>
                <w:lang w:eastAsia="en-AU"/>
              </w:rPr>
            </w:pPr>
            <w:r w:rsidRPr="7364CBED">
              <w:rPr>
                <w:lang w:eastAsia="en-AU"/>
              </w:rPr>
              <w:t>Nil</w:t>
            </w:r>
          </w:p>
        </w:tc>
        <w:tc>
          <w:tcPr>
            <w:tcW w:w="914" w:type="dxa"/>
            <w:tcBorders>
              <w:top w:val="single" w:sz="6" w:space="0" w:color="auto"/>
              <w:left w:val="single" w:sz="6" w:space="0" w:color="auto"/>
              <w:bottom w:val="single" w:sz="6" w:space="0" w:color="auto"/>
              <w:right w:val="single" w:sz="6" w:space="0" w:color="auto"/>
            </w:tcBorders>
            <w:shd w:val="clear" w:color="auto" w:fill="auto"/>
            <w:hideMark/>
          </w:tcPr>
          <w:p w14:paraId="5C3A5E85" w14:textId="77777777" w:rsidR="00231827" w:rsidRPr="000521FB" w:rsidRDefault="00231827" w:rsidP="002F5E03">
            <w:pPr>
              <w:pStyle w:val="Tabletext"/>
              <w:rPr>
                <w:lang w:eastAsia="en-AU"/>
              </w:rPr>
            </w:pPr>
            <w:r w:rsidRPr="7364CBED">
              <w:rPr>
                <w:lang w:eastAsia="en-AU"/>
              </w:rPr>
              <w:t>e.g. school/s achieving x number of small/big bites</w:t>
            </w:r>
          </w:p>
        </w:tc>
        <w:tc>
          <w:tcPr>
            <w:tcW w:w="1056" w:type="dxa"/>
            <w:tcBorders>
              <w:top w:val="single" w:sz="6" w:space="0" w:color="auto"/>
              <w:left w:val="single" w:sz="6" w:space="0" w:color="auto"/>
              <w:bottom w:val="single" w:sz="6" w:space="0" w:color="auto"/>
              <w:right w:val="single" w:sz="6" w:space="0" w:color="auto"/>
            </w:tcBorders>
            <w:shd w:val="clear" w:color="auto" w:fill="auto"/>
            <w:hideMark/>
          </w:tcPr>
          <w:p w14:paraId="464904EF" w14:textId="77777777" w:rsidR="00231827" w:rsidRPr="000521FB" w:rsidRDefault="00231827" w:rsidP="002F5E03">
            <w:pPr>
              <w:pStyle w:val="Tabletext"/>
              <w:rPr>
                <w:lang w:eastAsia="en-AU"/>
              </w:rPr>
            </w:pPr>
            <w:r w:rsidRPr="341EB58C">
              <w:rPr>
                <w:lang w:eastAsia="en-AU"/>
              </w:rPr>
              <w:t> e.g. x number of schools and sports clubs' part of VKEW</w:t>
            </w:r>
          </w:p>
        </w:tc>
        <w:tc>
          <w:tcPr>
            <w:tcW w:w="1234" w:type="dxa"/>
            <w:tcBorders>
              <w:top w:val="single" w:sz="6" w:space="0" w:color="auto"/>
              <w:left w:val="single" w:sz="6" w:space="0" w:color="auto"/>
              <w:bottom w:val="single" w:sz="6" w:space="0" w:color="auto"/>
              <w:right w:val="single" w:sz="6" w:space="0" w:color="auto"/>
            </w:tcBorders>
            <w:shd w:val="clear" w:color="auto" w:fill="auto"/>
            <w:hideMark/>
          </w:tcPr>
          <w:p w14:paraId="7A4F1EE3" w14:textId="77777777" w:rsidR="00231827" w:rsidRPr="000521FB" w:rsidRDefault="00231827" w:rsidP="002F5E03">
            <w:pPr>
              <w:pStyle w:val="Tabletext"/>
              <w:rPr>
                <w:lang w:eastAsia="en-AU"/>
              </w:rPr>
            </w:pPr>
            <w:r w:rsidRPr="7364CBED">
              <w:rPr>
                <w:lang w:eastAsia="en-AU"/>
              </w:rPr>
              <w:t> Insert any impacts, outcomes and equity achieved relevant to the initiative/ intervention</w:t>
            </w:r>
          </w:p>
        </w:tc>
        <w:tc>
          <w:tcPr>
            <w:tcW w:w="1967" w:type="dxa"/>
            <w:tcBorders>
              <w:top w:val="single" w:sz="6" w:space="0" w:color="auto"/>
              <w:left w:val="single" w:sz="6" w:space="0" w:color="auto"/>
              <w:bottom w:val="single" w:sz="6" w:space="0" w:color="auto"/>
              <w:right w:val="single" w:sz="6" w:space="0" w:color="auto"/>
            </w:tcBorders>
            <w:shd w:val="clear" w:color="auto" w:fill="auto"/>
          </w:tcPr>
          <w:p w14:paraId="45406019" w14:textId="2C4B2B60" w:rsidR="00231827" w:rsidRDefault="00231827" w:rsidP="002F5E03">
            <w:pPr>
              <w:pStyle w:val="Tabletext"/>
            </w:pPr>
            <w:r w:rsidRPr="7364CBED">
              <w:rPr>
                <w:lang w:eastAsia="en-AU"/>
              </w:rPr>
              <w:t xml:space="preserve"> e.g. Multicultural communities, people living in rural or remote areas, Aboriginal and Torres Strait Islanders </w:t>
            </w:r>
            <w:r>
              <w:rPr>
                <w:lang w:eastAsia="en-AU"/>
              </w:rPr>
              <w:t>and LGA where priority population reached</w:t>
            </w:r>
          </w:p>
        </w:tc>
      </w:tr>
    </w:tbl>
    <w:p w14:paraId="5F179232" w14:textId="77777777" w:rsidR="00492392" w:rsidRPr="00DF6E74" w:rsidRDefault="00492392" w:rsidP="00B37551">
      <w:pPr>
        <w:spacing w:after="0" w:line="240" w:lineRule="auto"/>
        <w:textAlignment w:val="baseline"/>
        <w:rPr>
          <w:rFonts w:cs="Arial"/>
          <w:sz w:val="20"/>
          <w:lang w:eastAsia="en-AU"/>
        </w:rPr>
      </w:pPr>
    </w:p>
    <w:p w14:paraId="49DB50C7" w14:textId="77777777" w:rsidR="00DB0CF3" w:rsidRPr="00DF6E74" w:rsidRDefault="00DB0CF3" w:rsidP="00DB0CF3">
      <w:pPr>
        <w:pStyle w:val="Heading5"/>
        <w:rPr>
          <w:color w:val="53565A"/>
          <w:lang w:eastAsia="en-AU"/>
        </w:rPr>
      </w:pPr>
      <w:r w:rsidRPr="00DF6E74">
        <w:rPr>
          <w:lang w:eastAsia="en-AU"/>
        </w:rPr>
        <w:t xml:space="preserve">Page 11: Learning and insights </w:t>
      </w:r>
      <w:r>
        <w:rPr>
          <w:lang w:eastAsia="en-AU"/>
        </w:rPr>
        <w:t>(</w:t>
      </w:r>
      <w:r w:rsidRPr="00DF6E74">
        <w:rPr>
          <w:lang w:eastAsia="en-AU"/>
        </w:rPr>
        <w:t>one page max</w:t>
      </w:r>
      <w:r>
        <w:rPr>
          <w:lang w:eastAsia="en-AU"/>
        </w:rPr>
        <w:t>)</w:t>
      </w:r>
    </w:p>
    <w:p w14:paraId="7DB6C439" w14:textId="77777777" w:rsidR="00DB0CF3" w:rsidRDefault="00DB0CF3" w:rsidP="00DB0CF3">
      <w:pPr>
        <w:spacing w:after="0" w:line="240" w:lineRule="auto"/>
        <w:textAlignment w:val="baseline"/>
        <w:rPr>
          <w:rFonts w:cs="Arial"/>
          <w:sz w:val="20"/>
          <w:lang w:eastAsia="en-AU"/>
        </w:rPr>
      </w:pPr>
    </w:p>
    <w:p w14:paraId="004609EA" w14:textId="358639B6" w:rsidR="00DB0CF3" w:rsidRPr="00DF6E74" w:rsidRDefault="00DB0CF3" w:rsidP="00DB0CF3">
      <w:pPr>
        <w:pStyle w:val="Body"/>
        <w:rPr>
          <w:lang w:eastAsia="en-AU"/>
        </w:rPr>
      </w:pPr>
      <w:r w:rsidRPr="00DF6E74">
        <w:rPr>
          <w:lang w:eastAsia="en-AU"/>
        </w:rPr>
        <w:t>This section should outline what you have learnt to date during the development and delivery of your initiatives. This includes further exploration of any policy implications (noted in the Key messages section). </w:t>
      </w:r>
    </w:p>
    <w:p w14:paraId="35DD4417" w14:textId="378696B2" w:rsidR="00DB0CF3" w:rsidRPr="00DB0CF3" w:rsidRDefault="00DB0CF3" w:rsidP="00DB0CF3">
      <w:pPr>
        <w:pStyle w:val="Body"/>
        <w:rPr>
          <w:lang w:eastAsia="en-AU"/>
        </w:rPr>
      </w:pPr>
      <w:r w:rsidRPr="00DF6E74">
        <w:rPr>
          <w:lang w:eastAsia="en-AU"/>
        </w:rPr>
        <w:t>Please include a brief description of any new strategies, or adaptions to current strategies, you plan to or have employed, based on these learnings.  </w:t>
      </w:r>
    </w:p>
    <w:p w14:paraId="048A0127" w14:textId="77777777" w:rsidR="00DB0CF3" w:rsidRPr="00DF6E74" w:rsidRDefault="00DB0CF3" w:rsidP="00DB0CF3">
      <w:pPr>
        <w:pStyle w:val="Heading5"/>
        <w:rPr>
          <w:color w:val="53565A"/>
          <w:lang w:eastAsia="en-AU"/>
        </w:rPr>
      </w:pPr>
      <w:r w:rsidRPr="00DF6E74">
        <w:rPr>
          <w:lang w:eastAsia="en-AU"/>
        </w:rPr>
        <w:t>Pages 12</w:t>
      </w:r>
      <w:r>
        <w:rPr>
          <w:lang w:eastAsia="en-AU"/>
        </w:rPr>
        <w:t>-</w:t>
      </w:r>
      <w:r w:rsidRPr="00DF6E74">
        <w:rPr>
          <w:lang w:eastAsia="en-AU"/>
        </w:rPr>
        <w:t xml:space="preserve">13: Appendices </w:t>
      </w:r>
      <w:r>
        <w:rPr>
          <w:lang w:eastAsia="en-AU"/>
        </w:rPr>
        <w:t>(</w:t>
      </w:r>
      <w:r w:rsidRPr="00DF6E74">
        <w:rPr>
          <w:lang w:eastAsia="en-AU"/>
        </w:rPr>
        <w:t>2 pages max</w:t>
      </w:r>
      <w:r>
        <w:rPr>
          <w:lang w:eastAsia="en-AU"/>
        </w:rPr>
        <w:t>)</w:t>
      </w:r>
    </w:p>
    <w:p w14:paraId="3D5AF635" w14:textId="77777777" w:rsidR="00DB0CF3" w:rsidRDefault="00DB0CF3" w:rsidP="00DB0CF3">
      <w:pPr>
        <w:spacing w:after="0" w:line="240" w:lineRule="auto"/>
        <w:textAlignment w:val="baseline"/>
        <w:rPr>
          <w:rFonts w:cs="Arial"/>
          <w:sz w:val="20"/>
          <w:lang w:eastAsia="en-AU"/>
        </w:rPr>
      </w:pPr>
    </w:p>
    <w:p w14:paraId="63DAE5A2" w14:textId="30562A82" w:rsidR="00DB0CF3" w:rsidRPr="00DF6E74" w:rsidRDefault="00DB0CF3" w:rsidP="00DB0CF3">
      <w:pPr>
        <w:pStyle w:val="Body"/>
        <w:rPr>
          <w:lang w:eastAsia="en-AU"/>
        </w:rPr>
      </w:pPr>
      <w:r w:rsidRPr="00DF6E74">
        <w:rPr>
          <w:lang w:eastAsia="en-AU"/>
        </w:rPr>
        <w:t>Appendices should present one to two case studies and outline the qualitative aspects of working in different settings and priority population</w:t>
      </w:r>
      <w:r>
        <w:rPr>
          <w:lang w:eastAsia="en-AU"/>
        </w:rPr>
        <w:t xml:space="preserve"> groups.</w:t>
      </w:r>
      <w:r w:rsidRPr="00DF6E74">
        <w:rPr>
          <w:lang w:eastAsia="en-AU"/>
        </w:rPr>
        <w:t xml:space="preserve"> Measurable achievements can also be included.</w:t>
      </w:r>
    </w:p>
    <w:p w14:paraId="5FA86386" w14:textId="77777777" w:rsidR="00DB0CF3" w:rsidRPr="00DF6E74" w:rsidRDefault="00DB0CF3" w:rsidP="00DB0CF3">
      <w:pPr>
        <w:pStyle w:val="Body"/>
        <w:rPr>
          <w:lang w:eastAsia="en-AU"/>
        </w:rPr>
      </w:pPr>
      <w:r w:rsidRPr="00DF6E74">
        <w:rPr>
          <w:lang w:eastAsia="en-AU"/>
        </w:rPr>
        <w:t xml:space="preserve">Case studies should be written in a format suitable for publication in the </w:t>
      </w:r>
      <w:r w:rsidRPr="00B3431C">
        <w:rPr>
          <w:i/>
          <w:lang w:eastAsia="en-AU"/>
        </w:rPr>
        <w:t>Prevention Newsletter</w:t>
      </w:r>
      <w:r w:rsidRPr="00DF6E74">
        <w:rPr>
          <w:lang w:eastAsia="en-AU"/>
        </w:rPr>
        <w:t xml:space="preserve">. A separate template is available for that purpose (see </w:t>
      </w:r>
      <w:r>
        <w:rPr>
          <w:lang w:eastAsia="en-AU"/>
        </w:rPr>
        <w:t>page 45</w:t>
      </w:r>
      <w:r w:rsidRPr="00DF6E74">
        <w:rPr>
          <w:lang w:eastAsia="en-AU"/>
        </w:rPr>
        <w:t>).</w:t>
      </w:r>
    </w:p>
    <w:p w14:paraId="59FEE631" w14:textId="77777777" w:rsidR="00DB0CF3" w:rsidRPr="00DF6E74" w:rsidRDefault="00DB0CF3" w:rsidP="00DB0CF3">
      <w:pPr>
        <w:pStyle w:val="Heading5"/>
        <w:rPr>
          <w:lang w:eastAsia="en-AU"/>
        </w:rPr>
      </w:pPr>
    </w:p>
    <w:p w14:paraId="22D1CFD4" w14:textId="77777777" w:rsidR="00DB0CF3" w:rsidRPr="00DF6E74" w:rsidRDefault="00DB0CF3" w:rsidP="00DB0CF3">
      <w:pPr>
        <w:pStyle w:val="Heading5"/>
        <w:rPr>
          <w:lang w:eastAsia="en-AU"/>
        </w:rPr>
      </w:pPr>
      <w:r w:rsidRPr="00DF6E74">
        <w:rPr>
          <w:lang w:eastAsia="en-AU"/>
        </w:rPr>
        <w:t>Pages 14</w:t>
      </w:r>
      <w:r>
        <w:rPr>
          <w:lang w:eastAsia="en-AU"/>
        </w:rPr>
        <w:t>-</w:t>
      </w:r>
      <w:r w:rsidRPr="00DF6E74">
        <w:rPr>
          <w:lang w:eastAsia="en-AU"/>
        </w:rPr>
        <w:t>end: Cross-cutting themes (</w:t>
      </w:r>
      <w:r>
        <w:rPr>
          <w:lang w:eastAsia="en-AU"/>
        </w:rPr>
        <w:t>o</w:t>
      </w:r>
      <w:r w:rsidRPr="00DF6E74">
        <w:rPr>
          <w:lang w:eastAsia="en-AU"/>
        </w:rPr>
        <w:t>ptional)</w:t>
      </w:r>
    </w:p>
    <w:p w14:paraId="661EAC50" w14:textId="77777777" w:rsidR="00DB0CF3" w:rsidRDefault="00DB0CF3" w:rsidP="00DB0CF3">
      <w:pPr>
        <w:spacing w:after="0" w:line="240" w:lineRule="auto"/>
        <w:textAlignment w:val="baseline"/>
        <w:rPr>
          <w:rFonts w:cs="Arial"/>
          <w:sz w:val="20"/>
          <w:lang w:eastAsia="en-AU"/>
        </w:rPr>
      </w:pPr>
    </w:p>
    <w:p w14:paraId="41C57106" w14:textId="77777777" w:rsidR="00DB0CF3" w:rsidRDefault="00DB0CF3" w:rsidP="00DB0CF3">
      <w:pPr>
        <w:pStyle w:val="Body"/>
        <w:rPr>
          <w:lang w:eastAsia="en-AU"/>
        </w:rPr>
      </w:pPr>
      <w:r w:rsidRPr="00DF6E74">
        <w:rPr>
          <w:lang w:eastAsia="en-AU"/>
        </w:rPr>
        <w:t>This optional section provides space for agencies to include narrative around any cross-cutting themes, not already explored in the required reporting sections above (</w:t>
      </w:r>
      <w:r>
        <w:rPr>
          <w:lang w:eastAsia="en-AU"/>
        </w:rPr>
        <w:t>p</w:t>
      </w:r>
      <w:r w:rsidRPr="00DF6E74">
        <w:rPr>
          <w:lang w:eastAsia="en-AU"/>
        </w:rPr>
        <w:t>ages 1</w:t>
      </w:r>
      <w:r>
        <w:rPr>
          <w:lang w:eastAsia="en-AU"/>
        </w:rPr>
        <w:t>-</w:t>
      </w:r>
      <w:r w:rsidRPr="00DF6E74">
        <w:rPr>
          <w:lang w:eastAsia="en-AU"/>
        </w:rPr>
        <w:t>13). This may include how agencies have addressed gender equity and intersectionality in initiatives. It may also include any co-benefits for climate change and how agencies have supported sustainability of initiatives beyond the planning cycle.</w:t>
      </w:r>
    </w:p>
    <w:p w14:paraId="0F86DAE1" w14:textId="77777777" w:rsidR="00E87C5D" w:rsidRPr="00F53B5F" w:rsidRDefault="00E87C5D" w:rsidP="00E87C5D">
      <w:pPr>
        <w:pStyle w:val="Heading4"/>
      </w:pPr>
      <w:r w:rsidRPr="251E3353">
        <w:t>Prevention blog story template</w:t>
      </w:r>
    </w:p>
    <w:p w14:paraId="4387AF89" w14:textId="77777777" w:rsidR="00E87C5D" w:rsidRPr="004F009D" w:rsidRDefault="00E87C5D" w:rsidP="00E87C5D">
      <w:pPr>
        <w:pStyle w:val="Body"/>
      </w:pPr>
      <w:r w:rsidRPr="153A1F7D">
        <w:t>Prevention Victoria is for the prevention and population health sector. It showcases the work of the sector to the sector, including state and local government, health and community services, academics and settings (early childhood services, schools, communities, workplaces, food and hospitality, etc).</w:t>
      </w:r>
    </w:p>
    <w:p w14:paraId="4765E908" w14:textId="77777777" w:rsidR="00E87C5D" w:rsidRPr="004F009D" w:rsidRDefault="00E87C5D" w:rsidP="00E87C5D">
      <w:pPr>
        <w:pStyle w:val="Body"/>
        <w:rPr>
          <w:sz w:val="20"/>
        </w:rPr>
      </w:pPr>
      <w:r w:rsidRPr="153A1F7D">
        <w:rPr>
          <w:sz w:val="20"/>
        </w:rPr>
        <w:t xml:space="preserve">We cover work being implemented across Victoria to address the priorities of the </w:t>
      </w:r>
      <w:r w:rsidRPr="153A1F7D">
        <w:rPr>
          <w:i/>
          <w:iCs/>
          <w:sz w:val="20"/>
        </w:rPr>
        <w:t xml:space="preserve">Victorian public health and wellbeing plan 2023-2027 </w:t>
      </w:r>
      <w:r w:rsidRPr="153A1F7D">
        <w:rPr>
          <w:sz w:val="20"/>
        </w:rPr>
        <w:t>that demonstrates good population health practice in your community, in your industry or across the State. Please provide an engaging snapshot of your work and direct readers to where they can get more information, such as links to your website or websites of partner organisations as well as links to relevant policy documents, journal articles or reports.</w:t>
      </w:r>
    </w:p>
    <w:p w14:paraId="2BA9BA5D" w14:textId="31AB9DE6" w:rsidR="00E87C5D" w:rsidRPr="00AC5E50" w:rsidRDefault="00E87C5D" w:rsidP="00E87C5D">
      <w:pPr>
        <w:pStyle w:val="Heading5"/>
      </w:pPr>
      <w:r>
        <w:t xml:space="preserve">1. </w:t>
      </w:r>
      <w:r w:rsidRPr="00AC5E50">
        <w:t>Release date – let us know if there are any timing issues we need to be aware of.</w:t>
      </w:r>
    </w:p>
    <w:p w14:paraId="1689B4AE" w14:textId="77777777" w:rsidR="00E87C5D" w:rsidRDefault="00E87C5D" w:rsidP="00E87C5D">
      <w:pPr>
        <w:pStyle w:val="Bullet1"/>
      </w:pPr>
      <w:r w:rsidRPr="153A1F7D">
        <w:t xml:space="preserve">Anytime </w:t>
      </w:r>
    </w:p>
    <w:p w14:paraId="295F4F30" w14:textId="3BE52837" w:rsidR="00E87C5D" w:rsidRPr="00F53B5F" w:rsidRDefault="00E87C5D" w:rsidP="00E87C5D">
      <w:pPr>
        <w:pStyle w:val="Bullet1"/>
      </w:pPr>
      <w:r w:rsidRPr="153A1F7D">
        <w:t xml:space="preserve">Date specific  </w:t>
      </w:r>
    </w:p>
    <w:p w14:paraId="486DB044" w14:textId="2DD6059F" w:rsidR="00E87C5D" w:rsidRPr="00AC5E50" w:rsidRDefault="00E87C5D" w:rsidP="00E87C5D">
      <w:pPr>
        <w:pStyle w:val="Heading5"/>
      </w:pPr>
      <w:r>
        <w:t xml:space="preserve">2. </w:t>
      </w:r>
      <w:r w:rsidRPr="00AC5E50">
        <w:t>Give us a short, snappy heading, 5-6 words is plenty.</w:t>
      </w:r>
    </w:p>
    <w:p w14:paraId="330FF3A6" w14:textId="77777777" w:rsidR="00E87C5D" w:rsidRPr="004F009D" w:rsidRDefault="00E87C5D" w:rsidP="00E87C5D">
      <w:pPr>
        <w:pStyle w:val="Body"/>
        <w:rPr>
          <w:color w:val="808080" w:themeColor="background1" w:themeShade="80"/>
        </w:rPr>
      </w:pPr>
      <w:r w:rsidRPr="153A1F7D">
        <w:t>E.g. On the fast-track to eliminating HIV / Bringing better health to Latrobe.</w:t>
      </w:r>
    </w:p>
    <w:p w14:paraId="06030412" w14:textId="061F5986" w:rsidR="00E87C5D" w:rsidRPr="00AC5E50" w:rsidRDefault="00E87C5D" w:rsidP="00E87C5D">
      <w:pPr>
        <w:pStyle w:val="Heading5"/>
      </w:pPr>
      <w:r>
        <w:t xml:space="preserve">3. </w:t>
      </w:r>
      <w:r w:rsidRPr="00AC5E50">
        <w:t>In one sentence</w:t>
      </w:r>
      <w:r>
        <w:t>,</w:t>
      </w:r>
      <w:r w:rsidRPr="00AC5E50">
        <w:t xml:space="preserve"> tell us what is important about this story and why it of interest to your sector.</w:t>
      </w:r>
    </w:p>
    <w:p w14:paraId="3CBFD512" w14:textId="77777777" w:rsidR="00E87C5D" w:rsidRPr="00F53B5F" w:rsidRDefault="00E87C5D" w:rsidP="00E87C5D">
      <w:pPr>
        <w:pStyle w:val="APbody"/>
        <w:spacing w:line="240" w:lineRule="auto"/>
      </w:pPr>
      <w:r w:rsidRPr="00F53B5F">
        <w:t xml:space="preserve">Try to </w:t>
      </w:r>
      <w:r w:rsidRPr="00F53B5F">
        <w:rPr>
          <w:lang w:eastAsia="en-AU"/>
        </w:rPr>
        <w:t>articulate your main point in just one sentence. This is what readers will see before they click through to the whole story (use the body of the story to unpack this main point).</w:t>
      </w:r>
    </w:p>
    <w:p w14:paraId="265DE5AA" w14:textId="77777777" w:rsidR="00E87C5D" w:rsidRPr="00F53B5F" w:rsidRDefault="00E87C5D" w:rsidP="00E87C5D">
      <w:pPr>
        <w:pStyle w:val="APbody"/>
        <w:spacing w:line="240" w:lineRule="auto"/>
        <w:rPr>
          <w:color w:val="000000" w:themeColor="text1"/>
        </w:rPr>
      </w:pPr>
      <w:r w:rsidRPr="153A1F7D">
        <w:rPr>
          <w:i/>
          <w:iCs/>
          <w:color w:val="000000" w:themeColor="text1"/>
        </w:rPr>
        <w:t>E.g. For the first time, Victoria has an outcomes framework to measure long term progress. / New resources are now available to support healthy communities</w:t>
      </w:r>
      <w:r w:rsidRPr="153A1F7D">
        <w:rPr>
          <w:color w:val="000000" w:themeColor="text1"/>
        </w:rPr>
        <w:t xml:space="preserve">. </w:t>
      </w:r>
    </w:p>
    <w:p w14:paraId="7B40613A" w14:textId="5095D395" w:rsidR="00E87C5D" w:rsidRPr="00AC5E50" w:rsidRDefault="00E87C5D" w:rsidP="00E87C5D">
      <w:pPr>
        <w:pStyle w:val="Heading5"/>
      </w:pPr>
      <w:r>
        <w:t xml:space="preserve">4. </w:t>
      </w:r>
      <w:r w:rsidRPr="00AC5E50">
        <w:t xml:space="preserve">Tell us your story! </w:t>
      </w:r>
    </w:p>
    <w:p w14:paraId="6FDEF04B" w14:textId="77777777" w:rsidR="00E87C5D" w:rsidRPr="00F53B5F" w:rsidRDefault="00E87C5D" w:rsidP="00E87C5D">
      <w:pPr>
        <w:pStyle w:val="Body"/>
      </w:pPr>
      <w:r w:rsidRPr="00F53B5F">
        <w:t xml:space="preserve">Keep it simple. Write for your audience. Use short sentences. Stick to the core idea. Make it real for people and connect it to their work/lives. Add memorable points – quotes, unusual elements, numbers. Aim for 150-200 words. </w:t>
      </w:r>
    </w:p>
    <w:p w14:paraId="56B561C2" w14:textId="77777777" w:rsidR="00E87C5D" w:rsidRPr="00F53B5F" w:rsidRDefault="00E87C5D" w:rsidP="00E87C5D">
      <w:pPr>
        <w:pStyle w:val="Body"/>
      </w:pPr>
      <w:r w:rsidRPr="00F53B5F">
        <w:t xml:space="preserve">Start by describing (a) </w:t>
      </w:r>
      <w:r w:rsidRPr="00F53B5F">
        <w:rPr>
          <w:bCs/>
        </w:rPr>
        <w:t>why</w:t>
      </w:r>
      <w:r w:rsidRPr="00F53B5F">
        <w:t xml:space="preserve"> you undertook the work – what need/priority are you addressing and what impact or outcome are you aiming to achieve? </w:t>
      </w:r>
    </w:p>
    <w:p w14:paraId="07743AB4" w14:textId="77777777" w:rsidR="00E87C5D" w:rsidRPr="00F53B5F" w:rsidRDefault="00E87C5D" w:rsidP="00E87C5D">
      <w:pPr>
        <w:pStyle w:val="Body"/>
      </w:pPr>
      <w:r w:rsidRPr="00F53B5F">
        <w:t>Include (b) a broad outline of what you did – how did you decide on the approach you did? What helped /enabled the work? Were there any barriers to be overcome? How does this work contribute to or compliment other work in your organisation and with the work of partner organisations?</w:t>
      </w:r>
    </w:p>
    <w:p w14:paraId="10FCBC19" w14:textId="77777777" w:rsidR="00E87C5D" w:rsidRPr="00F53B5F" w:rsidRDefault="00E87C5D" w:rsidP="00E87C5D">
      <w:pPr>
        <w:pStyle w:val="Body"/>
      </w:pPr>
      <w:r w:rsidRPr="153A1F7D">
        <w:rPr>
          <w:lang w:val="en-US"/>
        </w:rPr>
        <w:t>Then tell us about (c) what impact you’re having - what are the early signs of progress towards your objectives? Are there evaluation results? Identify the key lessons learnt. What happens next?</w:t>
      </w:r>
    </w:p>
    <w:p w14:paraId="4AC8C11B" w14:textId="303C5910" w:rsidR="00E87C5D" w:rsidRPr="00AC5E50" w:rsidRDefault="00E87C5D" w:rsidP="00E87C5D">
      <w:pPr>
        <w:pStyle w:val="Heading5"/>
      </w:pPr>
      <w:r>
        <w:t xml:space="preserve">5. </w:t>
      </w:r>
      <w:r w:rsidRPr="153A1F7D">
        <w:t>Add a call to action – What do you want people to do as a result of your story?</w:t>
      </w:r>
    </w:p>
    <w:p w14:paraId="12A5013A" w14:textId="77777777" w:rsidR="00E87C5D" w:rsidRPr="00816462" w:rsidRDefault="00E87C5D" w:rsidP="00E87C5D">
      <w:pPr>
        <w:pStyle w:val="Body"/>
      </w:pPr>
      <w:r w:rsidRPr="00816462">
        <w:t xml:space="preserve">E.g. Register now / Think about how you might apply this knowledge in your work…. </w:t>
      </w:r>
    </w:p>
    <w:p w14:paraId="5F2CCE6F" w14:textId="77777777" w:rsidR="00E87C5D" w:rsidRPr="00F53B5F" w:rsidRDefault="00E87C5D" w:rsidP="00E87C5D">
      <w:pPr>
        <w:pStyle w:val="Body"/>
      </w:pPr>
      <w:r w:rsidRPr="00F53B5F">
        <w:rPr>
          <w:lang w:val="en-US"/>
        </w:rPr>
        <w:lastRenderedPageBreak/>
        <w:t>Are there any recommendations you would make to others wanting to address a similar issue?</w:t>
      </w:r>
    </w:p>
    <w:p w14:paraId="54F85349" w14:textId="333797A6" w:rsidR="00E87C5D" w:rsidRPr="00AC5E50" w:rsidRDefault="00E87C5D" w:rsidP="008130AF">
      <w:pPr>
        <w:pStyle w:val="Heading5"/>
      </w:pPr>
      <w:r>
        <w:t xml:space="preserve">6. </w:t>
      </w:r>
      <w:r w:rsidRPr="00AC5E50">
        <w:t xml:space="preserve">Provide up to four </w:t>
      </w:r>
      <w:r w:rsidR="008130AF">
        <w:t xml:space="preserve">social media messages </w:t>
      </w:r>
      <w:r w:rsidRPr="00AC5E50">
        <w:t xml:space="preserve">– </w:t>
      </w:r>
      <w:r w:rsidR="008130AF">
        <w:t>w</w:t>
      </w:r>
      <w:r w:rsidRPr="00AC5E50">
        <w:t>hat message would you like to communicate to people?</w:t>
      </w:r>
    </w:p>
    <w:p w14:paraId="55A004FD" w14:textId="77777777" w:rsidR="00E87C5D" w:rsidRPr="00E31601" w:rsidRDefault="00E87C5D" w:rsidP="008130AF">
      <w:pPr>
        <w:pStyle w:val="Body"/>
        <w:rPr>
          <w:rStyle w:val="Hyperlink"/>
          <w:rFonts w:eastAsia="MS Gothic" w:cs="Arial"/>
          <w:color w:val="000000" w:themeColor="text1"/>
          <w:u w:val="none"/>
        </w:rPr>
      </w:pPr>
      <w:r w:rsidRPr="00E31601">
        <w:t xml:space="preserve">E.g. </w:t>
      </w:r>
      <w:r w:rsidRPr="00E31601">
        <w:rPr>
          <w:shd w:val="clear" w:color="auto" w:fill="FFFFFF"/>
        </w:rPr>
        <w:t>Supporting schools to deliver pleasurable food education for kids @HEAS_Vic</w:t>
      </w:r>
      <w:r w:rsidRPr="00E31601">
        <w:t xml:space="preserve"> @NutritionAust</w:t>
      </w:r>
      <w:r w:rsidRPr="00E31601">
        <w:rPr>
          <w:shd w:val="clear" w:color="auto" w:fill="FFFFFF"/>
        </w:rPr>
        <w:t xml:space="preserve"> </w:t>
      </w:r>
      <w:r w:rsidRPr="00E31601">
        <w:t>@CancerVic</w:t>
      </w:r>
      <w:r w:rsidRPr="00E31601">
        <w:rPr>
          <w:shd w:val="clear" w:color="auto" w:fill="FFFFFF"/>
        </w:rPr>
        <w:t xml:space="preserve"> </w:t>
      </w:r>
      <w:r w:rsidRPr="00E31601">
        <w:t>@SAKGF</w:t>
      </w:r>
      <w:r w:rsidRPr="00E31601">
        <w:rPr>
          <w:shd w:val="clear" w:color="auto" w:fill="FFFFFF"/>
        </w:rPr>
        <w:t xml:space="preserve"> </w:t>
      </w:r>
      <w:r w:rsidRPr="00E31601">
        <w:t>#PlaygroundtoPlate</w:t>
      </w:r>
      <w:r w:rsidRPr="00E31601">
        <w:rPr>
          <w:shd w:val="clear" w:color="auto" w:fill="FFFFFF"/>
        </w:rPr>
        <w:t xml:space="preserve"> </w:t>
      </w:r>
      <w:r w:rsidRPr="00E31601">
        <w:rPr>
          <w:rStyle w:val="Hyperlink"/>
          <w:rFonts w:cs="Arial"/>
          <w:color w:val="000000" w:themeColor="text1"/>
          <w:u w:val="none"/>
        </w:rPr>
        <w:t xml:space="preserve">(140 characters per tweet) </w:t>
      </w:r>
      <w:r w:rsidRPr="00E31601">
        <w:rPr>
          <w:rStyle w:val="Hyperlink"/>
          <w:rFonts w:cs="Arial"/>
          <w:iCs/>
          <w:color w:val="000000" w:themeColor="text1"/>
          <w:u w:val="none"/>
        </w:rPr>
        <w:br/>
      </w:r>
      <w:r w:rsidRPr="00E31601">
        <w:rPr>
          <w:rStyle w:val="Hyperlink"/>
          <w:rFonts w:cs="Arial"/>
          <w:color w:val="000000" w:themeColor="text1"/>
          <w:u w:val="none"/>
        </w:rPr>
        <w:t>Please include your organisation’s twitter handle and any partner organisations.</w:t>
      </w:r>
    </w:p>
    <w:p w14:paraId="76EC4635" w14:textId="5DE57ACF" w:rsidR="00E87C5D" w:rsidRPr="00AC5E50" w:rsidRDefault="008130AF" w:rsidP="008130AF">
      <w:pPr>
        <w:pStyle w:val="Heading5"/>
      </w:pPr>
      <w:r>
        <w:t xml:space="preserve">7. </w:t>
      </w:r>
      <w:r w:rsidR="00E87C5D" w:rsidRPr="00AC5E50">
        <w:t>Finally help us to place your story on the website</w:t>
      </w:r>
    </w:p>
    <w:p w14:paraId="614E5976" w14:textId="77777777" w:rsidR="00E87C5D" w:rsidRDefault="00E87C5D" w:rsidP="008130AF">
      <w:pPr>
        <w:pStyle w:val="Body"/>
      </w:pPr>
      <w:r w:rsidRPr="00F53B5F">
        <w:t xml:space="preserve">Highlight what setting/s your story relates to:   </w:t>
      </w:r>
    </w:p>
    <w:p w14:paraId="2ACA2695" w14:textId="4AB1419B" w:rsidR="008130AF" w:rsidRDefault="008130AF" w:rsidP="008130AF">
      <w:pPr>
        <w:pStyle w:val="Bullet1"/>
      </w:pPr>
      <w:r>
        <w:t xml:space="preserve">Community </w:t>
      </w:r>
    </w:p>
    <w:p w14:paraId="5299B8A0" w14:textId="4D188657" w:rsidR="008130AF" w:rsidRDefault="008130AF" w:rsidP="008130AF">
      <w:pPr>
        <w:pStyle w:val="Bullet1"/>
      </w:pPr>
      <w:r>
        <w:t>School and early years</w:t>
      </w:r>
    </w:p>
    <w:p w14:paraId="67CE3AF0" w14:textId="671B8076" w:rsidR="008130AF" w:rsidRDefault="008130AF" w:rsidP="008130AF">
      <w:pPr>
        <w:pStyle w:val="Bullet1"/>
      </w:pPr>
      <w:r>
        <w:t>Local government area</w:t>
      </w:r>
    </w:p>
    <w:p w14:paraId="44244446" w14:textId="1D4B0B77" w:rsidR="008130AF" w:rsidRDefault="008130AF" w:rsidP="008130AF">
      <w:pPr>
        <w:pStyle w:val="Bullet1"/>
      </w:pPr>
      <w:r>
        <w:t>Recreation and sport</w:t>
      </w:r>
    </w:p>
    <w:p w14:paraId="1DA74C52" w14:textId="0E068FFE" w:rsidR="008130AF" w:rsidRDefault="008130AF" w:rsidP="008130AF">
      <w:pPr>
        <w:pStyle w:val="Bullet1"/>
      </w:pPr>
      <w:r>
        <w:t>Industry</w:t>
      </w:r>
    </w:p>
    <w:p w14:paraId="33AC236D" w14:textId="46784647" w:rsidR="008130AF" w:rsidRDefault="008130AF" w:rsidP="008130AF">
      <w:pPr>
        <w:pStyle w:val="Bullet1"/>
      </w:pPr>
      <w:r>
        <w:t>Hospitals and health services (inc. community health)</w:t>
      </w:r>
    </w:p>
    <w:p w14:paraId="46E013FA" w14:textId="1770D3DE" w:rsidR="008130AF" w:rsidRDefault="008130AF" w:rsidP="008130AF">
      <w:pPr>
        <w:pStyle w:val="Bullet1"/>
      </w:pPr>
      <w:r>
        <w:t>Workplaces</w:t>
      </w:r>
    </w:p>
    <w:p w14:paraId="299BCA96" w14:textId="16CA3B59" w:rsidR="008130AF" w:rsidRDefault="008130AF" w:rsidP="008130AF">
      <w:pPr>
        <w:pStyle w:val="Bullet1"/>
      </w:pPr>
      <w:r>
        <w:t>Food and hospitality</w:t>
      </w:r>
    </w:p>
    <w:p w14:paraId="0C22A2C6" w14:textId="6B72843D" w:rsidR="008130AF" w:rsidRDefault="008130AF" w:rsidP="008130AF">
      <w:pPr>
        <w:pStyle w:val="Bullet1"/>
      </w:pPr>
      <w:r>
        <w:t>State</w:t>
      </w:r>
    </w:p>
    <w:p w14:paraId="5C333F68" w14:textId="7EF09885" w:rsidR="008130AF" w:rsidRDefault="008130AF" w:rsidP="008130AF">
      <w:pPr>
        <w:pStyle w:val="Bullet1"/>
      </w:pPr>
      <w:r>
        <w:t>Policy to action</w:t>
      </w:r>
    </w:p>
    <w:p w14:paraId="0AD88185" w14:textId="4F8AAD53" w:rsidR="008130AF" w:rsidRDefault="008130AF" w:rsidP="008130AF">
      <w:pPr>
        <w:pStyle w:val="Bullet1"/>
      </w:pPr>
      <w:r>
        <w:t>Outcomes</w:t>
      </w:r>
    </w:p>
    <w:p w14:paraId="68577308" w14:textId="12BBE340" w:rsidR="008130AF" w:rsidRPr="00F53B5F" w:rsidRDefault="008130AF" w:rsidP="008130AF">
      <w:pPr>
        <w:pStyle w:val="Bullet1"/>
      </w:pPr>
      <w:r>
        <w:t xml:space="preserve">Partnerships </w:t>
      </w:r>
    </w:p>
    <w:p w14:paraId="6092B5DD" w14:textId="77777777" w:rsidR="008130AF" w:rsidRDefault="008130AF" w:rsidP="008130AF">
      <w:pPr>
        <w:spacing w:after="0" w:line="240" w:lineRule="auto"/>
        <w:rPr>
          <w:b/>
          <w:bCs/>
        </w:rPr>
      </w:pPr>
    </w:p>
    <w:p w14:paraId="7C829B15" w14:textId="001D7FFA" w:rsidR="00E87C5D" w:rsidRPr="008130AF" w:rsidRDefault="008130AF" w:rsidP="008130AF">
      <w:pPr>
        <w:pStyle w:val="Heading5"/>
        <w:rPr>
          <w:rFonts w:eastAsia="Times"/>
          <w:sz w:val="20"/>
        </w:rPr>
      </w:pPr>
      <w:r>
        <w:t xml:space="preserve">8. </w:t>
      </w:r>
      <w:r w:rsidR="00E87C5D" w:rsidRPr="00AC5E50">
        <w:t>Collective effort across the state</w:t>
      </w:r>
    </w:p>
    <w:p w14:paraId="3984665F" w14:textId="74169414" w:rsidR="00E87C5D" w:rsidRDefault="00E87C5D" w:rsidP="00E87C5D">
      <w:pPr>
        <w:pStyle w:val="APbody"/>
        <w:spacing w:line="240" w:lineRule="auto"/>
      </w:pPr>
      <w:r w:rsidRPr="004F009D">
        <w:t>Does your story relate to one of the focus areas of the</w:t>
      </w:r>
      <w:r w:rsidR="007C7450">
        <w:t xml:space="preserve"> </w:t>
      </w:r>
      <w:r w:rsidR="007C7450" w:rsidRPr="007C7450">
        <w:rPr>
          <w:i/>
          <w:iCs/>
        </w:rPr>
        <w:t>Victorian health and wellbeing plan</w:t>
      </w:r>
      <w:r w:rsidRPr="007C7450">
        <w:rPr>
          <w:i/>
          <w:iCs/>
        </w:rPr>
        <w:t xml:space="preserve"> 2023-2027</w:t>
      </w:r>
      <w:bookmarkStart w:id="34" w:name="_Hlk31364317"/>
      <w:r>
        <w:t xml:space="preserve"> &lt;</w:t>
      </w:r>
      <w:r w:rsidRPr="004407C8">
        <w:t>https://www2.health.vic.gov.au/about/health-strategies/public-health-wellbeing-plan</w:t>
      </w:r>
      <w:r>
        <w:t>&gt;</w:t>
      </w:r>
      <w:r w:rsidRPr="004F009D">
        <w:t xml:space="preserve"> </w:t>
      </w:r>
      <w:r w:rsidRPr="007C7450">
        <w:t xml:space="preserve">Please </w:t>
      </w:r>
      <w:bookmarkEnd w:id="34"/>
      <w:r w:rsidRPr="007C7450">
        <w:t>highlight</w:t>
      </w:r>
      <w:r w:rsidRPr="004F009D">
        <w:t xml:space="preserve"> </w:t>
      </w:r>
      <w:r w:rsidR="007C7450">
        <w:t>the relevant focus areas:</w:t>
      </w:r>
    </w:p>
    <w:p w14:paraId="27581A2A" w14:textId="77777777" w:rsidR="00E87C5D" w:rsidRPr="00F53B5F" w:rsidRDefault="00E87C5D" w:rsidP="007C7450">
      <w:pPr>
        <w:pStyle w:val="Bullet1"/>
      </w:pPr>
      <w:r w:rsidRPr="00F53B5F">
        <w:t>Tackling climate change and its impact on health</w:t>
      </w:r>
    </w:p>
    <w:p w14:paraId="79F073F4" w14:textId="77777777" w:rsidR="00E87C5D" w:rsidRPr="00AC5E50" w:rsidRDefault="00E87C5D" w:rsidP="007C7450">
      <w:pPr>
        <w:pStyle w:val="Bullet1"/>
        <w:rPr>
          <w:b/>
          <w:bCs/>
        </w:rPr>
      </w:pPr>
      <w:r w:rsidRPr="00F53B5F">
        <w:t>Increasing healthy eating</w:t>
      </w:r>
    </w:p>
    <w:p w14:paraId="189D4869" w14:textId="77777777" w:rsidR="00E87C5D" w:rsidRPr="00F53B5F" w:rsidRDefault="00E87C5D" w:rsidP="007C7450">
      <w:pPr>
        <w:pStyle w:val="Bullet1"/>
      </w:pPr>
      <w:r w:rsidRPr="00F53B5F">
        <w:t>Increasing active living</w:t>
      </w:r>
    </w:p>
    <w:p w14:paraId="64EFA5DB" w14:textId="77777777" w:rsidR="00E87C5D" w:rsidRPr="00F53B5F" w:rsidRDefault="00E87C5D" w:rsidP="007C7450">
      <w:pPr>
        <w:pStyle w:val="Bullet1"/>
      </w:pPr>
      <w:r w:rsidRPr="00F53B5F">
        <w:t>Reducing tobacco</w:t>
      </w:r>
      <w:r>
        <w:t xml:space="preserve"> and e-cigarette </w:t>
      </w:r>
      <w:r w:rsidRPr="00F53B5F">
        <w:t xml:space="preserve">related </w:t>
      </w:r>
      <w:r>
        <w:t>harms</w:t>
      </w:r>
    </w:p>
    <w:p w14:paraId="58BAA7DC" w14:textId="77777777" w:rsidR="00E87C5D" w:rsidRPr="00F53B5F" w:rsidRDefault="00E87C5D" w:rsidP="00E87C5D">
      <w:pPr>
        <w:pStyle w:val="APbody"/>
        <w:spacing w:line="240" w:lineRule="auto"/>
      </w:pPr>
    </w:p>
    <w:p w14:paraId="0BC692F1" w14:textId="77777777" w:rsidR="00E87C5D" w:rsidRPr="00F53B5F" w:rsidRDefault="00E87C5D" w:rsidP="00E87C5D">
      <w:pPr>
        <w:pStyle w:val="APbody"/>
        <w:spacing w:line="240" w:lineRule="auto"/>
      </w:pPr>
      <w:r w:rsidRPr="004F009D">
        <w:t xml:space="preserve">Or another priority of the </w:t>
      </w:r>
      <w:r w:rsidRPr="004407C8">
        <w:rPr>
          <w:rFonts w:cs="Arial"/>
          <w:b/>
          <w:i/>
        </w:rPr>
        <w:t xml:space="preserve">Victorian public health and wellbeing plan </w:t>
      </w:r>
      <w:r w:rsidRPr="28D4EB44">
        <w:rPr>
          <w:rFonts w:cs="Arial"/>
          <w:b/>
          <w:bCs/>
          <w:i/>
          <w:iCs/>
        </w:rPr>
        <w:t>2023</w:t>
      </w:r>
      <w:r w:rsidRPr="5CF0B45F">
        <w:rPr>
          <w:rFonts w:cs="Arial"/>
          <w:b/>
          <w:bCs/>
          <w:i/>
          <w:iCs/>
        </w:rPr>
        <w:t>-2027</w:t>
      </w:r>
      <w:r w:rsidRPr="004F009D">
        <w:t>?</w:t>
      </w:r>
    </w:p>
    <w:p w14:paraId="5BFFF03B" w14:textId="77777777" w:rsidR="00E87C5D" w:rsidRPr="00F53B5F" w:rsidRDefault="00E87C5D" w:rsidP="00E87C5D">
      <w:pPr>
        <w:pStyle w:val="APbody"/>
        <w:spacing w:line="240" w:lineRule="auto"/>
      </w:pPr>
      <w:r w:rsidRPr="00F53B5F">
        <w:t>Which one/s? ______________________________</w:t>
      </w:r>
    </w:p>
    <w:p w14:paraId="04AFE89F" w14:textId="77777777" w:rsidR="00E87C5D" w:rsidRPr="00F53B5F" w:rsidRDefault="00E87C5D" w:rsidP="00E87C5D">
      <w:pPr>
        <w:pStyle w:val="APbody"/>
        <w:spacing w:line="240" w:lineRule="auto"/>
      </w:pPr>
    </w:p>
    <w:p w14:paraId="6B7BBF6D" w14:textId="77777777" w:rsidR="00E87C5D" w:rsidRPr="00F53B5F" w:rsidRDefault="00E87C5D" w:rsidP="00E87C5D">
      <w:pPr>
        <w:pStyle w:val="APbody"/>
        <w:spacing w:line="240" w:lineRule="auto"/>
      </w:pPr>
      <w:r w:rsidRPr="153A1F7D">
        <w:t xml:space="preserve">What elements </w:t>
      </w:r>
      <w:r w:rsidRPr="153A1F7D">
        <w:rPr>
          <w:rFonts w:eastAsia="MS Gothic"/>
          <w:color w:val="53565A"/>
        </w:rPr>
        <w:t>of</w:t>
      </w:r>
      <w:r w:rsidRPr="153A1F7D">
        <w:t xml:space="preserve"> good population health practice does your story demonstrate? </w:t>
      </w:r>
      <w:r w:rsidRPr="153A1F7D">
        <w:rPr>
          <w:i/>
          <w:iCs/>
        </w:rPr>
        <w:t>Please highlight</w:t>
      </w:r>
    </w:p>
    <w:p w14:paraId="056BA420" w14:textId="77777777" w:rsidR="00E87C5D" w:rsidRPr="00F53B5F" w:rsidRDefault="00E87C5D" w:rsidP="007C7450">
      <w:pPr>
        <w:pStyle w:val="Bullet1"/>
      </w:pPr>
      <w:r w:rsidRPr="00F53B5F">
        <w:t>Develop and deliver prevention initiatives at scale</w:t>
      </w:r>
    </w:p>
    <w:p w14:paraId="0D8405EB" w14:textId="77777777" w:rsidR="00E87C5D" w:rsidRPr="00F53B5F" w:rsidRDefault="00E87C5D" w:rsidP="007C7450">
      <w:pPr>
        <w:pStyle w:val="Bullet1"/>
      </w:pPr>
      <w:r w:rsidRPr="00F53B5F">
        <w:t>Ensuring programs and projects are collectively contributing to a clearly defined population health outcome</w:t>
      </w:r>
    </w:p>
    <w:p w14:paraId="1CE3B4E2" w14:textId="77777777" w:rsidR="00E87C5D" w:rsidRPr="00F53B5F" w:rsidRDefault="00E87C5D" w:rsidP="007C7450">
      <w:pPr>
        <w:pStyle w:val="Bullet1"/>
      </w:pPr>
      <w:r w:rsidRPr="00F53B5F">
        <w:t xml:space="preserve">Developing and supporting leadership at every level  </w:t>
      </w:r>
    </w:p>
    <w:p w14:paraId="669EF187" w14:textId="77777777" w:rsidR="00E87C5D" w:rsidRPr="00F53B5F" w:rsidRDefault="00E87C5D" w:rsidP="007C7450">
      <w:pPr>
        <w:pStyle w:val="Bullet1"/>
      </w:pPr>
      <w:r w:rsidRPr="00F53B5F">
        <w:t xml:space="preserve">Using a mix of universal and targeted approaches to address inequity  </w:t>
      </w:r>
    </w:p>
    <w:p w14:paraId="7AA4C76B" w14:textId="77777777" w:rsidR="00E87C5D" w:rsidRPr="00F53B5F" w:rsidRDefault="00E87C5D" w:rsidP="007C7450">
      <w:pPr>
        <w:pStyle w:val="Bullet1"/>
      </w:pPr>
      <w:r w:rsidRPr="00F53B5F">
        <w:t>Working with priority population</w:t>
      </w:r>
      <w:r>
        <w:t xml:space="preserve"> groups</w:t>
      </w:r>
      <w:r w:rsidRPr="00F53B5F">
        <w:t xml:space="preserve"> to develop and implement initiatives to maximise ownership and outcomes </w:t>
      </w:r>
    </w:p>
    <w:p w14:paraId="1E834BFC" w14:textId="77777777" w:rsidR="00E87C5D" w:rsidRPr="00F53B5F" w:rsidRDefault="00E87C5D" w:rsidP="007C7450">
      <w:pPr>
        <w:pStyle w:val="Bullet1"/>
      </w:pPr>
      <w:r w:rsidRPr="00F53B5F">
        <w:t>Work to create healthy and sustainable environments</w:t>
      </w:r>
    </w:p>
    <w:p w14:paraId="2E06BC9E" w14:textId="77777777" w:rsidR="00E87C5D" w:rsidRPr="00F53B5F" w:rsidRDefault="00E87C5D" w:rsidP="00E87C5D">
      <w:pPr>
        <w:pStyle w:val="APbody"/>
        <w:spacing w:line="240" w:lineRule="auto"/>
      </w:pPr>
      <w:r w:rsidRPr="00F53B5F">
        <w:rPr>
          <w:bCs/>
        </w:rPr>
        <w:t>Where possible, please incorporate this principle/s into the body of your story.</w:t>
      </w:r>
    </w:p>
    <w:p w14:paraId="537ECA78" w14:textId="77777777" w:rsidR="00E87C5D" w:rsidRPr="00F53B5F" w:rsidRDefault="00E87C5D" w:rsidP="00E87C5D">
      <w:pPr>
        <w:pStyle w:val="APbody"/>
        <w:spacing w:line="240" w:lineRule="auto"/>
      </w:pPr>
      <w:r w:rsidRPr="00F53B5F">
        <w:lastRenderedPageBreak/>
        <w:t>How to submit</w:t>
      </w:r>
    </w:p>
    <w:p w14:paraId="422A4BF7" w14:textId="77777777" w:rsidR="00E87C5D" w:rsidRPr="00F53B5F" w:rsidRDefault="00E87C5D" w:rsidP="00E87C5D">
      <w:pPr>
        <w:pStyle w:val="APbody"/>
        <w:spacing w:line="240" w:lineRule="auto"/>
      </w:pPr>
      <w:r w:rsidRPr="153A1F7D">
        <w:t xml:space="preserve">Please submit your story through your DH Contact or email </w:t>
      </w:r>
      <w:hyperlink r:id="rId62">
        <w:r w:rsidRPr="153A1F7D">
          <w:rPr>
            <w:rStyle w:val="Hyperlink"/>
            <w:rFonts w:cs="Arial"/>
            <w:b/>
            <w:bCs/>
          </w:rPr>
          <w:t>prevention@health.vic.gov.au</w:t>
        </w:r>
      </w:hyperlink>
    </w:p>
    <w:p w14:paraId="6BB10B8F" w14:textId="77777777" w:rsidR="00E87C5D" w:rsidRPr="00F53B5F" w:rsidRDefault="00E87C5D" w:rsidP="007C7450">
      <w:pPr>
        <w:pStyle w:val="Heading5"/>
      </w:pPr>
      <w:r w:rsidRPr="00F53B5F">
        <w:t>Image</w:t>
      </w:r>
    </w:p>
    <w:p w14:paraId="02155C12" w14:textId="77777777" w:rsidR="00E87C5D" w:rsidRPr="00F53B5F" w:rsidRDefault="00E87C5D" w:rsidP="00E87C5D">
      <w:pPr>
        <w:pStyle w:val="APbody"/>
        <w:spacing w:line="240" w:lineRule="auto"/>
      </w:pPr>
      <w:r w:rsidRPr="153A1F7D">
        <w:t xml:space="preserve">To make your story more engaging, please provide a relevant image with your story (size required 1060 x 700px) and ensure any consent has been obtained where appropriate.  </w:t>
      </w:r>
    </w:p>
    <w:p w14:paraId="0879E068" w14:textId="77777777" w:rsidR="00E87C5D" w:rsidRPr="00F53B5F" w:rsidRDefault="00E87C5D" w:rsidP="00E87C5D">
      <w:pPr>
        <w:pStyle w:val="APbody"/>
        <w:spacing w:line="240" w:lineRule="auto"/>
      </w:pPr>
      <w:r w:rsidRPr="153A1F7D">
        <w:t>If you don’t have an image, we can source one from iStock</w:t>
      </w:r>
    </w:p>
    <w:p w14:paraId="46A29C4C" w14:textId="24816F81" w:rsidR="00E87C5D" w:rsidRPr="00F53B5F" w:rsidRDefault="00E87C5D" w:rsidP="00E87C5D">
      <w:pPr>
        <w:pStyle w:val="APbody"/>
        <w:spacing w:line="240" w:lineRule="auto"/>
      </w:pPr>
      <w:r w:rsidRPr="00F53B5F">
        <w:t xml:space="preserve">Check out the </w:t>
      </w:r>
      <w:hyperlink r:id="rId63" w:history="1">
        <w:r w:rsidR="007C7450" w:rsidRPr="0096799D">
          <w:rPr>
            <w:rStyle w:val="Hyperlink"/>
            <w:rFonts w:cs="Arial"/>
          </w:rPr>
          <w:t>website</w:t>
        </w:r>
      </w:hyperlink>
      <w:r w:rsidRPr="00F53B5F">
        <w:t xml:space="preserve"> </w:t>
      </w:r>
      <w:r w:rsidR="007C7450">
        <w:t>&lt;</w:t>
      </w:r>
      <w:r w:rsidR="007C7450" w:rsidRPr="00B342FC">
        <w:t>http://prevention.health.vic.gov.au/</w:t>
      </w:r>
      <w:r w:rsidR="007C7450">
        <w:t>&gt; f</w:t>
      </w:r>
      <w:r w:rsidRPr="00F53B5F">
        <w:t>or examples of what we are after.</w:t>
      </w:r>
    </w:p>
    <w:p w14:paraId="6752E803" w14:textId="77777777" w:rsidR="00E87C5D" w:rsidRPr="00F53B5F" w:rsidRDefault="00E87C5D" w:rsidP="00E87C5D">
      <w:pPr>
        <w:pStyle w:val="APbody"/>
        <w:spacing w:line="240" w:lineRule="auto"/>
      </w:pPr>
    </w:p>
    <w:p w14:paraId="729BB8E4" w14:textId="77777777" w:rsidR="00E87C5D" w:rsidRPr="00F53B5F" w:rsidRDefault="00E87C5D" w:rsidP="00E87C5D">
      <w:pPr>
        <w:pStyle w:val="APbody"/>
        <w:spacing w:line="240" w:lineRule="auto"/>
      </w:pPr>
      <w:r w:rsidRPr="00F53B5F">
        <w:t>This story was prepared by:</w:t>
      </w:r>
    </w:p>
    <w:p w14:paraId="5B11020E" w14:textId="77777777" w:rsidR="00E87C5D" w:rsidRPr="00F53B5F" w:rsidRDefault="00E87C5D" w:rsidP="00E87C5D">
      <w:pPr>
        <w:pStyle w:val="APbody"/>
        <w:spacing w:line="240" w:lineRule="auto"/>
      </w:pPr>
      <w:r w:rsidRPr="00F53B5F">
        <w:t>Name:</w:t>
      </w:r>
    </w:p>
    <w:p w14:paraId="3688BD69" w14:textId="77777777" w:rsidR="00E87C5D" w:rsidRPr="00F53B5F" w:rsidRDefault="00E87C5D" w:rsidP="00E87C5D">
      <w:pPr>
        <w:pStyle w:val="APbody"/>
        <w:spacing w:line="240" w:lineRule="auto"/>
      </w:pPr>
      <w:r w:rsidRPr="00F53B5F">
        <w:t>Email:</w:t>
      </w:r>
    </w:p>
    <w:p w14:paraId="36D73552" w14:textId="77777777" w:rsidR="00E87C5D" w:rsidRPr="00F53B5F" w:rsidRDefault="00E87C5D" w:rsidP="00E87C5D">
      <w:pPr>
        <w:pStyle w:val="APbody"/>
        <w:spacing w:line="240" w:lineRule="auto"/>
      </w:pPr>
      <w:r w:rsidRPr="00F53B5F">
        <w:t>Phone:</w:t>
      </w:r>
    </w:p>
    <w:p w14:paraId="79254BE6" w14:textId="77777777" w:rsidR="00E87C5D" w:rsidRDefault="00E87C5D" w:rsidP="00E87C5D">
      <w:pPr>
        <w:pStyle w:val="APbody"/>
        <w:spacing w:line="240" w:lineRule="auto"/>
      </w:pPr>
      <w:r w:rsidRPr="001A5FAE">
        <w:t xml:space="preserve">Please provide </w:t>
      </w:r>
      <w:r>
        <w:t>an alternative contact:</w:t>
      </w:r>
    </w:p>
    <w:p w14:paraId="7A135674" w14:textId="77777777" w:rsidR="00B37551" w:rsidRPr="00DF6E74" w:rsidRDefault="00B37551" w:rsidP="00B37551">
      <w:pPr>
        <w:spacing w:after="0" w:line="240" w:lineRule="auto"/>
        <w:textAlignment w:val="baseline"/>
        <w:rPr>
          <w:rFonts w:cs="Arial"/>
          <w:sz w:val="20"/>
          <w:lang w:eastAsia="en-AU"/>
        </w:rPr>
      </w:pPr>
    </w:p>
    <w:p w14:paraId="264DB0C1" w14:textId="209E388F" w:rsidR="004B4E6F" w:rsidRDefault="004B4E6F" w:rsidP="00C44B24">
      <w:pPr>
        <w:pStyle w:val="Heading1"/>
      </w:pPr>
      <w:bookmarkStart w:id="35" w:name="_Toc194663098"/>
      <w:r>
        <w:t>References</w:t>
      </w:r>
      <w:bookmarkEnd w:id="35"/>
    </w:p>
    <w:p w14:paraId="1015A45D" w14:textId="77777777" w:rsidR="002617B5" w:rsidRDefault="002617B5" w:rsidP="003E4086">
      <w:pPr>
        <w:pStyle w:val="Bodyafterbullets"/>
      </w:pPr>
    </w:p>
    <w:p w14:paraId="5809BC28" w14:textId="77777777" w:rsidR="00362121" w:rsidRDefault="00362121" w:rsidP="00362121">
      <w:pPr>
        <w:spacing w:line="240" w:lineRule="auto"/>
        <w:rPr>
          <w:color w:val="000000" w:themeColor="text1"/>
        </w:rPr>
      </w:pPr>
      <w:r w:rsidRPr="153A1F7D">
        <w:rPr>
          <w:rFonts w:cs="Arial"/>
          <w:color w:val="000000" w:themeColor="text1"/>
        </w:rPr>
        <w:t xml:space="preserve">Booth, S, Pollard, C, Coveney, J &amp; Goodwin-Smith 2018. ‘Sustainable’ rather than ‘subsistence’ food assistance solutions to food insecurity: South Australian recipients’ perspectives on traditional and social enterprise models’, </w:t>
      </w:r>
      <w:r w:rsidRPr="153A1F7D">
        <w:rPr>
          <w:rFonts w:cs="Arial"/>
          <w:i/>
          <w:iCs/>
          <w:color w:val="000000" w:themeColor="text1"/>
        </w:rPr>
        <w:t>International Journal of Environmental Research and Public Health,</w:t>
      </w:r>
      <w:r w:rsidRPr="153A1F7D">
        <w:rPr>
          <w:rFonts w:cs="Arial"/>
          <w:color w:val="000000" w:themeColor="text1"/>
        </w:rPr>
        <w:t xml:space="preserve"> vol. 15, no. 10.</w:t>
      </w:r>
    </w:p>
    <w:p w14:paraId="08842739" w14:textId="77777777" w:rsidR="00362121" w:rsidRPr="005F451D" w:rsidRDefault="00362121" w:rsidP="00362121">
      <w:pPr>
        <w:spacing w:line="240" w:lineRule="auto"/>
        <w:rPr>
          <w:rFonts w:cs="Arial"/>
          <w:color w:val="000000" w:themeColor="text1"/>
        </w:rPr>
      </w:pPr>
      <w:r w:rsidRPr="7D57EB02">
        <w:rPr>
          <w:color w:val="000000" w:themeColor="text1"/>
        </w:rPr>
        <w:t>Centers for Disease Control and Prevention 2022, The social-ecological model, viewed 20 June 2022, &lt;</w:t>
      </w:r>
      <w:hyperlink r:id="rId64">
        <w:r w:rsidRPr="7D57EB02">
          <w:rPr>
            <w:rStyle w:val="Hyperlink"/>
            <w:rFonts w:eastAsia="MS Gothic"/>
            <w:color w:val="000000" w:themeColor="text1"/>
          </w:rPr>
          <w:t>https://www.cdc.gov/violenceprevention/about/social-ecologicalmodel.html</w:t>
        </w:r>
      </w:hyperlink>
      <w:r w:rsidRPr="7D57EB02">
        <w:rPr>
          <w:color w:val="000000" w:themeColor="text1"/>
        </w:rPr>
        <w:t xml:space="preserve">&gt; </w:t>
      </w:r>
    </w:p>
    <w:p w14:paraId="50E15D45" w14:textId="77777777" w:rsidR="00362121" w:rsidRDefault="00362121" w:rsidP="00362121">
      <w:pPr>
        <w:spacing w:line="240" w:lineRule="auto"/>
        <w:rPr>
          <w:color w:val="000000" w:themeColor="text1"/>
        </w:rPr>
      </w:pPr>
      <w:r w:rsidRPr="7D57EB02">
        <w:rPr>
          <w:color w:val="000000" w:themeColor="text1"/>
        </w:rPr>
        <w:t xml:space="preserve">Climate Council and Beyond Blue 2023, Survey results: National study of the impact of climate-fuelled disasters on the mental health of Australians, viewed 5 February 2025, &lt; </w:t>
      </w:r>
      <w:hyperlink r:id="rId65" w:history="1">
        <w:r w:rsidRPr="00D0167C">
          <w:rPr>
            <w:rStyle w:val="Hyperlink"/>
          </w:rPr>
          <w:t>https://www.climatecouncil.org.au/resources/survey-results-climate-disasters-mental-health/</w:t>
        </w:r>
      </w:hyperlink>
      <w:r w:rsidRPr="7D57EB02">
        <w:rPr>
          <w:color w:val="000000" w:themeColor="text1"/>
        </w:rPr>
        <w:t>&gt;</w:t>
      </w:r>
    </w:p>
    <w:p w14:paraId="70C3F64E" w14:textId="77777777" w:rsidR="00362121" w:rsidRDefault="00362121" w:rsidP="00362121">
      <w:pPr>
        <w:spacing w:line="240" w:lineRule="auto"/>
        <w:rPr>
          <w:color w:val="000000" w:themeColor="text1"/>
        </w:rPr>
      </w:pPr>
      <w:r w:rsidRPr="00090D97">
        <w:rPr>
          <w:color w:val="000000" w:themeColor="text1"/>
        </w:rPr>
        <w:t>Gao, C.X., Teo, S.M., Brennan, N., Fava, N., Freeburn, T., and Filia, K. (2023) Climate Concerns and Young People’s Mental Health: Findings from the 2022 Mission Australia Youth Survey. Orygen: Melbourne, VIC and Mission Australia: Sydney, NSW</w:t>
      </w:r>
    </w:p>
    <w:p w14:paraId="28CD112A" w14:textId="77777777" w:rsidR="00362121" w:rsidRPr="005F451D" w:rsidRDefault="00362121" w:rsidP="00362121">
      <w:pPr>
        <w:pStyle w:val="Body"/>
        <w:spacing w:line="240" w:lineRule="auto"/>
        <w:rPr>
          <w:color w:val="000000" w:themeColor="text1"/>
          <w:highlight w:val="yellow"/>
        </w:rPr>
      </w:pPr>
      <w:r w:rsidRPr="005F451D">
        <w:rPr>
          <w:color w:val="000000" w:themeColor="text1"/>
        </w:rPr>
        <w:t xml:space="preserve">Krug, E, Dahlberg, L, Mercy, JA, Zwi AB &amp; Lozano, R 2002, </w:t>
      </w:r>
      <w:r w:rsidRPr="005F451D">
        <w:rPr>
          <w:i/>
          <w:iCs/>
          <w:color w:val="000000" w:themeColor="text1"/>
        </w:rPr>
        <w:t>World report on violence and health</w:t>
      </w:r>
      <w:r w:rsidRPr="005F451D">
        <w:rPr>
          <w:color w:val="000000" w:themeColor="text1"/>
        </w:rPr>
        <w:t xml:space="preserve">, World Health Organization, Geneva, viewed 20 June 2022, </w:t>
      </w:r>
      <w:r>
        <w:rPr>
          <w:color w:val="000000" w:themeColor="text1"/>
        </w:rPr>
        <w:t>&lt;</w:t>
      </w:r>
      <w:hyperlink r:id="rId66" w:history="1">
        <w:r w:rsidRPr="00823B58">
          <w:rPr>
            <w:rStyle w:val="Hyperlink"/>
          </w:rPr>
          <w:t>https://apps.who.int/iris/bitstream/handle/10665/42495/9241545615_eng.pdf</w:t>
        </w:r>
      </w:hyperlink>
      <w:r w:rsidRPr="005F451D">
        <w:rPr>
          <w:color w:val="000000" w:themeColor="text1"/>
        </w:rPr>
        <w:t>&gt;</w:t>
      </w:r>
    </w:p>
    <w:p w14:paraId="5E18316D" w14:textId="77777777" w:rsidR="00362121" w:rsidRPr="005F451D" w:rsidRDefault="00362121" w:rsidP="00362121">
      <w:pPr>
        <w:spacing w:line="240" w:lineRule="auto"/>
        <w:rPr>
          <w:rFonts w:cs="Arial"/>
          <w:color w:val="000000" w:themeColor="text1"/>
          <w:szCs w:val="21"/>
        </w:rPr>
      </w:pPr>
      <w:r w:rsidRPr="005F451D">
        <w:rPr>
          <w:rFonts w:cs="Arial"/>
          <w:color w:val="000000" w:themeColor="text1"/>
          <w:szCs w:val="21"/>
        </w:rPr>
        <w:t xml:space="preserve">Kumanyika, S 2019, ‘A framework for increasing equity impact in obesity prevention’, </w:t>
      </w:r>
      <w:r w:rsidRPr="005F451D">
        <w:rPr>
          <w:rFonts w:cs="Arial"/>
          <w:i/>
          <w:iCs/>
          <w:color w:val="000000" w:themeColor="text1"/>
          <w:szCs w:val="21"/>
        </w:rPr>
        <w:t xml:space="preserve">American Journal of Public Health, </w:t>
      </w:r>
      <w:r w:rsidRPr="005F451D">
        <w:rPr>
          <w:rFonts w:cs="Arial"/>
          <w:color w:val="000000" w:themeColor="text1"/>
          <w:szCs w:val="21"/>
        </w:rPr>
        <w:t xml:space="preserve">vol. 109, pp. 1350-1357. </w:t>
      </w:r>
    </w:p>
    <w:p w14:paraId="612D1323" w14:textId="77777777" w:rsidR="00362121" w:rsidRPr="005F451D" w:rsidRDefault="00362121" w:rsidP="00362121">
      <w:pPr>
        <w:spacing w:line="240" w:lineRule="auto"/>
        <w:rPr>
          <w:rFonts w:cs="Arial"/>
          <w:color w:val="000000" w:themeColor="text1"/>
          <w:szCs w:val="21"/>
        </w:rPr>
      </w:pPr>
      <w:r w:rsidRPr="005F451D">
        <w:rPr>
          <w:rFonts w:cs="Arial"/>
          <w:color w:val="000000" w:themeColor="text1"/>
          <w:szCs w:val="21"/>
        </w:rPr>
        <w:t xml:space="preserve">López, N &amp; Gadsen, V 2016, ‘Health inequities, social determinants, and intersectionality’, </w:t>
      </w:r>
      <w:r w:rsidRPr="005F451D">
        <w:rPr>
          <w:rFonts w:cs="Arial"/>
          <w:i/>
          <w:iCs/>
          <w:color w:val="000000" w:themeColor="text1"/>
          <w:szCs w:val="21"/>
        </w:rPr>
        <w:t xml:space="preserve">National Academy of Medicine Perspectives, </w:t>
      </w:r>
      <w:r w:rsidRPr="005F451D">
        <w:rPr>
          <w:rFonts w:cs="Arial"/>
          <w:color w:val="000000" w:themeColor="text1"/>
          <w:szCs w:val="21"/>
          <w:shd w:val="clear" w:color="auto" w:fill="FFFFFF"/>
        </w:rPr>
        <w:t>Discussion Paper, National Academy of Medicine, Washington, DC.</w:t>
      </w:r>
    </w:p>
    <w:p w14:paraId="19441F2D" w14:textId="77777777" w:rsidR="00362121" w:rsidRPr="005F451D" w:rsidRDefault="00362121" w:rsidP="00362121">
      <w:pPr>
        <w:spacing w:line="240" w:lineRule="auto"/>
        <w:rPr>
          <w:rFonts w:cs="Arial"/>
          <w:color w:val="000000" w:themeColor="text1"/>
        </w:rPr>
      </w:pPr>
      <w:r w:rsidRPr="153A1F7D">
        <w:rPr>
          <w:rFonts w:cs="Arial"/>
          <w:color w:val="000000" w:themeColor="text1"/>
        </w:rPr>
        <w:t xml:space="preserve">Mamatis, D, Sanford, S, Ansara, D &amp; Roche, B 2019, </w:t>
      </w:r>
      <w:r w:rsidRPr="153A1F7D">
        <w:rPr>
          <w:rFonts w:cs="Arial"/>
          <w:i/>
          <w:iCs/>
          <w:color w:val="000000" w:themeColor="text1"/>
        </w:rPr>
        <w:t>Promoting health and well-being through social inclusion in Toronto: Synthesis of international and local evidence and implications for future action,</w:t>
      </w:r>
      <w:r w:rsidRPr="153A1F7D">
        <w:rPr>
          <w:rFonts w:cs="Arial"/>
          <w:color w:val="000000" w:themeColor="text1"/>
        </w:rPr>
        <w:t xml:space="preserve"> Toronto Public Health and Wellesley Institute. </w:t>
      </w:r>
    </w:p>
    <w:p w14:paraId="656CC5AE" w14:textId="77777777" w:rsidR="00362121" w:rsidRDefault="00362121" w:rsidP="00362121">
      <w:pPr>
        <w:spacing w:line="240" w:lineRule="auto"/>
        <w:rPr>
          <w:rFonts w:cs="Arial"/>
          <w:color w:val="000000" w:themeColor="text1"/>
        </w:rPr>
      </w:pPr>
      <w:r w:rsidRPr="153A1F7D">
        <w:rPr>
          <w:rFonts w:cs="Arial"/>
          <w:color w:val="000000" w:themeColor="text1"/>
        </w:rPr>
        <w:t xml:space="preserve">McCloskey, DJ, McDonale MA, Cook, J, HeurtinRoberts S, Updegrove S, Sampson D, Gutter S &amp; Eder, M 2015, </w:t>
      </w:r>
      <w:r w:rsidRPr="153A1F7D">
        <w:rPr>
          <w:rFonts w:cs="Arial"/>
          <w:i/>
          <w:iCs/>
          <w:color w:val="000000" w:themeColor="text1"/>
        </w:rPr>
        <w:t xml:space="preserve">Principles of community engagement – second edition, </w:t>
      </w:r>
      <w:r w:rsidRPr="153A1F7D">
        <w:rPr>
          <w:rFonts w:cs="Arial"/>
          <w:color w:val="000000" w:themeColor="text1"/>
        </w:rPr>
        <w:t>Centers for Disease Control and Prevention, U.S. Department of Health and Human Services, Washington, DC, viewed 20 June 2022 &lt;</w:t>
      </w:r>
      <w:hyperlink r:id="rId67">
        <w:r w:rsidRPr="153A1F7D">
          <w:rPr>
            <w:rStyle w:val="Hyperlink"/>
            <w:rFonts w:eastAsia="MS Gothic" w:cs="Arial"/>
          </w:rPr>
          <w:t>https://www.atsdr.cdc.gov/communityengagement/pce_pubdevelopment.html</w:t>
        </w:r>
      </w:hyperlink>
      <w:r w:rsidRPr="153A1F7D">
        <w:rPr>
          <w:rFonts w:cs="Arial"/>
          <w:color w:val="000000" w:themeColor="text1"/>
        </w:rPr>
        <w:t xml:space="preserve">&gt; </w:t>
      </w:r>
    </w:p>
    <w:p w14:paraId="18E8973B" w14:textId="77777777" w:rsidR="00362121" w:rsidRPr="005F451D" w:rsidRDefault="00362121" w:rsidP="00362121">
      <w:pPr>
        <w:spacing w:line="240" w:lineRule="auto"/>
        <w:rPr>
          <w:rFonts w:cs="Arial"/>
          <w:color w:val="000000" w:themeColor="text1"/>
        </w:rPr>
      </w:pPr>
      <w:r w:rsidRPr="00760474">
        <w:rPr>
          <w:rFonts w:cs="Arial"/>
          <w:color w:val="000000" w:themeColor="text1"/>
        </w:rPr>
        <w:lastRenderedPageBreak/>
        <w:t>Nguyen,</w:t>
      </w:r>
      <w:r>
        <w:rPr>
          <w:rFonts w:cs="Arial"/>
          <w:color w:val="000000" w:themeColor="text1"/>
        </w:rPr>
        <w:t xml:space="preserve"> PY,</w:t>
      </w:r>
      <w:r w:rsidRPr="00760474">
        <w:rPr>
          <w:rFonts w:cs="Arial"/>
          <w:color w:val="000000" w:themeColor="text1"/>
        </w:rPr>
        <w:t xml:space="preserve"> Astell-Burt,</w:t>
      </w:r>
      <w:r>
        <w:rPr>
          <w:rFonts w:cs="Arial"/>
          <w:color w:val="000000" w:themeColor="text1"/>
        </w:rPr>
        <w:t xml:space="preserve"> T,</w:t>
      </w:r>
      <w:r w:rsidRPr="00760474">
        <w:rPr>
          <w:rFonts w:cs="Arial"/>
          <w:color w:val="000000" w:themeColor="text1"/>
        </w:rPr>
        <w:t xml:space="preserve"> Rahimi-Ardabili</w:t>
      </w:r>
      <w:r>
        <w:rPr>
          <w:rFonts w:cs="Arial"/>
          <w:color w:val="000000" w:themeColor="text1"/>
        </w:rPr>
        <w:t>, H</w:t>
      </w:r>
      <w:r w:rsidRPr="00760474">
        <w:rPr>
          <w:rFonts w:cs="Arial"/>
          <w:color w:val="000000" w:themeColor="text1"/>
        </w:rPr>
        <w:t xml:space="preserve"> and Feng,</w:t>
      </w:r>
      <w:r>
        <w:rPr>
          <w:rFonts w:cs="Arial"/>
          <w:color w:val="000000" w:themeColor="text1"/>
        </w:rPr>
        <w:t xml:space="preserve"> S,</w:t>
      </w:r>
      <w:r w:rsidRPr="00760474">
        <w:rPr>
          <w:rFonts w:cs="Arial"/>
          <w:color w:val="000000" w:themeColor="text1"/>
        </w:rPr>
        <w:t xml:space="preserve"> </w:t>
      </w:r>
      <w:r w:rsidRPr="00760474">
        <w:rPr>
          <w:rFonts w:cs="Arial"/>
          <w:i/>
          <w:iCs/>
          <w:color w:val="000000" w:themeColor="text1"/>
        </w:rPr>
        <w:t>Effect of nature prescriptions on cardiometabolic and mental health, and physical activity: a systematic review</w:t>
      </w:r>
      <w:r w:rsidRPr="00760474">
        <w:rPr>
          <w:rFonts w:cs="Arial"/>
          <w:color w:val="000000" w:themeColor="text1"/>
        </w:rPr>
        <w:t>, The Lancet Planetary Health</w:t>
      </w:r>
      <w:r w:rsidRPr="00760474">
        <w:rPr>
          <w:rFonts w:cs="Arial"/>
          <w:i/>
          <w:iCs/>
          <w:color w:val="000000" w:themeColor="text1"/>
        </w:rPr>
        <w:t xml:space="preserve">, </w:t>
      </w:r>
      <w:r w:rsidRPr="00760474">
        <w:rPr>
          <w:rFonts w:cs="Arial"/>
          <w:color w:val="000000" w:themeColor="text1"/>
        </w:rPr>
        <w:t>2023, 7(4)</w:t>
      </w:r>
      <w:r>
        <w:rPr>
          <w:rFonts w:cs="Arial"/>
          <w:color w:val="000000" w:themeColor="text1"/>
        </w:rPr>
        <w:t xml:space="preserve"> </w:t>
      </w:r>
      <w:r w:rsidRPr="00760474">
        <w:rPr>
          <w:rFonts w:cs="Arial"/>
          <w:color w:val="000000" w:themeColor="text1"/>
        </w:rPr>
        <w:t>:e313–e328</w:t>
      </w:r>
    </w:p>
    <w:p w14:paraId="2DFE5EF1" w14:textId="77777777" w:rsidR="00362121" w:rsidRPr="005F451D" w:rsidRDefault="00362121" w:rsidP="00362121">
      <w:pPr>
        <w:spacing w:line="240" w:lineRule="auto"/>
        <w:rPr>
          <w:color w:val="000000" w:themeColor="text1"/>
        </w:rPr>
      </w:pPr>
      <w:r w:rsidRPr="79786167">
        <w:rPr>
          <w:color w:val="000000" w:themeColor="text1"/>
        </w:rPr>
        <w:t xml:space="preserve">Victorian Government, 2020, A framework for place-based approaches, Victorian Government, viewed 01 March 2025 &lt; </w:t>
      </w:r>
      <w:hyperlink r:id="rId68">
        <w:r w:rsidRPr="79786167">
          <w:rPr>
            <w:rStyle w:val="Hyperlink"/>
          </w:rPr>
          <w:t>https://www.vic.gov.au/framework-place-based-approaches&gt;</w:t>
        </w:r>
      </w:hyperlink>
    </w:p>
    <w:p w14:paraId="4A2FC148" w14:textId="77777777" w:rsidR="004B4E6F" w:rsidRDefault="004B4E6F" w:rsidP="003E4086">
      <w:pPr>
        <w:pStyle w:val="Bodyafterbullets"/>
      </w:pPr>
    </w:p>
    <w:p w14:paraId="7427D19E" w14:textId="77777777" w:rsidR="004B4E6F" w:rsidRDefault="004B4E6F" w:rsidP="003E4086">
      <w:pPr>
        <w:pStyle w:val="Bodyafterbullets"/>
      </w:pPr>
    </w:p>
    <w:p w14:paraId="6F1CAA0E" w14:textId="77777777" w:rsidR="004B4E6F" w:rsidRDefault="004B4E6F" w:rsidP="003E4086">
      <w:pPr>
        <w:pStyle w:val="Bodyafterbullets"/>
      </w:pPr>
    </w:p>
    <w:p w14:paraId="66FD7DB4" w14:textId="77777777" w:rsidR="004B4E6F" w:rsidRDefault="004B4E6F" w:rsidP="003E4086">
      <w:pPr>
        <w:pStyle w:val="Bodyafterbullets"/>
      </w:pPr>
    </w:p>
    <w:p w14:paraId="2B14E83B" w14:textId="77777777" w:rsidR="004B4E6F" w:rsidRDefault="004B4E6F" w:rsidP="003E4086">
      <w:pPr>
        <w:pStyle w:val="Bodyafterbullets"/>
      </w:pPr>
    </w:p>
    <w:p w14:paraId="034A371E" w14:textId="77777777" w:rsidR="004B4E6F" w:rsidRDefault="004B4E6F" w:rsidP="003E4086">
      <w:pPr>
        <w:pStyle w:val="Bodyafterbullets"/>
      </w:pPr>
    </w:p>
    <w:p w14:paraId="6561BC29" w14:textId="77777777" w:rsidR="004B4E6F" w:rsidRDefault="004B4E6F" w:rsidP="003E4086">
      <w:pPr>
        <w:pStyle w:val="Bodyafterbullets"/>
      </w:pPr>
    </w:p>
    <w:p w14:paraId="4C792FDC" w14:textId="77777777" w:rsidR="004B4E6F" w:rsidRDefault="004B4E6F" w:rsidP="003E4086">
      <w:pPr>
        <w:pStyle w:val="Bodyafterbullets"/>
      </w:pPr>
    </w:p>
    <w:p w14:paraId="5BDBDC71" w14:textId="77777777" w:rsidR="004B4E6F" w:rsidRDefault="004B4E6F" w:rsidP="003E4086">
      <w:pPr>
        <w:pStyle w:val="Bodyafterbullets"/>
      </w:pPr>
    </w:p>
    <w:p w14:paraId="77490EA6" w14:textId="77777777" w:rsidR="004B4E6F" w:rsidRDefault="004B4E6F" w:rsidP="003E4086">
      <w:pPr>
        <w:pStyle w:val="Bodyafterbullets"/>
      </w:pPr>
    </w:p>
    <w:p w14:paraId="21C6201D" w14:textId="77777777" w:rsidR="004B4E6F" w:rsidRDefault="004B4E6F" w:rsidP="003E4086">
      <w:pPr>
        <w:pStyle w:val="Bodyafterbullets"/>
      </w:pPr>
    </w:p>
    <w:p w14:paraId="230D5710" w14:textId="77777777" w:rsidR="004B4E6F" w:rsidRDefault="004B4E6F" w:rsidP="003E4086">
      <w:pPr>
        <w:pStyle w:val="Bodyafterbullets"/>
      </w:pPr>
    </w:p>
    <w:bookmarkEnd w:id="2"/>
    <w:p w14:paraId="66BB3B31" w14:textId="213B1BE4" w:rsidR="00EB4BC7" w:rsidRDefault="00EB4BC7" w:rsidP="00E261B3">
      <w:pPr>
        <w:pStyle w:val="Quotetext"/>
      </w:pPr>
    </w:p>
    <w:sectPr w:rsidR="00EB4BC7" w:rsidSect="00454A7D">
      <w:headerReference w:type="even" r:id="rId69"/>
      <w:headerReference w:type="default" r:id="rId70"/>
      <w:footerReference w:type="even" r:id="rId71"/>
      <w:footerReference w:type="default" r:id="rId72"/>
      <w:pgSz w:w="11906" w:h="16838" w:code="9"/>
      <w:pgMar w:top="1418" w:right="1304" w:bottom="1134" w:left="1304"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74881F" w14:textId="77777777" w:rsidR="00753EA5" w:rsidRDefault="00753EA5">
      <w:r>
        <w:separator/>
      </w:r>
    </w:p>
    <w:p w14:paraId="6296B4BF" w14:textId="77777777" w:rsidR="00753EA5" w:rsidRDefault="00753EA5"/>
  </w:endnote>
  <w:endnote w:type="continuationSeparator" w:id="0">
    <w:p w14:paraId="1C7E3BC4" w14:textId="77777777" w:rsidR="00753EA5" w:rsidRDefault="00753EA5">
      <w:r>
        <w:continuationSeparator/>
      </w:r>
    </w:p>
    <w:p w14:paraId="31C786DA" w14:textId="77777777" w:rsidR="00753EA5" w:rsidRDefault="00753EA5"/>
  </w:endnote>
  <w:endnote w:type="continuationNotice" w:id="1">
    <w:p w14:paraId="16035EF3" w14:textId="77777777" w:rsidR="00753EA5" w:rsidRDefault="00753E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4D4CA" w14:textId="77777777" w:rsidR="00EB4BC7" w:rsidRDefault="00EB4BC7">
    <w:pPr>
      <w:pStyle w:val="Footer"/>
    </w:pPr>
    <w:r>
      <w:rPr>
        <w:noProof/>
      </w:rPr>
      <mc:AlternateContent>
        <mc:Choice Requires="wps">
          <w:drawing>
            <wp:anchor distT="0" distB="0" distL="114300" distR="114300" simplePos="0" relativeHeight="251658242" behindDoc="0" locked="0" layoutInCell="0" allowOverlap="1" wp14:anchorId="6B397589" wp14:editId="165EF4D2">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BC826C"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B397589"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79BC826C"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621DD" w14:textId="77777777" w:rsidR="00431A70" w:rsidRDefault="00EB4BC7">
    <w:pPr>
      <w:pStyle w:val="Footer"/>
    </w:pPr>
    <w:r>
      <w:rPr>
        <w:noProof/>
        <w:lang w:eastAsia="en-AU"/>
      </w:rPr>
      <mc:AlternateContent>
        <mc:Choice Requires="wps">
          <w:drawing>
            <wp:anchor distT="0" distB="0" distL="114300" distR="114300" simplePos="0" relativeHeight="251658240" behindDoc="0" locked="0" layoutInCell="0" allowOverlap="1" wp14:anchorId="53E2CD11" wp14:editId="3EE1E888">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045294"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3E2CD11"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07045294"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F2741" w14:textId="77777777" w:rsidR="00EB4BC7" w:rsidRDefault="00EB4BC7">
    <w:pPr>
      <w:pStyle w:val="Footer"/>
    </w:pPr>
    <w:r>
      <w:rPr>
        <w:noProof/>
      </w:rPr>
      <mc:AlternateContent>
        <mc:Choice Requires="wps">
          <w:drawing>
            <wp:anchor distT="0" distB="0" distL="114300" distR="114300" simplePos="0" relativeHeight="251658241" behindDoc="0" locked="0" layoutInCell="0" allowOverlap="1" wp14:anchorId="7BA27DB2" wp14:editId="23BD2321">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7AD6AC"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A27DB2"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057AD6AC"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0690B" w14:textId="77777777" w:rsidR="00210890" w:rsidRDefault="0021089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E8815" w14:textId="77777777" w:rsidR="00210890" w:rsidRDefault="00210890" w:rsidP="003D05CD">
    <w:pPr>
      <w:pStyle w:val="Header"/>
    </w:pPr>
    <w:r>
      <w:rPr>
        <w:noProof/>
      </w:rPr>
      <mc:AlternateContent>
        <mc:Choice Requires="wps">
          <w:drawing>
            <wp:anchor distT="0" distB="0" distL="114300" distR="114300" simplePos="0" relativeHeight="251658249" behindDoc="0" locked="0" layoutInCell="0" allowOverlap="1" wp14:anchorId="0587892B" wp14:editId="3BA5F6E9">
              <wp:simplePos x="0" y="0"/>
              <wp:positionH relativeFrom="page">
                <wp:align>center</wp:align>
              </wp:positionH>
              <wp:positionV relativeFrom="page">
                <wp:align>bottom</wp:align>
              </wp:positionV>
              <wp:extent cx="7772400" cy="502285"/>
              <wp:effectExtent l="0" t="0" r="0" b="12065"/>
              <wp:wrapNone/>
              <wp:docPr id="1270959078" name="MSIPCMda6d44209e8efba5ff52776c" descr="{&quot;HashCode&quot;:904758361,&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C3995E" w14:textId="77777777" w:rsidR="00210890" w:rsidRPr="00270EC2" w:rsidRDefault="00210890" w:rsidP="00270EC2">
                          <w:pPr>
                            <w:spacing w:after="0"/>
                            <w:jc w:val="center"/>
                            <w:rPr>
                              <w:rFonts w:ascii="Arial Black" w:hAnsi="Arial Black"/>
                              <w:color w:val="000000"/>
                              <w:sz w:val="20"/>
                            </w:rPr>
                          </w:pPr>
                          <w:r w:rsidRPr="00270EC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587892B" id="_x0000_t202" coordsize="21600,21600" o:spt="202" path="m,l,21600r21600,l21600,xe">
              <v:stroke joinstyle="miter"/>
              <v:path gradientshapeok="t" o:connecttype="rect"/>
            </v:shapetype>
            <v:shape id="MSIPCMda6d44209e8efba5ff52776c" o:spid="_x0000_s1029" type="#_x0000_t202" alt="{&quot;HashCode&quot;:904758361,&quot;Height&quot;:9999999.0,&quot;Width&quot;:9999999.0,&quot;Placement&quot;:&quot;Footer&quot;,&quot;Index&quot;:&quot;Primary&quot;,&quot;Section&quot;:3,&quot;Top&quot;:0.0,&quot;Left&quot;:0.0}" style="position:absolute;margin-left:0;margin-top:0;width:612pt;height:39.55pt;z-index:251658249;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BxgbEWGQIAAC0EAAAOAAAAAAAAAAAAAAAAAC4CAABkcnMvZTJvRG9jLnhtbFBLAQItABQABgAI&#10;AAAAIQDYP/032wAAAAUBAAAPAAAAAAAAAAAAAAAAAHMEAABkcnMvZG93bnJldi54bWxQSwUGAAAA&#10;AAQABADzAAAAewUAAAAA&#10;" o:allowincell="f" filled="f" stroked="f" strokeweight=".5pt">
              <v:textbox inset=",0,,0">
                <w:txbxContent>
                  <w:p w14:paraId="1CC3995E" w14:textId="77777777" w:rsidR="00210890" w:rsidRPr="00270EC2" w:rsidRDefault="00210890" w:rsidP="00270EC2">
                    <w:pPr>
                      <w:spacing w:after="0"/>
                      <w:jc w:val="center"/>
                      <w:rPr>
                        <w:rFonts w:ascii="Arial Black" w:hAnsi="Arial Black"/>
                        <w:color w:val="000000"/>
                        <w:sz w:val="20"/>
                      </w:rPr>
                    </w:pPr>
                    <w:r w:rsidRPr="00270EC2">
                      <w:rPr>
                        <w:rFonts w:ascii="Arial Black" w:hAnsi="Arial Black"/>
                        <w:color w:val="000000"/>
                        <w:sz w:val="20"/>
                      </w:rPr>
                      <w:t>OFFICIAL</w:t>
                    </w:r>
                  </w:p>
                </w:txbxContent>
              </v:textbox>
              <w10:wrap anchorx="page" anchory="page"/>
            </v:shape>
          </w:pict>
        </mc:Fallback>
      </mc:AlternateContent>
    </w:r>
    <w:r>
      <w:rPr>
        <w:noProof/>
      </w:rPr>
      <mc:AlternateContent>
        <mc:Choice Requires="wps">
          <w:drawing>
            <wp:anchor distT="0" distB="0" distL="114300" distR="114300" simplePos="0" relativeHeight="251658246" behindDoc="0" locked="0" layoutInCell="0" allowOverlap="1" wp14:anchorId="68FE1CA3" wp14:editId="779D8ACE">
              <wp:simplePos x="0" y="0"/>
              <wp:positionH relativeFrom="page">
                <wp:align>center</wp:align>
              </wp:positionH>
              <wp:positionV relativeFrom="page">
                <wp:align>bottom</wp:align>
              </wp:positionV>
              <wp:extent cx="7772400" cy="502285"/>
              <wp:effectExtent l="0" t="0" r="0" b="12065"/>
              <wp:wrapNone/>
              <wp:docPr id="12" name="Text Box 12" descr="{&quot;HashCode&quot;:904758361,&quot;Height&quot;:9999999.0,&quot;Width&quot;:9999999.0,&quot;Placement&quot;:&quot;Footer&quot;,&quot;Index&quot;:&quot;Primary&quot;,&quot;Section&quot;:9,&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0D1400" w14:textId="77777777" w:rsidR="00210890" w:rsidRPr="00F6777E" w:rsidRDefault="00210890" w:rsidP="00F6777E">
                          <w:pPr>
                            <w:spacing w:after="0"/>
                            <w:jc w:val="center"/>
                            <w:rPr>
                              <w:rFonts w:ascii="Arial Black" w:hAnsi="Arial Black"/>
                              <w:color w:val="000000"/>
                              <w:sz w:val="20"/>
                            </w:rPr>
                          </w:pPr>
                          <w:r w:rsidRPr="00F6777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68FE1CA3" id="Text Box 12" o:spid="_x0000_s1030" type="#_x0000_t202" alt="{&quot;HashCode&quot;:904758361,&quot;Height&quot;:9999999.0,&quot;Width&quot;:9999999.0,&quot;Placement&quot;:&quot;Footer&quot;,&quot;Index&quot;:&quot;Primary&quot;,&quot;Section&quot;:9,&quot;Top&quot;:0.0,&quot;Left&quot;:0.0}" style="position:absolute;margin-left:0;margin-top:0;width:612pt;height:39.55pt;z-index:25165824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ePRGQ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qqpNNhjx1UJ1zPQc+8t3zd4Awb&#10;5sMzc0g1jo3yDU94SAXYC84WJTW4X3/zx3xkAKOUtCidkvqfB+YEJeq7QW6+jKfTqLV0QcO99e4G&#10;rznoe0BVjvGBWJ7MmBvUYEoH+hXVvYrdMMQMx54l5cENl/vQSxnfBxerVUpDXVkWNmZreSwe8YzY&#10;vnSvzNkzAQGpe4RBXqx4x0Of2zOxOgSQTSIpItzjeQYeNZloPr+fKPq395R1feXL3wA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CTQePRGQIAAC0EAAAOAAAAAAAAAAAAAAAAAC4CAABkcnMvZTJvRG9jLnhtbFBLAQItABQABgAI&#10;AAAAIQDYP/032wAAAAUBAAAPAAAAAAAAAAAAAAAAAHMEAABkcnMvZG93bnJldi54bWxQSwUGAAAA&#10;AAQABADzAAAAewUAAAAA&#10;" o:allowincell="f" filled="f" stroked="f" strokeweight=".5pt">
              <v:textbox inset=",0,,0">
                <w:txbxContent>
                  <w:p w14:paraId="120D1400" w14:textId="77777777" w:rsidR="00210890" w:rsidRPr="00F6777E" w:rsidRDefault="00210890" w:rsidP="00F6777E">
                    <w:pPr>
                      <w:spacing w:after="0"/>
                      <w:jc w:val="center"/>
                      <w:rPr>
                        <w:rFonts w:ascii="Arial Black" w:hAnsi="Arial Black"/>
                        <w:color w:val="000000"/>
                        <w:sz w:val="20"/>
                      </w:rPr>
                    </w:pPr>
                    <w:r w:rsidRPr="00F6777E">
                      <w:rPr>
                        <w:rFonts w:ascii="Arial Black" w:hAnsi="Arial Black"/>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3B9AC" w14:textId="77777777" w:rsidR="00210890" w:rsidRDefault="00210890" w:rsidP="0057303C">
    <w:pPr>
      <w:pStyle w:val="Footer"/>
      <w:jc w:val="left"/>
    </w:pPr>
    <w:r>
      <w:rPr>
        <w:noProof/>
      </w:rPr>
      <mc:AlternateContent>
        <mc:Choice Requires="wps">
          <w:drawing>
            <wp:anchor distT="0" distB="0" distL="114300" distR="114300" simplePos="0" relativeHeight="251658250" behindDoc="0" locked="0" layoutInCell="0" allowOverlap="1" wp14:anchorId="71E2E8C2" wp14:editId="29085848">
              <wp:simplePos x="0" y="0"/>
              <wp:positionH relativeFrom="page">
                <wp:align>center</wp:align>
              </wp:positionH>
              <wp:positionV relativeFrom="page">
                <wp:align>bottom</wp:align>
              </wp:positionV>
              <wp:extent cx="7772400" cy="502285"/>
              <wp:effectExtent l="0" t="0" r="0" b="12065"/>
              <wp:wrapNone/>
              <wp:docPr id="14" name="MSIPCM7bbb423ab34d505633cb7ec8" descr="{&quot;HashCode&quot;:904758361,&quot;Height&quot;:9999999.0,&quot;Width&quot;:9999999.0,&quot;Placement&quot;:&quot;Footer&quot;,&quot;Index&quot;:&quot;FirstPage&quot;,&quot;Section&quot;:3,&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45C148" w14:textId="77777777" w:rsidR="00210890" w:rsidRPr="00270EC2" w:rsidRDefault="00210890" w:rsidP="00270EC2">
                          <w:pPr>
                            <w:spacing w:after="0"/>
                            <w:jc w:val="center"/>
                            <w:rPr>
                              <w:rFonts w:ascii="Arial Black" w:hAnsi="Arial Black"/>
                              <w:color w:val="000000"/>
                              <w:sz w:val="20"/>
                            </w:rPr>
                          </w:pPr>
                          <w:r w:rsidRPr="00270EC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1E2E8C2" id="_x0000_t202" coordsize="21600,21600" o:spt="202" path="m,l,21600r21600,l21600,xe">
              <v:stroke joinstyle="miter"/>
              <v:path gradientshapeok="t" o:connecttype="rect"/>
            </v:shapetype>
            <v:shape id="MSIPCM7bbb423ab34d505633cb7ec8" o:spid="_x0000_s1031" type="#_x0000_t202" alt="{&quot;HashCode&quot;:904758361,&quot;Height&quot;:9999999.0,&quot;Width&quot;:9999999.0,&quot;Placement&quot;:&quot;Footer&quot;,&quot;Index&quot;:&quot;FirstPage&quot;,&quot;Section&quot;:3,&quot;Top&quot;:0.0,&quot;Left&quot;:0.0}" style="position:absolute;margin-left:0;margin-top:0;width:612pt;height:39.55pt;z-index:25165825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li4GA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pxj22EF1wvUc9Mx7y9cNzrBh&#10;Pjwzh1Tj2Cjf8ISHVIC94GxRUoP79Td/zEcGMEpJi9Ipqf95YE5Qor4b5ObLeDqNWksXNNxb727w&#10;moO+B1TlGB+I5cmMuUENpnSgX1Hdq9gNQ8xw7FlSHtxwuQ+9lPF9cLFapTTUlWVhY7aWx+IRz4jt&#10;S/fKnD0TEJC6RxjkxYp3PPS5PROrQwDZJJIiwj2eZ+BRk4nm8/uJon97T1nXV778D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B62WLgYAgAALQQAAA4AAAAAAAAAAAAAAAAALgIAAGRycy9lMm9Eb2MueG1sUEsBAi0AFAAGAAgA&#10;AAAhANg//TfbAAAABQEAAA8AAAAAAAAAAAAAAAAAcgQAAGRycy9kb3ducmV2LnhtbFBLBQYAAAAA&#10;BAAEAPMAAAB6BQAAAAA=&#10;" o:allowincell="f" filled="f" stroked="f" strokeweight=".5pt">
              <v:textbox inset=",0,,0">
                <w:txbxContent>
                  <w:p w14:paraId="1045C148" w14:textId="77777777" w:rsidR="00210890" w:rsidRPr="00270EC2" w:rsidRDefault="00210890" w:rsidP="00270EC2">
                    <w:pPr>
                      <w:spacing w:after="0"/>
                      <w:jc w:val="center"/>
                      <w:rPr>
                        <w:rFonts w:ascii="Arial Black" w:hAnsi="Arial Black"/>
                        <w:color w:val="000000"/>
                        <w:sz w:val="20"/>
                      </w:rPr>
                    </w:pPr>
                    <w:r w:rsidRPr="00270EC2">
                      <w:rPr>
                        <w:rFonts w:ascii="Arial Black" w:hAnsi="Arial Black"/>
                        <w:color w:val="000000"/>
                        <w:sz w:val="20"/>
                      </w:rPr>
                      <w:t>OFFICIAL</w:t>
                    </w:r>
                  </w:p>
                </w:txbxContent>
              </v:textbox>
              <w10:wrap anchorx="page" anchory="page"/>
            </v:shape>
          </w:pict>
        </mc:Fallback>
      </mc:AlternateContent>
    </w:r>
    <w:r>
      <w:rPr>
        <w:noProof/>
      </w:rPr>
      <mc:AlternateContent>
        <mc:Choice Requires="wps">
          <w:drawing>
            <wp:anchor distT="0" distB="0" distL="114300" distR="114300" simplePos="0" relativeHeight="251658248" behindDoc="0" locked="0" layoutInCell="0" allowOverlap="1" wp14:anchorId="402F9B19" wp14:editId="7D5DD8DB">
              <wp:simplePos x="0" y="0"/>
              <wp:positionH relativeFrom="page">
                <wp:align>center</wp:align>
              </wp:positionH>
              <wp:positionV relativeFrom="page">
                <wp:align>bottom</wp:align>
              </wp:positionV>
              <wp:extent cx="7772400" cy="502285"/>
              <wp:effectExtent l="0" t="0" r="0" b="12065"/>
              <wp:wrapNone/>
              <wp:docPr id="16" name="Text Box 16" descr="{&quot;HashCode&quot;:904758361,&quot;Height&quot;:9999999.0,&quot;Width&quot;:9999999.0,&quot;Placement&quot;:&quot;Footer&quot;,&quot;Index&quot;:&quot;FirstPage&quot;,&quot;Section&quot;:3,&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999DB9" w14:textId="77777777" w:rsidR="00210890" w:rsidRPr="009A2B87" w:rsidRDefault="00210890" w:rsidP="009A2B87">
                          <w:pPr>
                            <w:spacing w:after="0"/>
                            <w:jc w:val="center"/>
                            <w:rPr>
                              <w:rFonts w:ascii="Arial Black" w:hAnsi="Arial Black"/>
                              <w:color w:val="000000"/>
                              <w:sz w:val="20"/>
                            </w:rPr>
                          </w:pPr>
                          <w:r w:rsidRPr="009A2B8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402F9B19" id="Text Box 16" o:spid="_x0000_s1032" type="#_x0000_t202" alt="{&quot;HashCode&quot;:904758361,&quot;Height&quot;:9999999.0,&quot;Width&quot;:9999999.0,&quot;Placement&quot;:&quot;Footer&quot;,&quot;Index&quot;:&quot;FirstPage&quot;,&quot;Section&quot;:3,&quot;Top&quot;:0.0,&quot;Left&quot;:0.0}" style="position:absolute;margin-left:0;margin-top:0;width:612pt;height:39.55pt;z-index:25165824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pQCGA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fxj22EF1wvUc9Mx7y9cNzrBh&#10;Pjwzh1Tj2Cjf8ISHVIC94GxRUoP79Td/zEcGMEpJi9Ipqf95YE5Qor4b5ObLeDqNWksXNNxb727w&#10;moO+B1TlGB+I5cmMuUENpnSgX1Hdq9gNQ8xw7FlSHtxwuQ+9lPF9cLFapTTUlWVhY7aWx+IRz4jt&#10;S/fKnD0TEJC6RxjkxYp3PPS5PROrQwDZJJIiwj2eZ+BRk4nm8/uJon97T1nXV778D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ImulAIYAgAALQQAAA4AAAAAAAAAAAAAAAAALgIAAGRycy9lMm9Eb2MueG1sUEsBAi0AFAAGAAgA&#10;AAAhANg//TfbAAAABQEAAA8AAAAAAAAAAAAAAAAAcgQAAGRycy9kb3ducmV2LnhtbFBLBQYAAAAA&#10;BAAEAPMAAAB6BQAAAAA=&#10;" o:allowincell="f" filled="f" stroked="f" strokeweight=".5pt">
              <v:textbox inset=",0,,0">
                <w:txbxContent>
                  <w:p w14:paraId="35999DB9" w14:textId="77777777" w:rsidR="00210890" w:rsidRPr="009A2B87" w:rsidRDefault="00210890" w:rsidP="009A2B87">
                    <w:pPr>
                      <w:spacing w:after="0"/>
                      <w:jc w:val="center"/>
                      <w:rPr>
                        <w:rFonts w:ascii="Arial Black" w:hAnsi="Arial Black"/>
                        <w:color w:val="000000"/>
                        <w:sz w:val="20"/>
                      </w:rPr>
                    </w:pPr>
                    <w:r w:rsidRPr="009A2B87">
                      <w:rPr>
                        <w:rFonts w:ascii="Arial Black" w:hAnsi="Arial Black"/>
                        <w:color w:val="000000"/>
                        <w:sz w:val="20"/>
                      </w:rPr>
                      <w:t>OFFICIAL</w:t>
                    </w:r>
                  </w:p>
                </w:txbxContent>
              </v:textbox>
              <w10:wrap anchorx="page" anchory="page"/>
            </v:shape>
          </w:pict>
        </mc:Fallback>
      </mc:AlternateContent>
    </w:r>
    <w:r>
      <w:rPr>
        <w:noProof/>
      </w:rPr>
      <mc:AlternateContent>
        <mc:Choice Requires="wps">
          <w:drawing>
            <wp:anchor distT="0" distB="0" distL="114300" distR="114300" simplePos="0" relativeHeight="251658247" behindDoc="0" locked="0" layoutInCell="0" allowOverlap="1" wp14:anchorId="14555467" wp14:editId="2893BD39">
              <wp:simplePos x="0" y="0"/>
              <wp:positionH relativeFrom="page">
                <wp:align>center</wp:align>
              </wp:positionH>
              <wp:positionV relativeFrom="page">
                <wp:align>bottom</wp:align>
              </wp:positionV>
              <wp:extent cx="7772400" cy="502285"/>
              <wp:effectExtent l="0" t="0" r="0" b="12065"/>
              <wp:wrapNone/>
              <wp:docPr id="742723876" name="Text Box 742723876" descr="{&quot;HashCode&quot;:904758361,&quot;Height&quot;:9999999.0,&quot;Width&quot;:9999999.0,&quot;Placement&quot;:&quot;Footer&quot;,&quot;Index&quot;:&quot;FirstPage&quot;,&quot;Section&quot;:4,&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6BD4D7" w14:textId="77777777" w:rsidR="00210890" w:rsidRPr="00F6777E" w:rsidRDefault="00210890" w:rsidP="00F6777E">
                          <w:pPr>
                            <w:spacing w:after="0"/>
                            <w:jc w:val="center"/>
                            <w:rPr>
                              <w:rFonts w:ascii="Arial Black" w:hAnsi="Arial Black"/>
                              <w:color w:val="000000"/>
                              <w:sz w:val="20"/>
                            </w:rPr>
                          </w:pPr>
                          <w:r w:rsidRPr="00F6777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14555467" id="Text Box 742723876" o:spid="_x0000_s1033" type="#_x0000_t202" alt="{&quot;HashCode&quot;:904758361,&quot;Height&quot;:9999999.0,&quot;Width&quot;:9999999.0,&quot;Placement&quot;:&quot;Footer&quot;,&quot;Index&quot;:&quot;FirstPage&quot;,&quot;Section&quot;:4,&quot;Top&quot;:0.0,&quot;Left&quot;:0.0}" style="position:absolute;margin-left:0;margin-top:0;width:612pt;height:39.55pt;z-index:251658247;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9rGA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Rxr22EF1wvUc9Mx7y9cNzrBh&#10;Pjwzh1Tj2Cjf8ISHVIC94GxRUoP79Td/zEcGMEpJi9Ipqf95YE5Qor4b5ObLeDqNWksXNNxb727w&#10;moO+B1TlGB+I5cmMuUENpnSgX1Hdq9gNQ8xw7FlSHtxwuQ+9lPF9cLFapTTUlWVhY7aWx+IRz4jt&#10;S/fKnD0TEJC6RxjkxYp3PPS5PROrQwDZJJIiwj2eZ+BRk4nm8/uJon97T1nXV778D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ARZL2sYAgAALQQAAA4AAAAAAAAAAAAAAAAALgIAAGRycy9lMm9Eb2MueG1sUEsBAi0AFAAGAAgA&#10;AAAhANg//TfbAAAABQEAAA8AAAAAAAAAAAAAAAAAcgQAAGRycy9kb3ducmV2LnhtbFBLBQYAAAAA&#10;BAAEAPMAAAB6BQAAAAA=&#10;" o:allowincell="f" filled="f" stroked="f" strokeweight=".5pt">
              <v:textbox inset=",0,,0">
                <w:txbxContent>
                  <w:p w14:paraId="1C6BD4D7" w14:textId="77777777" w:rsidR="00210890" w:rsidRPr="00F6777E" w:rsidRDefault="00210890" w:rsidP="00F6777E">
                    <w:pPr>
                      <w:spacing w:after="0"/>
                      <w:jc w:val="center"/>
                      <w:rPr>
                        <w:rFonts w:ascii="Arial Black" w:hAnsi="Arial Black"/>
                        <w:color w:val="000000"/>
                        <w:sz w:val="20"/>
                      </w:rPr>
                    </w:pPr>
                    <w:r w:rsidRPr="00F6777E">
                      <w:rPr>
                        <w:rFonts w:ascii="Arial Black" w:hAnsi="Arial Black"/>
                        <w:color w:val="000000"/>
                        <w:sz w:val="20"/>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0020D" w14:textId="77777777" w:rsidR="00D63636" w:rsidRDefault="002C5B7C">
    <w:pPr>
      <w:pStyle w:val="Footer"/>
    </w:pPr>
    <w:r>
      <w:rPr>
        <w:noProof/>
        <w:lang w:eastAsia="en-AU"/>
      </w:rPr>
      <mc:AlternateContent>
        <mc:Choice Requires="wps">
          <w:drawing>
            <wp:anchor distT="0" distB="0" distL="114300" distR="114300" simplePos="0" relativeHeight="251658244" behindDoc="0" locked="0" layoutInCell="0" allowOverlap="1" wp14:anchorId="29F9806E" wp14:editId="63C0D4D3">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E1FAE8"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F9806E" id="_x0000_t202" coordsize="21600,21600" o:spt="202" path="m,l,21600r21600,l21600,xe">
              <v:stroke joinstyle="miter"/>
              <v:path gradientshapeok="t" o:connecttype="rect"/>
            </v:shapetype>
            <v:shape id="MSIPCMd3f54469bd0204c6fb2f3fa8" o:spid="_x0000_s1034"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c/kHqGAIAACsEAAAOAAAAAAAAAAAAAAAAAC4CAABkcnMvZTJvRG9jLnhtbFBLAQItABQA&#10;BgAIAAAAIQBIDV6a3wAAAAsBAAAPAAAAAAAAAAAAAAAAAHIEAABkcnMvZG93bnJldi54bWxQSwUG&#10;AAAAAAQABADzAAAAfgUAAAAA&#10;" o:allowincell="f" filled="f" stroked="f" strokeweight=".5pt">
              <v:textbox inset=",0,,0">
                <w:txbxContent>
                  <w:p w14:paraId="56E1FAE8"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64E38" w14:textId="77777777" w:rsidR="00431A70" w:rsidRDefault="008977D1">
    <w:pPr>
      <w:pStyle w:val="Footer"/>
    </w:pPr>
    <w:r>
      <w:rPr>
        <w:noProof/>
        <w:lang w:eastAsia="en-AU"/>
      </w:rPr>
      <mc:AlternateContent>
        <mc:Choice Requires="wps">
          <w:drawing>
            <wp:anchor distT="0" distB="0" distL="114300" distR="114300" simplePos="0" relativeHeight="251658245" behindDoc="0" locked="0" layoutInCell="0" allowOverlap="1" wp14:anchorId="77B18CD3" wp14:editId="71746340">
              <wp:simplePos x="0" y="0"/>
              <wp:positionH relativeFrom="page">
                <wp:posOffset>0</wp:posOffset>
              </wp:positionH>
              <wp:positionV relativeFrom="page">
                <wp:posOffset>10189210</wp:posOffset>
              </wp:positionV>
              <wp:extent cx="7560310" cy="311785"/>
              <wp:effectExtent l="0" t="0" r="0" b="12065"/>
              <wp:wrapNone/>
              <wp:docPr id="2" name="MSIPCM74884611b90139cc3ff5acf2"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3B2B21" w14:textId="77777777" w:rsidR="008977D1" w:rsidRPr="008977D1" w:rsidRDefault="008977D1" w:rsidP="008977D1">
                          <w:pPr>
                            <w:spacing w:after="0"/>
                            <w:jc w:val="center"/>
                            <w:rPr>
                              <w:rFonts w:ascii="Arial Black" w:hAnsi="Arial Black"/>
                              <w:color w:val="000000"/>
                              <w:sz w:val="20"/>
                            </w:rPr>
                          </w:pPr>
                          <w:r w:rsidRPr="008977D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7B18CD3" id="_x0000_t202" coordsize="21600,21600" o:spt="202" path="m,l,21600r21600,l21600,xe">
              <v:stroke joinstyle="miter"/>
              <v:path gradientshapeok="t" o:connecttype="rect"/>
            </v:shapetype>
            <v:shape id="MSIPCM74884611b90139cc3ff5acf2" o:spid="_x0000_s1035"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cBi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FfRu3KOE6ojrWRiYd4avG5xh&#10;w5x/YRapxrFRvv4ZD6kAe8HJoqQG++tv/pCPDGCUkg6lU1D3c8+soER918jNXXZ9HbQWL2jY995y&#10;9Op9+wCoygwfiOHRDLlejaa00L6hulehG4aY5tizoOVoPvhByPg6uFitYhKqyjC/0VvDQ+mAZkD2&#10;tX9j1pzg90jcE4ziYvkHFobcgYfV3oNsIkUB3wHNE+yoyEjy6fUEyb+/x6zLG1/+B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DsccBiGAIAACsEAAAOAAAAAAAAAAAAAAAAAC4CAABkcnMvZTJvRG9jLnhtbFBLAQItABQA&#10;BgAIAAAAIQBIDV6a3wAAAAsBAAAPAAAAAAAAAAAAAAAAAHIEAABkcnMvZG93bnJldi54bWxQSwUG&#10;AAAAAAQABADzAAAAfgUAAAAA&#10;" o:allowincell="f" filled="f" stroked="f" strokeweight=".5pt">
              <v:textbox inset=",0,,0">
                <w:txbxContent>
                  <w:p w14:paraId="223B2B21" w14:textId="77777777" w:rsidR="008977D1" w:rsidRPr="008977D1" w:rsidRDefault="008977D1" w:rsidP="008977D1">
                    <w:pPr>
                      <w:spacing w:after="0"/>
                      <w:jc w:val="center"/>
                      <w:rPr>
                        <w:rFonts w:ascii="Arial Black" w:hAnsi="Arial Black"/>
                        <w:color w:val="000000"/>
                        <w:sz w:val="20"/>
                      </w:rPr>
                    </w:pPr>
                    <w:r w:rsidRPr="008977D1">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58243" behindDoc="0" locked="0" layoutInCell="0" allowOverlap="1" wp14:anchorId="19107DF9" wp14:editId="28BD6657">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5AFFCD"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9107DF9" id="MSIPCM82764d688816a9dc96a1b608" o:spid="_x0000_s1036" type="#_x0000_t202" alt="{&quot;HashCode&quot;:904758361,&quot;Height&quot;:841.0,&quot;Width&quot;:595.0,&quot;Placement&quot;:&quot;Footer&quot;,&quot;Index&quot;:&quot;Primary&quot;,&quot;Section&quot;:3,&quot;Top&quot;:0.0,&quot;Left&quot;:0.0}" style="position:absolute;left:0;text-align:left;margin-left:0;margin-top:802.35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mrFFwIAACw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rGPRKz0bWB+oD7ORio95YvFQ6x&#10;Yj68MIdc49yo3/CMh9SAzeBoUdKA+/U3f8xHCjBKSYfaqaj/uWNOUKK/GyTnrri+jmJLFzTce+/m&#10;5DW79gFQlgW+EMuTGXODPpnSQfuG8l7EbhhihmPPim5O5kMYlIzPg4vFIiWhrCwLK7O2PJaOcEZo&#10;X/s35uwR/4DMPcFJXaz8QMOQOxCx2AWQKnF0QfOIO0oysXx8PlHz7+8p6/LI578B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femrFFwIAACwEAAAOAAAAAAAAAAAAAAAAAC4CAABkcnMvZTJvRG9jLnhtbFBLAQItABQA&#10;BgAIAAAAIQAvkEiX4AAAAAsBAAAPAAAAAAAAAAAAAAAAAHEEAABkcnMvZG93bnJldi54bWxQSwUG&#10;AAAAAAQABADzAAAAfgUAAAAA&#10;" o:allowincell="f" filled="f" stroked="f" strokeweight=".5pt">
              <v:textbox inset=",0,,0">
                <w:txbxContent>
                  <w:p w14:paraId="385AFFCD"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BCC9B1" w14:textId="77777777" w:rsidR="00753EA5" w:rsidRDefault="00753EA5" w:rsidP="00207717">
      <w:pPr>
        <w:spacing w:before="120"/>
      </w:pPr>
      <w:r>
        <w:separator/>
      </w:r>
    </w:p>
  </w:footnote>
  <w:footnote w:type="continuationSeparator" w:id="0">
    <w:p w14:paraId="21866D80" w14:textId="77777777" w:rsidR="00753EA5" w:rsidRDefault="00753EA5">
      <w:r>
        <w:continuationSeparator/>
      </w:r>
    </w:p>
    <w:p w14:paraId="3D2381F2" w14:textId="77777777" w:rsidR="00753EA5" w:rsidRDefault="00753EA5"/>
  </w:footnote>
  <w:footnote w:type="continuationNotice" w:id="1">
    <w:p w14:paraId="3A9524FF" w14:textId="77777777" w:rsidR="00753EA5" w:rsidRDefault="00753EA5">
      <w:pPr>
        <w:spacing w:after="0" w:line="240" w:lineRule="auto"/>
      </w:pPr>
    </w:p>
  </w:footnote>
  <w:footnote w:id="2">
    <w:p w14:paraId="52933101" w14:textId="77777777" w:rsidR="000A009D" w:rsidRDefault="000A009D" w:rsidP="000A009D">
      <w:pPr>
        <w:pStyle w:val="FootnoteText"/>
      </w:pPr>
      <w:r>
        <w:rPr>
          <w:rStyle w:val="FootnoteReference"/>
        </w:rPr>
        <w:footnoteRef/>
      </w:r>
      <w:r>
        <w:t xml:space="preserve"> Settings that target children and families are a priority for action in relation to healthy eating and active living, as identified in </w:t>
      </w:r>
      <w:r w:rsidRPr="00622FDC">
        <w:rPr>
          <w:i/>
          <w:iCs/>
        </w:rPr>
        <w:t>Healthy kids, healthy futures</w:t>
      </w:r>
      <w:r>
        <w:t>. This doesn’t preclude funded agencies working with other priority settings or populations as determined locally.</w:t>
      </w:r>
    </w:p>
  </w:footnote>
  <w:footnote w:id="3">
    <w:p w14:paraId="340355D7" w14:textId="77777777" w:rsidR="009624EC" w:rsidRDefault="009624EC" w:rsidP="009624EC">
      <w:pPr>
        <w:pStyle w:val="FootnoteText"/>
      </w:pPr>
      <w:r>
        <w:rPr>
          <w:rStyle w:val="FootnoteReference"/>
        </w:rPr>
        <w:footnoteRef/>
      </w:r>
      <w:r>
        <w:t xml:space="preserve"> The term co-benefits relate to </w:t>
      </w:r>
      <w:r>
        <w:rPr>
          <w:rStyle w:val="normaltextrun"/>
          <w:color w:val="000000"/>
          <w:szCs w:val="21"/>
          <w:shd w:val="clear" w:color="auto" w:fill="FFFFFF"/>
        </w:rPr>
        <w:t>the additional benefits related to improved health and wellbeing outcomes beyond the primary health issue of interest. A co-benefits approach is important as it may support with achieving</w:t>
      </w:r>
      <w:r w:rsidRPr="00853DFF">
        <w:rPr>
          <w:rStyle w:val="normaltextrun"/>
          <w:color w:val="000000"/>
          <w:szCs w:val="21"/>
          <w:shd w:val="clear" w:color="auto" w:fill="FFFFFF"/>
        </w:rPr>
        <w:t xml:space="preserve"> multiple health and wellbeing outcomes</w:t>
      </w:r>
      <w:r>
        <w:rPr>
          <w:rStyle w:val="normaltextrun"/>
          <w:color w:val="000000"/>
          <w:szCs w:val="21"/>
          <w:shd w:val="clear" w:color="auto" w:fill="FFFFFF"/>
        </w:rPr>
        <w:t xml:space="preserve">, demonstrate a holistic approach to improving health and </w:t>
      </w:r>
      <w:r>
        <w:rPr>
          <w:color w:val="000000"/>
          <w:szCs w:val="21"/>
          <w:shd w:val="clear" w:color="auto" w:fill="FFFFFF"/>
        </w:rPr>
        <w:t>improve engagement in the focus areas by partners and the community.</w:t>
      </w:r>
    </w:p>
  </w:footnote>
  <w:footnote w:id="4">
    <w:p w14:paraId="7F00F231" w14:textId="77777777" w:rsidR="009624EC" w:rsidRDefault="009624EC" w:rsidP="009624EC">
      <w:pPr>
        <w:pStyle w:val="FootnoteText"/>
      </w:pPr>
      <w:r>
        <w:rPr>
          <w:rStyle w:val="FootnoteReference"/>
        </w:rPr>
        <w:footnoteRef/>
      </w:r>
      <w:r>
        <w:t xml:space="preserve"> </w:t>
      </w:r>
      <w:r w:rsidRPr="341EB58C">
        <w:rPr>
          <w:color w:val="000000"/>
          <w:shd w:val="clear" w:color="auto" w:fill="FFFFFF"/>
        </w:rPr>
        <w:t xml:space="preserve">The department is working to ensure the </w:t>
      </w:r>
      <w:r w:rsidRPr="341EB58C">
        <w:rPr>
          <w:i/>
          <w:iCs/>
          <w:color w:val="000000"/>
          <w:shd w:val="clear" w:color="auto" w:fill="FFFFFF"/>
        </w:rPr>
        <w:t>State Wellbeing Strategy (to be released in 2025)</w:t>
      </w:r>
      <w:r w:rsidRPr="341EB58C">
        <w:rPr>
          <w:color w:val="000000"/>
          <w:shd w:val="clear" w:color="auto" w:fill="FFFFFF"/>
        </w:rPr>
        <w:t xml:space="preserve"> aligns with the </w:t>
      </w:r>
      <w:r w:rsidRPr="341EB58C">
        <w:rPr>
          <w:i/>
          <w:iCs/>
          <w:color w:val="000000"/>
          <w:shd w:val="clear" w:color="auto" w:fill="FFFFFF"/>
        </w:rPr>
        <w:t>Victorian public health and wellbeing plan 2023-2027</w:t>
      </w:r>
      <w:r w:rsidRPr="341EB58C">
        <w:rPr>
          <w:color w:val="000000"/>
          <w:shd w:val="clear" w:color="auto" w:fill="FFFFFF"/>
        </w:rPr>
        <w:t>.</w:t>
      </w:r>
    </w:p>
  </w:footnote>
  <w:footnote w:id="5">
    <w:p w14:paraId="3FA502A3" w14:textId="77777777" w:rsidR="002C112E" w:rsidRDefault="002C112E" w:rsidP="002C112E">
      <w:pPr>
        <w:pStyle w:val="FootnoteText"/>
      </w:pPr>
      <w:r>
        <w:rPr>
          <w:rStyle w:val="FootnoteReference"/>
        </w:rPr>
        <w:footnoteRef/>
      </w:r>
      <w:r>
        <w:t xml:space="preserve"> </w:t>
      </w:r>
      <w:r w:rsidRPr="006D1074">
        <w:rPr>
          <w:rStyle w:val="eop"/>
          <w:shd w:val="clear" w:color="auto" w:fill="FFFFFF"/>
        </w:rPr>
        <w:t xml:space="preserve">See appendix two </w:t>
      </w:r>
      <w:r w:rsidRPr="00110C6B">
        <w:rPr>
          <w:rStyle w:val="eop"/>
          <w:shd w:val="clear" w:color="auto" w:fill="FFFFFF"/>
        </w:rPr>
        <w:t>f</w:t>
      </w:r>
      <w:r w:rsidRPr="00420D57">
        <w:rPr>
          <w:rStyle w:val="eop"/>
          <w:shd w:val="clear" w:color="auto" w:fill="FFFFFF"/>
        </w:rPr>
        <w:t>or</w:t>
      </w:r>
      <w:r w:rsidRPr="00675D54">
        <w:rPr>
          <w:rStyle w:val="eop"/>
          <w:shd w:val="clear" w:color="auto" w:fill="FFFFFF"/>
        </w:rPr>
        <w:t xml:space="preserve"> further detail on the socio-ecological model of health</w:t>
      </w:r>
    </w:p>
  </w:footnote>
  <w:footnote w:id="6">
    <w:p w14:paraId="4E099351" w14:textId="77777777" w:rsidR="00702ABD" w:rsidRDefault="00702ABD" w:rsidP="00702ABD">
      <w:pPr>
        <w:pStyle w:val="FootnoteText"/>
      </w:pPr>
      <w:r>
        <w:rPr>
          <w:rStyle w:val="FootnoteReference"/>
        </w:rPr>
        <w:footnoteRef/>
      </w:r>
      <w:r>
        <w:t xml:space="preserve"> </w:t>
      </w:r>
      <w:r w:rsidRPr="352DA5B9">
        <w:rPr>
          <w:lang w:eastAsia="en-AU"/>
        </w:rPr>
        <w:t xml:space="preserve">Smiles 4 Miles is an oral health program delivered by Dental Health Services Victoria. Oral health promotion is included under the umbrella of healthy eating in the </w:t>
      </w:r>
      <w:r w:rsidRPr="00CB1EEC">
        <w:rPr>
          <w:i/>
          <w:iCs/>
        </w:rPr>
        <w:t xml:space="preserve">Victorian public health and wellbeing plan </w:t>
      </w:r>
      <w:r>
        <w:rPr>
          <w:i/>
          <w:iCs/>
        </w:rPr>
        <w:t>2023-2027</w:t>
      </w:r>
      <w:r w:rsidRPr="00954A7A">
        <w:t xml:space="preserve"> </w:t>
      </w:r>
      <w:r w:rsidRPr="352DA5B9">
        <w:rPr>
          <w:lang w:eastAsia="en-AU"/>
        </w:rPr>
        <w:t>due to the co-benefits of addressing poor diet and consumption of sugary drinks.</w:t>
      </w:r>
    </w:p>
  </w:footnote>
  <w:footnote w:id="7">
    <w:p w14:paraId="606574D3" w14:textId="77777777" w:rsidR="00702ABD" w:rsidRDefault="00702ABD" w:rsidP="00702ABD">
      <w:pPr>
        <w:pStyle w:val="FootnoteText"/>
      </w:pPr>
      <w:r>
        <w:rPr>
          <w:rStyle w:val="FootnoteReference"/>
        </w:rPr>
        <w:footnoteRef/>
      </w:r>
      <w:r>
        <w:t xml:space="preserve"> The Cooks Connect initiative </w:t>
      </w:r>
      <w:r w:rsidRPr="001D1F8E">
        <w:t>support</w:t>
      </w:r>
      <w:r>
        <w:t>s</w:t>
      </w:r>
      <w:r w:rsidRPr="001D1F8E">
        <w:t xml:space="preserve"> long day care services to meet Victorian Government menu planning </w:t>
      </w:r>
      <w:r>
        <w:t xml:space="preserve">guidelines and </w:t>
      </w:r>
      <w:r w:rsidRPr="001D1F8E">
        <w:t>includes a toolkit and supporting reso</w:t>
      </w:r>
      <w:r>
        <w:t>urces for health promoters to assist them with setting up Cooks Networks</w:t>
      </w:r>
      <w:r w:rsidRPr="001D1F8E">
        <w:t>.</w:t>
      </w:r>
    </w:p>
  </w:footnote>
  <w:footnote w:id="8">
    <w:p w14:paraId="544AA9D3" w14:textId="77777777" w:rsidR="00C90690" w:rsidRDefault="00C90690" w:rsidP="00C90690">
      <w:pPr>
        <w:pStyle w:val="FootnoteText"/>
      </w:pPr>
      <w:r>
        <w:rPr>
          <w:rStyle w:val="FootnoteReference"/>
        </w:rPr>
        <w:footnoteRef/>
      </w:r>
      <w:r>
        <w:t xml:space="preserve"> </w:t>
      </w:r>
      <w:r w:rsidRPr="00013B41">
        <w:rPr>
          <w:rStyle w:val="normaltextrun"/>
          <w:rFonts w:eastAsia="Arial"/>
        </w:rPr>
        <w:t xml:space="preserve">A commitment </w:t>
      </w:r>
      <w:r w:rsidRPr="6A3A00B3">
        <w:rPr>
          <w:rStyle w:val="normaltextrun"/>
          <w:rFonts w:eastAsia="Arial"/>
          <w:color w:val="000000" w:themeColor="text1"/>
        </w:rPr>
        <w:t xml:space="preserve">to Aboriginal self-determination </w:t>
      </w:r>
      <w:r w:rsidRPr="00824FF5">
        <w:rPr>
          <w:rStyle w:val="normaltextrun"/>
          <w:rFonts w:eastAsia="Arial"/>
          <w:color w:val="000000" w:themeColor="text1"/>
        </w:rPr>
        <w:t xml:space="preserve">will see Aboriginal communities and Aboriginal Community Controlled Organisations take the lead in prevention initiatives related to their communities with support by </w:t>
      </w:r>
      <w:r>
        <w:rPr>
          <w:rStyle w:val="normaltextrun"/>
          <w:rFonts w:eastAsia="Arial"/>
          <w:color w:val="000000" w:themeColor="text1"/>
        </w:rPr>
        <w:t xml:space="preserve">the program </w:t>
      </w:r>
      <w:r w:rsidRPr="00824FF5">
        <w:rPr>
          <w:rStyle w:val="normaltextrun"/>
          <w:rFonts w:eastAsia="Arial"/>
          <w:color w:val="000000" w:themeColor="text1"/>
        </w:rPr>
        <w:t>as required. See appendix three for definition of Aboriginal self-determination.</w:t>
      </w:r>
    </w:p>
  </w:footnote>
  <w:footnote w:id="9">
    <w:p w14:paraId="1A65A062" w14:textId="77777777" w:rsidR="00511878" w:rsidRPr="00CA0F4C" w:rsidRDefault="00511878" w:rsidP="00511878">
      <w:pPr>
        <w:spacing w:after="0" w:line="240" w:lineRule="auto"/>
        <w:textAlignment w:val="baseline"/>
        <w:rPr>
          <w:rFonts w:cs="Arial"/>
          <w:sz w:val="16"/>
          <w:szCs w:val="16"/>
          <w:lang w:eastAsia="en-AU"/>
        </w:rPr>
      </w:pPr>
      <w:r>
        <w:rPr>
          <w:rStyle w:val="FootnoteReference"/>
        </w:rPr>
        <w:footnoteRef/>
      </w:r>
      <w:r>
        <w:t xml:space="preserve"> </w:t>
      </w:r>
      <w:r w:rsidRPr="00CA0F4C">
        <w:rPr>
          <w:rFonts w:cs="Arial"/>
          <w:sz w:val="16"/>
          <w:szCs w:val="16"/>
          <w:lang w:eastAsia="en-AU"/>
        </w:rPr>
        <w:t>Priority population</w:t>
      </w:r>
      <w:r>
        <w:rPr>
          <w:rFonts w:cs="Arial"/>
          <w:sz w:val="16"/>
          <w:szCs w:val="16"/>
          <w:lang w:eastAsia="en-AU"/>
        </w:rPr>
        <w:t xml:space="preserve"> groups</w:t>
      </w:r>
      <w:r w:rsidRPr="00CA0F4C">
        <w:rPr>
          <w:rFonts w:cs="Arial"/>
          <w:sz w:val="16"/>
          <w:szCs w:val="16"/>
          <w:lang w:eastAsia="en-AU"/>
        </w:rPr>
        <w:t xml:space="preserve"> might include:</w:t>
      </w:r>
    </w:p>
    <w:p w14:paraId="47C68613" w14:textId="77777777" w:rsidR="00511878" w:rsidRPr="00CA0F4C" w:rsidRDefault="00511878" w:rsidP="00282BC6">
      <w:pPr>
        <w:pStyle w:val="ListParagraph"/>
        <w:numPr>
          <w:ilvl w:val="0"/>
          <w:numId w:val="23"/>
        </w:numPr>
        <w:spacing w:after="0" w:line="240" w:lineRule="auto"/>
        <w:textAlignment w:val="baseline"/>
        <w:rPr>
          <w:rStyle w:val="normaltextrun"/>
          <w:rFonts w:cs="Arial"/>
          <w:sz w:val="16"/>
          <w:szCs w:val="16"/>
          <w:lang w:eastAsia="en-AU"/>
        </w:rPr>
      </w:pPr>
      <w:bookmarkStart w:id="16" w:name="_Hlk105596198"/>
      <w:r w:rsidRPr="00CA0F4C">
        <w:rPr>
          <w:rFonts w:cs="Arial"/>
          <w:sz w:val="16"/>
          <w:szCs w:val="16"/>
          <w:lang w:eastAsia="en-AU"/>
        </w:rPr>
        <w:t>Smoking</w:t>
      </w:r>
      <w:r>
        <w:rPr>
          <w:rStyle w:val="normaltextrun"/>
          <w:rFonts w:eastAsia="MS Mincho" w:cs="Arial"/>
          <w:sz w:val="16"/>
          <w:szCs w:val="16"/>
        </w:rPr>
        <w:t>: p</w:t>
      </w:r>
      <w:r w:rsidRPr="00CA0F4C">
        <w:rPr>
          <w:rStyle w:val="normaltextrun"/>
          <w:rFonts w:eastAsia="MS Mincho" w:cs="Arial"/>
          <w:sz w:val="16"/>
          <w:szCs w:val="16"/>
        </w:rPr>
        <w:t>eople from low socio-economic backgrounds, experiencing mental health and alcohol and other drug issues, LGBTIQ+, Aboriginal and Torres Strait Islander communities, people who are pregnant.</w:t>
      </w:r>
      <w:bookmarkEnd w:id="16"/>
    </w:p>
    <w:p w14:paraId="261262C4" w14:textId="77777777" w:rsidR="00511878" w:rsidRPr="00CA0F4C" w:rsidRDefault="00511878" w:rsidP="00282BC6">
      <w:pPr>
        <w:pStyle w:val="ListParagraph"/>
        <w:numPr>
          <w:ilvl w:val="0"/>
          <w:numId w:val="23"/>
        </w:numPr>
        <w:spacing w:after="0" w:line="240" w:lineRule="auto"/>
        <w:textAlignment w:val="baseline"/>
        <w:rPr>
          <w:rFonts w:cs="Arial"/>
          <w:sz w:val="20"/>
          <w:lang w:eastAsia="en-AU"/>
        </w:rPr>
      </w:pPr>
      <w:r w:rsidRPr="00CA0F4C">
        <w:rPr>
          <w:rStyle w:val="normaltextrun"/>
          <w:rFonts w:eastAsia="MS Mincho" w:cs="Arial"/>
          <w:sz w:val="16"/>
          <w:szCs w:val="16"/>
        </w:rPr>
        <w:t>Vaping</w:t>
      </w:r>
      <w:r>
        <w:rPr>
          <w:rStyle w:val="normaltextrun"/>
          <w:rFonts w:eastAsia="MS Mincho" w:cs="Arial"/>
          <w:sz w:val="16"/>
          <w:szCs w:val="16"/>
        </w:rPr>
        <w:t xml:space="preserve">: </w:t>
      </w:r>
      <w:r w:rsidRPr="00CA0F4C">
        <w:rPr>
          <w:rStyle w:val="normaltextrun"/>
          <w:rFonts w:eastAsia="MS Mincho" w:cs="Arial"/>
          <w:sz w:val="16"/>
          <w:szCs w:val="16"/>
        </w:rPr>
        <w:t>young people and people who have never smoked</w:t>
      </w:r>
      <w:r>
        <w:rPr>
          <w:rStyle w:val="normaltextrun"/>
          <w:rFonts w:eastAsia="MS Mincho"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5F4B8" w14:textId="77777777" w:rsidR="00210890" w:rsidRDefault="002108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B99F4" w14:textId="77777777" w:rsidR="00210890" w:rsidRPr="007B19F4" w:rsidRDefault="00B342FC">
    <w:pPr>
      <w:pStyle w:val="Header"/>
      <w:rPr>
        <w:sz w:val="16"/>
        <w:szCs w:val="16"/>
      </w:rPr>
    </w:pPr>
    <w:sdt>
      <w:sdtPr>
        <w:rPr>
          <w:sz w:val="16"/>
          <w:szCs w:val="16"/>
        </w:rPr>
        <w:id w:val="987358190"/>
        <w:docPartObj>
          <w:docPartGallery w:val="Page Numbers (Bottom of Page)"/>
          <w:docPartUnique/>
        </w:docPartObj>
      </w:sdtPr>
      <w:sdtEndPr>
        <w:rPr>
          <w:noProof/>
          <w:color w:val="auto"/>
        </w:rPr>
      </w:sdtEndPr>
      <w:sdtContent>
        <w:r w:rsidR="00210890" w:rsidRPr="007B19F4">
          <w:rPr>
            <w:sz w:val="16"/>
            <w:szCs w:val="16"/>
          </w:rPr>
          <w:t xml:space="preserve">Community Health </w:t>
        </w:r>
        <w:r w:rsidR="00210890">
          <w:rPr>
            <w:sz w:val="16"/>
            <w:szCs w:val="16"/>
          </w:rPr>
          <w:t>-</w:t>
        </w:r>
        <w:r w:rsidR="00210890" w:rsidRPr="007B19F4">
          <w:rPr>
            <w:sz w:val="16"/>
            <w:szCs w:val="16"/>
          </w:rPr>
          <w:t xml:space="preserve"> Health Promotion Program Guidelines 2025-2029</w:t>
        </w:r>
        <w:r w:rsidR="00210890" w:rsidRPr="007B19F4">
          <w:rPr>
            <w:sz w:val="16"/>
            <w:szCs w:val="16"/>
          </w:rPr>
          <w:ptab w:relativeTo="margin" w:alignment="right" w:leader="none"/>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64DFE" w14:textId="77777777" w:rsidR="00210890" w:rsidRPr="007B19F4" w:rsidRDefault="00B342FC" w:rsidP="00D17097">
    <w:pPr>
      <w:pStyle w:val="Header"/>
      <w:rPr>
        <w:sz w:val="16"/>
        <w:szCs w:val="16"/>
      </w:rPr>
    </w:pPr>
    <w:sdt>
      <w:sdtPr>
        <w:rPr>
          <w:sz w:val="16"/>
          <w:szCs w:val="16"/>
        </w:rPr>
        <w:id w:val="-1912695623"/>
        <w:docPartObj>
          <w:docPartGallery w:val="Page Numbers (Bottom of Page)"/>
          <w:docPartUnique/>
        </w:docPartObj>
      </w:sdtPr>
      <w:sdtEndPr>
        <w:rPr>
          <w:noProof/>
          <w:color w:val="auto"/>
        </w:rPr>
      </w:sdtEndPr>
      <w:sdtContent>
        <w:r w:rsidR="00210890" w:rsidRPr="007B19F4">
          <w:rPr>
            <w:sz w:val="16"/>
            <w:szCs w:val="16"/>
          </w:rPr>
          <w:t xml:space="preserve">Community Health </w:t>
        </w:r>
        <w:r w:rsidR="00210890">
          <w:rPr>
            <w:sz w:val="16"/>
            <w:szCs w:val="16"/>
          </w:rPr>
          <w:t>-</w:t>
        </w:r>
        <w:r w:rsidR="00210890" w:rsidRPr="007B19F4">
          <w:rPr>
            <w:sz w:val="16"/>
            <w:szCs w:val="16"/>
          </w:rPr>
          <w:t xml:space="preserve"> Health Promotion Program Guidelines 2023-25</w:t>
        </w:r>
        <w:r w:rsidR="00210890" w:rsidRPr="007B19F4">
          <w:rPr>
            <w:sz w:val="16"/>
            <w:szCs w:val="16"/>
          </w:rPr>
          <w:ptab w:relativeTo="margin" w:alignment="right" w:leader="none"/>
        </w:r>
        <w:r w:rsidR="00210890" w:rsidRPr="007B19F4">
          <w:rPr>
            <w:sz w:val="16"/>
            <w:szCs w:val="16"/>
          </w:rPr>
          <w:fldChar w:fldCharType="begin"/>
        </w:r>
        <w:r w:rsidR="00210890" w:rsidRPr="007B19F4">
          <w:rPr>
            <w:sz w:val="16"/>
            <w:szCs w:val="16"/>
          </w:rPr>
          <w:instrText xml:space="preserve"> PAGE </w:instrText>
        </w:r>
        <w:r w:rsidR="00210890" w:rsidRPr="007B19F4">
          <w:rPr>
            <w:sz w:val="16"/>
            <w:szCs w:val="16"/>
          </w:rPr>
          <w:fldChar w:fldCharType="separate"/>
        </w:r>
        <w:r w:rsidR="00210890">
          <w:rPr>
            <w:sz w:val="16"/>
            <w:szCs w:val="16"/>
          </w:rPr>
          <w:t>36</w:t>
        </w:r>
        <w:r w:rsidR="00210890" w:rsidRPr="007B19F4">
          <w:rPr>
            <w:sz w:val="16"/>
            <w:szCs w:val="16"/>
          </w:rPr>
          <w:fldChar w:fldCharType="end"/>
        </w:r>
      </w:sdtContent>
    </w:sdt>
  </w:p>
  <w:p w14:paraId="218AE477" w14:textId="77777777" w:rsidR="00210890" w:rsidRDefault="0021089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A00B2" w14:textId="77777777" w:rsidR="00431A70" w:rsidRPr="00454A7D" w:rsidRDefault="00431A70" w:rsidP="00454A7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6EA43" w14:textId="1FA7EE11" w:rsidR="00562811" w:rsidRPr="0051568D" w:rsidRDefault="004626BE" w:rsidP="0017674D">
    <w:pPr>
      <w:pStyle w:val="Header"/>
    </w:pPr>
    <w:r>
      <w:t>Community Health – Health Promotion Program Guidelines 2025-2029</w:t>
    </w:r>
    <w:r w:rsidR="00562811">
      <w:ptab w:relativeTo="margin" w:alignment="right" w:leader="none"/>
    </w:r>
    <w:r w:rsidR="00562811" w:rsidRPr="00DE6C85">
      <w:rPr>
        <w:b w:val="0"/>
        <w:bCs/>
      </w:rPr>
      <w:fldChar w:fldCharType="begin"/>
    </w:r>
    <w:r w:rsidR="00562811" w:rsidRPr="00DE6C85">
      <w:rPr>
        <w:bCs/>
      </w:rPr>
      <w:instrText xml:space="preserve"> PAGE </w:instrText>
    </w:r>
    <w:r w:rsidR="00562811" w:rsidRPr="00DE6C85">
      <w:rPr>
        <w:b w:val="0"/>
        <w:bCs/>
      </w:rPr>
      <w:fldChar w:fldCharType="separate"/>
    </w:r>
    <w:r w:rsidR="00562811" w:rsidRPr="00DE6C85">
      <w:rPr>
        <w:bCs/>
      </w:rPr>
      <w:t>2</w:t>
    </w:r>
    <w:r w:rsidR="00562811"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41EBC"/>
    <w:multiLevelType w:val="hybridMultilevel"/>
    <w:tmpl w:val="7B84E6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966142"/>
    <w:multiLevelType w:val="hybridMultilevel"/>
    <w:tmpl w:val="B9BCED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A50056"/>
    <w:multiLevelType w:val="multilevel"/>
    <w:tmpl w:val="0AAE1EBA"/>
    <w:numStyleLink w:val="ZZNumbersloweralpha"/>
  </w:abstractNum>
  <w:abstractNum w:abstractNumId="3" w15:restartNumberingAfterBreak="0">
    <w:nsid w:val="03AE5DC9"/>
    <w:multiLevelType w:val="hybridMultilevel"/>
    <w:tmpl w:val="B4886A12"/>
    <w:lvl w:ilvl="0" w:tplc="DAD6C38E">
      <w:start w:val="1"/>
      <w:numFmt w:val="lowerLetter"/>
      <w:lvlText w:val="%1."/>
      <w:lvlJc w:val="left"/>
      <w:pPr>
        <w:ind w:left="700" w:hanging="360"/>
      </w:pPr>
      <w:rPr>
        <w:rFonts w:hint="default"/>
      </w:rPr>
    </w:lvl>
    <w:lvl w:ilvl="1" w:tplc="08090019" w:tentative="1">
      <w:start w:val="1"/>
      <w:numFmt w:val="lowerLetter"/>
      <w:lvlText w:val="%2."/>
      <w:lvlJc w:val="left"/>
      <w:pPr>
        <w:ind w:left="1420" w:hanging="360"/>
      </w:pPr>
    </w:lvl>
    <w:lvl w:ilvl="2" w:tplc="0809001B" w:tentative="1">
      <w:start w:val="1"/>
      <w:numFmt w:val="lowerRoman"/>
      <w:lvlText w:val="%3."/>
      <w:lvlJc w:val="right"/>
      <w:pPr>
        <w:ind w:left="2140" w:hanging="180"/>
      </w:pPr>
    </w:lvl>
    <w:lvl w:ilvl="3" w:tplc="0809000F" w:tentative="1">
      <w:start w:val="1"/>
      <w:numFmt w:val="decimal"/>
      <w:lvlText w:val="%4."/>
      <w:lvlJc w:val="left"/>
      <w:pPr>
        <w:ind w:left="2860" w:hanging="360"/>
      </w:pPr>
    </w:lvl>
    <w:lvl w:ilvl="4" w:tplc="08090019" w:tentative="1">
      <w:start w:val="1"/>
      <w:numFmt w:val="lowerLetter"/>
      <w:lvlText w:val="%5."/>
      <w:lvlJc w:val="left"/>
      <w:pPr>
        <w:ind w:left="3580" w:hanging="360"/>
      </w:pPr>
    </w:lvl>
    <w:lvl w:ilvl="5" w:tplc="0809001B" w:tentative="1">
      <w:start w:val="1"/>
      <w:numFmt w:val="lowerRoman"/>
      <w:lvlText w:val="%6."/>
      <w:lvlJc w:val="right"/>
      <w:pPr>
        <w:ind w:left="4300" w:hanging="180"/>
      </w:pPr>
    </w:lvl>
    <w:lvl w:ilvl="6" w:tplc="0809000F" w:tentative="1">
      <w:start w:val="1"/>
      <w:numFmt w:val="decimal"/>
      <w:lvlText w:val="%7."/>
      <w:lvlJc w:val="left"/>
      <w:pPr>
        <w:ind w:left="5020" w:hanging="360"/>
      </w:pPr>
    </w:lvl>
    <w:lvl w:ilvl="7" w:tplc="08090019" w:tentative="1">
      <w:start w:val="1"/>
      <w:numFmt w:val="lowerLetter"/>
      <w:lvlText w:val="%8."/>
      <w:lvlJc w:val="left"/>
      <w:pPr>
        <w:ind w:left="5740" w:hanging="360"/>
      </w:pPr>
    </w:lvl>
    <w:lvl w:ilvl="8" w:tplc="0809001B" w:tentative="1">
      <w:start w:val="1"/>
      <w:numFmt w:val="lowerRoman"/>
      <w:lvlText w:val="%9."/>
      <w:lvlJc w:val="right"/>
      <w:pPr>
        <w:ind w:left="6460" w:hanging="180"/>
      </w:pPr>
    </w:lvl>
  </w:abstractNum>
  <w:abstractNum w:abstractNumId="4" w15:restartNumberingAfterBreak="0">
    <w:nsid w:val="059F5080"/>
    <w:multiLevelType w:val="hybridMultilevel"/>
    <w:tmpl w:val="1708E3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9C06D3"/>
    <w:multiLevelType w:val="hybridMultilevel"/>
    <w:tmpl w:val="0BD64D54"/>
    <w:lvl w:ilvl="0" w:tplc="F6F4889C">
      <w:start w:val="1"/>
      <w:numFmt w:val="decimal"/>
      <w:lvlText w:val="%1."/>
      <w:lvlJc w:val="left"/>
      <w:pPr>
        <w:tabs>
          <w:tab w:val="num" w:pos="720"/>
        </w:tabs>
        <w:ind w:left="720" w:hanging="360"/>
      </w:pPr>
    </w:lvl>
    <w:lvl w:ilvl="1" w:tplc="5B462326" w:tentative="1">
      <w:start w:val="1"/>
      <w:numFmt w:val="decimal"/>
      <w:lvlText w:val="%2."/>
      <w:lvlJc w:val="left"/>
      <w:pPr>
        <w:tabs>
          <w:tab w:val="num" w:pos="1440"/>
        </w:tabs>
        <w:ind w:left="1440" w:hanging="360"/>
      </w:pPr>
    </w:lvl>
    <w:lvl w:ilvl="2" w:tplc="D122BFB2" w:tentative="1">
      <w:start w:val="1"/>
      <w:numFmt w:val="decimal"/>
      <w:lvlText w:val="%3."/>
      <w:lvlJc w:val="left"/>
      <w:pPr>
        <w:tabs>
          <w:tab w:val="num" w:pos="2160"/>
        </w:tabs>
        <w:ind w:left="2160" w:hanging="360"/>
      </w:pPr>
    </w:lvl>
    <w:lvl w:ilvl="3" w:tplc="8FB82776" w:tentative="1">
      <w:start w:val="1"/>
      <w:numFmt w:val="decimal"/>
      <w:lvlText w:val="%4."/>
      <w:lvlJc w:val="left"/>
      <w:pPr>
        <w:tabs>
          <w:tab w:val="num" w:pos="2880"/>
        </w:tabs>
        <w:ind w:left="2880" w:hanging="360"/>
      </w:pPr>
    </w:lvl>
    <w:lvl w:ilvl="4" w:tplc="306297C2" w:tentative="1">
      <w:start w:val="1"/>
      <w:numFmt w:val="decimal"/>
      <w:lvlText w:val="%5."/>
      <w:lvlJc w:val="left"/>
      <w:pPr>
        <w:tabs>
          <w:tab w:val="num" w:pos="3600"/>
        </w:tabs>
        <w:ind w:left="3600" w:hanging="360"/>
      </w:pPr>
    </w:lvl>
    <w:lvl w:ilvl="5" w:tplc="8158968A" w:tentative="1">
      <w:start w:val="1"/>
      <w:numFmt w:val="decimal"/>
      <w:lvlText w:val="%6."/>
      <w:lvlJc w:val="left"/>
      <w:pPr>
        <w:tabs>
          <w:tab w:val="num" w:pos="4320"/>
        </w:tabs>
        <w:ind w:left="4320" w:hanging="360"/>
      </w:pPr>
    </w:lvl>
    <w:lvl w:ilvl="6" w:tplc="C8FABFC0" w:tentative="1">
      <w:start w:val="1"/>
      <w:numFmt w:val="decimal"/>
      <w:lvlText w:val="%7."/>
      <w:lvlJc w:val="left"/>
      <w:pPr>
        <w:tabs>
          <w:tab w:val="num" w:pos="5040"/>
        </w:tabs>
        <w:ind w:left="5040" w:hanging="360"/>
      </w:pPr>
    </w:lvl>
    <w:lvl w:ilvl="7" w:tplc="C9E27E7A" w:tentative="1">
      <w:start w:val="1"/>
      <w:numFmt w:val="decimal"/>
      <w:lvlText w:val="%8."/>
      <w:lvlJc w:val="left"/>
      <w:pPr>
        <w:tabs>
          <w:tab w:val="num" w:pos="5760"/>
        </w:tabs>
        <w:ind w:left="5760" w:hanging="360"/>
      </w:pPr>
    </w:lvl>
    <w:lvl w:ilvl="8" w:tplc="7A06DDE0" w:tentative="1">
      <w:start w:val="1"/>
      <w:numFmt w:val="decimal"/>
      <w:lvlText w:val="%9."/>
      <w:lvlJc w:val="left"/>
      <w:pPr>
        <w:tabs>
          <w:tab w:val="num" w:pos="6480"/>
        </w:tabs>
        <w:ind w:left="6480" w:hanging="360"/>
      </w:pPr>
    </w:lvl>
  </w:abstractNum>
  <w:abstractNum w:abstractNumId="6" w15:restartNumberingAfterBreak="0">
    <w:nsid w:val="0B8B14D6"/>
    <w:multiLevelType w:val="hybridMultilevel"/>
    <w:tmpl w:val="18D4D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0C6061D9"/>
    <w:multiLevelType w:val="hybridMultilevel"/>
    <w:tmpl w:val="2AB86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EE1746C"/>
    <w:multiLevelType w:val="hybridMultilevel"/>
    <w:tmpl w:val="590A48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469406B"/>
    <w:multiLevelType w:val="hybridMultilevel"/>
    <w:tmpl w:val="0B421F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53432FD"/>
    <w:multiLevelType w:val="hybridMultilevel"/>
    <w:tmpl w:val="7AF20E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8372E1A"/>
    <w:multiLevelType w:val="hybridMultilevel"/>
    <w:tmpl w:val="ADC030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BBA7214"/>
    <w:multiLevelType w:val="hybridMultilevel"/>
    <w:tmpl w:val="655E5E8A"/>
    <w:lvl w:ilvl="0" w:tplc="08090019">
      <w:start w:val="1"/>
      <w:numFmt w:val="lowerLetter"/>
      <w:lvlText w:val="%1."/>
      <w:lvlJc w:val="left"/>
      <w:pPr>
        <w:ind w:left="700" w:hanging="360"/>
      </w:pPr>
    </w:lvl>
    <w:lvl w:ilvl="1" w:tplc="08090019" w:tentative="1">
      <w:start w:val="1"/>
      <w:numFmt w:val="lowerLetter"/>
      <w:lvlText w:val="%2."/>
      <w:lvlJc w:val="left"/>
      <w:pPr>
        <w:ind w:left="1420" w:hanging="360"/>
      </w:pPr>
    </w:lvl>
    <w:lvl w:ilvl="2" w:tplc="0809001B" w:tentative="1">
      <w:start w:val="1"/>
      <w:numFmt w:val="lowerRoman"/>
      <w:lvlText w:val="%3."/>
      <w:lvlJc w:val="right"/>
      <w:pPr>
        <w:ind w:left="2140" w:hanging="180"/>
      </w:pPr>
    </w:lvl>
    <w:lvl w:ilvl="3" w:tplc="0809000F" w:tentative="1">
      <w:start w:val="1"/>
      <w:numFmt w:val="decimal"/>
      <w:lvlText w:val="%4."/>
      <w:lvlJc w:val="left"/>
      <w:pPr>
        <w:ind w:left="2860" w:hanging="360"/>
      </w:pPr>
    </w:lvl>
    <w:lvl w:ilvl="4" w:tplc="08090019" w:tentative="1">
      <w:start w:val="1"/>
      <w:numFmt w:val="lowerLetter"/>
      <w:lvlText w:val="%5."/>
      <w:lvlJc w:val="left"/>
      <w:pPr>
        <w:ind w:left="3580" w:hanging="360"/>
      </w:pPr>
    </w:lvl>
    <w:lvl w:ilvl="5" w:tplc="0809001B" w:tentative="1">
      <w:start w:val="1"/>
      <w:numFmt w:val="lowerRoman"/>
      <w:lvlText w:val="%6."/>
      <w:lvlJc w:val="right"/>
      <w:pPr>
        <w:ind w:left="4300" w:hanging="180"/>
      </w:pPr>
    </w:lvl>
    <w:lvl w:ilvl="6" w:tplc="0809000F" w:tentative="1">
      <w:start w:val="1"/>
      <w:numFmt w:val="decimal"/>
      <w:lvlText w:val="%7."/>
      <w:lvlJc w:val="left"/>
      <w:pPr>
        <w:ind w:left="5020" w:hanging="360"/>
      </w:pPr>
    </w:lvl>
    <w:lvl w:ilvl="7" w:tplc="08090019" w:tentative="1">
      <w:start w:val="1"/>
      <w:numFmt w:val="lowerLetter"/>
      <w:lvlText w:val="%8."/>
      <w:lvlJc w:val="left"/>
      <w:pPr>
        <w:ind w:left="5740" w:hanging="360"/>
      </w:pPr>
    </w:lvl>
    <w:lvl w:ilvl="8" w:tplc="0809001B" w:tentative="1">
      <w:start w:val="1"/>
      <w:numFmt w:val="lowerRoman"/>
      <w:lvlText w:val="%9."/>
      <w:lvlJc w:val="right"/>
      <w:pPr>
        <w:ind w:left="6460" w:hanging="180"/>
      </w:pPr>
    </w:lvl>
  </w:abstractNum>
  <w:abstractNum w:abstractNumId="14" w15:restartNumberingAfterBreak="0">
    <w:nsid w:val="224A3606"/>
    <w:multiLevelType w:val="hybridMultilevel"/>
    <w:tmpl w:val="662885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7E36825"/>
    <w:multiLevelType w:val="hybridMultilevel"/>
    <w:tmpl w:val="18C22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7EF2385"/>
    <w:multiLevelType w:val="hybridMultilevel"/>
    <w:tmpl w:val="A238B2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A6E6CDD"/>
    <w:multiLevelType w:val="multilevel"/>
    <w:tmpl w:val="64FC7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5270D59"/>
    <w:multiLevelType w:val="hybridMultilevel"/>
    <w:tmpl w:val="7C3201A4"/>
    <w:lvl w:ilvl="0" w:tplc="31FE41C0">
      <w:start w:val="1"/>
      <w:numFmt w:val="decimal"/>
      <w:lvlText w:val="%1)"/>
      <w:lvlJc w:val="left"/>
      <w:pPr>
        <w:ind w:left="720" w:hanging="360"/>
      </w:pPr>
    </w:lvl>
    <w:lvl w:ilvl="1" w:tplc="D86437FC">
      <w:start w:val="1"/>
      <w:numFmt w:val="lowerLetter"/>
      <w:lvlText w:val="%2."/>
      <w:lvlJc w:val="left"/>
      <w:pPr>
        <w:ind w:left="1440" w:hanging="360"/>
      </w:pPr>
    </w:lvl>
    <w:lvl w:ilvl="2" w:tplc="18CA5458">
      <w:start w:val="1"/>
      <w:numFmt w:val="lowerRoman"/>
      <w:lvlText w:val="%3."/>
      <w:lvlJc w:val="right"/>
      <w:pPr>
        <w:ind w:left="2160" w:hanging="180"/>
      </w:pPr>
    </w:lvl>
    <w:lvl w:ilvl="3" w:tplc="1D6ADEB6">
      <w:start w:val="1"/>
      <w:numFmt w:val="decimal"/>
      <w:lvlText w:val="%4."/>
      <w:lvlJc w:val="left"/>
      <w:pPr>
        <w:ind w:left="2880" w:hanging="360"/>
      </w:pPr>
    </w:lvl>
    <w:lvl w:ilvl="4" w:tplc="6EB6992A">
      <w:start w:val="1"/>
      <w:numFmt w:val="lowerLetter"/>
      <w:lvlText w:val="%5."/>
      <w:lvlJc w:val="left"/>
      <w:pPr>
        <w:ind w:left="3600" w:hanging="360"/>
      </w:pPr>
    </w:lvl>
    <w:lvl w:ilvl="5" w:tplc="778C9936">
      <w:start w:val="1"/>
      <w:numFmt w:val="lowerRoman"/>
      <w:lvlText w:val="%6."/>
      <w:lvlJc w:val="right"/>
      <w:pPr>
        <w:ind w:left="4320" w:hanging="180"/>
      </w:pPr>
    </w:lvl>
    <w:lvl w:ilvl="6" w:tplc="36328D58">
      <w:start w:val="1"/>
      <w:numFmt w:val="decimal"/>
      <w:lvlText w:val="%7."/>
      <w:lvlJc w:val="left"/>
      <w:pPr>
        <w:ind w:left="5040" w:hanging="360"/>
      </w:pPr>
    </w:lvl>
    <w:lvl w:ilvl="7" w:tplc="D0D885BA">
      <w:start w:val="1"/>
      <w:numFmt w:val="lowerLetter"/>
      <w:lvlText w:val="%8."/>
      <w:lvlJc w:val="left"/>
      <w:pPr>
        <w:ind w:left="5760" w:hanging="360"/>
      </w:pPr>
    </w:lvl>
    <w:lvl w:ilvl="8" w:tplc="D8ACC6B6">
      <w:start w:val="1"/>
      <w:numFmt w:val="lowerRoman"/>
      <w:lvlText w:val="%9."/>
      <w:lvlJc w:val="right"/>
      <w:pPr>
        <w:ind w:left="6480" w:hanging="180"/>
      </w:pPr>
    </w:lvl>
  </w:abstractNum>
  <w:abstractNum w:abstractNumId="19" w15:restartNumberingAfterBreak="0">
    <w:nsid w:val="382708C2"/>
    <w:multiLevelType w:val="hybridMultilevel"/>
    <w:tmpl w:val="3CAC0E46"/>
    <w:lvl w:ilvl="0" w:tplc="1EFC0FDA">
      <w:start w:val="1"/>
      <w:numFmt w:val="bullet"/>
      <w:lvlText w:val=""/>
      <w:lvlJc w:val="left"/>
      <w:pPr>
        <w:ind w:left="720" w:hanging="360"/>
      </w:pPr>
      <w:rPr>
        <w:rFonts w:ascii="Symbol" w:hAnsi="Symbol" w:hint="default"/>
      </w:rPr>
    </w:lvl>
    <w:lvl w:ilvl="1" w:tplc="783CFEC6">
      <w:start w:val="1"/>
      <w:numFmt w:val="bullet"/>
      <w:lvlText w:val="o"/>
      <w:lvlJc w:val="left"/>
      <w:pPr>
        <w:ind w:left="1440" w:hanging="360"/>
      </w:pPr>
      <w:rPr>
        <w:rFonts w:ascii="Courier New" w:hAnsi="Courier New" w:hint="default"/>
      </w:rPr>
    </w:lvl>
    <w:lvl w:ilvl="2" w:tplc="AF6C3C46">
      <w:start w:val="1"/>
      <w:numFmt w:val="bullet"/>
      <w:lvlText w:val=""/>
      <w:lvlJc w:val="left"/>
      <w:pPr>
        <w:ind w:left="2160" w:hanging="360"/>
      </w:pPr>
      <w:rPr>
        <w:rFonts w:ascii="Wingdings" w:hAnsi="Wingdings" w:hint="default"/>
      </w:rPr>
    </w:lvl>
    <w:lvl w:ilvl="3" w:tplc="DC72BF18">
      <w:start w:val="1"/>
      <w:numFmt w:val="bullet"/>
      <w:lvlText w:val=""/>
      <w:lvlJc w:val="left"/>
      <w:pPr>
        <w:ind w:left="2880" w:hanging="360"/>
      </w:pPr>
      <w:rPr>
        <w:rFonts w:ascii="Symbol" w:hAnsi="Symbol" w:hint="default"/>
      </w:rPr>
    </w:lvl>
    <w:lvl w:ilvl="4" w:tplc="9F2E4F60">
      <w:start w:val="1"/>
      <w:numFmt w:val="bullet"/>
      <w:lvlText w:val="o"/>
      <w:lvlJc w:val="left"/>
      <w:pPr>
        <w:ind w:left="3600" w:hanging="360"/>
      </w:pPr>
      <w:rPr>
        <w:rFonts w:ascii="Courier New" w:hAnsi="Courier New" w:hint="default"/>
      </w:rPr>
    </w:lvl>
    <w:lvl w:ilvl="5" w:tplc="64F6CFA2">
      <w:start w:val="1"/>
      <w:numFmt w:val="bullet"/>
      <w:lvlText w:val=""/>
      <w:lvlJc w:val="left"/>
      <w:pPr>
        <w:ind w:left="4320" w:hanging="360"/>
      </w:pPr>
      <w:rPr>
        <w:rFonts w:ascii="Wingdings" w:hAnsi="Wingdings" w:hint="default"/>
      </w:rPr>
    </w:lvl>
    <w:lvl w:ilvl="6" w:tplc="FF7834DC">
      <w:start w:val="1"/>
      <w:numFmt w:val="bullet"/>
      <w:lvlText w:val=""/>
      <w:lvlJc w:val="left"/>
      <w:pPr>
        <w:ind w:left="5040" w:hanging="360"/>
      </w:pPr>
      <w:rPr>
        <w:rFonts w:ascii="Symbol" w:hAnsi="Symbol" w:hint="default"/>
      </w:rPr>
    </w:lvl>
    <w:lvl w:ilvl="7" w:tplc="39DCFB36">
      <w:start w:val="1"/>
      <w:numFmt w:val="bullet"/>
      <w:lvlText w:val="o"/>
      <w:lvlJc w:val="left"/>
      <w:pPr>
        <w:ind w:left="5760" w:hanging="360"/>
      </w:pPr>
      <w:rPr>
        <w:rFonts w:ascii="Courier New" w:hAnsi="Courier New" w:hint="default"/>
      </w:rPr>
    </w:lvl>
    <w:lvl w:ilvl="8" w:tplc="DA3255C4">
      <w:start w:val="1"/>
      <w:numFmt w:val="bullet"/>
      <w:lvlText w:val=""/>
      <w:lvlJc w:val="left"/>
      <w:pPr>
        <w:ind w:left="6480" w:hanging="360"/>
      </w:pPr>
      <w:rPr>
        <w:rFonts w:ascii="Wingdings" w:hAnsi="Wingdings" w:hint="default"/>
      </w:rPr>
    </w:lvl>
  </w:abstractNum>
  <w:abstractNum w:abstractNumId="20" w15:restartNumberingAfterBreak="0">
    <w:nsid w:val="396F03B8"/>
    <w:multiLevelType w:val="hybridMultilevel"/>
    <w:tmpl w:val="4FE8CF5E"/>
    <w:lvl w:ilvl="0" w:tplc="0864632A">
      <w:start w:val="1"/>
      <w:numFmt w:val="decimal"/>
      <w:lvlText w:val="%1."/>
      <w:lvlJc w:val="left"/>
      <w:pPr>
        <w:ind w:left="720" w:hanging="360"/>
      </w:pPr>
      <w:rPr>
        <w:b w:val="0"/>
        <w:bCs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2"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43F00CEA"/>
    <w:multiLevelType w:val="hybridMultilevel"/>
    <w:tmpl w:val="46EACB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83312D5"/>
    <w:multiLevelType w:val="hybridMultilevel"/>
    <w:tmpl w:val="71F2C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DB27426"/>
    <w:multiLevelType w:val="hybridMultilevel"/>
    <w:tmpl w:val="27BA5C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E7A6724"/>
    <w:multiLevelType w:val="hybridMultilevel"/>
    <w:tmpl w:val="6ED8F3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F30CD1"/>
    <w:multiLevelType w:val="hybridMultilevel"/>
    <w:tmpl w:val="D598E0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544B5B1C"/>
    <w:multiLevelType w:val="hybridMultilevel"/>
    <w:tmpl w:val="D64CCE24"/>
    <w:lvl w:ilvl="0" w:tplc="C85A9756">
      <w:start w:val="1"/>
      <w:numFmt w:val="bullet"/>
      <w:lvlText w:val=""/>
      <w:lvlJc w:val="left"/>
      <w:pPr>
        <w:ind w:left="720" w:hanging="360"/>
      </w:pPr>
      <w:rPr>
        <w:rFonts w:ascii="Symbol" w:hAnsi="Symbol" w:hint="default"/>
      </w:rPr>
    </w:lvl>
    <w:lvl w:ilvl="1" w:tplc="2202011C">
      <w:start w:val="1"/>
      <w:numFmt w:val="bullet"/>
      <w:lvlText w:val="o"/>
      <w:lvlJc w:val="left"/>
      <w:pPr>
        <w:ind w:left="1440" w:hanging="360"/>
      </w:pPr>
      <w:rPr>
        <w:rFonts w:ascii="Courier New" w:hAnsi="Courier New" w:hint="default"/>
      </w:rPr>
    </w:lvl>
    <w:lvl w:ilvl="2" w:tplc="CD40A902">
      <w:start w:val="1"/>
      <w:numFmt w:val="bullet"/>
      <w:lvlText w:val=""/>
      <w:lvlJc w:val="left"/>
      <w:pPr>
        <w:ind w:left="2160" w:hanging="360"/>
      </w:pPr>
      <w:rPr>
        <w:rFonts w:ascii="Wingdings" w:hAnsi="Wingdings" w:hint="default"/>
      </w:rPr>
    </w:lvl>
    <w:lvl w:ilvl="3" w:tplc="6694C35E">
      <w:start w:val="1"/>
      <w:numFmt w:val="bullet"/>
      <w:lvlText w:val=""/>
      <w:lvlJc w:val="left"/>
      <w:pPr>
        <w:ind w:left="2880" w:hanging="360"/>
      </w:pPr>
      <w:rPr>
        <w:rFonts w:ascii="Symbol" w:hAnsi="Symbol" w:hint="default"/>
      </w:rPr>
    </w:lvl>
    <w:lvl w:ilvl="4" w:tplc="8B4EAD76">
      <w:start w:val="1"/>
      <w:numFmt w:val="bullet"/>
      <w:lvlText w:val="o"/>
      <w:lvlJc w:val="left"/>
      <w:pPr>
        <w:ind w:left="3600" w:hanging="360"/>
      </w:pPr>
      <w:rPr>
        <w:rFonts w:ascii="Courier New" w:hAnsi="Courier New" w:hint="default"/>
      </w:rPr>
    </w:lvl>
    <w:lvl w:ilvl="5" w:tplc="24761450">
      <w:start w:val="1"/>
      <w:numFmt w:val="bullet"/>
      <w:lvlText w:val=""/>
      <w:lvlJc w:val="left"/>
      <w:pPr>
        <w:ind w:left="4320" w:hanging="360"/>
      </w:pPr>
      <w:rPr>
        <w:rFonts w:ascii="Wingdings" w:hAnsi="Wingdings" w:hint="default"/>
      </w:rPr>
    </w:lvl>
    <w:lvl w:ilvl="6" w:tplc="8D6CE1BA">
      <w:start w:val="1"/>
      <w:numFmt w:val="bullet"/>
      <w:lvlText w:val=""/>
      <w:lvlJc w:val="left"/>
      <w:pPr>
        <w:ind w:left="5040" w:hanging="360"/>
      </w:pPr>
      <w:rPr>
        <w:rFonts w:ascii="Symbol" w:hAnsi="Symbol" w:hint="default"/>
      </w:rPr>
    </w:lvl>
    <w:lvl w:ilvl="7" w:tplc="27EAAC62">
      <w:start w:val="1"/>
      <w:numFmt w:val="bullet"/>
      <w:lvlText w:val="o"/>
      <w:lvlJc w:val="left"/>
      <w:pPr>
        <w:ind w:left="5760" w:hanging="360"/>
      </w:pPr>
      <w:rPr>
        <w:rFonts w:ascii="Courier New" w:hAnsi="Courier New" w:hint="default"/>
      </w:rPr>
    </w:lvl>
    <w:lvl w:ilvl="8" w:tplc="B584344C">
      <w:start w:val="1"/>
      <w:numFmt w:val="bullet"/>
      <w:lvlText w:val=""/>
      <w:lvlJc w:val="left"/>
      <w:pPr>
        <w:ind w:left="6480" w:hanging="360"/>
      </w:pPr>
      <w:rPr>
        <w:rFonts w:ascii="Wingdings" w:hAnsi="Wingdings" w:hint="default"/>
      </w:rPr>
    </w:lvl>
  </w:abstractNum>
  <w:abstractNum w:abstractNumId="30"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5A7760BA"/>
    <w:multiLevelType w:val="hybridMultilevel"/>
    <w:tmpl w:val="FF0E871A"/>
    <w:lvl w:ilvl="0" w:tplc="0C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3" w15:restartNumberingAfterBreak="0">
    <w:nsid w:val="63383A22"/>
    <w:multiLevelType w:val="hybridMultilevel"/>
    <w:tmpl w:val="E1E81AA0"/>
    <w:lvl w:ilvl="0" w:tplc="08090019">
      <w:start w:val="1"/>
      <w:numFmt w:val="lowerLetter"/>
      <w:lvlText w:val="%1."/>
      <w:lvlJc w:val="left"/>
      <w:pPr>
        <w:ind w:left="700" w:hanging="360"/>
      </w:pPr>
    </w:lvl>
    <w:lvl w:ilvl="1" w:tplc="08090019" w:tentative="1">
      <w:start w:val="1"/>
      <w:numFmt w:val="lowerLetter"/>
      <w:lvlText w:val="%2."/>
      <w:lvlJc w:val="left"/>
      <w:pPr>
        <w:ind w:left="1420" w:hanging="360"/>
      </w:pPr>
    </w:lvl>
    <w:lvl w:ilvl="2" w:tplc="0809001B" w:tentative="1">
      <w:start w:val="1"/>
      <w:numFmt w:val="lowerRoman"/>
      <w:lvlText w:val="%3."/>
      <w:lvlJc w:val="right"/>
      <w:pPr>
        <w:ind w:left="2140" w:hanging="180"/>
      </w:pPr>
    </w:lvl>
    <w:lvl w:ilvl="3" w:tplc="0809000F" w:tentative="1">
      <w:start w:val="1"/>
      <w:numFmt w:val="decimal"/>
      <w:lvlText w:val="%4."/>
      <w:lvlJc w:val="left"/>
      <w:pPr>
        <w:ind w:left="2860" w:hanging="360"/>
      </w:pPr>
    </w:lvl>
    <w:lvl w:ilvl="4" w:tplc="08090019" w:tentative="1">
      <w:start w:val="1"/>
      <w:numFmt w:val="lowerLetter"/>
      <w:lvlText w:val="%5."/>
      <w:lvlJc w:val="left"/>
      <w:pPr>
        <w:ind w:left="3580" w:hanging="360"/>
      </w:pPr>
    </w:lvl>
    <w:lvl w:ilvl="5" w:tplc="0809001B" w:tentative="1">
      <w:start w:val="1"/>
      <w:numFmt w:val="lowerRoman"/>
      <w:lvlText w:val="%6."/>
      <w:lvlJc w:val="right"/>
      <w:pPr>
        <w:ind w:left="4300" w:hanging="180"/>
      </w:pPr>
    </w:lvl>
    <w:lvl w:ilvl="6" w:tplc="0809000F" w:tentative="1">
      <w:start w:val="1"/>
      <w:numFmt w:val="decimal"/>
      <w:lvlText w:val="%7."/>
      <w:lvlJc w:val="left"/>
      <w:pPr>
        <w:ind w:left="5020" w:hanging="360"/>
      </w:pPr>
    </w:lvl>
    <w:lvl w:ilvl="7" w:tplc="08090019" w:tentative="1">
      <w:start w:val="1"/>
      <w:numFmt w:val="lowerLetter"/>
      <w:lvlText w:val="%8."/>
      <w:lvlJc w:val="left"/>
      <w:pPr>
        <w:ind w:left="5740" w:hanging="360"/>
      </w:pPr>
    </w:lvl>
    <w:lvl w:ilvl="8" w:tplc="0809001B" w:tentative="1">
      <w:start w:val="1"/>
      <w:numFmt w:val="lowerRoman"/>
      <w:lvlText w:val="%9."/>
      <w:lvlJc w:val="right"/>
      <w:pPr>
        <w:ind w:left="6460" w:hanging="180"/>
      </w:pPr>
    </w:lvl>
  </w:abstractNum>
  <w:abstractNum w:abstractNumId="34" w15:restartNumberingAfterBreak="0">
    <w:nsid w:val="6E8D5FFD"/>
    <w:multiLevelType w:val="hybridMultilevel"/>
    <w:tmpl w:val="6BC27B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69515A7"/>
    <w:multiLevelType w:val="hybridMultilevel"/>
    <w:tmpl w:val="CF1E56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E8C07B4"/>
    <w:multiLevelType w:val="hybridMultilevel"/>
    <w:tmpl w:val="78A495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F8F6DD6"/>
    <w:multiLevelType w:val="hybridMultilevel"/>
    <w:tmpl w:val="4C18CA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48723388">
    <w:abstractNumId w:val="21"/>
  </w:num>
  <w:num w:numId="2" w16cid:durableId="1886793042">
    <w:abstractNumId w:val="30"/>
  </w:num>
  <w:num w:numId="3" w16cid:durableId="2036030186">
    <w:abstractNumId w:val="28"/>
  </w:num>
  <w:num w:numId="4" w16cid:durableId="1723215752">
    <w:abstractNumId w:val="32"/>
  </w:num>
  <w:num w:numId="5" w16cid:durableId="760875223">
    <w:abstractNumId w:val="22"/>
  </w:num>
  <w:num w:numId="6" w16cid:durableId="85322359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173615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90712462">
    <w:abstractNumId w:val="7"/>
  </w:num>
  <w:num w:numId="9" w16cid:durableId="6902307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8002549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13404376">
    <w:abstractNumId w:val="25"/>
  </w:num>
  <w:num w:numId="12" w16cid:durableId="1021584575">
    <w:abstractNumId w:val="1"/>
  </w:num>
  <w:num w:numId="13" w16cid:durableId="1808934324">
    <w:abstractNumId w:val="15"/>
  </w:num>
  <w:num w:numId="14" w16cid:durableId="1578398249">
    <w:abstractNumId w:val="16"/>
  </w:num>
  <w:num w:numId="15" w16cid:durableId="148402913">
    <w:abstractNumId w:val="11"/>
  </w:num>
  <w:num w:numId="16" w16cid:durableId="1709452595">
    <w:abstractNumId w:val="14"/>
  </w:num>
  <w:num w:numId="17" w16cid:durableId="1889486239">
    <w:abstractNumId w:val="4"/>
  </w:num>
  <w:num w:numId="18" w16cid:durableId="641540998">
    <w:abstractNumId w:val="36"/>
  </w:num>
  <w:num w:numId="19" w16cid:durableId="1634826597">
    <w:abstractNumId w:val="34"/>
  </w:num>
  <w:num w:numId="20" w16cid:durableId="1498110293">
    <w:abstractNumId w:val="26"/>
  </w:num>
  <w:num w:numId="21" w16cid:durableId="978148420">
    <w:abstractNumId w:val="23"/>
  </w:num>
  <w:num w:numId="22" w16cid:durableId="460156151">
    <w:abstractNumId w:val="6"/>
  </w:num>
  <w:num w:numId="23" w16cid:durableId="1393189626">
    <w:abstractNumId w:val="20"/>
  </w:num>
  <w:num w:numId="24" w16cid:durableId="167527989">
    <w:abstractNumId w:val="24"/>
  </w:num>
  <w:num w:numId="25" w16cid:durableId="1105616589">
    <w:abstractNumId w:val="19"/>
  </w:num>
  <w:num w:numId="26" w16cid:durableId="1956324378">
    <w:abstractNumId w:val="35"/>
  </w:num>
  <w:num w:numId="27" w16cid:durableId="118956979">
    <w:abstractNumId w:val="5"/>
  </w:num>
  <w:num w:numId="28" w16cid:durableId="691956376">
    <w:abstractNumId w:val="12"/>
  </w:num>
  <w:num w:numId="29" w16cid:durableId="1522351610">
    <w:abstractNumId w:val="33"/>
  </w:num>
  <w:num w:numId="30" w16cid:durableId="1830290211">
    <w:abstractNumId w:val="13"/>
  </w:num>
  <w:num w:numId="31" w16cid:durableId="505903921">
    <w:abstractNumId w:val="3"/>
  </w:num>
  <w:num w:numId="32" w16cid:durableId="206185240">
    <w:abstractNumId w:val="31"/>
  </w:num>
  <w:num w:numId="33" w16cid:durableId="534511986">
    <w:abstractNumId w:val="29"/>
  </w:num>
  <w:num w:numId="34" w16cid:durableId="1974753587">
    <w:abstractNumId w:val="17"/>
  </w:num>
  <w:num w:numId="35" w16cid:durableId="997465927">
    <w:abstractNumId w:val="27"/>
  </w:num>
  <w:num w:numId="36" w16cid:durableId="1427968696">
    <w:abstractNumId w:val="0"/>
  </w:num>
  <w:num w:numId="37" w16cid:durableId="1264655895">
    <w:abstractNumId w:val="10"/>
  </w:num>
  <w:num w:numId="38" w16cid:durableId="2120565753">
    <w:abstractNumId w:val="18"/>
  </w:num>
  <w:num w:numId="39" w16cid:durableId="746222162">
    <w:abstractNumId w:val="9"/>
  </w:num>
  <w:num w:numId="40" w16cid:durableId="1188909849">
    <w:abstractNumId w:val="37"/>
  </w:num>
  <w:num w:numId="41" w16cid:durableId="1546259209">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20"/>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0B0"/>
    <w:rsid w:val="00000719"/>
    <w:rsid w:val="00002D68"/>
    <w:rsid w:val="000033F7"/>
    <w:rsid w:val="00003403"/>
    <w:rsid w:val="00005347"/>
    <w:rsid w:val="000072B6"/>
    <w:rsid w:val="0001021B"/>
    <w:rsid w:val="00011D89"/>
    <w:rsid w:val="000154FD"/>
    <w:rsid w:val="00022271"/>
    <w:rsid w:val="000235E8"/>
    <w:rsid w:val="00024485"/>
    <w:rsid w:val="00024D89"/>
    <w:rsid w:val="000250B6"/>
    <w:rsid w:val="00026540"/>
    <w:rsid w:val="00030CDD"/>
    <w:rsid w:val="00033D81"/>
    <w:rsid w:val="00033DC9"/>
    <w:rsid w:val="00037366"/>
    <w:rsid w:val="00041BF0"/>
    <w:rsid w:val="00042C8A"/>
    <w:rsid w:val="0004536B"/>
    <w:rsid w:val="00045B9A"/>
    <w:rsid w:val="00046893"/>
    <w:rsid w:val="00046B68"/>
    <w:rsid w:val="000527DD"/>
    <w:rsid w:val="00056EC4"/>
    <w:rsid w:val="000578B2"/>
    <w:rsid w:val="00060959"/>
    <w:rsid w:val="00060C8F"/>
    <w:rsid w:val="0006298A"/>
    <w:rsid w:val="000663CD"/>
    <w:rsid w:val="000733FE"/>
    <w:rsid w:val="00074219"/>
    <w:rsid w:val="00074ED5"/>
    <w:rsid w:val="0008204A"/>
    <w:rsid w:val="0008508E"/>
    <w:rsid w:val="00087218"/>
    <w:rsid w:val="00087951"/>
    <w:rsid w:val="0009113B"/>
    <w:rsid w:val="00093402"/>
    <w:rsid w:val="00094DA3"/>
    <w:rsid w:val="00096CD1"/>
    <w:rsid w:val="000A009D"/>
    <w:rsid w:val="000A012C"/>
    <w:rsid w:val="000A0EB9"/>
    <w:rsid w:val="000A186C"/>
    <w:rsid w:val="000A1EA4"/>
    <w:rsid w:val="000A2476"/>
    <w:rsid w:val="000A641A"/>
    <w:rsid w:val="000B0C6A"/>
    <w:rsid w:val="000B3EDB"/>
    <w:rsid w:val="000B543D"/>
    <w:rsid w:val="000B55F9"/>
    <w:rsid w:val="000B5BF7"/>
    <w:rsid w:val="000B6BC8"/>
    <w:rsid w:val="000C0303"/>
    <w:rsid w:val="000C1193"/>
    <w:rsid w:val="000C42EA"/>
    <w:rsid w:val="000C4546"/>
    <w:rsid w:val="000D1242"/>
    <w:rsid w:val="000D2ABA"/>
    <w:rsid w:val="000D2E94"/>
    <w:rsid w:val="000E0970"/>
    <w:rsid w:val="000E3CC7"/>
    <w:rsid w:val="000E6BD4"/>
    <w:rsid w:val="000E6D6D"/>
    <w:rsid w:val="000F1F1E"/>
    <w:rsid w:val="000F2259"/>
    <w:rsid w:val="000F2DDA"/>
    <w:rsid w:val="000F2EA0"/>
    <w:rsid w:val="000F5213"/>
    <w:rsid w:val="00101001"/>
    <w:rsid w:val="00102BAB"/>
    <w:rsid w:val="00103276"/>
    <w:rsid w:val="0010392D"/>
    <w:rsid w:val="0010447F"/>
    <w:rsid w:val="00104CCA"/>
    <w:rsid w:val="00104FE3"/>
    <w:rsid w:val="0010714F"/>
    <w:rsid w:val="001120C5"/>
    <w:rsid w:val="00120BD3"/>
    <w:rsid w:val="00122FEA"/>
    <w:rsid w:val="001232BD"/>
    <w:rsid w:val="001236DC"/>
    <w:rsid w:val="00124ED5"/>
    <w:rsid w:val="001276FA"/>
    <w:rsid w:val="001348AB"/>
    <w:rsid w:val="001447B3"/>
    <w:rsid w:val="00144A20"/>
    <w:rsid w:val="00152073"/>
    <w:rsid w:val="00152329"/>
    <w:rsid w:val="001533C2"/>
    <w:rsid w:val="00156598"/>
    <w:rsid w:val="00161939"/>
    <w:rsid w:val="00161AA0"/>
    <w:rsid w:val="00161D2E"/>
    <w:rsid w:val="00161F3E"/>
    <w:rsid w:val="00162093"/>
    <w:rsid w:val="00162CA9"/>
    <w:rsid w:val="00165459"/>
    <w:rsid w:val="00165A57"/>
    <w:rsid w:val="00170E80"/>
    <w:rsid w:val="001712C2"/>
    <w:rsid w:val="00172BAF"/>
    <w:rsid w:val="001753B9"/>
    <w:rsid w:val="0017674D"/>
    <w:rsid w:val="001771DD"/>
    <w:rsid w:val="00177995"/>
    <w:rsid w:val="00177A8C"/>
    <w:rsid w:val="0018244E"/>
    <w:rsid w:val="00186B33"/>
    <w:rsid w:val="00190D3C"/>
    <w:rsid w:val="00192F9D"/>
    <w:rsid w:val="00196EB8"/>
    <w:rsid w:val="00196EFB"/>
    <w:rsid w:val="001979FF"/>
    <w:rsid w:val="00197B17"/>
    <w:rsid w:val="001A1950"/>
    <w:rsid w:val="001A1C54"/>
    <w:rsid w:val="001A3ACE"/>
    <w:rsid w:val="001A6272"/>
    <w:rsid w:val="001B058F"/>
    <w:rsid w:val="001B1889"/>
    <w:rsid w:val="001B6B96"/>
    <w:rsid w:val="001B738B"/>
    <w:rsid w:val="001C09DB"/>
    <w:rsid w:val="001C277E"/>
    <w:rsid w:val="001C2A72"/>
    <w:rsid w:val="001C31B7"/>
    <w:rsid w:val="001C5226"/>
    <w:rsid w:val="001D0993"/>
    <w:rsid w:val="001D0B75"/>
    <w:rsid w:val="001D39A5"/>
    <w:rsid w:val="001D39D6"/>
    <w:rsid w:val="001D3C09"/>
    <w:rsid w:val="001D44E8"/>
    <w:rsid w:val="001D60EC"/>
    <w:rsid w:val="001D6F59"/>
    <w:rsid w:val="001E22A3"/>
    <w:rsid w:val="001E44DF"/>
    <w:rsid w:val="001E68A5"/>
    <w:rsid w:val="001E6BB0"/>
    <w:rsid w:val="001E7282"/>
    <w:rsid w:val="001F14DC"/>
    <w:rsid w:val="001F3826"/>
    <w:rsid w:val="001F6E46"/>
    <w:rsid w:val="001F7C91"/>
    <w:rsid w:val="00200E3F"/>
    <w:rsid w:val="002033B7"/>
    <w:rsid w:val="00206463"/>
    <w:rsid w:val="00206F2F"/>
    <w:rsid w:val="00207717"/>
    <w:rsid w:val="0021053D"/>
    <w:rsid w:val="00210890"/>
    <w:rsid w:val="00210A92"/>
    <w:rsid w:val="00211908"/>
    <w:rsid w:val="00212B95"/>
    <w:rsid w:val="00215CC8"/>
    <w:rsid w:val="00216C03"/>
    <w:rsid w:val="00220A1A"/>
    <w:rsid w:val="00220C04"/>
    <w:rsid w:val="0022278D"/>
    <w:rsid w:val="00225D16"/>
    <w:rsid w:val="00225E4B"/>
    <w:rsid w:val="0022701F"/>
    <w:rsid w:val="00227C68"/>
    <w:rsid w:val="00231827"/>
    <w:rsid w:val="002333F5"/>
    <w:rsid w:val="00233724"/>
    <w:rsid w:val="00235BB4"/>
    <w:rsid w:val="002365B4"/>
    <w:rsid w:val="002432E1"/>
    <w:rsid w:val="0024507C"/>
    <w:rsid w:val="00245CFF"/>
    <w:rsid w:val="00246207"/>
    <w:rsid w:val="00246C5E"/>
    <w:rsid w:val="00250960"/>
    <w:rsid w:val="00251343"/>
    <w:rsid w:val="002536A4"/>
    <w:rsid w:val="00254ED6"/>
    <w:rsid w:val="00254F58"/>
    <w:rsid w:val="00256C20"/>
    <w:rsid w:val="002570CC"/>
    <w:rsid w:val="002617B5"/>
    <w:rsid w:val="002620BC"/>
    <w:rsid w:val="00262802"/>
    <w:rsid w:val="00263A90"/>
    <w:rsid w:val="0026408B"/>
    <w:rsid w:val="00267C3E"/>
    <w:rsid w:val="002709BB"/>
    <w:rsid w:val="0027131C"/>
    <w:rsid w:val="00273BAC"/>
    <w:rsid w:val="002763B3"/>
    <w:rsid w:val="002802E3"/>
    <w:rsid w:val="0028213D"/>
    <w:rsid w:val="0028297E"/>
    <w:rsid w:val="00282BC6"/>
    <w:rsid w:val="002841EF"/>
    <w:rsid w:val="002862F1"/>
    <w:rsid w:val="00291373"/>
    <w:rsid w:val="00293E93"/>
    <w:rsid w:val="0029597D"/>
    <w:rsid w:val="002962C3"/>
    <w:rsid w:val="0029750F"/>
    <w:rsid w:val="0029752B"/>
    <w:rsid w:val="002A0A9C"/>
    <w:rsid w:val="002A483C"/>
    <w:rsid w:val="002B0C7C"/>
    <w:rsid w:val="002B1729"/>
    <w:rsid w:val="002B36C7"/>
    <w:rsid w:val="002B4DD4"/>
    <w:rsid w:val="002B5277"/>
    <w:rsid w:val="002B5375"/>
    <w:rsid w:val="002B77C1"/>
    <w:rsid w:val="002C0ED7"/>
    <w:rsid w:val="002C112E"/>
    <w:rsid w:val="002C2728"/>
    <w:rsid w:val="002C5B7C"/>
    <w:rsid w:val="002D1E0D"/>
    <w:rsid w:val="002D5006"/>
    <w:rsid w:val="002D7C61"/>
    <w:rsid w:val="002E01D0"/>
    <w:rsid w:val="002E161D"/>
    <w:rsid w:val="002E28A2"/>
    <w:rsid w:val="002E3100"/>
    <w:rsid w:val="002E5407"/>
    <w:rsid w:val="002E6C95"/>
    <w:rsid w:val="002E77C6"/>
    <w:rsid w:val="002E7C36"/>
    <w:rsid w:val="002F246A"/>
    <w:rsid w:val="002F3D32"/>
    <w:rsid w:val="002F5E03"/>
    <w:rsid w:val="002F5F31"/>
    <w:rsid w:val="002F5F46"/>
    <w:rsid w:val="00301851"/>
    <w:rsid w:val="00302216"/>
    <w:rsid w:val="00303E53"/>
    <w:rsid w:val="00305CC1"/>
    <w:rsid w:val="00306E5F"/>
    <w:rsid w:val="00307E14"/>
    <w:rsid w:val="00313862"/>
    <w:rsid w:val="00314054"/>
    <w:rsid w:val="00316F27"/>
    <w:rsid w:val="003214F1"/>
    <w:rsid w:val="00322E4B"/>
    <w:rsid w:val="00327870"/>
    <w:rsid w:val="003302C3"/>
    <w:rsid w:val="00330FA0"/>
    <w:rsid w:val="0033168C"/>
    <w:rsid w:val="003320B5"/>
    <w:rsid w:val="0033259D"/>
    <w:rsid w:val="003333D2"/>
    <w:rsid w:val="00334686"/>
    <w:rsid w:val="00337339"/>
    <w:rsid w:val="00340345"/>
    <w:rsid w:val="003406C6"/>
    <w:rsid w:val="0034070E"/>
    <w:rsid w:val="003418CC"/>
    <w:rsid w:val="003434EE"/>
    <w:rsid w:val="003459BD"/>
    <w:rsid w:val="00350D38"/>
    <w:rsid w:val="00351B36"/>
    <w:rsid w:val="00356E19"/>
    <w:rsid w:val="00357B4E"/>
    <w:rsid w:val="00362121"/>
    <w:rsid w:val="003660AB"/>
    <w:rsid w:val="003716FD"/>
    <w:rsid w:val="0037204B"/>
    <w:rsid w:val="003744CF"/>
    <w:rsid w:val="00374717"/>
    <w:rsid w:val="003765BD"/>
    <w:rsid w:val="0037676C"/>
    <w:rsid w:val="00381043"/>
    <w:rsid w:val="003829E5"/>
    <w:rsid w:val="00386109"/>
    <w:rsid w:val="00386944"/>
    <w:rsid w:val="003956CC"/>
    <w:rsid w:val="00395C9A"/>
    <w:rsid w:val="003A0853"/>
    <w:rsid w:val="003A6B67"/>
    <w:rsid w:val="003A6D7C"/>
    <w:rsid w:val="003B13B6"/>
    <w:rsid w:val="003B14C3"/>
    <w:rsid w:val="003B15E6"/>
    <w:rsid w:val="003B22EF"/>
    <w:rsid w:val="003B408A"/>
    <w:rsid w:val="003C08A2"/>
    <w:rsid w:val="003C1A96"/>
    <w:rsid w:val="003C2045"/>
    <w:rsid w:val="003C43A1"/>
    <w:rsid w:val="003C4FC0"/>
    <w:rsid w:val="003C55F4"/>
    <w:rsid w:val="003C7897"/>
    <w:rsid w:val="003C7A3F"/>
    <w:rsid w:val="003D1E95"/>
    <w:rsid w:val="003D2766"/>
    <w:rsid w:val="003D2A74"/>
    <w:rsid w:val="003D3D88"/>
    <w:rsid w:val="003D3E8F"/>
    <w:rsid w:val="003D422D"/>
    <w:rsid w:val="003D6475"/>
    <w:rsid w:val="003D6EE6"/>
    <w:rsid w:val="003E0043"/>
    <w:rsid w:val="003E375C"/>
    <w:rsid w:val="003E3F21"/>
    <w:rsid w:val="003E4086"/>
    <w:rsid w:val="003E639E"/>
    <w:rsid w:val="003E71E5"/>
    <w:rsid w:val="003F0445"/>
    <w:rsid w:val="003F0CF0"/>
    <w:rsid w:val="003F14B1"/>
    <w:rsid w:val="003F2B20"/>
    <w:rsid w:val="003F3289"/>
    <w:rsid w:val="003F3C62"/>
    <w:rsid w:val="003F5CB9"/>
    <w:rsid w:val="004013C7"/>
    <w:rsid w:val="00401FCF"/>
    <w:rsid w:val="00406285"/>
    <w:rsid w:val="004115A2"/>
    <w:rsid w:val="004148F9"/>
    <w:rsid w:val="00416140"/>
    <w:rsid w:val="0042084E"/>
    <w:rsid w:val="00421EEF"/>
    <w:rsid w:val="00424D65"/>
    <w:rsid w:val="00425B37"/>
    <w:rsid w:val="00426E07"/>
    <w:rsid w:val="004275AF"/>
    <w:rsid w:val="00427DAE"/>
    <w:rsid w:val="00430393"/>
    <w:rsid w:val="00431806"/>
    <w:rsid w:val="00431A70"/>
    <w:rsid w:val="00431F42"/>
    <w:rsid w:val="00434216"/>
    <w:rsid w:val="00442C6C"/>
    <w:rsid w:val="00442F66"/>
    <w:rsid w:val="00443CBE"/>
    <w:rsid w:val="00443E8A"/>
    <w:rsid w:val="004441BC"/>
    <w:rsid w:val="004468B4"/>
    <w:rsid w:val="00446D86"/>
    <w:rsid w:val="0045230A"/>
    <w:rsid w:val="00453C2A"/>
    <w:rsid w:val="00453E6E"/>
    <w:rsid w:val="00454A7D"/>
    <w:rsid w:val="00454AD0"/>
    <w:rsid w:val="00457337"/>
    <w:rsid w:val="004626BE"/>
    <w:rsid w:val="00462E3D"/>
    <w:rsid w:val="00465667"/>
    <w:rsid w:val="00466E79"/>
    <w:rsid w:val="00470D7D"/>
    <w:rsid w:val="0047372D"/>
    <w:rsid w:val="00473BA3"/>
    <w:rsid w:val="004743DD"/>
    <w:rsid w:val="00474CEA"/>
    <w:rsid w:val="00482FA2"/>
    <w:rsid w:val="00483968"/>
    <w:rsid w:val="004841BE"/>
    <w:rsid w:val="00484F86"/>
    <w:rsid w:val="00490746"/>
    <w:rsid w:val="00490852"/>
    <w:rsid w:val="00491C9C"/>
    <w:rsid w:val="00492392"/>
    <w:rsid w:val="00492F30"/>
    <w:rsid w:val="004946F4"/>
    <w:rsid w:val="0049487E"/>
    <w:rsid w:val="00497795"/>
    <w:rsid w:val="004A160D"/>
    <w:rsid w:val="004A341E"/>
    <w:rsid w:val="004A3E81"/>
    <w:rsid w:val="004A4195"/>
    <w:rsid w:val="004A5C62"/>
    <w:rsid w:val="004A5CE5"/>
    <w:rsid w:val="004A707D"/>
    <w:rsid w:val="004B0974"/>
    <w:rsid w:val="004B4185"/>
    <w:rsid w:val="004B4E6F"/>
    <w:rsid w:val="004C5541"/>
    <w:rsid w:val="004C6EEE"/>
    <w:rsid w:val="004C702B"/>
    <w:rsid w:val="004D0033"/>
    <w:rsid w:val="004D016B"/>
    <w:rsid w:val="004D1B22"/>
    <w:rsid w:val="004D23CC"/>
    <w:rsid w:val="004D36F2"/>
    <w:rsid w:val="004D5838"/>
    <w:rsid w:val="004D7AF9"/>
    <w:rsid w:val="004E1106"/>
    <w:rsid w:val="004E138F"/>
    <w:rsid w:val="004E1C8D"/>
    <w:rsid w:val="004E2448"/>
    <w:rsid w:val="004E4649"/>
    <w:rsid w:val="004E48B8"/>
    <w:rsid w:val="004E5C25"/>
    <w:rsid w:val="004E5C2B"/>
    <w:rsid w:val="004E6F56"/>
    <w:rsid w:val="004F00DD"/>
    <w:rsid w:val="004F2133"/>
    <w:rsid w:val="004F44C5"/>
    <w:rsid w:val="004F5398"/>
    <w:rsid w:val="004F55F1"/>
    <w:rsid w:val="004F6936"/>
    <w:rsid w:val="00501F92"/>
    <w:rsid w:val="00503DC6"/>
    <w:rsid w:val="00504684"/>
    <w:rsid w:val="00506F5D"/>
    <w:rsid w:val="00510C37"/>
    <w:rsid w:val="00511878"/>
    <w:rsid w:val="005126D0"/>
    <w:rsid w:val="00514667"/>
    <w:rsid w:val="0051568D"/>
    <w:rsid w:val="00526AC7"/>
    <w:rsid w:val="00526C15"/>
    <w:rsid w:val="00536499"/>
    <w:rsid w:val="00537838"/>
    <w:rsid w:val="00542A03"/>
    <w:rsid w:val="00543903"/>
    <w:rsid w:val="00543BCC"/>
    <w:rsid w:val="00543F11"/>
    <w:rsid w:val="00544135"/>
    <w:rsid w:val="00546305"/>
    <w:rsid w:val="00547A95"/>
    <w:rsid w:val="0055119B"/>
    <w:rsid w:val="00556766"/>
    <w:rsid w:val="00561202"/>
    <w:rsid w:val="00562028"/>
    <w:rsid w:val="00562507"/>
    <w:rsid w:val="00562811"/>
    <w:rsid w:val="00572031"/>
    <w:rsid w:val="00572282"/>
    <w:rsid w:val="00573CE3"/>
    <w:rsid w:val="0057465A"/>
    <w:rsid w:val="00576E84"/>
    <w:rsid w:val="00580394"/>
    <w:rsid w:val="005809CD"/>
    <w:rsid w:val="00582B8C"/>
    <w:rsid w:val="0058757E"/>
    <w:rsid w:val="00593A10"/>
    <w:rsid w:val="00595240"/>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424B"/>
    <w:rsid w:val="005F64CF"/>
    <w:rsid w:val="006041AD"/>
    <w:rsid w:val="0060458E"/>
    <w:rsid w:val="00605908"/>
    <w:rsid w:val="00607850"/>
    <w:rsid w:val="00607EF7"/>
    <w:rsid w:val="00610D7C"/>
    <w:rsid w:val="00613414"/>
    <w:rsid w:val="00620154"/>
    <w:rsid w:val="00621BD8"/>
    <w:rsid w:val="0062408D"/>
    <w:rsid w:val="006240CC"/>
    <w:rsid w:val="00624940"/>
    <w:rsid w:val="006254F8"/>
    <w:rsid w:val="006260B0"/>
    <w:rsid w:val="00627DA7"/>
    <w:rsid w:val="00630DA4"/>
    <w:rsid w:val="00631BF1"/>
    <w:rsid w:val="00631CD4"/>
    <w:rsid w:val="00632597"/>
    <w:rsid w:val="00634D13"/>
    <w:rsid w:val="006358B4"/>
    <w:rsid w:val="00640309"/>
    <w:rsid w:val="00641038"/>
    <w:rsid w:val="00641724"/>
    <w:rsid w:val="006419AA"/>
    <w:rsid w:val="00641FBE"/>
    <w:rsid w:val="00643B4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67849"/>
    <w:rsid w:val="00670597"/>
    <w:rsid w:val="006706D0"/>
    <w:rsid w:val="00670916"/>
    <w:rsid w:val="00672CF6"/>
    <w:rsid w:val="0067578D"/>
    <w:rsid w:val="00677574"/>
    <w:rsid w:val="00677D23"/>
    <w:rsid w:val="006812ED"/>
    <w:rsid w:val="00681C94"/>
    <w:rsid w:val="00683878"/>
    <w:rsid w:val="00684380"/>
    <w:rsid w:val="0068454C"/>
    <w:rsid w:val="00691B62"/>
    <w:rsid w:val="006933B5"/>
    <w:rsid w:val="00693D14"/>
    <w:rsid w:val="00696F27"/>
    <w:rsid w:val="006A18C2"/>
    <w:rsid w:val="006A3383"/>
    <w:rsid w:val="006A3C6D"/>
    <w:rsid w:val="006A5CAB"/>
    <w:rsid w:val="006B075B"/>
    <w:rsid w:val="006B077C"/>
    <w:rsid w:val="006B6803"/>
    <w:rsid w:val="006C3449"/>
    <w:rsid w:val="006D0F16"/>
    <w:rsid w:val="006D2A3F"/>
    <w:rsid w:val="006D2DE3"/>
    <w:rsid w:val="006D2FBC"/>
    <w:rsid w:val="006D6E34"/>
    <w:rsid w:val="006E138B"/>
    <w:rsid w:val="006E1867"/>
    <w:rsid w:val="006F0330"/>
    <w:rsid w:val="006F09DB"/>
    <w:rsid w:val="006F1FDC"/>
    <w:rsid w:val="006F65F2"/>
    <w:rsid w:val="006F6B8C"/>
    <w:rsid w:val="007013EF"/>
    <w:rsid w:val="00702ABD"/>
    <w:rsid w:val="00703C04"/>
    <w:rsid w:val="007055BD"/>
    <w:rsid w:val="00713003"/>
    <w:rsid w:val="00713AAD"/>
    <w:rsid w:val="00714B52"/>
    <w:rsid w:val="00714FB4"/>
    <w:rsid w:val="007173CA"/>
    <w:rsid w:val="007216AA"/>
    <w:rsid w:val="00721AB5"/>
    <w:rsid w:val="00721CFB"/>
    <w:rsid w:val="00721DEF"/>
    <w:rsid w:val="00724A43"/>
    <w:rsid w:val="00724C8E"/>
    <w:rsid w:val="00725A9B"/>
    <w:rsid w:val="007273AC"/>
    <w:rsid w:val="00727B85"/>
    <w:rsid w:val="00731AD4"/>
    <w:rsid w:val="007346E4"/>
    <w:rsid w:val="00735564"/>
    <w:rsid w:val="00740F22"/>
    <w:rsid w:val="00741CF0"/>
    <w:rsid w:val="00741F1A"/>
    <w:rsid w:val="007447DA"/>
    <w:rsid w:val="007450F8"/>
    <w:rsid w:val="0074696E"/>
    <w:rsid w:val="00750135"/>
    <w:rsid w:val="00750EC2"/>
    <w:rsid w:val="00752B28"/>
    <w:rsid w:val="007536BC"/>
    <w:rsid w:val="00753EA5"/>
    <w:rsid w:val="007541A9"/>
    <w:rsid w:val="00754E36"/>
    <w:rsid w:val="00763139"/>
    <w:rsid w:val="00766E47"/>
    <w:rsid w:val="00770F37"/>
    <w:rsid w:val="007711A0"/>
    <w:rsid w:val="00772D5E"/>
    <w:rsid w:val="0077463E"/>
    <w:rsid w:val="00776928"/>
    <w:rsid w:val="00776D56"/>
    <w:rsid w:val="00776E0F"/>
    <w:rsid w:val="007774B1"/>
    <w:rsid w:val="00777BE1"/>
    <w:rsid w:val="00781714"/>
    <w:rsid w:val="00782222"/>
    <w:rsid w:val="007833D8"/>
    <w:rsid w:val="00785677"/>
    <w:rsid w:val="00785B04"/>
    <w:rsid w:val="00786F16"/>
    <w:rsid w:val="00791BD7"/>
    <w:rsid w:val="007933F7"/>
    <w:rsid w:val="00794E24"/>
    <w:rsid w:val="00796E20"/>
    <w:rsid w:val="00797C32"/>
    <w:rsid w:val="007A11E8"/>
    <w:rsid w:val="007A562E"/>
    <w:rsid w:val="007B0914"/>
    <w:rsid w:val="007B1374"/>
    <w:rsid w:val="007B32E5"/>
    <w:rsid w:val="007B3A03"/>
    <w:rsid w:val="007B3DB9"/>
    <w:rsid w:val="007B589F"/>
    <w:rsid w:val="007B6186"/>
    <w:rsid w:val="007B73BC"/>
    <w:rsid w:val="007C05B9"/>
    <w:rsid w:val="007C1838"/>
    <w:rsid w:val="007C20B9"/>
    <w:rsid w:val="007C7301"/>
    <w:rsid w:val="007C7450"/>
    <w:rsid w:val="007C7859"/>
    <w:rsid w:val="007C7F28"/>
    <w:rsid w:val="007D1466"/>
    <w:rsid w:val="007D2BDE"/>
    <w:rsid w:val="007D2FB6"/>
    <w:rsid w:val="007D460B"/>
    <w:rsid w:val="007D46FA"/>
    <w:rsid w:val="007D49EB"/>
    <w:rsid w:val="007D5E1C"/>
    <w:rsid w:val="007D68DC"/>
    <w:rsid w:val="007E0DE2"/>
    <w:rsid w:val="007E3667"/>
    <w:rsid w:val="007E39ED"/>
    <w:rsid w:val="007E3B98"/>
    <w:rsid w:val="007E417A"/>
    <w:rsid w:val="007E45C9"/>
    <w:rsid w:val="007E548D"/>
    <w:rsid w:val="007F31B6"/>
    <w:rsid w:val="007F546C"/>
    <w:rsid w:val="007F625F"/>
    <w:rsid w:val="007F665E"/>
    <w:rsid w:val="007F6D32"/>
    <w:rsid w:val="00800412"/>
    <w:rsid w:val="00803B91"/>
    <w:rsid w:val="0080587B"/>
    <w:rsid w:val="00806468"/>
    <w:rsid w:val="008119CA"/>
    <w:rsid w:val="008130AF"/>
    <w:rsid w:val="008130C4"/>
    <w:rsid w:val="008155F0"/>
    <w:rsid w:val="00816735"/>
    <w:rsid w:val="00820141"/>
    <w:rsid w:val="00820E0C"/>
    <w:rsid w:val="00823275"/>
    <w:rsid w:val="0082366F"/>
    <w:rsid w:val="0083137F"/>
    <w:rsid w:val="008338A2"/>
    <w:rsid w:val="00833CAC"/>
    <w:rsid w:val="00835307"/>
    <w:rsid w:val="00841AA9"/>
    <w:rsid w:val="008474FE"/>
    <w:rsid w:val="00853EE4"/>
    <w:rsid w:val="00855535"/>
    <w:rsid w:val="00856733"/>
    <w:rsid w:val="00857C5A"/>
    <w:rsid w:val="0086255E"/>
    <w:rsid w:val="00862825"/>
    <w:rsid w:val="008633F0"/>
    <w:rsid w:val="0086798D"/>
    <w:rsid w:val="00867D9D"/>
    <w:rsid w:val="008711E9"/>
    <w:rsid w:val="00872E0A"/>
    <w:rsid w:val="00873594"/>
    <w:rsid w:val="00875285"/>
    <w:rsid w:val="00883AE4"/>
    <w:rsid w:val="0088427C"/>
    <w:rsid w:val="00884B62"/>
    <w:rsid w:val="0088529C"/>
    <w:rsid w:val="00887903"/>
    <w:rsid w:val="0089270A"/>
    <w:rsid w:val="00892F2B"/>
    <w:rsid w:val="00893AF6"/>
    <w:rsid w:val="00894BC4"/>
    <w:rsid w:val="00896890"/>
    <w:rsid w:val="008977D1"/>
    <w:rsid w:val="008A28A8"/>
    <w:rsid w:val="008A54AC"/>
    <w:rsid w:val="008A5B32"/>
    <w:rsid w:val="008A61D0"/>
    <w:rsid w:val="008B2029"/>
    <w:rsid w:val="008B2EE4"/>
    <w:rsid w:val="008B3821"/>
    <w:rsid w:val="008B4D3D"/>
    <w:rsid w:val="008B57C7"/>
    <w:rsid w:val="008B5D79"/>
    <w:rsid w:val="008C013C"/>
    <w:rsid w:val="008C0606"/>
    <w:rsid w:val="008C2531"/>
    <w:rsid w:val="008C2F92"/>
    <w:rsid w:val="008C3546"/>
    <w:rsid w:val="008C589D"/>
    <w:rsid w:val="008C6D51"/>
    <w:rsid w:val="008D1D6D"/>
    <w:rsid w:val="008D2846"/>
    <w:rsid w:val="008D4236"/>
    <w:rsid w:val="008D44E8"/>
    <w:rsid w:val="008D462F"/>
    <w:rsid w:val="008D5772"/>
    <w:rsid w:val="008D639B"/>
    <w:rsid w:val="008D6DCF"/>
    <w:rsid w:val="008E1089"/>
    <w:rsid w:val="008E4376"/>
    <w:rsid w:val="008E7A0A"/>
    <w:rsid w:val="008E7B49"/>
    <w:rsid w:val="008F0406"/>
    <w:rsid w:val="008F0660"/>
    <w:rsid w:val="008F59F6"/>
    <w:rsid w:val="009003C1"/>
    <w:rsid w:val="00900719"/>
    <w:rsid w:val="009017AC"/>
    <w:rsid w:val="00902A9A"/>
    <w:rsid w:val="009040F6"/>
    <w:rsid w:val="00904A1C"/>
    <w:rsid w:val="00905030"/>
    <w:rsid w:val="00906490"/>
    <w:rsid w:val="009111B2"/>
    <w:rsid w:val="00914C45"/>
    <w:rsid w:val="009151F5"/>
    <w:rsid w:val="009249BA"/>
    <w:rsid w:val="00924AE1"/>
    <w:rsid w:val="009269B1"/>
    <w:rsid w:val="0092724D"/>
    <w:rsid w:val="009272B3"/>
    <w:rsid w:val="009315BE"/>
    <w:rsid w:val="009326DD"/>
    <w:rsid w:val="0093338F"/>
    <w:rsid w:val="00937636"/>
    <w:rsid w:val="00937BD9"/>
    <w:rsid w:val="00940601"/>
    <w:rsid w:val="00940A1D"/>
    <w:rsid w:val="00942F95"/>
    <w:rsid w:val="00950E2C"/>
    <w:rsid w:val="0095143C"/>
    <w:rsid w:val="00951D50"/>
    <w:rsid w:val="009525EB"/>
    <w:rsid w:val="0095470B"/>
    <w:rsid w:val="00954874"/>
    <w:rsid w:val="0095615A"/>
    <w:rsid w:val="00960AC7"/>
    <w:rsid w:val="00961400"/>
    <w:rsid w:val="009624EC"/>
    <w:rsid w:val="00963646"/>
    <w:rsid w:val="0096632D"/>
    <w:rsid w:val="00967124"/>
    <w:rsid w:val="00967BF9"/>
    <w:rsid w:val="0097005B"/>
    <w:rsid w:val="0097166C"/>
    <w:rsid w:val="009718C7"/>
    <w:rsid w:val="0097559F"/>
    <w:rsid w:val="009761EA"/>
    <w:rsid w:val="0097761E"/>
    <w:rsid w:val="00982454"/>
    <w:rsid w:val="00982CF0"/>
    <w:rsid w:val="009853E1"/>
    <w:rsid w:val="00986D0D"/>
    <w:rsid w:val="00986E6B"/>
    <w:rsid w:val="00990032"/>
    <w:rsid w:val="00990B19"/>
    <w:rsid w:val="0099153B"/>
    <w:rsid w:val="00991769"/>
    <w:rsid w:val="0099232C"/>
    <w:rsid w:val="00994386"/>
    <w:rsid w:val="009A13D8"/>
    <w:rsid w:val="009A279E"/>
    <w:rsid w:val="009A3015"/>
    <w:rsid w:val="009A3490"/>
    <w:rsid w:val="009B0A6F"/>
    <w:rsid w:val="009B0A94"/>
    <w:rsid w:val="009B0C62"/>
    <w:rsid w:val="009B2AE8"/>
    <w:rsid w:val="009B5622"/>
    <w:rsid w:val="009B59E9"/>
    <w:rsid w:val="009B70AA"/>
    <w:rsid w:val="009C245E"/>
    <w:rsid w:val="009C5E77"/>
    <w:rsid w:val="009C7A7E"/>
    <w:rsid w:val="009D02E8"/>
    <w:rsid w:val="009D4A8C"/>
    <w:rsid w:val="009D51D0"/>
    <w:rsid w:val="009D70A4"/>
    <w:rsid w:val="009D7B14"/>
    <w:rsid w:val="009E08D1"/>
    <w:rsid w:val="009E0D96"/>
    <w:rsid w:val="009E1B95"/>
    <w:rsid w:val="009E496F"/>
    <w:rsid w:val="009E4B0D"/>
    <w:rsid w:val="009E5250"/>
    <w:rsid w:val="009E79F3"/>
    <w:rsid w:val="009E7A69"/>
    <w:rsid w:val="009E7F92"/>
    <w:rsid w:val="009F02A3"/>
    <w:rsid w:val="009F2182"/>
    <w:rsid w:val="009F2F27"/>
    <w:rsid w:val="009F34AA"/>
    <w:rsid w:val="009F6BCB"/>
    <w:rsid w:val="009F7014"/>
    <w:rsid w:val="009F7B78"/>
    <w:rsid w:val="00A0057A"/>
    <w:rsid w:val="00A01FB8"/>
    <w:rsid w:val="00A02FA1"/>
    <w:rsid w:val="00A04CCE"/>
    <w:rsid w:val="00A07421"/>
    <w:rsid w:val="00A0776B"/>
    <w:rsid w:val="00A10FB9"/>
    <w:rsid w:val="00A11421"/>
    <w:rsid w:val="00A1389F"/>
    <w:rsid w:val="00A13B7A"/>
    <w:rsid w:val="00A157B1"/>
    <w:rsid w:val="00A22229"/>
    <w:rsid w:val="00A24442"/>
    <w:rsid w:val="00A24ADA"/>
    <w:rsid w:val="00A32577"/>
    <w:rsid w:val="00A330BB"/>
    <w:rsid w:val="00A445C3"/>
    <w:rsid w:val="00A446F5"/>
    <w:rsid w:val="00A44882"/>
    <w:rsid w:val="00A45125"/>
    <w:rsid w:val="00A54715"/>
    <w:rsid w:val="00A54779"/>
    <w:rsid w:val="00A6061C"/>
    <w:rsid w:val="00A62D44"/>
    <w:rsid w:val="00A6336A"/>
    <w:rsid w:val="00A67263"/>
    <w:rsid w:val="00A7161C"/>
    <w:rsid w:val="00A71CE4"/>
    <w:rsid w:val="00A77AA3"/>
    <w:rsid w:val="00A8236D"/>
    <w:rsid w:val="00A854EB"/>
    <w:rsid w:val="00A872E5"/>
    <w:rsid w:val="00A91406"/>
    <w:rsid w:val="00A96E65"/>
    <w:rsid w:val="00A96ECE"/>
    <w:rsid w:val="00A97C72"/>
    <w:rsid w:val="00AA310B"/>
    <w:rsid w:val="00AA40C8"/>
    <w:rsid w:val="00AA63D4"/>
    <w:rsid w:val="00AA6F34"/>
    <w:rsid w:val="00AB06E8"/>
    <w:rsid w:val="00AB186E"/>
    <w:rsid w:val="00AB1CD3"/>
    <w:rsid w:val="00AB1EBA"/>
    <w:rsid w:val="00AB352F"/>
    <w:rsid w:val="00AC274B"/>
    <w:rsid w:val="00AC4764"/>
    <w:rsid w:val="00AC6D36"/>
    <w:rsid w:val="00AD0CBA"/>
    <w:rsid w:val="00AD26E2"/>
    <w:rsid w:val="00AD784C"/>
    <w:rsid w:val="00AE07AE"/>
    <w:rsid w:val="00AE126A"/>
    <w:rsid w:val="00AE14F0"/>
    <w:rsid w:val="00AE1BAE"/>
    <w:rsid w:val="00AE3005"/>
    <w:rsid w:val="00AE3BD5"/>
    <w:rsid w:val="00AE59A0"/>
    <w:rsid w:val="00AF0C57"/>
    <w:rsid w:val="00AF26F3"/>
    <w:rsid w:val="00AF5F04"/>
    <w:rsid w:val="00B002B9"/>
    <w:rsid w:val="00B00672"/>
    <w:rsid w:val="00B01B4D"/>
    <w:rsid w:val="00B02FA1"/>
    <w:rsid w:val="00B04489"/>
    <w:rsid w:val="00B06571"/>
    <w:rsid w:val="00B068BA"/>
    <w:rsid w:val="00B07217"/>
    <w:rsid w:val="00B115CB"/>
    <w:rsid w:val="00B13851"/>
    <w:rsid w:val="00B13B1C"/>
    <w:rsid w:val="00B14B5F"/>
    <w:rsid w:val="00B16312"/>
    <w:rsid w:val="00B21F90"/>
    <w:rsid w:val="00B22291"/>
    <w:rsid w:val="00B23F9A"/>
    <w:rsid w:val="00B2417B"/>
    <w:rsid w:val="00B24E6F"/>
    <w:rsid w:val="00B26CB5"/>
    <w:rsid w:val="00B2752E"/>
    <w:rsid w:val="00B307CC"/>
    <w:rsid w:val="00B326B7"/>
    <w:rsid w:val="00B342FC"/>
    <w:rsid w:val="00B3588E"/>
    <w:rsid w:val="00B37551"/>
    <w:rsid w:val="00B4198F"/>
    <w:rsid w:val="00B41F3D"/>
    <w:rsid w:val="00B431E8"/>
    <w:rsid w:val="00B45141"/>
    <w:rsid w:val="00B519CD"/>
    <w:rsid w:val="00B5273A"/>
    <w:rsid w:val="00B5317B"/>
    <w:rsid w:val="00B57329"/>
    <w:rsid w:val="00B60E61"/>
    <w:rsid w:val="00B61652"/>
    <w:rsid w:val="00B62B50"/>
    <w:rsid w:val="00B635B7"/>
    <w:rsid w:val="00B63AE8"/>
    <w:rsid w:val="00B64D76"/>
    <w:rsid w:val="00B65950"/>
    <w:rsid w:val="00B66D83"/>
    <w:rsid w:val="00B672C0"/>
    <w:rsid w:val="00B676FD"/>
    <w:rsid w:val="00B678B6"/>
    <w:rsid w:val="00B706FC"/>
    <w:rsid w:val="00B7154F"/>
    <w:rsid w:val="00B75646"/>
    <w:rsid w:val="00B7629E"/>
    <w:rsid w:val="00B90729"/>
    <w:rsid w:val="00B907DA"/>
    <w:rsid w:val="00B90B09"/>
    <w:rsid w:val="00B94C5E"/>
    <w:rsid w:val="00B950BC"/>
    <w:rsid w:val="00B9714C"/>
    <w:rsid w:val="00BA26F6"/>
    <w:rsid w:val="00BA29AD"/>
    <w:rsid w:val="00BA33CF"/>
    <w:rsid w:val="00BA3F8D"/>
    <w:rsid w:val="00BB3B28"/>
    <w:rsid w:val="00BB74AC"/>
    <w:rsid w:val="00BB7A10"/>
    <w:rsid w:val="00BC359A"/>
    <w:rsid w:val="00BC60BE"/>
    <w:rsid w:val="00BC7468"/>
    <w:rsid w:val="00BC7D4F"/>
    <w:rsid w:val="00BC7ED7"/>
    <w:rsid w:val="00BD2850"/>
    <w:rsid w:val="00BD6B9D"/>
    <w:rsid w:val="00BD75C3"/>
    <w:rsid w:val="00BE28D2"/>
    <w:rsid w:val="00BE4A64"/>
    <w:rsid w:val="00BE5E43"/>
    <w:rsid w:val="00BF0CD2"/>
    <w:rsid w:val="00BF4BAE"/>
    <w:rsid w:val="00BF557D"/>
    <w:rsid w:val="00BF658D"/>
    <w:rsid w:val="00BF7D43"/>
    <w:rsid w:val="00BF7F58"/>
    <w:rsid w:val="00C01381"/>
    <w:rsid w:val="00C01AB1"/>
    <w:rsid w:val="00C026A0"/>
    <w:rsid w:val="00C06137"/>
    <w:rsid w:val="00C06929"/>
    <w:rsid w:val="00C07976"/>
    <w:rsid w:val="00C079B8"/>
    <w:rsid w:val="00C10037"/>
    <w:rsid w:val="00C1124E"/>
    <w:rsid w:val="00C115E1"/>
    <w:rsid w:val="00C123EA"/>
    <w:rsid w:val="00C12667"/>
    <w:rsid w:val="00C12A49"/>
    <w:rsid w:val="00C133EE"/>
    <w:rsid w:val="00C149D0"/>
    <w:rsid w:val="00C26588"/>
    <w:rsid w:val="00C27DE9"/>
    <w:rsid w:val="00C32858"/>
    <w:rsid w:val="00C32989"/>
    <w:rsid w:val="00C33388"/>
    <w:rsid w:val="00C35484"/>
    <w:rsid w:val="00C372C8"/>
    <w:rsid w:val="00C4173A"/>
    <w:rsid w:val="00C42F0F"/>
    <w:rsid w:val="00C44B24"/>
    <w:rsid w:val="00C50DED"/>
    <w:rsid w:val="00C52217"/>
    <w:rsid w:val="00C602FF"/>
    <w:rsid w:val="00C60411"/>
    <w:rsid w:val="00C61174"/>
    <w:rsid w:val="00C6148F"/>
    <w:rsid w:val="00C621B1"/>
    <w:rsid w:val="00C62F7A"/>
    <w:rsid w:val="00C63B9C"/>
    <w:rsid w:val="00C6682F"/>
    <w:rsid w:val="00C67BF4"/>
    <w:rsid w:val="00C7275E"/>
    <w:rsid w:val="00C731AF"/>
    <w:rsid w:val="00C74C5D"/>
    <w:rsid w:val="00C75594"/>
    <w:rsid w:val="00C8119A"/>
    <w:rsid w:val="00C85ED3"/>
    <w:rsid w:val="00C863C4"/>
    <w:rsid w:val="00C90690"/>
    <w:rsid w:val="00C90DAB"/>
    <w:rsid w:val="00C90FC9"/>
    <w:rsid w:val="00C920EA"/>
    <w:rsid w:val="00C93C3E"/>
    <w:rsid w:val="00CA12E3"/>
    <w:rsid w:val="00CA1476"/>
    <w:rsid w:val="00CA1EC1"/>
    <w:rsid w:val="00CA40F7"/>
    <w:rsid w:val="00CA6611"/>
    <w:rsid w:val="00CA6AE6"/>
    <w:rsid w:val="00CA782F"/>
    <w:rsid w:val="00CB187B"/>
    <w:rsid w:val="00CB2835"/>
    <w:rsid w:val="00CB3285"/>
    <w:rsid w:val="00CB4500"/>
    <w:rsid w:val="00CC0340"/>
    <w:rsid w:val="00CC0C72"/>
    <w:rsid w:val="00CC1140"/>
    <w:rsid w:val="00CC29B7"/>
    <w:rsid w:val="00CC2BFD"/>
    <w:rsid w:val="00CC3BB0"/>
    <w:rsid w:val="00CC60F7"/>
    <w:rsid w:val="00CC6F40"/>
    <w:rsid w:val="00CD0ACF"/>
    <w:rsid w:val="00CD3476"/>
    <w:rsid w:val="00CD64DF"/>
    <w:rsid w:val="00CD6614"/>
    <w:rsid w:val="00CE023F"/>
    <w:rsid w:val="00CE225F"/>
    <w:rsid w:val="00CE5A7A"/>
    <w:rsid w:val="00CF2F50"/>
    <w:rsid w:val="00CF6198"/>
    <w:rsid w:val="00CF6F20"/>
    <w:rsid w:val="00CF7E5A"/>
    <w:rsid w:val="00D02919"/>
    <w:rsid w:val="00D04C61"/>
    <w:rsid w:val="00D054B8"/>
    <w:rsid w:val="00D05B8D"/>
    <w:rsid w:val="00D05B9B"/>
    <w:rsid w:val="00D065A2"/>
    <w:rsid w:val="00D06ED0"/>
    <w:rsid w:val="00D079AA"/>
    <w:rsid w:val="00D07F00"/>
    <w:rsid w:val="00D1130F"/>
    <w:rsid w:val="00D17B72"/>
    <w:rsid w:val="00D20B3E"/>
    <w:rsid w:val="00D24F5C"/>
    <w:rsid w:val="00D25BD2"/>
    <w:rsid w:val="00D31654"/>
    <w:rsid w:val="00D3185C"/>
    <w:rsid w:val="00D3205F"/>
    <w:rsid w:val="00D321FA"/>
    <w:rsid w:val="00D3318E"/>
    <w:rsid w:val="00D33E72"/>
    <w:rsid w:val="00D35BD6"/>
    <w:rsid w:val="00D361B5"/>
    <w:rsid w:val="00D407BB"/>
    <w:rsid w:val="00D411A2"/>
    <w:rsid w:val="00D42E01"/>
    <w:rsid w:val="00D4606D"/>
    <w:rsid w:val="00D46E67"/>
    <w:rsid w:val="00D47ECA"/>
    <w:rsid w:val="00D50B9C"/>
    <w:rsid w:val="00D513AF"/>
    <w:rsid w:val="00D52D73"/>
    <w:rsid w:val="00D52E58"/>
    <w:rsid w:val="00D56B20"/>
    <w:rsid w:val="00D578B3"/>
    <w:rsid w:val="00D618F4"/>
    <w:rsid w:val="00D62D18"/>
    <w:rsid w:val="00D63636"/>
    <w:rsid w:val="00D654D5"/>
    <w:rsid w:val="00D714CC"/>
    <w:rsid w:val="00D75EA7"/>
    <w:rsid w:val="00D76B0A"/>
    <w:rsid w:val="00D76ECC"/>
    <w:rsid w:val="00D81ADF"/>
    <w:rsid w:val="00D81F21"/>
    <w:rsid w:val="00D864F2"/>
    <w:rsid w:val="00D943F8"/>
    <w:rsid w:val="00D95470"/>
    <w:rsid w:val="00D96B55"/>
    <w:rsid w:val="00DA2619"/>
    <w:rsid w:val="00DA4239"/>
    <w:rsid w:val="00DA588C"/>
    <w:rsid w:val="00DA65DE"/>
    <w:rsid w:val="00DB0B61"/>
    <w:rsid w:val="00DB0CF3"/>
    <w:rsid w:val="00DB1474"/>
    <w:rsid w:val="00DB2962"/>
    <w:rsid w:val="00DB42C3"/>
    <w:rsid w:val="00DB52FB"/>
    <w:rsid w:val="00DB73B9"/>
    <w:rsid w:val="00DC013B"/>
    <w:rsid w:val="00DC090B"/>
    <w:rsid w:val="00DC1679"/>
    <w:rsid w:val="00DC1731"/>
    <w:rsid w:val="00DC219B"/>
    <w:rsid w:val="00DC2CF1"/>
    <w:rsid w:val="00DC2DC7"/>
    <w:rsid w:val="00DC2EA0"/>
    <w:rsid w:val="00DC3A7C"/>
    <w:rsid w:val="00DC4FCF"/>
    <w:rsid w:val="00DC50E0"/>
    <w:rsid w:val="00DC6386"/>
    <w:rsid w:val="00DD1130"/>
    <w:rsid w:val="00DD1951"/>
    <w:rsid w:val="00DD487D"/>
    <w:rsid w:val="00DD4E83"/>
    <w:rsid w:val="00DD6628"/>
    <w:rsid w:val="00DD691D"/>
    <w:rsid w:val="00DD6945"/>
    <w:rsid w:val="00DE29DC"/>
    <w:rsid w:val="00DE2D04"/>
    <w:rsid w:val="00DE3250"/>
    <w:rsid w:val="00DE6028"/>
    <w:rsid w:val="00DE6C85"/>
    <w:rsid w:val="00DE78A3"/>
    <w:rsid w:val="00DF0A6E"/>
    <w:rsid w:val="00DF14A5"/>
    <w:rsid w:val="00DF1A71"/>
    <w:rsid w:val="00DF50FC"/>
    <w:rsid w:val="00DF68C7"/>
    <w:rsid w:val="00DF731A"/>
    <w:rsid w:val="00E06B75"/>
    <w:rsid w:val="00E11332"/>
    <w:rsid w:val="00E11352"/>
    <w:rsid w:val="00E170DC"/>
    <w:rsid w:val="00E17546"/>
    <w:rsid w:val="00E21095"/>
    <w:rsid w:val="00E210B5"/>
    <w:rsid w:val="00E261B3"/>
    <w:rsid w:val="00E26818"/>
    <w:rsid w:val="00E27FFC"/>
    <w:rsid w:val="00E30B15"/>
    <w:rsid w:val="00E33237"/>
    <w:rsid w:val="00E36772"/>
    <w:rsid w:val="00E40181"/>
    <w:rsid w:val="00E456EE"/>
    <w:rsid w:val="00E54950"/>
    <w:rsid w:val="00E55FB3"/>
    <w:rsid w:val="00E56A01"/>
    <w:rsid w:val="00E629A1"/>
    <w:rsid w:val="00E659F2"/>
    <w:rsid w:val="00E6794C"/>
    <w:rsid w:val="00E71591"/>
    <w:rsid w:val="00E71CEB"/>
    <w:rsid w:val="00E7474F"/>
    <w:rsid w:val="00E80DE3"/>
    <w:rsid w:val="00E82C55"/>
    <w:rsid w:val="00E8787E"/>
    <w:rsid w:val="00E87C5D"/>
    <w:rsid w:val="00E9042A"/>
    <w:rsid w:val="00E91FB3"/>
    <w:rsid w:val="00E92AC3"/>
    <w:rsid w:val="00EA2F6A"/>
    <w:rsid w:val="00EA6638"/>
    <w:rsid w:val="00EB00E0"/>
    <w:rsid w:val="00EB05D5"/>
    <w:rsid w:val="00EB4BC7"/>
    <w:rsid w:val="00EB56B9"/>
    <w:rsid w:val="00EB5D88"/>
    <w:rsid w:val="00EC059F"/>
    <w:rsid w:val="00EC1F24"/>
    <w:rsid w:val="00EC22F6"/>
    <w:rsid w:val="00EC3DB9"/>
    <w:rsid w:val="00ED5B9B"/>
    <w:rsid w:val="00ED6BAD"/>
    <w:rsid w:val="00ED7447"/>
    <w:rsid w:val="00ED7762"/>
    <w:rsid w:val="00EE00D6"/>
    <w:rsid w:val="00EE11E7"/>
    <w:rsid w:val="00EE1488"/>
    <w:rsid w:val="00EE29AD"/>
    <w:rsid w:val="00EE3E24"/>
    <w:rsid w:val="00EE4D5D"/>
    <w:rsid w:val="00EE5131"/>
    <w:rsid w:val="00EE7813"/>
    <w:rsid w:val="00EF109B"/>
    <w:rsid w:val="00EF201C"/>
    <w:rsid w:val="00EF2C72"/>
    <w:rsid w:val="00EF36AF"/>
    <w:rsid w:val="00EF59A3"/>
    <w:rsid w:val="00EF6675"/>
    <w:rsid w:val="00F0063D"/>
    <w:rsid w:val="00F00F9C"/>
    <w:rsid w:val="00F01E5F"/>
    <w:rsid w:val="00F024F3"/>
    <w:rsid w:val="00F02ABA"/>
    <w:rsid w:val="00F0437A"/>
    <w:rsid w:val="00F101B8"/>
    <w:rsid w:val="00F105B5"/>
    <w:rsid w:val="00F105F7"/>
    <w:rsid w:val="00F11037"/>
    <w:rsid w:val="00F13FB2"/>
    <w:rsid w:val="00F16F1B"/>
    <w:rsid w:val="00F250A9"/>
    <w:rsid w:val="00F267AF"/>
    <w:rsid w:val="00F30EA0"/>
    <w:rsid w:val="00F30FF4"/>
    <w:rsid w:val="00F3122E"/>
    <w:rsid w:val="00F32139"/>
    <w:rsid w:val="00F32368"/>
    <w:rsid w:val="00F32468"/>
    <w:rsid w:val="00F331AD"/>
    <w:rsid w:val="00F35287"/>
    <w:rsid w:val="00F36995"/>
    <w:rsid w:val="00F40A70"/>
    <w:rsid w:val="00F43A37"/>
    <w:rsid w:val="00F450C8"/>
    <w:rsid w:val="00F4641B"/>
    <w:rsid w:val="00F46EB8"/>
    <w:rsid w:val="00F50CD1"/>
    <w:rsid w:val="00F511E4"/>
    <w:rsid w:val="00F52A65"/>
    <w:rsid w:val="00F52D09"/>
    <w:rsid w:val="00F52E08"/>
    <w:rsid w:val="00F53A66"/>
    <w:rsid w:val="00F5462D"/>
    <w:rsid w:val="00F55B21"/>
    <w:rsid w:val="00F56EF6"/>
    <w:rsid w:val="00F60082"/>
    <w:rsid w:val="00F61A9F"/>
    <w:rsid w:val="00F61B5F"/>
    <w:rsid w:val="00F64696"/>
    <w:rsid w:val="00F65AA9"/>
    <w:rsid w:val="00F6768F"/>
    <w:rsid w:val="00F72C2C"/>
    <w:rsid w:val="00F72E29"/>
    <w:rsid w:val="00F741F2"/>
    <w:rsid w:val="00F76CAB"/>
    <w:rsid w:val="00F772C6"/>
    <w:rsid w:val="00F815B5"/>
    <w:rsid w:val="00F85195"/>
    <w:rsid w:val="00F868E3"/>
    <w:rsid w:val="00F938BA"/>
    <w:rsid w:val="00F97919"/>
    <w:rsid w:val="00FA2C46"/>
    <w:rsid w:val="00FA3525"/>
    <w:rsid w:val="00FA5A53"/>
    <w:rsid w:val="00FB1F6E"/>
    <w:rsid w:val="00FB4769"/>
    <w:rsid w:val="00FB4CDA"/>
    <w:rsid w:val="00FB6481"/>
    <w:rsid w:val="00FB6D36"/>
    <w:rsid w:val="00FC0965"/>
    <w:rsid w:val="00FC0F81"/>
    <w:rsid w:val="00FC252F"/>
    <w:rsid w:val="00FC395C"/>
    <w:rsid w:val="00FC5E8E"/>
    <w:rsid w:val="00FC6854"/>
    <w:rsid w:val="00FC6FE3"/>
    <w:rsid w:val="00FC7FBA"/>
    <w:rsid w:val="00FD0A44"/>
    <w:rsid w:val="00FD11F6"/>
    <w:rsid w:val="00FD3766"/>
    <w:rsid w:val="00FD3D05"/>
    <w:rsid w:val="00FD47C4"/>
    <w:rsid w:val="00FE2DCF"/>
    <w:rsid w:val="00FE3FA7"/>
    <w:rsid w:val="00FE4081"/>
    <w:rsid w:val="00FE73BD"/>
    <w:rsid w:val="00FF2A4E"/>
    <w:rsid w:val="00FF2FCE"/>
    <w:rsid w:val="00FF4F7D"/>
    <w:rsid w:val="00FF6351"/>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05C2B6B"/>
  <w15:docId w15:val="{02ADC454-D55F-914A-BB2A-447477FE5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CC3BB0"/>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454A7D"/>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CC3BB0"/>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link w:val="HeaderChar"/>
    <w:uiPriority w:val="99"/>
    <w:rsid w:val="00454A7D"/>
    <w:pPr>
      <w:spacing w:after="300"/>
    </w:pPr>
    <w:rPr>
      <w:rFonts w:ascii="Arial" w:hAnsi="Arial" w:cs="Arial"/>
      <w:b/>
      <w:color w:val="53565A"/>
      <w:sz w:val="18"/>
      <w:szCs w:val="18"/>
      <w:lang w:eastAsia="en-US"/>
    </w:rPr>
  </w:style>
  <w:style w:type="paragraph" w:styleId="Footer">
    <w:name w:val="footer"/>
    <w:link w:val="FooterChar"/>
    <w:uiPriority w:val="99"/>
    <w:rsid w:val="00A13B7A"/>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454A7D"/>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C3BB0"/>
    <w:pPr>
      <w:spacing w:after="240" w:line="560" w:lineRule="atLeast"/>
    </w:pPr>
    <w:rPr>
      <w:rFonts w:ascii="Arial" w:hAnsi="Arial"/>
      <w:b/>
      <w:color w:val="201547"/>
      <w:sz w:val="48"/>
      <w:szCs w:val="50"/>
      <w:lang w:eastAsia="en-US"/>
    </w:rPr>
  </w:style>
  <w:style w:type="character" w:styleId="FootnoteReference">
    <w:name w:val="footnote reference"/>
    <w:uiPriority w:val="99"/>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99"/>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99"/>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C60411"/>
    <w:pPr>
      <w:numPr>
        <w:numId w:val="1"/>
      </w:numPr>
    </w:pPr>
  </w:style>
  <w:style w:type="paragraph" w:customStyle="1" w:styleId="Numberloweralphaindent">
    <w:name w:val="Number lower alpha indent"/>
    <w:basedOn w:val="Body"/>
    <w:uiPriority w:val="3"/>
    <w:rsid w:val="00C60411"/>
    <w:pPr>
      <w:numPr>
        <w:ilvl w:val="1"/>
        <w:numId w:val="9"/>
      </w:numPr>
    </w:pPr>
  </w:style>
  <w:style w:type="paragraph" w:customStyle="1" w:styleId="Numberdigitindent">
    <w:name w:val="Number digit indent"/>
    <w:basedOn w:val="Numberloweralphaindent"/>
    <w:uiPriority w:val="3"/>
    <w:rsid w:val="00C60411"/>
    <w:pPr>
      <w:numPr>
        <w:numId w:val="1"/>
      </w:numPr>
    </w:pPr>
  </w:style>
  <w:style w:type="paragraph" w:customStyle="1" w:styleId="Numberloweralpha">
    <w:name w:val="Number lower alpha"/>
    <w:basedOn w:val="Body"/>
    <w:uiPriority w:val="3"/>
    <w:rsid w:val="00C60411"/>
    <w:pPr>
      <w:numPr>
        <w:numId w:val="9"/>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1"/>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8"/>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BD6B9D"/>
    <w:pPr>
      <w:spacing w:line="320" w:lineRule="atLeast"/>
    </w:pPr>
    <w:rPr>
      <w:color w:val="201547"/>
      <w:sz w:val="24"/>
    </w:rPr>
  </w:style>
  <w:style w:type="paragraph" w:customStyle="1" w:styleId="paragraph">
    <w:name w:val="paragraph"/>
    <w:basedOn w:val="Normal"/>
    <w:rsid w:val="00225D16"/>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225D16"/>
  </w:style>
  <w:style w:type="character" w:customStyle="1" w:styleId="eop">
    <w:name w:val="eop"/>
    <w:basedOn w:val="DefaultParagraphFont"/>
    <w:rsid w:val="00225D16"/>
  </w:style>
  <w:style w:type="character" w:customStyle="1" w:styleId="DHHSbodyChar">
    <w:name w:val="DHHS body Char"/>
    <w:link w:val="DHHSbody"/>
    <w:rsid w:val="009003C1"/>
    <w:rPr>
      <w:rFonts w:ascii="Arial" w:eastAsia="Times" w:hAnsi="Arial"/>
      <w:lang w:eastAsia="en-US"/>
    </w:rPr>
  </w:style>
  <w:style w:type="paragraph" w:customStyle="1" w:styleId="DHHSbody">
    <w:name w:val="DHHS body"/>
    <w:link w:val="DHHSbodyChar"/>
    <w:qFormat/>
    <w:rsid w:val="009003C1"/>
    <w:pPr>
      <w:spacing w:after="120" w:line="270" w:lineRule="atLeast"/>
    </w:pPr>
    <w:rPr>
      <w:rFonts w:ascii="Arial" w:eastAsia="Times" w:hAnsi="Arial"/>
      <w:lang w:eastAsia="en-US"/>
    </w:rPr>
  </w:style>
  <w:style w:type="paragraph" w:styleId="ListParagraph">
    <w:name w:val="List Paragraph"/>
    <w:basedOn w:val="Normal"/>
    <w:link w:val="ListParagraphChar"/>
    <w:uiPriority w:val="34"/>
    <w:qFormat/>
    <w:rsid w:val="000A009D"/>
    <w:pPr>
      <w:ind w:left="720"/>
      <w:contextualSpacing/>
    </w:pPr>
  </w:style>
  <w:style w:type="character" w:customStyle="1" w:styleId="ListParagraphChar">
    <w:name w:val="List Paragraph Char"/>
    <w:link w:val="ListParagraph"/>
    <w:uiPriority w:val="34"/>
    <w:locked/>
    <w:rsid w:val="000A009D"/>
    <w:rPr>
      <w:rFonts w:ascii="Arial" w:hAnsi="Arial"/>
      <w:sz w:val="21"/>
      <w:lang w:eastAsia="en-US"/>
    </w:rPr>
  </w:style>
  <w:style w:type="character" w:customStyle="1" w:styleId="HeaderChar">
    <w:name w:val="Header Char"/>
    <w:basedOn w:val="DefaultParagraphFont"/>
    <w:link w:val="Header"/>
    <w:uiPriority w:val="99"/>
    <w:rsid w:val="00210890"/>
    <w:rPr>
      <w:rFonts w:ascii="Arial" w:hAnsi="Arial" w:cs="Arial"/>
      <w:b/>
      <w:color w:val="53565A"/>
      <w:sz w:val="18"/>
      <w:szCs w:val="18"/>
      <w:lang w:eastAsia="en-US"/>
    </w:rPr>
  </w:style>
  <w:style w:type="character" w:customStyle="1" w:styleId="FooterChar">
    <w:name w:val="Footer Char"/>
    <w:basedOn w:val="DefaultParagraphFont"/>
    <w:link w:val="Footer"/>
    <w:uiPriority w:val="99"/>
    <w:rsid w:val="00210890"/>
    <w:rPr>
      <w:rFonts w:ascii="Arial" w:hAnsi="Arial" w:cs="Arial"/>
      <w:szCs w:val="18"/>
      <w:lang w:eastAsia="en-US"/>
    </w:rPr>
  </w:style>
  <w:style w:type="paragraph" w:customStyle="1" w:styleId="APbody">
    <w:name w:val="AP body"/>
    <w:qFormat/>
    <w:rsid w:val="00E87C5D"/>
    <w:pPr>
      <w:spacing w:after="120" w:line="270" w:lineRule="atLeast"/>
    </w:pPr>
    <w:rPr>
      <w:rFonts w:ascii="Arial" w:eastAsia="Times"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722368642">
      <w:bodyDiv w:val="1"/>
      <w:marLeft w:val="0"/>
      <w:marRight w:val="0"/>
      <w:marTop w:val="0"/>
      <w:marBottom w:val="0"/>
      <w:divBdr>
        <w:top w:val="none" w:sz="0" w:space="0" w:color="auto"/>
        <w:left w:val="none" w:sz="0" w:space="0" w:color="auto"/>
        <w:bottom w:val="none" w:sz="0" w:space="0" w:color="auto"/>
        <w:right w:val="none" w:sz="0" w:space="0" w:color="auto"/>
      </w:divBdr>
      <w:divsChild>
        <w:div w:id="1542590991">
          <w:marLeft w:val="0"/>
          <w:marRight w:val="0"/>
          <w:marTop w:val="0"/>
          <w:marBottom w:val="0"/>
          <w:divBdr>
            <w:top w:val="none" w:sz="0" w:space="0" w:color="auto"/>
            <w:left w:val="none" w:sz="0" w:space="0" w:color="auto"/>
            <w:bottom w:val="none" w:sz="0" w:space="0" w:color="auto"/>
            <w:right w:val="none" w:sz="0" w:space="0" w:color="auto"/>
          </w:divBdr>
        </w:div>
        <w:div w:id="1749645764">
          <w:marLeft w:val="0"/>
          <w:marRight w:val="0"/>
          <w:marTop w:val="0"/>
          <w:marBottom w:val="0"/>
          <w:divBdr>
            <w:top w:val="none" w:sz="0" w:space="0" w:color="auto"/>
            <w:left w:val="none" w:sz="0" w:space="0" w:color="auto"/>
            <w:bottom w:val="none" w:sz="0" w:space="0" w:color="auto"/>
            <w:right w:val="none" w:sz="0" w:space="0" w:color="auto"/>
          </w:divBdr>
        </w:div>
        <w:div w:id="220949362">
          <w:marLeft w:val="0"/>
          <w:marRight w:val="0"/>
          <w:marTop w:val="0"/>
          <w:marBottom w:val="0"/>
          <w:divBdr>
            <w:top w:val="none" w:sz="0" w:space="0" w:color="auto"/>
            <w:left w:val="none" w:sz="0" w:space="0" w:color="auto"/>
            <w:bottom w:val="none" w:sz="0" w:space="0" w:color="auto"/>
            <w:right w:val="none" w:sz="0" w:space="0" w:color="auto"/>
          </w:divBdr>
        </w:div>
        <w:div w:id="495534856">
          <w:marLeft w:val="0"/>
          <w:marRight w:val="0"/>
          <w:marTop w:val="0"/>
          <w:marBottom w:val="0"/>
          <w:divBdr>
            <w:top w:val="none" w:sz="0" w:space="0" w:color="auto"/>
            <w:left w:val="none" w:sz="0" w:space="0" w:color="auto"/>
            <w:bottom w:val="none" w:sz="0" w:space="0" w:color="auto"/>
            <w:right w:val="none" w:sz="0" w:space="0" w:color="auto"/>
          </w:divBdr>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013606371">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83576043">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58288629">
      <w:bodyDiv w:val="1"/>
      <w:marLeft w:val="0"/>
      <w:marRight w:val="0"/>
      <w:marTop w:val="0"/>
      <w:marBottom w:val="0"/>
      <w:divBdr>
        <w:top w:val="none" w:sz="0" w:space="0" w:color="auto"/>
        <w:left w:val="none" w:sz="0" w:space="0" w:color="auto"/>
        <w:bottom w:val="none" w:sz="0" w:space="0" w:color="auto"/>
        <w:right w:val="none" w:sz="0" w:space="0" w:color="auto"/>
      </w:divBdr>
      <w:divsChild>
        <w:div w:id="1457135514">
          <w:marLeft w:val="0"/>
          <w:marRight w:val="0"/>
          <w:marTop w:val="0"/>
          <w:marBottom w:val="0"/>
          <w:divBdr>
            <w:top w:val="none" w:sz="0" w:space="0" w:color="auto"/>
            <w:left w:val="none" w:sz="0" w:space="0" w:color="auto"/>
            <w:bottom w:val="none" w:sz="0" w:space="0" w:color="auto"/>
            <w:right w:val="none" w:sz="0" w:space="0" w:color="auto"/>
          </w:divBdr>
        </w:div>
        <w:div w:id="1607542293">
          <w:marLeft w:val="0"/>
          <w:marRight w:val="0"/>
          <w:marTop w:val="0"/>
          <w:marBottom w:val="0"/>
          <w:divBdr>
            <w:top w:val="none" w:sz="0" w:space="0" w:color="auto"/>
            <w:left w:val="none" w:sz="0" w:space="0" w:color="auto"/>
            <w:bottom w:val="none" w:sz="0" w:space="0" w:color="auto"/>
            <w:right w:val="none" w:sz="0" w:space="0" w:color="auto"/>
          </w:divBdr>
        </w:div>
        <w:div w:id="381945390">
          <w:marLeft w:val="0"/>
          <w:marRight w:val="0"/>
          <w:marTop w:val="0"/>
          <w:marBottom w:val="0"/>
          <w:divBdr>
            <w:top w:val="none" w:sz="0" w:space="0" w:color="auto"/>
            <w:left w:val="none" w:sz="0" w:space="0" w:color="auto"/>
            <w:bottom w:val="none" w:sz="0" w:space="0" w:color="auto"/>
            <w:right w:val="none" w:sz="0" w:space="0" w:color="auto"/>
          </w:divBdr>
        </w:div>
        <w:div w:id="237519423">
          <w:marLeft w:val="0"/>
          <w:marRight w:val="0"/>
          <w:marTop w:val="0"/>
          <w:marBottom w:val="0"/>
          <w:divBdr>
            <w:top w:val="none" w:sz="0" w:space="0" w:color="auto"/>
            <w:left w:val="none" w:sz="0" w:space="0" w:color="auto"/>
            <w:bottom w:val="none" w:sz="0" w:space="0" w:color="auto"/>
            <w:right w:val="none" w:sz="0" w:space="0" w:color="auto"/>
          </w:divBdr>
        </w:div>
      </w:divsChild>
    </w:div>
    <w:div w:id="1982034893">
      <w:bodyDiv w:val="1"/>
      <w:marLeft w:val="0"/>
      <w:marRight w:val="0"/>
      <w:marTop w:val="0"/>
      <w:marBottom w:val="0"/>
      <w:divBdr>
        <w:top w:val="none" w:sz="0" w:space="0" w:color="auto"/>
        <w:left w:val="none" w:sz="0" w:space="0" w:color="auto"/>
        <w:bottom w:val="none" w:sz="0" w:space="0" w:color="auto"/>
        <w:right w:val="none" w:sz="0" w:space="0" w:color="auto"/>
      </w:divBdr>
      <w:divsChild>
        <w:div w:id="1819222644">
          <w:marLeft w:val="0"/>
          <w:marRight w:val="0"/>
          <w:marTop w:val="0"/>
          <w:marBottom w:val="0"/>
          <w:divBdr>
            <w:top w:val="none" w:sz="0" w:space="0" w:color="auto"/>
            <w:left w:val="none" w:sz="0" w:space="0" w:color="auto"/>
            <w:bottom w:val="none" w:sz="0" w:space="0" w:color="auto"/>
            <w:right w:val="none" w:sz="0" w:space="0" w:color="auto"/>
          </w:divBdr>
        </w:div>
        <w:div w:id="993028298">
          <w:marLeft w:val="0"/>
          <w:marRight w:val="0"/>
          <w:marTop w:val="0"/>
          <w:marBottom w:val="0"/>
          <w:divBdr>
            <w:top w:val="none" w:sz="0" w:space="0" w:color="auto"/>
            <w:left w:val="none" w:sz="0" w:space="0" w:color="auto"/>
            <w:bottom w:val="none" w:sz="0" w:space="0" w:color="auto"/>
            <w:right w:val="none" w:sz="0" w:space="0" w:color="auto"/>
          </w:divBdr>
        </w:div>
        <w:div w:id="829709313">
          <w:marLeft w:val="0"/>
          <w:marRight w:val="0"/>
          <w:marTop w:val="0"/>
          <w:marBottom w:val="0"/>
          <w:divBdr>
            <w:top w:val="none" w:sz="0" w:space="0" w:color="auto"/>
            <w:left w:val="none" w:sz="0" w:space="0" w:color="auto"/>
            <w:bottom w:val="none" w:sz="0" w:space="0" w:color="auto"/>
            <w:right w:val="none" w:sz="0" w:space="0" w:color="auto"/>
          </w:divBdr>
        </w:div>
        <w:div w:id="915210777">
          <w:marLeft w:val="0"/>
          <w:marRight w:val="0"/>
          <w:marTop w:val="0"/>
          <w:marBottom w:val="0"/>
          <w:divBdr>
            <w:top w:val="none" w:sz="0" w:space="0" w:color="auto"/>
            <w:left w:val="none" w:sz="0" w:space="0" w:color="auto"/>
            <w:bottom w:val="none" w:sz="0" w:space="0" w:color="auto"/>
            <w:right w:val="none" w:sz="0" w:space="0" w:color="auto"/>
          </w:divBdr>
        </w:div>
      </w:divsChild>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health.vic.gov.au/victorian-public-health-and-wellbeing-plan-2023-27" TargetMode="External"/><Relationship Id="rId26" Type="http://schemas.openxmlformats.org/officeDocument/2006/relationships/hyperlink" Target="https://www.betterhealth.vic.gov.au/health/healthyliving/climate-change-and-health" TargetMode="External"/><Relationship Id="rId39" Type="http://schemas.openxmlformats.org/officeDocument/2006/relationships/hyperlink" Target="mailto:Prevention@health.vic.gov.au" TargetMode="External"/><Relationship Id="rId21" Type="http://schemas.openxmlformats.org/officeDocument/2006/relationships/footer" Target="footer4.xml"/><Relationship Id="rId34" Type="http://schemas.openxmlformats.org/officeDocument/2006/relationships/hyperlink" Target="https://dhhsvicgovau.sharepoint.com/sites/CHHPP/Shared%20Documents/Forms/AllItems.aspx?id=%2Fsites%2FCHHPP%2FShared%20Documents%2FCHHP%20impact%20measures%20practice%20guide%202023%2D25%2Epdf&amp;parent=%2Fsites%2FCHHPP%2FShared%20Documents" TargetMode="External"/><Relationship Id="rId42" Type="http://schemas.openxmlformats.org/officeDocument/2006/relationships/hyperlink" Target="https://www.vickidseatwell.health.vic.gov.au/" TargetMode="External"/><Relationship Id="rId47" Type="http://schemas.openxmlformats.org/officeDocument/2006/relationships/hyperlink" Target="https://www.dhsv.org.au/oral-health-programs/smiles4miles" TargetMode="External"/><Relationship Id="rId50" Type="http://schemas.openxmlformats.org/officeDocument/2006/relationships/hyperlink" Target="https://finalreport.rcvmhs.vic.gov.au/download-the-interim-report/" TargetMode="External"/><Relationship Id="rId55" Type="http://schemas.openxmlformats.org/officeDocument/2006/relationships/diagramQuickStyle" Target="diagrams/quickStyle1.xml"/><Relationship Id="rId63" Type="http://schemas.openxmlformats.org/officeDocument/2006/relationships/hyperlink" Target="https://dhhsvicgovau.sharepoint.com/sites/CPHDPublicHealthNetworksandPrograms-GRP/Shared%20Documents/Network%20Programs/01.%20Public%20Health%20Programs%20Functions/Community%20health%20-%20health%20promotion/Policy%20and%20guidelines/2025-2029%20CH-HP%20Program%20Guidelines%20refresh/Final%20version%20CH-HP%20Program%20Guidelines%202025-2029/website" TargetMode="External"/><Relationship Id="rId68" Type="http://schemas.openxmlformats.org/officeDocument/2006/relationships/hyperlink" Target="https://www.vic.gov.au/framework-place-based-approaches%3e" TargetMode="External"/><Relationship Id="rId7" Type="http://schemas.openxmlformats.org/officeDocument/2006/relationships/settings" Target="settings.xml"/><Relationship Id="rId71"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yperlink" Target="https://www.health.vic.gov.au/publications/community-health-health-promotion-2021-25" TargetMode="External"/><Relationship Id="rId29" Type="http://schemas.openxmlformats.org/officeDocument/2006/relationships/hyperlink" Target="https://heas.health.vic.gov.au/catering-for-good/" TargetMode="External"/><Relationship Id="rId11" Type="http://schemas.openxmlformats.org/officeDocument/2006/relationships/image" Target="media/image1.jpg"/><Relationship Id="rId24" Type="http://schemas.openxmlformats.org/officeDocument/2006/relationships/footer" Target="footer6.xml"/><Relationship Id="rId32" Type="http://schemas.openxmlformats.org/officeDocument/2006/relationships/hyperlink" Target="https://www.localgovernment.vic.gov.au/our-partnerships/victorian-aboriginal-and-local-government-strategy" TargetMode="External"/><Relationship Id="rId37" Type="http://schemas.openxmlformats.org/officeDocument/2006/relationships/hyperlink" Target="https://urldefense.proofpoint.com/v2/url?u=https-3A__healthpromotionsdata.powerappsportals.com_Tobacco&amp;d=DwMFAg&amp;c=euGZstcaTDllvimEN8b7jXrwqOf-v5A_CdpgnVfiiMM&amp;r=iBIxfcVvVlkPhf8nfASk4TfigEKNN1kgKgBI1J_Qe4U&amp;m=v4Dg8T5UiYekEtd_V8MPvyhvPdiojiLSiaAPwv-WeYNY6j-TKpAuLIWVc9zNlyK1&amp;s=MBuR6Lhgs2IfplCpG9hSlr0qnM0dKhCfkRwJT7g8ix4&amp;e=" TargetMode="External"/><Relationship Id="rId40" Type="http://schemas.openxmlformats.org/officeDocument/2006/relationships/hyperlink" Target="mailto:Prevention@health.vic.gov.au" TargetMode="External"/><Relationship Id="rId45" Type="http://schemas.openxmlformats.org/officeDocument/2006/relationships/hyperlink" Target="https://heas.health.vic.gov.au/resources/health-promoter-resources/" TargetMode="External"/><Relationship Id="rId53" Type="http://schemas.openxmlformats.org/officeDocument/2006/relationships/diagramData" Target="diagrams/data1.xml"/><Relationship Id="rId58" Type="http://schemas.openxmlformats.org/officeDocument/2006/relationships/hyperlink" Target="https://www.cdc.gov/violenceprevention/about/social-ecologicalmodel.html" TargetMode="External"/><Relationship Id="rId66" Type="http://schemas.openxmlformats.org/officeDocument/2006/relationships/hyperlink" Target="https://apps.who.int/iris/bitstream/handle/10665/42495/9241545615_eng.pdf" TargetMode="External"/><Relationship Id="rId7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revention@health.vic.gov.au" TargetMode="External"/><Relationship Id="rId23" Type="http://schemas.openxmlformats.org/officeDocument/2006/relationships/header" Target="header3.xml"/><Relationship Id="rId28" Type="http://schemas.openxmlformats.org/officeDocument/2006/relationships/hyperlink" Target="https://www.climatechange.vic.gov.au/victorias-climate-change-strategy" TargetMode="External"/><Relationship Id="rId36" Type="http://schemas.openxmlformats.org/officeDocument/2006/relationships/hyperlink" Target="https://urldefense.proofpoint.com/v2/url?u=https-3A__healthpromotionsdata.powerappsportals.com_ActiveLiving&amp;d=DwMFAg&amp;c=euGZstcaTDllvimEN8b7jXrwqOf-v5A_CdpgnVfiiMM&amp;r=iBIxfcVvVlkPhf8nfASk4TfigEKNN1kgKgBI1J_Qe4U&amp;m=v4Dg8T5UiYekEtd_V8MPvyhvPdiojiLSiaAPwv-WeYNY6j-TKpAuLIWVc9zNlyK1&amp;s=xRq6lLsZoJB4KyxGdHSGpsA0VwO0PH1zSDuQ8bcehG4&amp;e=" TargetMode="External"/><Relationship Id="rId49" Type="http://schemas.openxmlformats.org/officeDocument/2006/relationships/hyperlink" Target="https://www.quit.org.au/" TargetMode="External"/><Relationship Id="rId57" Type="http://schemas.microsoft.com/office/2007/relationships/diagramDrawing" Target="diagrams/drawing1.xml"/><Relationship Id="rId61" Type="http://schemas.openxmlformats.org/officeDocument/2006/relationships/hyperlink" Target="https://www.health.vic.gov.au/publications/aboriginal-and-torres-strait-islander-cultural-safety-framework-part-1" TargetMode="Externa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hyperlink" Target="https://dhhsvicgovau.sharepoint.com/sites/PHUIH/Streams/Forms/AllItems.aspx?id=%2Fsites%2FPHUIH%2FStreams%2FAboriginal%20and%20Torres%20Strait%20Islander%20Health%2FLPHU%20Aboriginal%20health%20sector%20engagement%20guidelines%202024%20%2Epdf&amp;parent=%2Fsites%2FPHUIH%2FStreams%2FAboriginal%20and%20Torres%20Strait%20Islander%20Health" TargetMode="External"/><Relationship Id="rId44" Type="http://schemas.openxmlformats.org/officeDocument/2006/relationships/hyperlink" Target="https://heas.health.vic.gov.au/resources/plan-a-menu/menu-planning-guidelines-for-long-day-care/" TargetMode="External"/><Relationship Id="rId52" Type="http://schemas.openxmlformats.org/officeDocument/2006/relationships/hyperlink" Target="https://heas.health.vic.gov.au/catering-for-good/directory/" TargetMode="External"/><Relationship Id="rId60" Type="http://schemas.openxmlformats.org/officeDocument/2006/relationships/hyperlink" Target="https://www.firstpeoplesrelations.vic.gov.au/self-determination-reform-framework" TargetMode="External"/><Relationship Id="rId65" Type="http://schemas.openxmlformats.org/officeDocument/2006/relationships/hyperlink" Target="https://www.climatecouncil.org.au/resources/survey-results-climate-disasters-mental-health/"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oter" Target="footer5.xml"/><Relationship Id="rId27" Type="http://schemas.openxmlformats.org/officeDocument/2006/relationships/hyperlink" Target="https://www.health.vic.gov.au/environmental-health/climate-change-and-health-community-resources" TargetMode="External"/><Relationship Id="rId30" Type="http://schemas.openxmlformats.org/officeDocument/2006/relationships/hyperlink" Target="https://www.health.vic.gov.au/public-health/healthy-and-more-sustainable-food-procurement" TargetMode="External"/><Relationship Id="rId35" Type="http://schemas.openxmlformats.org/officeDocument/2006/relationships/hyperlink" Target="https://urldefense.proofpoint.com/v2/url?u=https-3A__healthpromotionsdata.powerappsportals.com_HealthyEating_&amp;d=DwMFAg&amp;c=euGZstcaTDllvimEN8b7jXrwqOf-v5A_CdpgnVfiiMM&amp;r=iBIxfcVvVlkPhf8nfASk4TfigEKNN1kgKgBI1J_Qe4U&amp;m=v4Dg8T5UiYekEtd_V8MPvyhvPdiojiLSiaAPwv-WeYNY6j-TKpAuLIWVc9zNlyK1&amp;s=ACnsu-tbTnCOa-P5f0N7ogfCzsjWbwlMaRA4JbMn7JA&amp;e=" TargetMode="External"/><Relationship Id="rId43" Type="http://schemas.openxmlformats.org/officeDocument/2006/relationships/hyperlink" Target="https://heas.health.vic.gov.au/" TargetMode="External"/><Relationship Id="rId48" Type="http://schemas.openxmlformats.org/officeDocument/2006/relationships/hyperlink" Target="https://www.dhsv.org.au/oral-health-programs/smiles4miles" TargetMode="External"/><Relationship Id="rId56" Type="http://schemas.openxmlformats.org/officeDocument/2006/relationships/diagramColors" Target="diagrams/colors1.xml"/><Relationship Id="rId64" Type="http://schemas.openxmlformats.org/officeDocument/2006/relationships/hyperlink" Target="https://www.cdc.gov/violenceprevention/about/social-ecologicalmodel.html" TargetMode="External"/><Relationship Id="rId69" Type="http://schemas.openxmlformats.org/officeDocument/2006/relationships/header" Target="header4.xml"/><Relationship Id="rId8" Type="http://schemas.openxmlformats.org/officeDocument/2006/relationships/webSettings" Target="webSettings.xml"/><Relationship Id="rId51" Type="http://schemas.openxmlformats.org/officeDocument/2006/relationships/hyperlink" Target="https://heas.health.vic.gov.au/health-promoter-resources/cooks-connect/" TargetMode="External"/><Relationship Id="rId72" Type="http://schemas.openxmlformats.org/officeDocument/2006/relationships/footer" Target="footer8.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health.vic.gov.au/victorian-public-health-and-wellbeing-plan-2023-27" TargetMode="External"/><Relationship Id="rId25" Type="http://schemas.openxmlformats.org/officeDocument/2006/relationships/hyperlink" Target="https://www.health.vic.gov.au/publications/tackling-climate-change-impacts-health-municipal-public-health-wellbeing-planning" TargetMode="External"/><Relationship Id="rId33" Type="http://schemas.openxmlformats.org/officeDocument/2006/relationships/image" Target="media/image2.png"/><Relationship Id="rId38" Type="http://schemas.openxmlformats.org/officeDocument/2006/relationships/hyperlink" Target="https://www2.health.vic.gov.au/about/publications/policiesandguidelines/Evaluation-framework-for-health-promotion-and-disease-prevention-programs" TargetMode="External"/><Relationship Id="rId46" Type="http://schemas.openxmlformats.org/officeDocument/2006/relationships/hyperlink" Target="https://www.health.vic.gov.au/preventive-health/healthy-choices" TargetMode="External"/><Relationship Id="rId59" Type="http://schemas.openxmlformats.org/officeDocument/2006/relationships/hyperlink" Target="https://www.cdc.gov/violenceprevention/about/social-ecologicalmodel.html" TargetMode="External"/><Relationship Id="rId67" Type="http://schemas.openxmlformats.org/officeDocument/2006/relationships/hyperlink" Target="https://www.atsdr.cdc.gov/communityengagement/pce_pubdevelopment.html" TargetMode="External"/><Relationship Id="rId20" Type="http://schemas.openxmlformats.org/officeDocument/2006/relationships/header" Target="header2.xml"/><Relationship Id="rId41" Type="http://schemas.openxmlformats.org/officeDocument/2006/relationships/hyperlink" Target="https://www.achievementprogram.health.vic.gov.au/" TargetMode="External"/><Relationship Id="rId54" Type="http://schemas.openxmlformats.org/officeDocument/2006/relationships/diagramLayout" Target="diagrams/layout1.xml"/><Relationship Id="rId62" Type="http://schemas.openxmlformats.org/officeDocument/2006/relationships/hyperlink" Target="mailto:prevention@health.vic.gov.au" TargetMode="External"/><Relationship Id="rId7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6A4BB62-839D-42FF-B18F-6C4EBD3F93A0}" type="doc">
      <dgm:prSet loTypeId="urn:microsoft.com/office/officeart/2005/8/layout/venn2" loCatId="relationship" qsTypeId="urn:microsoft.com/office/officeart/2005/8/quickstyle/simple1" qsCatId="simple" csTypeId="urn:microsoft.com/office/officeart/2005/8/colors/colorful2" csCatId="colorful" phldr="1"/>
      <dgm:spPr/>
      <dgm:t>
        <a:bodyPr/>
        <a:lstStyle/>
        <a:p>
          <a:endParaRPr lang="en-AU"/>
        </a:p>
      </dgm:t>
    </dgm:pt>
    <dgm:pt modelId="{EEAC10EE-086F-420B-9BA3-ACE6ED57D2B5}">
      <dgm:prSet phldrT="[Text]"/>
      <dgm:spPr>
        <a:xfrm>
          <a:off x="1143000" y="0"/>
          <a:ext cx="3200400" cy="3200400"/>
        </a:xfrm>
        <a:prstGeom prst="ellipse">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AU" b="1">
              <a:solidFill>
                <a:sysClr val="window" lastClr="FFFFFF"/>
              </a:solidFill>
              <a:latin typeface="Calibri"/>
              <a:ea typeface="+mn-ea"/>
              <a:cs typeface="+mn-cs"/>
            </a:rPr>
            <a:t>Societal /policy</a:t>
          </a:r>
        </a:p>
      </dgm:t>
    </dgm:pt>
    <dgm:pt modelId="{691294CE-EF8F-4C08-840B-8772EEEEE4A1}" type="parTrans" cxnId="{50EDCDB6-3168-431C-A951-CB0CBFA31ABD}">
      <dgm:prSet/>
      <dgm:spPr/>
      <dgm:t>
        <a:bodyPr/>
        <a:lstStyle/>
        <a:p>
          <a:endParaRPr lang="en-AU"/>
        </a:p>
      </dgm:t>
    </dgm:pt>
    <dgm:pt modelId="{76D2A205-7E56-48EC-89AB-E11B92D0688D}" type="sibTrans" cxnId="{50EDCDB6-3168-431C-A951-CB0CBFA31ABD}">
      <dgm:prSet/>
      <dgm:spPr/>
      <dgm:t>
        <a:bodyPr/>
        <a:lstStyle/>
        <a:p>
          <a:endParaRPr lang="en-AU"/>
        </a:p>
      </dgm:t>
    </dgm:pt>
    <dgm:pt modelId="{8B5FB030-A350-4F3A-807F-56583E2D2D6D}">
      <dgm:prSet phldrT="[Text]" custT="1"/>
      <dgm:spPr>
        <a:xfrm>
          <a:off x="1435094" y="647696"/>
          <a:ext cx="2616211" cy="2545086"/>
        </a:xfrm>
        <a:prstGeom prst="ellipse">
          <a:avLst/>
        </a:prstGeom>
        <a:solidFill>
          <a:srgbClr val="C0504D">
            <a:hueOff val="1560506"/>
            <a:satOff val="-1946"/>
            <a:lumOff val="458"/>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AU" sz="1000" b="1">
              <a:solidFill>
                <a:sysClr val="windowText" lastClr="000000"/>
              </a:solidFill>
              <a:latin typeface="Calibri"/>
              <a:ea typeface="+mn-ea"/>
              <a:cs typeface="+mn-cs"/>
            </a:rPr>
            <a:t>Community / organisational</a:t>
          </a:r>
        </a:p>
      </dgm:t>
    </dgm:pt>
    <dgm:pt modelId="{980235C5-25B6-4058-BE0B-D0D127F45C4E}" type="parTrans" cxnId="{A2FEE693-5BA4-4BE1-B05D-BC6B6DD1AC1F}">
      <dgm:prSet/>
      <dgm:spPr/>
      <dgm:t>
        <a:bodyPr/>
        <a:lstStyle/>
        <a:p>
          <a:endParaRPr lang="en-AU"/>
        </a:p>
      </dgm:t>
    </dgm:pt>
    <dgm:pt modelId="{4CDF56A9-A7A2-4F5A-9B4B-FFCAC3CA6CE8}" type="sibTrans" cxnId="{A2FEE693-5BA4-4BE1-B05D-BC6B6DD1AC1F}">
      <dgm:prSet/>
      <dgm:spPr/>
      <dgm:t>
        <a:bodyPr/>
        <a:lstStyle/>
        <a:p>
          <a:endParaRPr lang="en-AU"/>
        </a:p>
      </dgm:t>
    </dgm:pt>
    <dgm:pt modelId="{6E35C130-9D7E-48AF-B8D9-D789D54ABD3B}">
      <dgm:prSet phldrT="[Text]" custT="1"/>
      <dgm:spPr>
        <a:xfrm>
          <a:off x="1783080" y="1280159"/>
          <a:ext cx="1920240" cy="1920240"/>
        </a:xfrm>
        <a:prstGeom prst="ellipse">
          <a:avLst/>
        </a:prstGeom>
        <a:solidFill>
          <a:srgbClr val="C0504D">
            <a:hueOff val="3121013"/>
            <a:satOff val="-3893"/>
            <a:lumOff val="915"/>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AU" sz="1000" b="1">
              <a:solidFill>
                <a:sysClr val="windowText" lastClr="000000"/>
              </a:solidFill>
              <a:latin typeface="Calibri"/>
              <a:ea typeface="+mn-ea"/>
              <a:cs typeface="+mn-cs"/>
            </a:rPr>
            <a:t>Interpersonal</a:t>
          </a:r>
        </a:p>
      </dgm:t>
    </dgm:pt>
    <dgm:pt modelId="{A6AB03E6-2D88-4F29-B8B2-D4CB349AAA9A}" type="parTrans" cxnId="{025CEACF-7308-4622-8C52-F0D43746A7E0}">
      <dgm:prSet/>
      <dgm:spPr/>
      <dgm:t>
        <a:bodyPr/>
        <a:lstStyle/>
        <a:p>
          <a:endParaRPr lang="en-AU"/>
        </a:p>
      </dgm:t>
    </dgm:pt>
    <dgm:pt modelId="{BD062DCA-8725-497E-ABF2-B3C583DE16CA}" type="sibTrans" cxnId="{025CEACF-7308-4622-8C52-F0D43746A7E0}">
      <dgm:prSet/>
      <dgm:spPr/>
      <dgm:t>
        <a:bodyPr/>
        <a:lstStyle/>
        <a:p>
          <a:endParaRPr lang="en-AU"/>
        </a:p>
      </dgm:t>
    </dgm:pt>
    <dgm:pt modelId="{68CC6880-144F-4F0B-A1BE-8540F03119B6}">
      <dgm:prSet phldrT="[Text]" custT="1"/>
      <dgm:spPr>
        <a:xfrm>
          <a:off x="2103120" y="1920240"/>
          <a:ext cx="1280160" cy="1280160"/>
        </a:xfrm>
        <a:prstGeom prst="ellipse">
          <a:avLst/>
        </a:prstGeom>
        <a:solidFill>
          <a:srgbClr val="C0504D">
            <a:hueOff val="4681519"/>
            <a:satOff val="-5839"/>
            <a:lumOff val="1373"/>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AU" sz="1000" b="1">
              <a:solidFill>
                <a:sysClr val="windowText" lastClr="000000"/>
              </a:solidFill>
              <a:latin typeface="Calibri"/>
              <a:ea typeface="+mn-ea"/>
              <a:cs typeface="+mn-cs"/>
            </a:rPr>
            <a:t>Individual</a:t>
          </a:r>
        </a:p>
      </dgm:t>
    </dgm:pt>
    <dgm:pt modelId="{0706CD0E-2CBD-4B93-9BFD-94FC15A50BF2}" type="parTrans" cxnId="{CFEB0C4B-D07B-412C-804C-86CAAABCC117}">
      <dgm:prSet/>
      <dgm:spPr/>
      <dgm:t>
        <a:bodyPr/>
        <a:lstStyle/>
        <a:p>
          <a:endParaRPr lang="en-AU"/>
        </a:p>
      </dgm:t>
    </dgm:pt>
    <dgm:pt modelId="{4AFE3EBF-D1B4-4F9D-9595-6FA7A9E49E51}" type="sibTrans" cxnId="{CFEB0C4B-D07B-412C-804C-86CAAABCC117}">
      <dgm:prSet/>
      <dgm:spPr/>
      <dgm:t>
        <a:bodyPr/>
        <a:lstStyle/>
        <a:p>
          <a:endParaRPr lang="en-AU"/>
        </a:p>
      </dgm:t>
    </dgm:pt>
    <dgm:pt modelId="{B37874D3-EC76-47F3-A706-948552E8F432}" type="pres">
      <dgm:prSet presAssocID="{16A4BB62-839D-42FF-B18F-6C4EBD3F93A0}" presName="Name0" presStyleCnt="0">
        <dgm:presLayoutVars>
          <dgm:chMax val="7"/>
          <dgm:resizeHandles val="exact"/>
        </dgm:presLayoutVars>
      </dgm:prSet>
      <dgm:spPr/>
    </dgm:pt>
    <dgm:pt modelId="{317498FA-42EF-483A-AD87-D153C5ABAFCE}" type="pres">
      <dgm:prSet presAssocID="{16A4BB62-839D-42FF-B18F-6C4EBD3F93A0}" presName="comp1" presStyleCnt="0"/>
      <dgm:spPr/>
    </dgm:pt>
    <dgm:pt modelId="{908DA229-910D-424C-9E5E-B4C31771FAC9}" type="pres">
      <dgm:prSet presAssocID="{16A4BB62-839D-42FF-B18F-6C4EBD3F93A0}" presName="circle1" presStyleLbl="node1" presStyleIdx="0" presStyleCnt="4" custScaleX="124917"/>
      <dgm:spPr/>
    </dgm:pt>
    <dgm:pt modelId="{A02DA188-A6A5-4407-820C-F44D4ED43187}" type="pres">
      <dgm:prSet presAssocID="{16A4BB62-839D-42FF-B18F-6C4EBD3F93A0}" presName="c1text" presStyleLbl="node1" presStyleIdx="0" presStyleCnt="4">
        <dgm:presLayoutVars>
          <dgm:bulletEnabled val="1"/>
        </dgm:presLayoutVars>
      </dgm:prSet>
      <dgm:spPr/>
    </dgm:pt>
    <dgm:pt modelId="{3A6D8B74-B55C-4D80-81A2-BF4ADFC720F0}" type="pres">
      <dgm:prSet presAssocID="{16A4BB62-839D-42FF-B18F-6C4EBD3F93A0}" presName="comp2" presStyleCnt="0"/>
      <dgm:spPr/>
    </dgm:pt>
    <dgm:pt modelId="{2C085E8C-284A-4A52-B885-345A67B88BEA}" type="pres">
      <dgm:prSet presAssocID="{16A4BB62-839D-42FF-B18F-6C4EBD3F93A0}" presName="circle2" presStyleLbl="node1" presStyleIdx="1" presStyleCnt="4" custScaleX="149501" custScaleY="99405" custLinFactNeighborX="831" custLinFactNeighborY="-415"/>
      <dgm:spPr/>
    </dgm:pt>
    <dgm:pt modelId="{46D8D9BA-BD6D-48BE-A11C-251B71281185}" type="pres">
      <dgm:prSet presAssocID="{16A4BB62-839D-42FF-B18F-6C4EBD3F93A0}" presName="c2text" presStyleLbl="node1" presStyleIdx="1" presStyleCnt="4">
        <dgm:presLayoutVars>
          <dgm:bulletEnabled val="1"/>
        </dgm:presLayoutVars>
      </dgm:prSet>
      <dgm:spPr/>
    </dgm:pt>
    <dgm:pt modelId="{C70CC3A5-A17B-4EFD-AF51-E4A5EE9580D6}" type="pres">
      <dgm:prSet presAssocID="{16A4BB62-839D-42FF-B18F-6C4EBD3F93A0}" presName="comp3" presStyleCnt="0"/>
      <dgm:spPr/>
    </dgm:pt>
    <dgm:pt modelId="{031CA0E8-483F-4727-9233-727CBB556C57}" type="pres">
      <dgm:prSet presAssocID="{16A4BB62-839D-42FF-B18F-6C4EBD3F93A0}" presName="circle3" presStyleLbl="node1" presStyleIdx="2" presStyleCnt="4" custScaleX="142857"/>
      <dgm:spPr/>
    </dgm:pt>
    <dgm:pt modelId="{5B00EAA5-0517-4FC9-9455-E6EFF9EFE477}" type="pres">
      <dgm:prSet presAssocID="{16A4BB62-839D-42FF-B18F-6C4EBD3F93A0}" presName="c3text" presStyleLbl="node1" presStyleIdx="2" presStyleCnt="4">
        <dgm:presLayoutVars>
          <dgm:bulletEnabled val="1"/>
        </dgm:presLayoutVars>
      </dgm:prSet>
      <dgm:spPr/>
    </dgm:pt>
    <dgm:pt modelId="{A5E88F96-9B27-419E-8C0F-E87A2A351B7B}" type="pres">
      <dgm:prSet presAssocID="{16A4BB62-839D-42FF-B18F-6C4EBD3F93A0}" presName="comp4" presStyleCnt="0"/>
      <dgm:spPr/>
    </dgm:pt>
    <dgm:pt modelId="{DFF29C6C-E64C-45F5-8E58-D16F07F97642}" type="pres">
      <dgm:prSet presAssocID="{16A4BB62-839D-42FF-B18F-6C4EBD3F93A0}" presName="circle4" presStyleLbl="node1" presStyleIdx="3" presStyleCnt="4" custScaleX="117940"/>
      <dgm:spPr/>
    </dgm:pt>
    <dgm:pt modelId="{ACAB3723-E6AC-4433-A080-A2BC616FA57F}" type="pres">
      <dgm:prSet presAssocID="{16A4BB62-839D-42FF-B18F-6C4EBD3F93A0}" presName="c4text" presStyleLbl="node1" presStyleIdx="3" presStyleCnt="4">
        <dgm:presLayoutVars>
          <dgm:bulletEnabled val="1"/>
        </dgm:presLayoutVars>
      </dgm:prSet>
      <dgm:spPr/>
    </dgm:pt>
  </dgm:ptLst>
  <dgm:cxnLst>
    <dgm:cxn modelId="{CFEB0C4B-D07B-412C-804C-86CAAABCC117}" srcId="{16A4BB62-839D-42FF-B18F-6C4EBD3F93A0}" destId="{68CC6880-144F-4F0B-A1BE-8540F03119B6}" srcOrd="3" destOrd="0" parTransId="{0706CD0E-2CBD-4B93-9BFD-94FC15A50BF2}" sibTransId="{4AFE3EBF-D1B4-4F9D-9595-6FA7A9E49E51}"/>
    <dgm:cxn modelId="{F4A97553-B4DD-4B61-AB8C-8675810F08A0}" type="presOf" srcId="{8B5FB030-A350-4F3A-807F-56583E2D2D6D}" destId="{2C085E8C-284A-4A52-B885-345A67B88BEA}" srcOrd="0" destOrd="0" presId="urn:microsoft.com/office/officeart/2005/8/layout/venn2"/>
    <dgm:cxn modelId="{62198384-7B5C-43EE-A3BD-194F51F38EFD}" type="presOf" srcId="{6E35C130-9D7E-48AF-B8D9-D789D54ABD3B}" destId="{031CA0E8-483F-4727-9233-727CBB556C57}" srcOrd="0" destOrd="0" presId="urn:microsoft.com/office/officeart/2005/8/layout/venn2"/>
    <dgm:cxn modelId="{A2FEE693-5BA4-4BE1-B05D-BC6B6DD1AC1F}" srcId="{16A4BB62-839D-42FF-B18F-6C4EBD3F93A0}" destId="{8B5FB030-A350-4F3A-807F-56583E2D2D6D}" srcOrd="1" destOrd="0" parTransId="{980235C5-25B6-4058-BE0B-D0D127F45C4E}" sibTransId="{4CDF56A9-A7A2-4F5A-9B4B-FFCAC3CA6CE8}"/>
    <dgm:cxn modelId="{4FE65096-67C8-4530-A954-4CAE10F4B206}" type="presOf" srcId="{EEAC10EE-086F-420B-9BA3-ACE6ED57D2B5}" destId="{A02DA188-A6A5-4407-820C-F44D4ED43187}" srcOrd="1" destOrd="0" presId="urn:microsoft.com/office/officeart/2005/8/layout/venn2"/>
    <dgm:cxn modelId="{FCAD5496-73FB-4301-BC33-78A7E5BA1A84}" type="presOf" srcId="{68CC6880-144F-4F0B-A1BE-8540F03119B6}" destId="{DFF29C6C-E64C-45F5-8E58-D16F07F97642}" srcOrd="0" destOrd="0" presId="urn:microsoft.com/office/officeart/2005/8/layout/venn2"/>
    <dgm:cxn modelId="{F3DD68A1-F04A-4AA2-8818-74D883529D3F}" type="presOf" srcId="{68CC6880-144F-4F0B-A1BE-8540F03119B6}" destId="{ACAB3723-E6AC-4433-A080-A2BC616FA57F}" srcOrd="1" destOrd="0" presId="urn:microsoft.com/office/officeart/2005/8/layout/venn2"/>
    <dgm:cxn modelId="{B3D691A5-DB7A-4BD6-9003-F475440FBAEC}" type="presOf" srcId="{16A4BB62-839D-42FF-B18F-6C4EBD3F93A0}" destId="{B37874D3-EC76-47F3-A706-948552E8F432}" srcOrd="0" destOrd="0" presId="urn:microsoft.com/office/officeart/2005/8/layout/venn2"/>
    <dgm:cxn modelId="{2F5BEDB0-3974-4A06-8F91-C5349F999DE6}" type="presOf" srcId="{EEAC10EE-086F-420B-9BA3-ACE6ED57D2B5}" destId="{908DA229-910D-424C-9E5E-B4C31771FAC9}" srcOrd="0" destOrd="0" presId="urn:microsoft.com/office/officeart/2005/8/layout/venn2"/>
    <dgm:cxn modelId="{50EDCDB6-3168-431C-A951-CB0CBFA31ABD}" srcId="{16A4BB62-839D-42FF-B18F-6C4EBD3F93A0}" destId="{EEAC10EE-086F-420B-9BA3-ACE6ED57D2B5}" srcOrd="0" destOrd="0" parTransId="{691294CE-EF8F-4C08-840B-8772EEEEE4A1}" sibTransId="{76D2A205-7E56-48EC-89AB-E11B92D0688D}"/>
    <dgm:cxn modelId="{6B8C9CC0-FAF7-40FB-9397-74E5BBA7E82A}" type="presOf" srcId="{8B5FB030-A350-4F3A-807F-56583E2D2D6D}" destId="{46D8D9BA-BD6D-48BE-A11C-251B71281185}" srcOrd="1" destOrd="0" presId="urn:microsoft.com/office/officeart/2005/8/layout/venn2"/>
    <dgm:cxn modelId="{025CEACF-7308-4622-8C52-F0D43746A7E0}" srcId="{16A4BB62-839D-42FF-B18F-6C4EBD3F93A0}" destId="{6E35C130-9D7E-48AF-B8D9-D789D54ABD3B}" srcOrd="2" destOrd="0" parTransId="{A6AB03E6-2D88-4F29-B8B2-D4CB349AAA9A}" sibTransId="{BD062DCA-8725-497E-ABF2-B3C583DE16CA}"/>
    <dgm:cxn modelId="{4477A1D7-AA15-44AD-8A58-99657279E490}" type="presOf" srcId="{6E35C130-9D7E-48AF-B8D9-D789D54ABD3B}" destId="{5B00EAA5-0517-4FC9-9455-E6EFF9EFE477}" srcOrd="1" destOrd="0" presId="urn:microsoft.com/office/officeart/2005/8/layout/venn2"/>
    <dgm:cxn modelId="{3C7AB56D-4416-435E-B4DA-C4FB098C677D}" type="presParOf" srcId="{B37874D3-EC76-47F3-A706-948552E8F432}" destId="{317498FA-42EF-483A-AD87-D153C5ABAFCE}" srcOrd="0" destOrd="0" presId="urn:microsoft.com/office/officeart/2005/8/layout/venn2"/>
    <dgm:cxn modelId="{DF4783CE-4219-49BA-B5D0-9A61124A73B2}" type="presParOf" srcId="{317498FA-42EF-483A-AD87-D153C5ABAFCE}" destId="{908DA229-910D-424C-9E5E-B4C31771FAC9}" srcOrd="0" destOrd="0" presId="urn:microsoft.com/office/officeart/2005/8/layout/venn2"/>
    <dgm:cxn modelId="{34BEECB2-DEF1-49EA-97C4-CE65928FD685}" type="presParOf" srcId="{317498FA-42EF-483A-AD87-D153C5ABAFCE}" destId="{A02DA188-A6A5-4407-820C-F44D4ED43187}" srcOrd="1" destOrd="0" presId="urn:microsoft.com/office/officeart/2005/8/layout/venn2"/>
    <dgm:cxn modelId="{F022D853-9C78-4A2A-864C-1043AD0F4FFB}" type="presParOf" srcId="{B37874D3-EC76-47F3-A706-948552E8F432}" destId="{3A6D8B74-B55C-4D80-81A2-BF4ADFC720F0}" srcOrd="1" destOrd="0" presId="urn:microsoft.com/office/officeart/2005/8/layout/venn2"/>
    <dgm:cxn modelId="{7C5635A2-2087-49E2-9BE3-B8947314A1DD}" type="presParOf" srcId="{3A6D8B74-B55C-4D80-81A2-BF4ADFC720F0}" destId="{2C085E8C-284A-4A52-B885-345A67B88BEA}" srcOrd="0" destOrd="0" presId="urn:microsoft.com/office/officeart/2005/8/layout/venn2"/>
    <dgm:cxn modelId="{E20D74F0-6C50-4229-AFAB-64114C1FF47C}" type="presParOf" srcId="{3A6D8B74-B55C-4D80-81A2-BF4ADFC720F0}" destId="{46D8D9BA-BD6D-48BE-A11C-251B71281185}" srcOrd="1" destOrd="0" presId="urn:microsoft.com/office/officeart/2005/8/layout/venn2"/>
    <dgm:cxn modelId="{4CE35BD3-791F-4E7B-91AC-A599781A0FFC}" type="presParOf" srcId="{B37874D3-EC76-47F3-A706-948552E8F432}" destId="{C70CC3A5-A17B-4EFD-AF51-E4A5EE9580D6}" srcOrd="2" destOrd="0" presId="urn:microsoft.com/office/officeart/2005/8/layout/venn2"/>
    <dgm:cxn modelId="{21B5583D-991A-42E5-B4EB-3494FD9086F7}" type="presParOf" srcId="{C70CC3A5-A17B-4EFD-AF51-E4A5EE9580D6}" destId="{031CA0E8-483F-4727-9233-727CBB556C57}" srcOrd="0" destOrd="0" presId="urn:microsoft.com/office/officeart/2005/8/layout/venn2"/>
    <dgm:cxn modelId="{070BA471-7127-4A2C-9A9C-6A2D84E0EFA0}" type="presParOf" srcId="{C70CC3A5-A17B-4EFD-AF51-E4A5EE9580D6}" destId="{5B00EAA5-0517-4FC9-9455-E6EFF9EFE477}" srcOrd="1" destOrd="0" presId="urn:microsoft.com/office/officeart/2005/8/layout/venn2"/>
    <dgm:cxn modelId="{3E2134DF-F196-4BBD-841B-9F1BB8B7C70F}" type="presParOf" srcId="{B37874D3-EC76-47F3-A706-948552E8F432}" destId="{A5E88F96-9B27-419E-8C0F-E87A2A351B7B}" srcOrd="3" destOrd="0" presId="urn:microsoft.com/office/officeart/2005/8/layout/venn2"/>
    <dgm:cxn modelId="{6EB2E177-2CE1-4212-981E-EDB5D7412A47}" type="presParOf" srcId="{A5E88F96-9B27-419E-8C0F-E87A2A351B7B}" destId="{DFF29C6C-E64C-45F5-8E58-D16F07F97642}" srcOrd="0" destOrd="0" presId="urn:microsoft.com/office/officeart/2005/8/layout/venn2"/>
    <dgm:cxn modelId="{B8CB0533-6BD8-42C5-A9F2-59417081B5C1}" type="presParOf" srcId="{A5E88F96-9B27-419E-8C0F-E87A2A351B7B}" destId="{ACAB3723-E6AC-4433-A080-A2BC616FA57F}" srcOrd="1" destOrd="0" presId="urn:microsoft.com/office/officeart/2005/8/layout/venn2"/>
  </dgm:cxnLst>
  <dgm:bg/>
  <dgm:whole/>
  <dgm:extLst>
    <a:ext uri="http://schemas.microsoft.com/office/drawing/2008/diagram">
      <dsp:dataModelExt xmlns:dsp="http://schemas.microsoft.com/office/drawing/2008/diagram" relId="rId5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08DA229-910D-424C-9E5E-B4C31771FAC9}">
      <dsp:nvSpPr>
        <dsp:cNvPr id="0" name=""/>
        <dsp:cNvSpPr/>
      </dsp:nvSpPr>
      <dsp:spPr>
        <a:xfrm>
          <a:off x="744278" y="0"/>
          <a:ext cx="3997843" cy="3200400"/>
        </a:xfrm>
        <a:prstGeom prst="ellipse">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AU" sz="800" b="1" kern="1200">
              <a:solidFill>
                <a:sysClr val="window" lastClr="FFFFFF"/>
              </a:solidFill>
              <a:latin typeface="Calibri"/>
              <a:ea typeface="+mn-ea"/>
              <a:cs typeface="+mn-cs"/>
            </a:rPr>
            <a:t>Societal /policy</a:t>
          </a:r>
        </a:p>
      </dsp:txBody>
      <dsp:txXfrm>
        <a:off x="2347999" y="230323"/>
        <a:ext cx="790401" cy="339454"/>
      </dsp:txXfrm>
    </dsp:sp>
    <dsp:sp modelId="{2C085E8C-284A-4A52-B885-345A67B88BEA}">
      <dsp:nvSpPr>
        <dsp:cNvPr id="0" name=""/>
        <dsp:cNvSpPr/>
      </dsp:nvSpPr>
      <dsp:spPr>
        <a:xfrm>
          <a:off x="850624" y="637071"/>
          <a:ext cx="3827704" cy="2545086"/>
        </a:xfrm>
        <a:prstGeom prst="ellipse">
          <a:avLst/>
        </a:prstGeom>
        <a:solidFill>
          <a:srgbClr val="C0504D">
            <a:hueOff val="1560506"/>
            <a:satOff val="-1946"/>
            <a:lumOff val="458"/>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AU" sz="1000" b="1" kern="1200">
              <a:solidFill>
                <a:sysClr val="windowText" lastClr="000000"/>
              </a:solidFill>
              <a:latin typeface="Calibri"/>
              <a:ea typeface="+mn-ea"/>
              <a:cs typeface="+mn-cs"/>
            </a:rPr>
            <a:t>Community / organisational</a:t>
          </a:r>
        </a:p>
      </dsp:txBody>
      <dsp:txXfrm>
        <a:off x="2291498" y="856865"/>
        <a:ext cx="945954" cy="323937"/>
      </dsp:txXfrm>
    </dsp:sp>
    <dsp:sp modelId="{031CA0E8-483F-4727-9233-727CBB556C57}">
      <dsp:nvSpPr>
        <dsp:cNvPr id="0" name=""/>
        <dsp:cNvSpPr/>
      </dsp:nvSpPr>
      <dsp:spPr>
        <a:xfrm>
          <a:off x="1371601" y="1280159"/>
          <a:ext cx="2743197" cy="1920240"/>
        </a:xfrm>
        <a:prstGeom prst="ellipse">
          <a:avLst/>
        </a:prstGeom>
        <a:solidFill>
          <a:srgbClr val="C0504D">
            <a:hueOff val="3121013"/>
            <a:satOff val="-3893"/>
            <a:lumOff val="915"/>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AU" sz="1000" b="1" kern="1200">
              <a:solidFill>
                <a:sysClr val="windowText" lastClr="000000"/>
              </a:solidFill>
              <a:latin typeface="Calibri"/>
              <a:ea typeface="+mn-ea"/>
              <a:cs typeface="+mn-cs"/>
            </a:rPr>
            <a:t>Interpersonal</a:t>
          </a:r>
        </a:p>
      </dsp:txBody>
      <dsp:txXfrm>
        <a:off x="2291242" y="1487451"/>
        <a:ext cx="903915" cy="305508"/>
      </dsp:txXfrm>
    </dsp:sp>
    <dsp:sp modelId="{DFF29C6C-E64C-45F5-8E58-D16F07F97642}">
      <dsp:nvSpPr>
        <dsp:cNvPr id="0" name=""/>
        <dsp:cNvSpPr/>
      </dsp:nvSpPr>
      <dsp:spPr>
        <a:xfrm>
          <a:off x="1988289" y="1920240"/>
          <a:ext cx="1509820" cy="1280160"/>
        </a:xfrm>
        <a:prstGeom prst="ellipse">
          <a:avLst/>
        </a:prstGeom>
        <a:solidFill>
          <a:srgbClr val="C0504D">
            <a:hueOff val="4681519"/>
            <a:satOff val="-5839"/>
            <a:lumOff val="1373"/>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AU" sz="1000" b="1" kern="1200">
              <a:solidFill>
                <a:sysClr val="windowText" lastClr="000000"/>
              </a:solidFill>
              <a:latin typeface="Calibri"/>
              <a:ea typeface="+mn-ea"/>
              <a:cs typeface="+mn-cs"/>
            </a:rPr>
            <a:t>Individual</a:t>
          </a:r>
        </a:p>
      </dsp:txBody>
      <dsp:txXfrm>
        <a:off x="2365744" y="2334018"/>
        <a:ext cx="754910" cy="452604"/>
      </dsp:txXfrm>
    </dsp:sp>
  </dsp:spTree>
</dsp:drawing>
</file>

<file path=word/diagrams/layout1.xml><?xml version="1.0" encoding="utf-8"?>
<dgm:layoutDef xmlns:dgm="http://schemas.openxmlformats.org/drawingml/2006/diagram" xmlns:a="http://schemas.openxmlformats.org/drawingml/2006/main" uniqueId="urn:microsoft.com/office/officeart/2005/8/layout/venn2">
  <dgm:title val=""/>
  <dgm:desc val=""/>
  <dgm:catLst>
    <dgm:cat type="relationship" pri="30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resizeHandles val="exact"/>
    </dgm:varLst>
    <dgm:alg type="composite">
      <dgm:param type="ar" val="1"/>
    </dgm:alg>
    <dgm:shape xmlns:r="http://schemas.openxmlformats.org/officeDocument/2006/relationships" r:blip="">
      <dgm:adjLst/>
    </dgm:shape>
    <dgm:presOf/>
    <dgm:choose name="Name1">
      <dgm:if name="Name2" axis="ch" ptType="node" func="cnt" op="lte" val="3">
        <dgm:constrLst>
          <dgm:constr type="w" for="ch" forName="comp1" refType="w"/>
          <dgm:constr type="h" for="ch" forName="comp1" refType="w" refFor="ch" refForName="comp1"/>
          <dgm:constr type="w" for="ch" forName="comp2" refType="w" fact="0.75"/>
          <dgm:constr type="h" for="ch" forName="comp2" refType="w" refFor="ch" refForName="comp2"/>
          <dgm:constr type="ctrX" for="ch" forName="comp2" refType="ctrX" refFor="ch" refForName="comp1"/>
          <dgm:constr type="b" for="ch" forName="comp2" refType="b" refFor="ch" refForName="comp1"/>
          <dgm:constr type="w" for="ch" forName="comp3" refType="w" fact="0.5"/>
          <dgm:constr type="h" for="ch" forName="comp3" refType="w" refFor="ch" refForName="comp3"/>
          <dgm:constr type="ctrX" for="ch" forName="comp3" refType="ctrX" refFor="ch" refForName="comp1"/>
          <dgm:constr type="b" for="ch" forName="comp3" refType="b" refFor="ch" refForName="comp1"/>
          <dgm:constr type="primFontSz" for="des" ptType="node" op="equ" val="65"/>
        </dgm:constrLst>
      </dgm:if>
      <dgm:if name="Name3" axis="ch" ptType="node" func="cnt" op="equ" val="4">
        <dgm:constrLst>
          <dgm:constr type="w" for="ch" forName="comp1" refType="w"/>
          <dgm:constr type="h" for="ch" forName="comp1" refType="w" refFor="ch" refForName="comp1"/>
          <dgm:constr type="w" for="ch" forName="comp2" refType="w" fact="0.8"/>
          <dgm:constr type="h" for="ch" forName="comp2" refType="w" refFor="ch" refForName="comp2"/>
          <dgm:constr type="ctrX" for="ch" forName="comp2" refType="ctrX" refFor="ch" refForName="comp1"/>
          <dgm:constr type="b" for="ch" forName="comp2" refType="b" refFor="ch" refForName="comp1"/>
          <dgm:constr type="w" for="ch" forName="comp3" refType="w" fact="0.6"/>
          <dgm:constr type="h" for="ch" forName="comp3" refType="w" refFor="ch" refForName="comp3"/>
          <dgm:constr type="ctrX" for="ch" forName="comp3" refType="ctrX" refFor="ch" refForName="comp1"/>
          <dgm:constr type="b" for="ch" forName="comp3" refType="b" refFor="ch" refForName="comp1"/>
          <dgm:constr type="w" for="ch" forName="comp4" refType="w" fact="0.4"/>
          <dgm:constr type="h" for="ch" forName="comp4" refType="w" refFor="ch" refForName="comp4"/>
          <dgm:constr type="ctrX" for="ch" forName="comp4" refType="ctrX" refFor="ch" refForName="comp1"/>
          <dgm:constr type="b" for="ch" forName="comp4" refType="b" refFor="ch" refForName="comp1"/>
          <dgm:constr type="primFontSz" for="des" ptType="node" op="equ" val="65"/>
        </dgm:constrLst>
      </dgm:if>
      <dgm:else name="Name4">
        <dgm:constrLst>
          <dgm:constr type="w" for="ch" forName="comp1" refType="w"/>
          <dgm:constr type="h" for="ch" forName="comp1" refType="w" refFor="ch" refForName="comp1"/>
          <dgm:constr type="w" for="ch" forName="comp2" refType="w" fact="0.85"/>
          <dgm:constr type="h" for="ch" forName="comp2" refType="w" refFor="ch" refForName="comp2"/>
          <dgm:constr type="ctrX" for="ch" forName="comp2" refType="ctrX" refFor="ch" refForName="comp1"/>
          <dgm:constr type="b" for="ch" forName="comp2" refType="b" refFor="ch" refForName="comp1"/>
          <dgm:constr type="w" for="ch" forName="comp3" refType="w" fact="0.7"/>
          <dgm:constr type="h" for="ch" forName="comp3" refType="w" refFor="ch" refForName="comp3"/>
          <dgm:constr type="ctrX" for="ch" forName="comp3" refType="ctrX" refFor="ch" refForName="comp1"/>
          <dgm:constr type="b" for="ch" forName="comp3" refType="b" refFor="ch" refForName="comp1"/>
          <dgm:constr type="w" for="ch" forName="comp4" refType="w" fact="0.55"/>
          <dgm:constr type="h" for="ch" forName="comp4" refType="w" refFor="ch" refForName="comp4"/>
          <dgm:constr type="ctrX" for="ch" forName="comp4" refType="ctrX" refFor="ch" refForName="comp1"/>
          <dgm:constr type="b" for="ch" forName="comp4" refType="b" refFor="ch" refForName="comp1"/>
          <dgm:constr type="w" for="ch" forName="comp5" refType="w" fact="0.4"/>
          <dgm:constr type="h" for="ch" forName="comp5" refType="w" refFor="ch" refForName="comp5"/>
          <dgm:constr type="ctrX" for="ch" forName="comp5" refType="ctrX" refFor="ch" refForName="comp1"/>
          <dgm:constr type="b" for="ch" forName="comp5" refType="b" refFor="ch" refForName="comp1"/>
          <dgm:constr type="w" for="ch" forName="comp6" refType="w" fact="0.25"/>
          <dgm:constr type="h" for="ch" forName="comp6" refType="w" refFor="ch" refForName="comp6"/>
          <dgm:constr type="ctrX" for="ch" forName="comp6" refType="ctrX" refFor="ch" refForName="comp1"/>
          <dgm:constr type="b" for="ch" forName="comp6" refType="b" refFor="ch" refForName="comp1"/>
          <dgm:constr type="w" for="ch" forName="comp7" refType="w" fact="0.15"/>
          <dgm:constr type="h" for="ch" forName="comp7" refType="w" refFor="ch" refForName="comp7"/>
          <dgm:constr type="ctrX" for="ch" forName="comp7" refType="ctrX" refFor="ch" refForName="comp1"/>
          <dgm:constr type="b" for="ch" forName="comp7" refType="b" refFor="ch" refForName="comp1"/>
          <dgm:constr type="primFontSz" for="des" ptType="node" op="equ" val="65"/>
        </dgm:constrLst>
      </dgm:else>
    </dgm:choose>
    <dgm:ruleLst/>
    <dgm:choose name="Name5">
      <dgm:if name="Name6" axis="ch" ptType="node" func="cnt" op="gte" val="1">
        <dgm:layoutNode name="comp1">
          <dgm:alg type="composite"/>
          <dgm:shape xmlns:r="http://schemas.openxmlformats.org/officeDocument/2006/relationships" r:blip="">
            <dgm:adjLst/>
          </dgm:shape>
          <dgm:presOf/>
          <dgm:choose name="Name7">
            <dgm:if name="Name8" axis="ch" ptType="node" func="cnt" op="equ" val="1">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5"/>
                <dgm:constr type="w" for="ch" forName="c1text" refType="w" refFor="ch" refForName="circle1" fact="0.70711"/>
                <dgm:constr type="h" for="ch" forName="c1text" refType="h" refFor="ch" refForName="circle1" fact="0.5"/>
              </dgm:constrLst>
            </dgm:if>
            <dgm:if name="Name9" axis="ch" ptType="node" func="cnt" op="equ" val="2">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6"/>
                <dgm:constr type="w" for="ch" forName="c1text" refType="w" refFor="ch" refForName="circle1" fact="0.525"/>
                <dgm:constr type="h" for="ch" forName="c1text" refType="h" refFor="ch" refForName="circle1" fact="0.17"/>
              </dgm:constrLst>
            </dgm:if>
            <dgm:if name="Name10" axis="ch" ptType="node" func="cnt" op="equ" val="3">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3495"/>
                <dgm:constr type="h" for="ch" forName="c1text" refType="h" refFor="ch" refForName="circle1" fact="0.15"/>
              </dgm:constrLst>
            </dgm:if>
            <dgm:if name="Name11" axis="ch" ptType="node" func="cnt" op="equ" val="4">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2796"/>
                <dgm:constr type="h" for="ch" forName="c1text" refType="h" refFor="ch" refForName="circle1" fact="0.15"/>
              </dgm:constrLst>
            </dgm:if>
            <dgm:if name="Name12" axis="ch" ptType="node" func="cnt" op="gte" val="5">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
                <dgm:constr type="w" for="ch" forName="c1text" refType="w" refFor="ch" refForName="circle1" fact="0.375"/>
                <dgm:constr type="h" for="ch" forName="c1text" refType="h" refFor="ch" refForName="circle1" fact="0.1"/>
              </dgm:constrLst>
            </dgm:if>
            <dgm:else name="Name13"/>
          </dgm:choose>
          <dgm:ruleLst/>
          <dgm:layoutNode name="circle1" styleLbl="node1">
            <dgm:alg type="sp"/>
            <dgm:shape xmlns:r="http://schemas.openxmlformats.org/officeDocument/2006/relationships" type="ellipse" r:blip="">
              <dgm:adjLst/>
            </dgm:shape>
            <dgm:presOf axis="ch desOrSelf" ptType="node node" st="1 1" cnt="1 0"/>
            <dgm:constrLst>
              <dgm:constr type="h" refType="w"/>
            </dgm:constrLst>
            <dgm:ruleLst/>
          </dgm:layoutNode>
          <dgm:layoutNode name="c1text">
            <dgm:varLst>
              <dgm:bulletEnabled val="1"/>
            </dgm:varLst>
            <dgm:alg type="tx"/>
            <dgm:shape xmlns:r="http://schemas.openxmlformats.org/officeDocument/2006/relationships" type="rect" r:blip="" hideGeom="1">
              <dgm:adjLst/>
            </dgm:shape>
            <dgm:presOf axis="ch desOrSelf" ptType="node node" st="1 1" cnt="1 0"/>
            <dgm:constrLst/>
            <dgm:ruleLst>
              <dgm:rule type="primFontSz" val="5" fact="NaN" max="NaN"/>
            </dgm:ruleLst>
          </dgm:layoutNode>
        </dgm:layoutNode>
      </dgm:if>
      <dgm:else name="Name14"/>
    </dgm:choose>
    <dgm:choose name="Name15">
      <dgm:if name="Name16" axis="ch" ptType="node" func="cnt" op="gte" val="2">
        <dgm:layoutNode name="comp2">
          <dgm:alg type="composite"/>
          <dgm:shape xmlns:r="http://schemas.openxmlformats.org/officeDocument/2006/relationships" r:blip="">
            <dgm:adjLst/>
          </dgm:shape>
          <dgm:presOf/>
          <dgm:choose name="Name17">
            <dgm:if name="Name18" axis="ch" ptType="node" func="cnt" op="equ" val="2">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5"/>
                <dgm:constr type="w" for="ch" forName="c2text" refType="w" refFor="ch" refForName="circle2" fact="0.70711"/>
                <dgm:constr type="h" for="ch" forName="c2text" refType="h" refFor="ch" refForName="circle2" fact="0.5"/>
              </dgm:constrLst>
            </dgm:if>
            <dgm:if name="Name19" axis="ch" ptType="node" func="cnt" op="equ" val="3">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625"/>
                <dgm:constr type="w" for="ch" forName="c2text" refType="w" refFor="ch" refForName="circle2" fact="0.466"/>
                <dgm:constr type="h" for="ch" forName="c2text" refType="h" refFor="ch" refForName="circle2" fact="0.1875"/>
              </dgm:constrLst>
            </dgm:if>
            <dgm:if name="Name20" axis="ch" ptType="node" func="cnt" op="equ" val="4">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
                <dgm:constr type="w" for="ch" forName="c2text" refType="w" refFor="ch" refForName="circle2" fact="0.3495"/>
                <dgm:constr type="h" for="ch" forName="c2text" refType="h" refFor="ch" refForName="circle2" fact="0.18"/>
              </dgm:constrLst>
            </dgm:if>
            <dgm:if name="Name21" axis="ch" ptType="node" func="cnt" op="gte" val="5">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15"/>
                <dgm:constr type="w" for="ch" forName="c2text" refType="w" refFor="ch" refForName="circle2" fact="0.43125"/>
                <dgm:constr type="h" for="ch" forName="c2text" refType="h" refFor="ch" refForName="circle2" fact="0.115"/>
              </dgm:constrLst>
            </dgm:if>
            <dgm:else name="Name22"/>
          </dgm:choose>
          <dgm:ruleLst/>
          <dgm:layoutNode name="circle2" styleLbl="node1">
            <dgm:alg type="sp"/>
            <dgm:shape xmlns:r="http://schemas.openxmlformats.org/officeDocument/2006/relationships" type="ellipse" r:blip="">
              <dgm:adjLst/>
            </dgm:shape>
            <dgm:presOf axis="ch desOrSelf" ptType="node node" st="2 1" cnt="1 0"/>
            <dgm:constrLst>
              <dgm:constr type="h" refType="w"/>
            </dgm:constrLst>
            <dgm:ruleLst/>
          </dgm:layoutNode>
          <dgm:layoutNode name="c2text">
            <dgm:varLst>
              <dgm:bulletEnabled val="1"/>
            </dgm:varLst>
            <dgm:alg type="tx"/>
            <dgm:shape xmlns:r="http://schemas.openxmlformats.org/officeDocument/2006/relationships" type="rect" r:blip="" hideGeom="1">
              <dgm:adjLst/>
            </dgm:shape>
            <dgm:presOf axis="ch desOrSelf" ptType="node node" st="2 1" cnt="1 0"/>
            <dgm:constrLst/>
            <dgm:ruleLst>
              <dgm:rule type="primFontSz" val="5" fact="NaN" max="NaN"/>
            </dgm:ruleLst>
          </dgm:layoutNode>
        </dgm:layoutNode>
      </dgm:if>
      <dgm:else name="Name23"/>
    </dgm:choose>
    <dgm:choose name="Name24">
      <dgm:if name="Name25" axis="ch" ptType="node" func="cnt" op="gte" val="3">
        <dgm:layoutNode name="comp3">
          <dgm:alg type="composite"/>
          <dgm:shape xmlns:r="http://schemas.openxmlformats.org/officeDocument/2006/relationships" r:blip="">
            <dgm:adjLst/>
          </dgm:shape>
          <dgm:presOf/>
          <dgm:choose name="Name26">
            <dgm:if name="Name27" axis="ch" ptType="node" func="cnt" op="equ" val="3">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5"/>
                <dgm:constr type="w" for="ch" forName="c3text" refType="w" refFor="ch" refForName="circle3" fact="0.70711"/>
                <dgm:constr type="h" for="ch" forName="c3text" refType="h" refFor="ch" refForName="circle3" fact="0.5"/>
              </dgm:constrLst>
            </dgm:if>
            <dgm:if name="Name28" axis="ch" ptType="node" func="cnt" op="equ" val="4">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875"/>
                <dgm:constr type="w" for="ch" forName="c3text" refType="w" refFor="ch" refForName="circle3" fact="0.466"/>
                <dgm:constr type="h" for="ch" forName="c3text" refType="h" refFor="ch" refForName="circle3" fact="0.225"/>
              </dgm:constrLst>
            </dgm:if>
            <dgm:if name="Name29" axis="ch" ptType="node" func="cnt" op="gte" val="5">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38"/>
                <dgm:constr type="w" for="ch" forName="c3text" refType="w" refFor="ch" refForName="circle3" fact="0.5175"/>
                <dgm:constr type="h" for="ch" forName="c3text" refType="h" refFor="ch" refForName="circle3" fact="0.138"/>
              </dgm:constrLst>
            </dgm:if>
            <dgm:else name="Name30"/>
          </dgm:choose>
          <dgm:ruleLst/>
          <dgm:layoutNode name="circle3" styleLbl="node1">
            <dgm:alg type="sp"/>
            <dgm:shape xmlns:r="http://schemas.openxmlformats.org/officeDocument/2006/relationships" type="ellipse" r:blip="">
              <dgm:adjLst/>
            </dgm:shape>
            <dgm:presOf axis="ch desOrSelf" ptType="node node" st="3 1" cnt="1 0"/>
            <dgm:constrLst>
              <dgm:constr type="h" refType="w"/>
            </dgm:constrLst>
            <dgm:ruleLst/>
          </dgm:layoutNode>
          <dgm:layoutNode name="c3text">
            <dgm:varLst>
              <dgm:bulletEnabled val="1"/>
            </dgm:varLst>
            <dgm:alg type="tx"/>
            <dgm:shape xmlns:r="http://schemas.openxmlformats.org/officeDocument/2006/relationships" type="rect" r:blip="" hideGeom="1">
              <dgm:adjLst/>
            </dgm:shape>
            <dgm:presOf axis="ch desOrSelf" ptType="node node" st="3 1" cnt="1 0"/>
            <dgm:constrLst/>
            <dgm:ruleLst>
              <dgm:rule type="primFontSz" val="5" fact="NaN" max="NaN"/>
            </dgm:ruleLst>
          </dgm:layoutNode>
        </dgm:layoutNode>
      </dgm:if>
      <dgm:else name="Name31"/>
    </dgm:choose>
    <dgm:choose name="Name32">
      <dgm:if name="Name33" axis="ch" ptType="node" func="cnt" op="gte" val="4">
        <dgm:layoutNode name="comp4">
          <dgm:alg type="composite"/>
          <dgm:shape xmlns:r="http://schemas.openxmlformats.org/officeDocument/2006/relationships" r:blip="">
            <dgm:adjLst/>
          </dgm:shape>
          <dgm:presOf/>
          <dgm:choose name="Name34">
            <dgm:if name="Name35" axis="ch" ptType="node" func="cnt" op="equ" val="4">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5"/>
                <dgm:constr type="w" for="ch" forName="c4text" refType="w" refFor="ch" refForName="circle4" fact="0.70711"/>
                <dgm:constr type="h" for="ch" forName="c4text" refType="h" refFor="ch" refForName="circle4" fact="0.5"/>
              </dgm:constrLst>
            </dgm:if>
            <dgm:if name="Name36" axis="ch" ptType="node" func="cnt" op="gte" val="5">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18"/>
                <dgm:constr type="w" for="ch" forName="c4text" refType="w" refFor="ch" refForName="circle4" fact="0.54"/>
                <dgm:constr type="h" for="ch" forName="c4text" refType="h" refFor="ch" refForName="circle4" fact="0.18"/>
              </dgm:constrLst>
            </dgm:if>
            <dgm:else name="Name37"/>
          </dgm:choose>
          <dgm:ruleLst/>
          <dgm:layoutNode name="circle4" styleLbl="node1">
            <dgm:alg type="sp"/>
            <dgm:shape xmlns:r="http://schemas.openxmlformats.org/officeDocument/2006/relationships" type="ellipse" r:blip="">
              <dgm:adjLst/>
            </dgm:shape>
            <dgm:presOf axis="ch desOrSelf" ptType="node node" st="4 1" cnt="1 0"/>
            <dgm:constrLst>
              <dgm:constr type="h" refType="w"/>
            </dgm:constrLst>
            <dgm:ruleLst/>
          </dgm:layoutNode>
          <dgm:layoutNode name="c4text">
            <dgm:varLst>
              <dgm:bulletEnabled val="1"/>
            </dgm:varLst>
            <dgm:alg type="tx"/>
            <dgm:shape xmlns:r="http://schemas.openxmlformats.org/officeDocument/2006/relationships" type="rect" r:blip="" hideGeom="1">
              <dgm:adjLst/>
            </dgm:shape>
            <dgm:presOf axis="ch desOrSelf" ptType="node node" st="4 1" cnt="1 0"/>
            <dgm:constrLst/>
            <dgm:ruleLst>
              <dgm:rule type="primFontSz" val="5" fact="NaN" max="NaN"/>
            </dgm:ruleLst>
          </dgm:layoutNode>
        </dgm:layoutNode>
      </dgm:if>
      <dgm:else name="Name38"/>
    </dgm:choose>
    <dgm:choose name="Name39">
      <dgm:if name="Name40" axis="ch" ptType="node" func="cnt" op="gte" val="5">
        <dgm:layoutNode name="comp5">
          <dgm:alg type="composite"/>
          <dgm:shape xmlns:r="http://schemas.openxmlformats.org/officeDocument/2006/relationships" r:blip="">
            <dgm:adjLst/>
          </dgm:shape>
          <dgm:presOf/>
          <dgm:choose name="Name41">
            <dgm:if name="Name42" axis="ch" ptType="node" func="cnt" op="equ" val="5">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5"/>
                <dgm:constr type="w" for="ch" forName="c5text" refType="w" refFor="ch" refForName="circle5" fact="0.70711"/>
                <dgm:constr type="h" for="ch" forName="c5text" refType="h" refFor="ch" refForName="circle5" fact="0.5"/>
              </dgm:constrLst>
            </dgm:if>
            <dgm:if name="Name43" axis="ch" ptType="node" func="cnt" op="gte" val="6">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25"/>
                <dgm:constr type="w" for="ch" forName="c5text" refType="w" refFor="ch" refForName="circle5" fact="0.65"/>
                <dgm:constr type="h" for="ch" forName="c5text" refType="h" refFor="ch" refForName="circle5" fact="0.25"/>
              </dgm:constrLst>
            </dgm:if>
            <dgm:else name="Name44"/>
          </dgm:choose>
          <dgm:ruleLst/>
          <dgm:layoutNode name="circle5" styleLbl="node1">
            <dgm:alg type="sp"/>
            <dgm:shape xmlns:r="http://schemas.openxmlformats.org/officeDocument/2006/relationships" type="ellipse" r:blip="">
              <dgm:adjLst/>
            </dgm:shape>
            <dgm:presOf axis="ch desOrSelf" ptType="node node" st="5 1" cnt="1 0"/>
            <dgm:constrLst>
              <dgm:constr type="h" refType="w"/>
            </dgm:constrLst>
            <dgm:ruleLst/>
          </dgm:layoutNode>
          <dgm:layoutNode name="c5text">
            <dgm:varLst>
              <dgm:bulletEnabled val="1"/>
            </dgm:varLst>
            <dgm:alg type="tx"/>
            <dgm:shape xmlns:r="http://schemas.openxmlformats.org/officeDocument/2006/relationships" type="rect" r:blip="" hideGeom="1">
              <dgm:adjLst/>
            </dgm:shape>
            <dgm:presOf axis="ch desOrSelf" ptType="node node" st="5 1" cnt="1 0"/>
            <dgm:constrLst/>
            <dgm:ruleLst>
              <dgm:rule type="primFontSz" val="5" fact="NaN" max="NaN"/>
            </dgm:ruleLst>
          </dgm:layoutNode>
        </dgm:layoutNode>
      </dgm:if>
      <dgm:else name="Name45"/>
    </dgm:choose>
    <dgm:choose name="Name46">
      <dgm:if name="Name47" axis="ch" ptType="node" func="cnt" op="gte" val="6">
        <dgm:layoutNode name="comp6">
          <dgm:alg type="composite"/>
          <dgm:shape xmlns:r="http://schemas.openxmlformats.org/officeDocument/2006/relationships" r:blip="">
            <dgm:adjLst/>
          </dgm:shape>
          <dgm:presOf/>
          <dgm:choose name="Name48">
            <dgm:if name="Name49" axis="ch" ptType="node" func="cnt" op="equ" val="6">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5"/>
                <dgm:constr type="w" for="ch" forName="c6text" refType="w" refFor="ch" refForName="circle6" fact="0.70711"/>
                <dgm:constr type="h" for="ch" forName="c6text" refType="h" refFor="ch" refForName="circle6" fact="0.5"/>
              </dgm:constrLst>
            </dgm:if>
            <dgm:if name="Name50" axis="ch" ptType="node" func="cnt" op="gte" val="7">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27"/>
                <dgm:constr type="w" for="ch" forName="c6text" refType="w" refFor="ch" refForName="circle6" fact="0.68"/>
                <dgm:constr type="h" for="ch" forName="c6text" refType="h" refFor="ch" refForName="circle6" fact="0.241"/>
              </dgm:constrLst>
            </dgm:if>
            <dgm:else name="Name51"/>
          </dgm:choose>
          <dgm:ruleLst/>
          <dgm:layoutNode name="circle6" styleLbl="node1">
            <dgm:alg type="sp"/>
            <dgm:shape xmlns:r="http://schemas.openxmlformats.org/officeDocument/2006/relationships" type="ellipse" r:blip="">
              <dgm:adjLst/>
            </dgm:shape>
            <dgm:presOf axis="ch desOrSelf" ptType="node node" st="6 1" cnt="1 0"/>
            <dgm:constrLst>
              <dgm:constr type="h" refType="w"/>
            </dgm:constrLst>
            <dgm:ruleLst/>
          </dgm:layoutNode>
          <dgm:layoutNode name="c6text">
            <dgm:varLst>
              <dgm:bulletEnabled val="1"/>
            </dgm:varLst>
            <dgm:alg type="tx"/>
            <dgm:shape xmlns:r="http://schemas.openxmlformats.org/officeDocument/2006/relationships" type="rect" r:blip="" hideGeom="1">
              <dgm:adjLst/>
            </dgm:shape>
            <dgm:presOf axis="ch desOrSelf" ptType="node node" st="6 1" cnt="1 0"/>
            <dgm:constrLst/>
            <dgm:ruleLst>
              <dgm:rule type="primFontSz" val="5" fact="NaN" max="NaN"/>
            </dgm:ruleLst>
          </dgm:layoutNode>
        </dgm:layoutNode>
      </dgm:if>
      <dgm:else name="Name52"/>
    </dgm:choose>
    <dgm:choose name="Name53">
      <dgm:if name="Name54" axis="ch" ptType="node" func="cnt" op="gte" val="7">
        <dgm:layoutNode name="comp7">
          <dgm:alg type="composite"/>
          <dgm:shape xmlns:r="http://schemas.openxmlformats.org/officeDocument/2006/relationships" r:blip="">
            <dgm:adjLst/>
          </dgm:shape>
          <dgm:presOf/>
          <dgm:constrLst>
            <dgm:constr type="w" for="ch" forName="circle7" refType="w"/>
            <dgm:constr type="h" for="ch" forName="circle7" refType="h"/>
            <dgm:constr type="ctrX" for="ch" forName="circle7" refType="w" fact="0.5"/>
            <dgm:constr type="ctrY" for="ch" forName="circle7" refType="h" fact="0.5"/>
            <dgm:constr type="ctrX" for="ch" forName="c7text" refType="w" fact="0.5"/>
            <dgm:constr type="ctrY" for="ch" forName="c7text" refType="h" fact="0.5"/>
            <dgm:constr type="w" for="ch" forName="c7text" refType="w" refFor="ch" refForName="circle7" fact="0.70711"/>
            <dgm:constr type="h" for="ch" forName="c7text" refType="h" refFor="ch" refForName="circle7" fact="0.5"/>
          </dgm:constrLst>
          <dgm:ruleLst/>
          <dgm:layoutNode name="circle7" styleLbl="node1">
            <dgm:alg type="sp"/>
            <dgm:shape xmlns:r="http://schemas.openxmlformats.org/officeDocument/2006/relationships" type="ellipse" r:blip="">
              <dgm:adjLst/>
            </dgm:shape>
            <dgm:presOf axis="ch desOrSelf" ptType="node node" st="7 1" cnt="1 0"/>
            <dgm:constrLst>
              <dgm:constr type="h" refType="w"/>
            </dgm:constrLst>
            <dgm:ruleLst/>
          </dgm:layoutNode>
          <dgm:layoutNode name="c7text">
            <dgm:varLst>
              <dgm:bulletEnabled val="1"/>
            </dgm:varLst>
            <dgm:alg type="tx"/>
            <dgm:shape xmlns:r="http://schemas.openxmlformats.org/officeDocument/2006/relationships" type="rect" r:blip="" hideGeom="1">
              <dgm:adjLst/>
            </dgm:shape>
            <dgm:presOf axis="ch desOrSelf" ptType="node node" st="7 1" cnt="1 0"/>
            <dgm:constrLst/>
            <dgm:ruleLst>
              <dgm:rule type="primFontSz" val="5" fact="NaN" max="NaN"/>
            </dgm:ruleLst>
          </dgm:layoutNode>
        </dgm:layoutNode>
      </dgm:if>
      <dgm:else name="Name5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7bbb6e9-9e8e-4aaa-bd83-5a905f9aafb2" xsi:nil="true"/>
    <_Flow_SignoffStatus xmlns="7c9c34ea-70da-459a-a3ad-af54afdeb5a4" xsi:nil="true"/>
    <Status xmlns="7c9c34ea-70da-459a-a3ad-af54afdeb5a4" xsi:nil="true"/>
    <UpdateRequired xmlns="7c9c34ea-70da-459a-a3ad-af54afdeb5a4" xsi:nil="true"/>
    <lcf76f155ced4ddcb4097134ff3c332f xmlns="7c9c34ea-70da-459a-a3ad-af54afdeb5a4">
      <Terms xmlns="http://schemas.microsoft.com/office/infopath/2007/PartnerControls"/>
    </lcf76f155ced4ddcb4097134ff3c332f>
    <Update xmlns="7c9c34ea-70da-459a-a3ad-af54afdeb5a4" xsi:nil="true"/>
    <Comments xmlns="7c9c34ea-70da-459a-a3ad-af54afdeb5a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21CBEAA2A4ED841AA843CD156635011" ma:contentTypeVersion="22" ma:contentTypeDescription="Create a new document." ma:contentTypeScope="" ma:versionID="7892a27d4f33eabdce6b9873159f5752">
  <xsd:schema xmlns:xsd="http://www.w3.org/2001/XMLSchema" xmlns:xs="http://www.w3.org/2001/XMLSchema" xmlns:p="http://schemas.microsoft.com/office/2006/metadata/properties" xmlns:ns2="7c9c34ea-70da-459a-a3ad-af54afdeb5a4" xmlns:ns3="a7bbb6e9-9e8e-4aaa-bd83-5a905f9aafb2" targetNamespace="http://schemas.microsoft.com/office/2006/metadata/properties" ma:root="true" ma:fieldsID="c5eee607c8d1203d04766dfb4293ac47" ns2:_="" ns3:_="">
    <xsd:import namespace="7c9c34ea-70da-459a-a3ad-af54afdeb5a4"/>
    <xsd:import namespace="a7bbb6e9-9e8e-4aaa-bd83-5a905f9aafb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Statu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OCR" minOccurs="0"/>
                <xsd:element ref="ns2:UpdateRequired" minOccurs="0"/>
                <xsd:element ref="ns2:_Flow_SignoffStatus" minOccurs="0"/>
                <xsd:element ref="ns2:Update"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c34ea-70da-459a-a3ad-af54afdeb5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Status" ma:index="14" nillable="true" ma:displayName="Status" ma:description="Status of the document only" ma:format="Dropdown" ma:internalName="Status">
      <xsd:simpleType>
        <xsd:restriction base="dms:Choice">
          <xsd:enumeration value="DRAFT"/>
          <xsd:enumeration value="FINAL"/>
          <xsd:enumeration value="TEMPLATE"/>
          <xsd:enumeration value="ARCHIVE"/>
          <xsd:enumeration value="CURRENT VERSION"/>
          <xsd:enumeration value="PENDING ENDORSEMENT"/>
          <xsd:enumeration value="ENDORSED"/>
          <xsd:enumeration value="APPROVED"/>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UpdateRequired" ma:index="24" nillable="true" ma:displayName="Update Required" ma:description="KPIs are missing&#10;" ma:format="Dropdown" ma:internalName="UpdateRequired">
      <xsd:simpleType>
        <xsd:restriction base="dms:Text">
          <xsd:maxLength value="255"/>
        </xsd:restriction>
      </xsd:simpleType>
    </xsd:element>
    <xsd:element name="_Flow_SignoffStatus" ma:index="25" nillable="true" ma:displayName="Sign-off status" ma:internalName="Sign_x002d_off_x0020_status">
      <xsd:simpleType>
        <xsd:restriction base="dms:Text"/>
      </xsd:simpleType>
    </xsd:element>
    <xsd:element name="Update" ma:index="26" nillable="true" ma:displayName="Update" ma:description="Update the file" ma:format="Dropdown" ma:internalName="Update">
      <xsd:simpleType>
        <xsd:restriction base="dms:Text">
          <xsd:maxLength value="255"/>
        </xsd:restriction>
      </xsd:simpleType>
    </xsd:element>
    <xsd:element name="Comments" ma:index="27"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bb6e9-9e8e-4aaa-bd83-5a905f9aafb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3d27d16-54ad-40b4-84ec-bcfcda629e00}" ma:internalName="TaxCatchAll" ma:showField="CatchAllData" ma:web="a7bbb6e9-9e8e-4aaa-bd83-5a905f9aaf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purl.org/dc/terms/"/>
    <ds:schemaRef ds:uri="http://schemas.openxmlformats.org/package/2006/metadata/core-properties"/>
    <ds:schemaRef ds:uri="7c9c34ea-70da-459a-a3ad-af54afdeb5a4"/>
    <ds:schemaRef ds:uri="http://schemas.microsoft.com/office/2006/documentManagement/types"/>
    <ds:schemaRef ds:uri="http://schemas.microsoft.com/office/infopath/2007/PartnerControls"/>
    <ds:schemaRef ds:uri="http://purl.org/dc/elements/1.1/"/>
    <ds:schemaRef ds:uri="http://schemas.microsoft.com/office/2006/metadata/properties"/>
    <ds:schemaRef ds:uri="a7bbb6e9-9e8e-4aaa-bd83-5a905f9aafb2"/>
    <ds:schemaRef ds:uri="http://www.w3.org/XML/1998/namespace"/>
    <ds:schemaRef ds:uri="http://purl.org/dc/dcmitype/"/>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42D763D4-5FC0-41BF-B262-7476BD142C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c34ea-70da-459a-a3ad-af54afdeb5a4"/>
    <ds:schemaRef ds:uri="a7bbb6e9-9e8e-4aaa-bd83-5a905f9aaf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46</Pages>
  <Words>14281</Words>
  <Characters>95952</Characters>
  <Application>Microsoft Office Word</Application>
  <DocSecurity>2</DocSecurity>
  <Lines>799</Lines>
  <Paragraphs>220</Paragraphs>
  <ScaleCrop>false</ScaleCrop>
  <HeadingPairs>
    <vt:vector size="2" baseType="variant">
      <vt:variant>
        <vt:lpstr>Title</vt:lpstr>
      </vt:variant>
      <vt:variant>
        <vt:i4>1</vt:i4>
      </vt:variant>
    </vt:vector>
  </HeadingPairs>
  <TitlesOfParts>
    <vt:vector size="1" baseType="lpstr">
      <vt:lpstr>Community Health - Health Promotion Program Guidelines 2025-2029</vt:lpstr>
    </vt:vector>
  </TitlesOfParts>
  <Manager/>
  <Company>Victoria State Government, Department of Health</Company>
  <LinksUpToDate>false</LinksUpToDate>
  <CharactersWithSpaces>110013</CharactersWithSpaces>
  <SharedDoc>false</SharedDoc>
  <HyperlinkBase/>
  <HLinks>
    <vt:vector size="444" baseType="variant">
      <vt:variant>
        <vt:i4>6553725</vt:i4>
      </vt:variant>
      <vt:variant>
        <vt:i4>297</vt:i4>
      </vt:variant>
      <vt:variant>
        <vt:i4>0</vt:i4>
      </vt:variant>
      <vt:variant>
        <vt:i4>5</vt:i4>
      </vt:variant>
      <vt:variant>
        <vt:lpwstr>https://www.vic.gov.au/framework-place-based-approaches%3e</vt:lpwstr>
      </vt:variant>
      <vt:variant>
        <vt:lpwstr/>
      </vt:variant>
      <vt:variant>
        <vt:i4>8257552</vt:i4>
      </vt:variant>
      <vt:variant>
        <vt:i4>294</vt:i4>
      </vt:variant>
      <vt:variant>
        <vt:i4>0</vt:i4>
      </vt:variant>
      <vt:variant>
        <vt:i4>5</vt:i4>
      </vt:variant>
      <vt:variant>
        <vt:lpwstr>https://www.atsdr.cdc.gov/communityengagement/pce_pubdevelopment.html</vt:lpwstr>
      </vt:variant>
      <vt:variant>
        <vt:lpwstr/>
      </vt:variant>
      <vt:variant>
        <vt:i4>4063261</vt:i4>
      </vt:variant>
      <vt:variant>
        <vt:i4>291</vt:i4>
      </vt:variant>
      <vt:variant>
        <vt:i4>0</vt:i4>
      </vt:variant>
      <vt:variant>
        <vt:i4>5</vt:i4>
      </vt:variant>
      <vt:variant>
        <vt:lpwstr>https://apps.who.int/iris/bitstream/handle/10665/42495/9241545615_eng.pdf</vt:lpwstr>
      </vt:variant>
      <vt:variant>
        <vt:lpwstr/>
      </vt:variant>
      <vt:variant>
        <vt:i4>6684734</vt:i4>
      </vt:variant>
      <vt:variant>
        <vt:i4>288</vt:i4>
      </vt:variant>
      <vt:variant>
        <vt:i4>0</vt:i4>
      </vt:variant>
      <vt:variant>
        <vt:i4>5</vt:i4>
      </vt:variant>
      <vt:variant>
        <vt:lpwstr>https://www.climatecouncil.org.au/resources/survey-results-climate-disasters-mental-health/</vt:lpwstr>
      </vt:variant>
      <vt:variant>
        <vt:lpwstr/>
      </vt:variant>
      <vt:variant>
        <vt:i4>6029397</vt:i4>
      </vt:variant>
      <vt:variant>
        <vt:i4>285</vt:i4>
      </vt:variant>
      <vt:variant>
        <vt:i4>0</vt:i4>
      </vt:variant>
      <vt:variant>
        <vt:i4>5</vt:i4>
      </vt:variant>
      <vt:variant>
        <vt:lpwstr>https://www.cdc.gov/violenceprevention/about/social-ecologicalmodel.html</vt:lpwstr>
      </vt:variant>
      <vt:variant>
        <vt:lpwstr/>
      </vt:variant>
      <vt:variant>
        <vt:i4>4522052</vt:i4>
      </vt:variant>
      <vt:variant>
        <vt:i4>282</vt:i4>
      </vt:variant>
      <vt:variant>
        <vt:i4>0</vt:i4>
      </vt:variant>
      <vt:variant>
        <vt:i4>5</vt:i4>
      </vt:variant>
      <vt:variant>
        <vt:lpwstr>http://prevention.health.vic.gov.au/</vt:lpwstr>
      </vt:variant>
      <vt:variant>
        <vt:lpwstr/>
      </vt:variant>
      <vt:variant>
        <vt:i4>3145828</vt:i4>
      </vt:variant>
      <vt:variant>
        <vt:i4>279</vt:i4>
      </vt:variant>
      <vt:variant>
        <vt:i4>0</vt:i4>
      </vt:variant>
      <vt:variant>
        <vt:i4>5</vt:i4>
      </vt:variant>
      <vt:variant>
        <vt:lpwstr>https://dhhsvicgovau.sharepoint.com/sites/CPHDPublicHealthNetworksandPrograms-GRP/Shared Documents/Network Programs/01. Public Health Programs Functions/Community health - health promotion/Policy and guidelines/2025-2029 CH-HP Program Guidelines refresh/Final version CH-HP Program Guidelines 2025-2029/website</vt:lpwstr>
      </vt:variant>
      <vt:variant>
        <vt:lpwstr/>
      </vt:variant>
      <vt:variant>
        <vt:i4>5046386</vt:i4>
      </vt:variant>
      <vt:variant>
        <vt:i4>276</vt:i4>
      </vt:variant>
      <vt:variant>
        <vt:i4>0</vt:i4>
      </vt:variant>
      <vt:variant>
        <vt:i4>5</vt:i4>
      </vt:variant>
      <vt:variant>
        <vt:lpwstr>mailto:prevention@health.vic.gov.au</vt:lpwstr>
      </vt:variant>
      <vt:variant>
        <vt:lpwstr/>
      </vt:variant>
      <vt:variant>
        <vt:i4>6094943</vt:i4>
      </vt:variant>
      <vt:variant>
        <vt:i4>273</vt:i4>
      </vt:variant>
      <vt:variant>
        <vt:i4>0</vt:i4>
      </vt:variant>
      <vt:variant>
        <vt:i4>5</vt:i4>
      </vt:variant>
      <vt:variant>
        <vt:lpwstr>https://www.health.vic.gov.au/publications/aboriginal-and-torres-strait-islander-cultural-safety-framework-part-1</vt:lpwstr>
      </vt:variant>
      <vt:variant>
        <vt:lpwstr/>
      </vt:variant>
      <vt:variant>
        <vt:i4>655443</vt:i4>
      </vt:variant>
      <vt:variant>
        <vt:i4>270</vt:i4>
      </vt:variant>
      <vt:variant>
        <vt:i4>0</vt:i4>
      </vt:variant>
      <vt:variant>
        <vt:i4>5</vt:i4>
      </vt:variant>
      <vt:variant>
        <vt:lpwstr>https://www.firstpeoplesrelations.vic.gov.au/self-determination-reform-framework</vt:lpwstr>
      </vt:variant>
      <vt:variant>
        <vt:lpwstr/>
      </vt:variant>
      <vt:variant>
        <vt:i4>6029397</vt:i4>
      </vt:variant>
      <vt:variant>
        <vt:i4>267</vt:i4>
      </vt:variant>
      <vt:variant>
        <vt:i4>0</vt:i4>
      </vt:variant>
      <vt:variant>
        <vt:i4>5</vt:i4>
      </vt:variant>
      <vt:variant>
        <vt:lpwstr>https://www.cdc.gov/violenceprevention/about/social-ecologicalmodel.html</vt:lpwstr>
      </vt:variant>
      <vt:variant>
        <vt:lpwstr/>
      </vt:variant>
      <vt:variant>
        <vt:i4>6029397</vt:i4>
      </vt:variant>
      <vt:variant>
        <vt:i4>264</vt:i4>
      </vt:variant>
      <vt:variant>
        <vt:i4>0</vt:i4>
      </vt:variant>
      <vt:variant>
        <vt:i4>5</vt:i4>
      </vt:variant>
      <vt:variant>
        <vt:lpwstr>https://www.cdc.gov/violenceprevention/about/social-ecologicalmodel.html</vt:lpwstr>
      </vt:variant>
      <vt:variant>
        <vt:lpwstr/>
      </vt:variant>
      <vt:variant>
        <vt:i4>2818175</vt:i4>
      </vt:variant>
      <vt:variant>
        <vt:i4>261</vt:i4>
      </vt:variant>
      <vt:variant>
        <vt:i4>0</vt:i4>
      </vt:variant>
      <vt:variant>
        <vt:i4>5</vt:i4>
      </vt:variant>
      <vt:variant>
        <vt:lpwstr>https://heas.health.vic.gov.au/catering-for-good/directory/</vt:lpwstr>
      </vt:variant>
      <vt:variant>
        <vt:lpwstr/>
      </vt:variant>
      <vt:variant>
        <vt:i4>2818175</vt:i4>
      </vt:variant>
      <vt:variant>
        <vt:i4>258</vt:i4>
      </vt:variant>
      <vt:variant>
        <vt:i4>0</vt:i4>
      </vt:variant>
      <vt:variant>
        <vt:i4>5</vt:i4>
      </vt:variant>
      <vt:variant>
        <vt:lpwstr>https://heas.health.vic.gov.au/catering-for-good/directory/</vt:lpwstr>
      </vt:variant>
      <vt:variant>
        <vt:lpwstr/>
      </vt:variant>
      <vt:variant>
        <vt:i4>6881388</vt:i4>
      </vt:variant>
      <vt:variant>
        <vt:i4>255</vt:i4>
      </vt:variant>
      <vt:variant>
        <vt:i4>0</vt:i4>
      </vt:variant>
      <vt:variant>
        <vt:i4>5</vt:i4>
      </vt:variant>
      <vt:variant>
        <vt:lpwstr>https://heas.health.vic.gov.au/health-promoter-resources/cooks-connect/</vt:lpwstr>
      </vt:variant>
      <vt:variant>
        <vt:lpwstr/>
      </vt:variant>
      <vt:variant>
        <vt:i4>6881388</vt:i4>
      </vt:variant>
      <vt:variant>
        <vt:i4>252</vt:i4>
      </vt:variant>
      <vt:variant>
        <vt:i4>0</vt:i4>
      </vt:variant>
      <vt:variant>
        <vt:i4>5</vt:i4>
      </vt:variant>
      <vt:variant>
        <vt:lpwstr>https://heas.health.vic.gov.au/health-promoter-resources/cooks-connect/</vt:lpwstr>
      </vt:variant>
      <vt:variant>
        <vt:lpwstr/>
      </vt:variant>
      <vt:variant>
        <vt:i4>3538988</vt:i4>
      </vt:variant>
      <vt:variant>
        <vt:i4>249</vt:i4>
      </vt:variant>
      <vt:variant>
        <vt:i4>0</vt:i4>
      </vt:variant>
      <vt:variant>
        <vt:i4>5</vt:i4>
      </vt:variant>
      <vt:variant>
        <vt:lpwstr>https://finalreport.rcvmhs.vic.gov.au/download-the-interim-report/</vt:lpwstr>
      </vt:variant>
      <vt:variant>
        <vt:lpwstr/>
      </vt:variant>
      <vt:variant>
        <vt:i4>4063352</vt:i4>
      </vt:variant>
      <vt:variant>
        <vt:i4>246</vt:i4>
      </vt:variant>
      <vt:variant>
        <vt:i4>0</vt:i4>
      </vt:variant>
      <vt:variant>
        <vt:i4>5</vt:i4>
      </vt:variant>
      <vt:variant>
        <vt:lpwstr>https://www.vickidseatwell.health.vic.gov.au/get-involved/health-promoters.html</vt:lpwstr>
      </vt:variant>
      <vt:variant>
        <vt:lpwstr/>
      </vt:variant>
      <vt:variant>
        <vt:i4>4063352</vt:i4>
      </vt:variant>
      <vt:variant>
        <vt:i4>243</vt:i4>
      </vt:variant>
      <vt:variant>
        <vt:i4>0</vt:i4>
      </vt:variant>
      <vt:variant>
        <vt:i4>5</vt:i4>
      </vt:variant>
      <vt:variant>
        <vt:lpwstr>https://www.vickidseatwell.health.vic.gov.au/get-involved/health-promoters.html</vt:lpwstr>
      </vt:variant>
      <vt:variant>
        <vt:lpwstr/>
      </vt:variant>
      <vt:variant>
        <vt:i4>983135</vt:i4>
      </vt:variant>
      <vt:variant>
        <vt:i4>240</vt:i4>
      </vt:variant>
      <vt:variant>
        <vt:i4>0</vt:i4>
      </vt:variant>
      <vt:variant>
        <vt:i4>5</vt:i4>
      </vt:variant>
      <vt:variant>
        <vt:lpwstr>https://www.quit.org.au/</vt:lpwstr>
      </vt:variant>
      <vt:variant>
        <vt:lpwstr/>
      </vt:variant>
      <vt:variant>
        <vt:i4>6488150</vt:i4>
      </vt:variant>
      <vt:variant>
        <vt:i4>237</vt:i4>
      </vt:variant>
      <vt:variant>
        <vt:i4>0</vt:i4>
      </vt:variant>
      <vt:variant>
        <vt:i4>5</vt:i4>
      </vt:variant>
      <vt:variant>
        <vt:lpwstr>D:\Work\IHP\Smiles 4 Miles</vt:lpwstr>
      </vt:variant>
      <vt:variant>
        <vt:lpwstr/>
      </vt:variant>
      <vt:variant>
        <vt:i4>8323125</vt:i4>
      </vt:variant>
      <vt:variant>
        <vt:i4>234</vt:i4>
      </vt:variant>
      <vt:variant>
        <vt:i4>0</vt:i4>
      </vt:variant>
      <vt:variant>
        <vt:i4>5</vt:i4>
      </vt:variant>
      <vt:variant>
        <vt:lpwstr>https://www.health.vic.gov.au/preventive-health/healthy-choices</vt:lpwstr>
      </vt:variant>
      <vt:variant>
        <vt:lpwstr/>
      </vt:variant>
      <vt:variant>
        <vt:i4>8323125</vt:i4>
      </vt:variant>
      <vt:variant>
        <vt:i4>231</vt:i4>
      </vt:variant>
      <vt:variant>
        <vt:i4>0</vt:i4>
      </vt:variant>
      <vt:variant>
        <vt:i4>5</vt:i4>
      </vt:variant>
      <vt:variant>
        <vt:lpwstr>https://www.health.vic.gov.au/preventive-health/healthy-choices</vt:lpwstr>
      </vt:variant>
      <vt:variant>
        <vt:lpwstr/>
      </vt:variant>
      <vt:variant>
        <vt:i4>7209018</vt:i4>
      </vt:variant>
      <vt:variant>
        <vt:i4>228</vt:i4>
      </vt:variant>
      <vt:variant>
        <vt:i4>0</vt:i4>
      </vt:variant>
      <vt:variant>
        <vt:i4>5</vt:i4>
      </vt:variant>
      <vt:variant>
        <vt:lpwstr>https://heas.health.vic.gov.au/resources/health-promoter-resources/</vt:lpwstr>
      </vt:variant>
      <vt:variant>
        <vt:lpwstr/>
      </vt:variant>
      <vt:variant>
        <vt:i4>4390926</vt:i4>
      </vt:variant>
      <vt:variant>
        <vt:i4>225</vt:i4>
      </vt:variant>
      <vt:variant>
        <vt:i4>0</vt:i4>
      </vt:variant>
      <vt:variant>
        <vt:i4>5</vt:i4>
      </vt:variant>
      <vt:variant>
        <vt:lpwstr>https://heas.health.vic.gov.au/resources/plan-a-menu/menu-planning-guidelines-for-long-day-care/</vt:lpwstr>
      </vt:variant>
      <vt:variant>
        <vt:lpwstr/>
      </vt:variant>
      <vt:variant>
        <vt:i4>2556003</vt:i4>
      </vt:variant>
      <vt:variant>
        <vt:i4>222</vt:i4>
      </vt:variant>
      <vt:variant>
        <vt:i4>0</vt:i4>
      </vt:variant>
      <vt:variant>
        <vt:i4>5</vt:i4>
      </vt:variant>
      <vt:variant>
        <vt:lpwstr>https://heas.health.vic.gov.au/</vt:lpwstr>
      </vt:variant>
      <vt:variant>
        <vt:lpwstr/>
      </vt:variant>
      <vt:variant>
        <vt:i4>1441823</vt:i4>
      </vt:variant>
      <vt:variant>
        <vt:i4>219</vt:i4>
      </vt:variant>
      <vt:variant>
        <vt:i4>0</vt:i4>
      </vt:variant>
      <vt:variant>
        <vt:i4>5</vt:i4>
      </vt:variant>
      <vt:variant>
        <vt:lpwstr>https://www.vickidseatwell.health.vic.gov.au/</vt:lpwstr>
      </vt:variant>
      <vt:variant>
        <vt:lpwstr/>
      </vt:variant>
      <vt:variant>
        <vt:i4>1507334</vt:i4>
      </vt:variant>
      <vt:variant>
        <vt:i4>216</vt:i4>
      </vt:variant>
      <vt:variant>
        <vt:i4>0</vt:i4>
      </vt:variant>
      <vt:variant>
        <vt:i4>5</vt:i4>
      </vt:variant>
      <vt:variant>
        <vt:lpwstr>https://www.achievementprogram.health.vic.gov.au/</vt:lpwstr>
      </vt:variant>
      <vt:variant>
        <vt:lpwstr/>
      </vt:variant>
      <vt:variant>
        <vt:i4>5046386</vt:i4>
      </vt:variant>
      <vt:variant>
        <vt:i4>213</vt:i4>
      </vt:variant>
      <vt:variant>
        <vt:i4>0</vt:i4>
      </vt:variant>
      <vt:variant>
        <vt:i4>5</vt:i4>
      </vt:variant>
      <vt:variant>
        <vt:lpwstr>mailto:Prevention@health.vic.gov.au</vt:lpwstr>
      </vt:variant>
      <vt:variant>
        <vt:lpwstr/>
      </vt:variant>
      <vt:variant>
        <vt:i4>5046386</vt:i4>
      </vt:variant>
      <vt:variant>
        <vt:i4>210</vt:i4>
      </vt:variant>
      <vt:variant>
        <vt:i4>0</vt:i4>
      </vt:variant>
      <vt:variant>
        <vt:i4>5</vt:i4>
      </vt:variant>
      <vt:variant>
        <vt:lpwstr>mailto:Prevention@health.vic.gov.au</vt:lpwstr>
      </vt:variant>
      <vt:variant>
        <vt:lpwstr/>
      </vt:variant>
      <vt:variant>
        <vt:i4>851984</vt:i4>
      </vt:variant>
      <vt:variant>
        <vt:i4>207</vt:i4>
      </vt:variant>
      <vt:variant>
        <vt:i4>0</vt:i4>
      </vt:variant>
      <vt:variant>
        <vt:i4>5</vt:i4>
      </vt:variant>
      <vt:variant>
        <vt:lpwstr>https://www2.health.vic.gov.au/about/publications/policiesandguidelines/Evaluation-framework-for-health-promotion-and-disease-prevention-programs</vt:lpwstr>
      </vt:variant>
      <vt:variant>
        <vt:lpwstr/>
      </vt:variant>
      <vt:variant>
        <vt:i4>1638405</vt:i4>
      </vt:variant>
      <vt:variant>
        <vt:i4>204</vt:i4>
      </vt:variant>
      <vt:variant>
        <vt:i4>0</vt:i4>
      </vt:variant>
      <vt:variant>
        <vt:i4>5</vt:i4>
      </vt:variant>
      <vt:variant>
        <vt:lpwstr>https://urldefense.proofpoint.com/v2/url?u=https-3A__healthpromotionsdata.powerappsportals.com_Tobacco&amp;d=DwMFAg&amp;c=euGZstcaTDllvimEN8b7jXrwqOf-v5A_CdpgnVfiiMM&amp;r=iBIxfcVvVlkPhf8nfASk4TfigEKNN1kgKgBI1J_Qe4U&amp;m=v4Dg8T5UiYekEtd_V8MPvyhvPdiojiLSiaAPwv-WeYNY6j-TKpAuLIWVc9zNlyK1&amp;s=MBuR6Lhgs2IfplCpG9hSlr0qnM0dKhCfkRwJT7g8ix4&amp;e=</vt:lpwstr>
      </vt:variant>
      <vt:variant>
        <vt:lpwstr/>
      </vt:variant>
      <vt:variant>
        <vt:i4>3735601</vt:i4>
      </vt:variant>
      <vt:variant>
        <vt:i4>201</vt:i4>
      </vt:variant>
      <vt:variant>
        <vt:i4>0</vt:i4>
      </vt:variant>
      <vt:variant>
        <vt:i4>5</vt:i4>
      </vt:variant>
      <vt:variant>
        <vt:lpwstr>https://urldefense.proofpoint.com/v2/url?u=https-3A__healthpromotionsdata.powerappsportals.com_ActiveLiving&amp;d=DwMFAg&amp;c=euGZstcaTDllvimEN8b7jXrwqOf-v5A_CdpgnVfiiMM&amp;r=iBIxfcVvVlkPhf8nfASk4TfigEKNN1kgKgBI1J_Qe4U&amp;m=v4Dg8T5UiYekEtd_V8MPvyhvPdiojiLSiaAPwv-WeYNY6j-TKpAuLIWVc9zNlyK1&amp;s=xRq6lLsZoJB4KyxGdHSGpsA0VwO0PH1zSDuQ8bcehG4&amp;e=</vt:lpwstr>
      </vt:variant>
      <vt:variant>
        <vt:lpwstr/>
      </vt:variant>
      <vt:variant>
        <vt:i4>2818049</vt:i4>
      </vt:variant>
      <vt:variant>
        <vt:i4>198</vt:i4>
      </vt:variant>
      <vt:variant>
        <vt:i4>0</vt:i4>
      </vt:variant>
      <vt:variant>
        <vt:i4>5</vt:i4>
      </vt:variant>
      <vt:variant>
        <vt:lpwstr>https://urldefense.proofpoint.com/v2/url?u=https-3A__healthpromotionsdata.powerappsportals.com_HealthyEating_&amp;d=DwMFAg&amp;c=euGZstcaTDllvimEN8b7jXrwqOf-v5A_CdpgnVfiiMM&amp;r=iBIxfcVvVlkPhf8nfASk4TfigEKNN1kgKgBI1J_Qe4U&amp;m=v4Dg8T5UiYekEtd_V8MPvyhvPdiojiLSiaAPwv-WeYNY6j-TKpAuLIWVc9zNlyK1&amp;s=ACnsu-tbTnCOa-P5f0N7ogfCzsjWbwlMaRA4JbMn7JA&amp;e=</vt:lpwstr>
      </vt:variant>
      <vt:variant>
        <vt:lpwstr/>
      </vt:variant>
      <vt:variant>
        <vt:i4>8192040</vt:i4>
      </vt:variant>
      <vt:variant>
        <vt:i4>195</vt:i4>
      </vt:variant>
      <vt:variant>
        <vt:i4>0</vt:i4>
      </vt:variant>
      <vt:variant>
        <vt:i4>5</vt:i4>
      </vt:variant>
      <vt:variant>
        <vt:lpwstr>https://dhhsvicgovau.sharepoint.com/sites/CHHPP/Shared Documents/Forms/AllItems.aspx?id=%2Fsites%2FCHHPP%2FShared%20Documents%2FCHHP%20impact%20measures%20practice%20guide%202023%2D25%2Epdf&amp;parent=%2Fsites%2FCHHPP%2FShared%20Documents</vt:lpwstr>
      </vt:variant>
      <vt:variant>
        <vt:lpwstr/>
      </vt:variant>
      <vt:variant>
        <vt:i4>3866725</vt:i4>
      </vt:variant>
      <vt:variant>
        <vt:i4>192</vt:i4>
      </vt:variant>
      <vt:variant>
        <vt:i4>0</vt:i4>
      </vt:variant>
      <vt:variant>
        <vt:i4>5</vt:i4>
      </vt:variant>
      <vt:variant>
        <vt:lpwstr>https://www.localgovernment.vic.gov.au/our-partnerships/victorian-aboriginal-and-local-government-strategy</vt:lpwstr>
      </vt:variant>
      <vt:variant>
        <vt:lpwstr/>
      </vt:variant>
      <vt:variant>
        <vt:i4>3539042</vt:i4>
      </vt:variant>
      <vt:variant>
        <vt:i4>189</vt:i4>
      </vt:variant>
      <vt:variant>
        <vt:i4>0</vt:i4>
      </vt:variant>
      <vt:variant>
        <vt:i4>5</vt:i4>
      </vt:variant>
      <vt:variant>
        <vt:lpwstr>https://dhhsvicgovau.sharepoint.com/sites/PHUIH/Streams/Forms/AllItems.aspx?id=%2Fsites%2FPHUIH%2FStreams%2FAboriginal%20and%20Torres%20Strait%20Islander%20Health%2FLPHU%20Aboriginal%20health%20sector%20engagement%20guidelines%202024%20%2Epdf&amp;parent=%2Fsites%2FPHUIH%2FStreams%2FAboriginal%20and%20Torres%20Strait%20Islander%20Health</vt:lpwstr>
      </vt:variant>
      <vt:variant>
        <vt:lpwstr/>
      </vt:variant>
      <vt:variant>
        <vt:i4>131149</vt:i4>
      </vt:variant>
      <vt:variant>
        <vt:i4>186</vt:i4>
      </vt:variant>
      <vt:variant>
        <vt:i4>0</vt:i4>
      </vt:variant>
      <vt:variant>
        <vt:i4>5</vt:i4>
      </vt:variant>
      <vt:variant>
        <vt:lpwstr>https://www.health.vic.gov.au/public-health/healthy-and-more-sustainable-food-procurement</vt:lpwstr>
      </vt:variant>
      <vt:variant>
        <vt:lpwstr/>
      </vt:variant>
      <vt:variant>
        <vt:i4>4718682</vt:i4>
      </vt:variant>
      <vt:variant>
        <vt:i4>183</vt:i4>
      </vt:variant>
      <vt:variant>
        <vt:i4>0</vt:i4>
      </vt:variant>
      <vt:variant>
        <vt:i4>5</vt:i4>
      </vt:variant>
      <vt:variant>
        <vt:lpwstr>https://heas.health.vic.gov.au/catering-for-good/</vt:lpwstr>
      </vt:variant>
      <vt:variant>
        <vt:lpwstr/>
      </vt:variant>
      <vt:variant>
        <vt:i4>2752621</vt:i4>
      </vt:variant>
      <vt:variant>
        <vt:i4>180</vt:i4>
      </vt:variant>
      <vt:variant>
        <vt:i4>0</vt:i4>
      </vt:variant>
      <vt:variant>
        <vt:i4>5</vt:i4>
      </vt:variant>
      <vt:variant>
        <vt:lpwstr>https://www.climatechange.vic.gov.au/victorias-climate-change-strategy</vt:lpwstr>
      </vt:variant>
      <vt:variant>
        <vt:lpwstr/>
      </vt:variant>
      <vt:variant>
        <vt:i4>5111814</vt:i4>
      </vt:variant>
      <vt:variant>
        <vt:i4>177</vt:i4>
      </vt:variant>
      <vt:variant>
        <vt:i4>0</vt:i4>
      </vt:variant>
      <vt:variant>
        <vt:i4>5</vt:i4>
      </vt:variant>
      <vt:variant>
        <vt:lpwstr>https://www.health.vic.gov.au/environmental-health/climate-change-and-health-community-resources</vt:lpwstr>
      </vt:variant>
      <vt:variant>
        <vt:lpwstr/>
      </vt:variant>
      <vt:variant>
        <vt:i4>6684728</vt:i4>
      </vt:variant>
      <vt:variant>
        <vt:i4>174</vt:i4>
      </vt:variant>
      <vt:variant>
        <vt:i4>0</vt:i4>
      </vt:variant>
      <vt:variant>
        <vt:i4>5</vt:i4>
      </vt:variant>
      <vt:variant>
        <vt:lpwstr>https://www.betterhealth.vic.gov.au/health/healthyliving/climate-change-and-health</vt:lpwstr>
      </vt:variant>
      <vt:variant>
        <vt:lpwstr/>
      </vt:variant>
      <vt:variant>
        <vt:i4>1769481</vt:i4>
      </vt:variant>
      <vt:variant>
        <vt:i4>171</vt:i4>
      </vt:variant>
      <vt:variant>
        <vt:i4>0</vt:i4>
      </vt:variant>
      <vt:variant>
        <vt:i4>5</vt:i4>
      </vt:variant>
      <vt:variant>
        <vt:lpwstr>https://www.health.vic.gov.au/publications/tackling-climate-change-impacts-health-municipal-public-health-wellbeing-planning</vt:lpwstr>
      </vt:variant>
      <vt:variant>
        <vt:lpwstr/>
      </vt:variant>
      <vt:variant>
        <vt:i4>6553720</vt:i4>
      </vt:variant>
      <vt:variant>
        <vt:i4>168</vt:i4>
      </vt:variant>
      <vt:variant>
        <vt:i4>0</vt:i4>
      </vt:variant>
      <vt:variant>
        <vt:i4>5</vt:i4>
      </vt:variant>
      <vt:variant>
        <vt:lpwstr>https://www.achievementprogram.health.vic.gov.au/climate-health</vt:lpwstr>
      </vt:variant>
      <vt:variant>
        <vt:lpwstr/>
      </vt:variant>
      <vt:variant>
        <vt:i4>6553720</vt:i4>
      </vt:variant>
      <vt:variant>
        <vt:i4>165</vt:i4>
      </vt:variant>
      <vt:variant>
        <vt:i4>0</vt:i4>
      </vt:variant>
      <vt:variant>
        <vt:i4>5</vt:i4>
      </vt:variant>
      <vt:variant>
        <vt:lpwstr>https://www.achievementprogram.health.vic.gov.au/climate-health</vt:lpwstr>
      </vt:variant>
      <vt:variant>
        <vt:lpwstr/>
      </vt:variant>
      <vt:variant>
        <vt:i4>1966165</vt:i4>
      </vt:variant>
      <vt:variant>
        <vt:i4>162</vt:i4>
      </vt:variant>
      <vt:variant>
        <vt:i4>0</vt:i4>
      </vt:variant>
      <vt:variant>
        <vt:i4>5</vt:i4>
      </vt:variant>
      <vt:variant>
        <vt:lpwstr>https://www.health.vic.gov.au/victorian-public-health-and-wellbeing-plan-2023-27</vt:lpwstr>
      </vt:variant>
      <vt:variant>
        <vt:lpwstr/>
      </vt:variant>
      <vt:variant>
        <vt:i4>1966165</vt:i4>
      </vt:variant>
      <vt:variant>
        <vt:i4>159</vt:i4>
      </vt:variant>
      <vt:variant>
        <vt:i4>0</vt:i4>
      </vt:variant>
      <vt:variant>
        <vt:i4>5</vt:i4>
      </vt:variant>
      <vt:variant>
        <vt:lpwstr>https://www.health.vic.gov.au/victorian-public-health-and-wellbeing-plan-2023-27</vt:lpwstr>
      </vt:variant>
      <vt:variant>
        <vt:lpwstr/>
      </vt:variant>
      <vt:variant>
        <vt:i4>1179699</vt:i4>
      </vt:variant>
      <vt:variant>
        <vt:i4>152</vt:i4>
      </vt:variant>
      <vt:variant>
        <vt:i4>0</vt:i4>
      </vt:variant>
      <vt:variant>
        <vt:i4>5</vt:i4>
      </vt:variant>
      <vt:variant>
        <vt:lpwstr/>
      </vt:variant>
      <vt:variant>
        <vt:lpwstr>_Toc194663098</vt:lpwstr>
      </vt:variant>
      <vt:variant>
        <vt:i4>1179699</vt:i4>
      </vt:variant>
      <vt:variant>
        <vt:i4>146</vt:i4>
      </vt:variant>
      <vt:variant>
        <vt:i4>0</vt:i4>
      </vt:variant>
      <vt:variant>
        <vt:i4>5</vt:i4>
      </vt:variant>
      <vt:variant>
        <vt:lpwstr/>
      </vt:variant>
      <vt:variant>
        <vt:lpwstr>_Toc194663097</vt:lpwstr>
      </vt:variant>
      <vt:variant>
        <vt:i4>1179699</vt:i4>
      </vt:variant>
      <vt:variant>
        <vt:i4>140</vt:i4>
      </vt:variant>
      <vt:variant>
        <vt:i4>0</vt:i4>
      </vt:variant>
      <vt:variant>
        <vt:i4>5</vt:i4>
      </vt:variant>
      <vt:variant>
        <vt:lpwstr/>
      </vt:variant>
      <vt:variant>
        <vt:lpwstr>_Toc194663096</vt:lpwstr>
      </vt:variant>
      <vt:variant>
        <vt:i4>1179699</vt:i4>
      </vt:variant>
      <vt:variant>
        <vt:i4>134</vt:i4>
      </vt:variant>
      <vt:variant>
        <vt:i4>0</vt:i4>
      </vt:variant>
      <vt:variant>
        <vt:i4>5</vt:i4>
      </vt:variant>
      <vt:variant>
        <vt:lpwstr/>
      </vt:variant>
      <vt:variant>
        <vt:lpwstr>_Toc194663095</vt:lpwstr>
      </vt:variant>
      <vt:variant>
        <vt:i4>1179699</vt:i4>
      </vt:variant>
      <vt:variant>
        <vt:i4>128</vt:i4>
      </vt:variant>
      <vt:variant>
        <vt:i4>0</vt:i4>
      </vt:variant>
      <vt:variant>
        <vt:i4>5</vt:i4>
      </vt:variant>
      <vt:variant>
        <vt:lpwstr/>
      </vt:variant>
      <vt:variant>
        <vt:lpwstr>_Toc194663094</vt:lpwstr>
      </vt:variant>
      <vt:variant>
        <vt:i4>1179699</vt:i4>
      </vt:variant>
      <vt:variant>
        <vt:i4>122</vt:i4>
      </vt:variant>
      <vt:variant>
        <vt:i4>0</vt:i4>
      </vt:variant>
      <vt:variant>
        <vt:i4>5</vt:i4>
      </vt:variant>
      <vt:variant>
        <vt:lpwstr/>
      </vt:variant>
      <vt:variant>
        <vt:lpwstr>_Toc194663093</vt:lpwstr>
      </vt:variant>
      <vt:variant>
        <vt:i4>1179699</vt:i4>
      </vt:variant>
      <vt:variant>
        <vt:i4>116</vt:i4>
      </vt:variant>
      <vt:variant>
        <vt:i4>0</vt:i4>
      </vt:variant>
      <vt:variant>
        <vt:i4>5</vt:i4>
      </vt:variant>
      <vt:variant>
        <vt:lpwstr/>
      </vt:variant>
      <vt:variant>
        <vt:lpwstr>_Toc194663092</vt:lpwstr>
      </vt:variant>
      <vt:variant>
        <vt:i4>1179699</vt:i4>
      </vt:variant>
      <vt:variant>
        <vt:i4>110</vt:i4>
      </vt:variant>
      <vt:variant>
        <vt:i4>0</vt:i4>
      </vt:variant>
      <vt:variant>
        <vt:i4>5</vt:i4>
      </vt:variant>
      <vt:variant>
        <vt:lpwstr/>
      </vt:variant>
      <vt:variant>
        <vt:lpwstr>_Toc194663091</vt:lpwstr>
      </vt:variant>
      <vt:variant>
        <vt:i4>1179699</vt:i4>
      </vt:variant>
      <vt:variant>
        <vt:i4>104</vt:i4>
      </vt:variant>
      <vt:variant>
        <vt:i4>0</vt:i4>
      </vt:variant>
      <vt:variant>
        <vt:i4>5</vt:i4>
      </vt:variant>
      <vt:variant>
        <vt:lpwstr/>
      </vt:variant>
      <vt:variant>
        <vt:lpwstr>_Toc194663090</vt:lpwstr>
      </vt:variant>
      <vt:variant>
        <vt:i4>1245235</vt:i4>
      </vt:variant>
      <vt:variant>
        <vt:i4>98</vt:i4>
      </vt:variant>
      <vt:variant>
        <vt:i4>0</vt:i4>
      </vt:variant>
      <vt:variant>
        <vt:i4>5</vt:i4>
      </vt:variant>
      <vt:variant>
        <vt:lpwstr/>
      </vt:variant>
      <vt:variant>
        <vt:lpwstr>_Toc194663089</vt:lpwstr>
      </vt:variant>
      <vt:variant>
        <vt:i4>1245235</vt:i4>
      </vt:variant>
      <vt:variant>
        <vt:i4>92</vt:i4>
      </vt:variant>
      <vt:variant>
        <vt:i4>0</vt:i4>
      </vt:variant>
      <vt:variant>
        <vt:i4>5</vt:i4>
      </vt:variant>
      <vt:variant>
        <vt:lpwstr/>
      </vt:variant>
      <vt:variant>
        <vt:lpwstr>_Toc194663088</vt:lpwstr>
      </vt:variant>
      <vt:variant>
        <vt:i4>1245235</vt:i4>
      </vt:variant>
      <vt:variant>
        <vt:i4>86</vt:i4>
      </vt:variant>
      <vt:variant>
        <vt:i4>0</vt:i4>
      </vt:variant>
      <vt:variant>
        <vt:i4>5</vt:i4>
      </vt:variant>
      <vt:variant>
        <vt:lpwstr/>
      </vt:variant>
      <vt:variant>
        <vt:lpwstr>_Toc194663087</vt:lpwstr>
      </vt:variant>
      <vt:variant>
        <vt:i4>1245235</vt:i4>
      </vt:variant>
      <vt:variant>
        <vt:i4>80</vt:i4>
      </vt:variant>
      <vt:variant>
        <vt:i4>0</vt:i4>
      </vt:variant>
      <vt:variant>
        <vt:i4>5</vt:i4>
      </vt:variant>
      <vt:variant>
        <vt:lpwstr/>
      </vt:variant>
      <vt:variant>
        <vt:lpwstr>_Toc194663086</vt:lpwstr>
      </vt:variant>
      <vt:variant>
        <vt:i4>1245235</vt:i4>
      </vt:variant>
      <vt:variant>
        <vt:i4>74</vt:i4>
      </vt:variant>
      <vt:variant>
        <vt:i4>0</vt:i4>
      </vt:variant>
      <vt:variant>
        <vt:i4>5</vt:i4>
      </vt:variant>
      <vt:variant>
        <vt:lpwstr/>
      </vt:variant>
      <vt:variant>
        <vt:lpwstr>_Toc194663085</vt:lpwstr>
      </vt:variant>
      <vt:variant>
        <vt:i4>1245235</vt:i4>
      </vt:variant>
      <vt:variant>
        <vt:i4>68</vt:i4>
      </vt:variant>
      <vt:variant>
        <vt:i4>0</vt:i4>
      </vt:variant>
      <vt:variant>
        <vt:i4>5</vt:i4>
      </vt:variant>
      <vt:variant>
        <vt:lpwstr/>
      </vt:variant>
      <vt:variant>
        <vt:lpwstr>_Toc194663084</vt:lpwstr>
      </vt:variant>
      <vt:variant>
        <vt:i4>1245235</vt:i4>
      </vt:variant>
      <vt:variant>
        <vt:i4>62</vt:i4>
      </vt:variant>
      <vt:variant>
        <vt:i4>0</vt:i4>
      </vt:variant>
      <vt:variant>
        <vt:i4>5</vt:i4>
      </vt:variant>
      <vt:variant>
        <vt:lpwstr/>
      </vt:variant>
      <vt:variant>
        <vt:lpwstr>_Toc194663083</vt:lpwstr>
      </vt:variant>
      <vt:variant>
        <vt:i4>1245235</vt:i4>
      </vt:variant>
      <vt:variant>
        <vt:i4>56</vt:i4>
      </vt:variant>
      <vt:variant>
        <vt:i4>0</vt:i4>
      </vt:variant>
      <vt:variant>
        <vt:i4>5</vt:i4>
      </vt:variant>
      <vt:variant>
        <vt:lpwstr/>
      </vt:variant>
      <vt:variant>
        <vt:lpwstr>_Toc194663082</vt:lpwstr>
      </vt:variant>
      <vt:variant>
        <vt:i4>1245235</vt:i4>
      </vt:variant>
      <vt:variant>
        <vt:i4>50</vt:i4>
      </vt:variant>
      <vt:variant>
        <vt:i4>0</vt:i4>
      </vt:variant>
      <vt:variant>
        <vt:i4>5</vt:i4>
      </vt:variant>
      <vt:variant>
        <vt:lpwstr/>
      </vt:variant>
      <vt:variant>
        <vt:lpwstr>_Toc194663081</vt:lpwstr>
      </vt:variant>
      <vt:variant>
        <vt:i4>1245235</vt:i4>
      </vt:variant>
      <vt:variant>
        <vt:i4>44</vt:i4>
      </vt:variant>
      <vt:variant>
        <vt:i4>0</vt:i4>
      </vt:variant>
      <vt:variant>
        <vt:i4>5</vt:i4>
      </vt:variant>
      <vt:variant>
        <vt:lpwstr/>
      </vt:variant>
      <vt:variant>
        <vt:lpwstr>_Toc194663080</vt:lpwstr>
      </vt:variant>
      <vt:variant>
        <vt:i4>1835059</vt:i4>
      </vt:variant>
      <vt:variant>
        <vt:i4>38</vt:i4>
      </vt:variant>
      <vt:variant>
        <vt:i4>0</vt:i4>
      </vt:variant>
      <vt:variant>
        <vt:i4>5</vt:i4>
      </vt:variant>
      <vt:variant>
        <vt:lpwstr/>
      </vt:variant>
      <vt:variant>
        <vt:lpwstr>_Toc194663079</vt:lpwstr>
      </vt:variant>
      <vt:variant>
        <vt:i4>1835059</vt:i4>
      </vt:variant>
      <vt:variant>
        <vt:i4>32</vt:i4>
      </vt:variant>
      <vt:variant>
        <vt:i4>0</vt:i4>
      </vt:variant>
      <vt:variant>
        <vt:i4>5</vt:i4>
      </vt:variant>
      <vt:variant>
        <vt:lpwstr/>
      </vt:variant>
      <vt:variant>
        <vt:lpwstr>_Toc194663078</vt:lpwstr>
      </vt:variant>
      <vt:variant>
        <vt:i4>1835059</vt:i4>
      </vt:variant>
      <vt:variant>
        <vt:i4>26</vt:i4>
      </vt:variant>
      <vt:variant>
        <vt:i4>0</vt:i4>
      </vt:variant>
      <vt:variant>
        <vt:i4>5</vt:i4>
      </vt:variant>
      <vt:variant>
        <vt:lpwstr/>
      </vt:variant>
      <vt:variant>
        <vt:lpwstr>_Toc194663077</vt:lpwstr>
      </vt:variant>
      <vt:variant>
        <vt:i4>1835059</vt:i4>
      </vt:variant>
      <vt:variant>
        <vt:i4>20</vt:i4>
      </vt:variant>
      <vt:variant>
        <vt:i4>0</vt:i4>
      </vt:variant>
      <vt:variant>
        <vt:i4>5</vt:i4>
      </vt:variant>
      <vt:variant>
        <vt:lpwstr/>
      </vt:variant>
      <vt:variant>
        <vt:lpwstr>_Toc194663076</vt:lpwstr>
      </vt:variant>
      <vt:variant>
        <vt:i4>1835059</vt:i4>
      </vt:variant>
      <vt:variant>
        <vt:i4>14</vt:i4>
      </vt:variant>
      <vt:variant>
        <vt:i4>0</vt:i4>
      </vt:variant>
      <vt:variant>
        <vt:i4>5</vt:i4>
      </vt:variant>
      <vt:variant>
        <vt:lpwstr/>
      </vt:variant>
      <vt:variant>
        <vt:lpwstr>_Toc194663075</vt:lpwstr>
      </vt:variant>
      <vt:variant>
        <vt:i4>4456524</vt:i4>
      </vt:variant>
      <vt:variant>
        <vt:i4>9</vt:i4>
      </vt:variant>
      <vt:variant>
        <vt:i4>0</vt:i4>
      </vt:variant>
      <vt:variant>
        <vt:i4>5</vt:i4>
      </vt:variant>
      <vt:variant>
        <vt:lpwstr>https://www.health.vic.gov.au/publications/community-health-health-promotion-2021-25</vt:lpwstr>
      </vt:variant>
      <vt:variant>
        <vt:lpwstr/>
      </vt:variant>
      <vt:variant>
        <vt:i4>4456524</vt:i4>
      </vt:variant>
      <vt:variant>
        <vt:i4>6</vt:i4>
      </vt:variant>
      <vt:variant>
        <vt:i4>0</vt:i4>
      </vt:variant>
      <vt:variant>
        <vt:i4>5</vt:i4>
      </vt:variant>
      <vt:variant>
        <vt:lpwstr>https://www.health.vic.gov.au/publications/community-health-health-promotion-2021-25</vt:lpwstr>
      </vt:variant>
      <vt:variant>
        <vt:lpwstr/>
      </vt:variant>
      <vt:variant>
        <vt:i4>5046386</vt:i4>
      </vt:variant>
      <vt:variant>
        <vt:i4>3</vt:i4>
      </vt:variant>
      <vt:variant>
        <vt:i4>0</vt:i4>
      </vt:variant>
      <vt:variant>
        <vt:i4>5</vt:i4>
      </vt:variant>
      <vt:variant>
        <vt:lpwstr>mailto:prevention@health.vic.gov.au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Health - Health Promotion Program Guidelines 2025-2029</dc:title>
  <dc:subject>Community Health - Health Promotion Program Guidelines 2025-2029</dc:subject>
  <dc:creator>Public Health Networks and Programs</dc:creator>
  <cp:keywords>Community health program, health promotion program</cp:keywords>
  <dc:description/>
  <cp:lastModifiedBy>Emily Hirst (Health)</cp:lastModifiedBy>
  <cp:revision>3</cp:revision>
  <cp:lastPrinted>2021-01-29T05:27:00Z</cp:lastPrinted>
  <dcterms:created xsi:type="dcterms:W3CDTF">2025-05-01T02:21:00Z</dcterms:created>
  <dcterms:modified xsi:type="dcterms:W3CDTF">2025-05-01T03:58:00Z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0x010100221CBEAA2A4ED841AA843CD156635011</vt:lpwstr>
  </property>
  <property fmtid="{D5CDD505-2E9C-101B-9397-08002B2CF9AE}" pid="4" name="version">
    <vt:lpwstr>v5 15032021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2021-03-15T05:04:10Z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63f486b4-8569-4046-8df0-77b8936f4c9d</vt:lpwstr>
  </property>
  <property fmtid="{D5CDD505-2E9C-101B-9397-08002B2CF9AE}" pid="11" name="MSIP_Label_43e64453-338c-4f93-8a4d-0039a0a41f2a_ContentBits">
    <vt:lpwstr>2</vt:lpwstr>
  </property>
  <property fmtid="{D5CDD505-2E9C-101B-9397-08002B2CF9AE}" pid="12" name="Order">
    <vt:r8>2700</vt:r8>
  </property>
  <property fmtid="{D5CDD505-2E9C-101B-9397-08002B2CF9AE}" pid="13" name="xd_Signature">
    <vt:bool>false</vt:bool>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TemplateVersion">
    <vt:i4>1</vt:i4>
  </property>
  <property fmtid="{D5CDD505-2E9C-101B-9397-08002B2CF9AE}" pid="18" name="Category">
    <vt:lpwstr>Report</vt:lpwstr>
  </property>
  <property fmtid="{D5CDD505-2E9C-101B-9397-08002B2CF9AE}" pid="19" name="WebPage">
    <vt:lpwstr>https://dhhsvicgovau.sharepoint.com/:w:/s/health/EcCdxoQtkoZJoXn6lektW3QBAD6Bt_2RdAEQpTUn2-aiAQ, https://dhhsvicgovau.sharepoint.com/:w:/s/health/EcCdxoQtkoZJoXn6lektW3QBAD6Bt_2RdAEQpTUn2-aiAQ</vt:lpwstr>
  </property>
  <property fmtid="{D5CDD505-2E9C-101B-9397-08002B2CF9AE}" pid="20" name="Days before next review">
    <vt:r8>365</vt:r8>
  </property>
  <property fmtid="{D5CDD505-2E9C-101B-9397-08002B2CF9AE}" pid="21" name="_ExtendedDescription">
    <vt:lpwstr/>
  </property>
  <property fmtid="{D5CDD505-2E9C-101B-9397-08002B2CF9AE}" pid="22" name="_MarkAsFinal">
    <vt:lpwstr>true</vt:lpwstr>
  </property>
  <property fmtid="{D5CDD505-2E9C-101B-9397-08002B2CF9AE}" pid="23" name="Tags">
    <vt:lpwstr>17;#Templates|74cf097d-f69e-47d4-ab23-b0e64f517102</vt:lpwstr>
  </property>
  <property fmtid="{D5CDD505-2E9C-101B-9397-08002B2CF9AE}" pid="24" name="MediaServiceImageTags">
    <vt:lpwstr/>
  </property>
</Properties>
</file>