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296B"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22EF627F" wp14:editId="54A272E9">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F7B713"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W w:w="10348" w:type="dxa"/>
        <w:tblLook w:val="04A0" w:firstRow="1" w:lastRow="0" w:firstColumn="1" w:lastColumn="0" w:noHBand="0" w:noVBand="1"/>
      </w:tblPr>
      <w:tblGrid>
        <w:gridCol w:w="10348"/>
      </w:tblGrid>
      <w:tr w:rsidR="003B5733" w14:paraId="658BE50B" w14:textId="77777777" w:rsidTr="00BA24DE">
        <w:trPr>
          <w:trHeight w:val="622"/>
        </w:trPr>
        <w:tc>
          <w:tcPr>
            <w:tcW w:w="10348" w:type="dxa"/>
          </w:tcPr>
          <w:p w14:paraId="4C2FBFA5" w14:textId="77777777" w:rsidR="00072597" w:rsidRDefault="00072597" w:rsidP="003B5733">
            <w:pPr>
              <w:pStyle w:val="Documenttitle"/>
            </w:pPr>
          </w:p>
          <w:p w14:paraId="286C4D57" w14:textId="77777777" w:rsidR="00072597" w:rsidRDefault="00072597" w:rsidP="003B5733">
            <w:pPr>
              <w:pStyle w:val="Documenttitle"/>
            </w:pPr>
          </w:p>
          <w:p w14:paraId="5F373F7F" w14:textId="0DCA6408" w:rsidR="003B5733" w:rsidRPr="003B5733" w:rsidRDefault="00966696" w:rsidP="003B5733">
            <w:pPr>
              <w:pStyle w:val="Documenttitle"/>
            </w:pPr>
            <w:r>
              <w:t>Positive patient identification and pretransfusion checking procedure</w:t>
            </w:r>
          </w:p>
        </w:tc>
      </w:tr>
      <w:tr w:rsidR="003B5733" w14:paraId="773DD05D" w14:textId="77777777" w:rsidTr="00BA24DE">
        <w:tc>
          <w:tcPr>
            <w:tcW w:w="10348" w:type="dxa"/>
          </w:tcPr>
          <w:p w14:paraId="42DEC524" w14:textId="2FBE3397" w:rsidR="003B5733" w:rsidRPr="00A1389F" w:rsidRDefault="00966696" w:rsidP="005F44C0">
            <w:pPr>
              <w:pStyle w:val="Documentsubtitle"/>
            </w:pPr>
            <w:r>
              <w:t>Blood Matters Audit 2025</w:t>
            </w:r>
          </w:p>
        </w:tc>
      </w:tr>
      <w:tr w:rsidR="003B5733" w14:paraId="64D8C6BA" w14:textId="77777777" w:rsidTr="00BA24DE">
        <w:tc>
          <w:tcPr>
            <w:tcW w:w="10348" w:type="dxa"/>
          </w:tcPr>
          <w:p w14:paraId="196F7B45" w14:textId="77777777" w:rsidR="003B5733" w:rsidRPr="001E5058" w:rsidRDefault="00BA3624" w:rsidP="001E5058">
            <w:pPr>
              <w:pStyle w:val="Bannermarking"/>
            </w:pPr>
            <w:fldSimple w:instr=" FILLIN  &quot;Type the protective marking&quot; \d OFFICIAL \o  \* MERGEFORMAT ">
              <w:r>
                <w:t>OFFICIAL</w:t>
              </w:r>
            </w:fldSimple>
          </w:p>
        </w:tc>
      </w:tr>
    </w:tbl>
    <w:p w14:paraId="6B4CC467" w14:textId="77777777" w:rsidR="00AD784C" w:rsidRPr="00B57329" w:rsidRDefault="00AD784C" w:rsidP="002365B4">
      <w:pPr>
        <w:pStyle w:val="TOCheadingfactsheet"/>
      </w:pPr>
      <w:r w:rsidRPr="00B57329">
        <w:t>Contents</w:t>
      </w:r>
    </w:p>
    <w:p w14:paraId="4C8027FC" w14:textId="7D2046F4" w:rsidR="00CE4D23" w:rsidRDefault="00AD784C">
      <w:pPr>
        <w:pStyle w:val="TOC2"/>
        <w:rPr>
          <w:rFonts w:asciiTheme="minorHAnsi" w:eastAsiaTheme="minorEastAsia" w:hAnsiTheme="minorHAnsi" w:cstheme="minorBidi"/>
          <w:kern w:val="2"/>
          <w:sz w:val="24"/>
          <w:szCs w:val="24"/>
          <w:lang w:eastAsia="en-AU"/>
          <w14:ligatures w14:val="standardContextual"/>
        </w:rPr>
      </w:pPr>
      <w:r>
        <w:rPr>
          <w:b/>
        </w:rPr>
        <w:fldChar w:fldCharType="begin"/>
      </w:r>
      <w:r>
        <w:instrText xml:space="preserve"> TOC \h \z \t "Heading 1,1,Heading 2,2" </w:instrText>
      </w:r>
      <w:r>
        <w:rPr>
          <w:b/>
        </w:rPr>
        <w:fldChar w:fldCharType="separate"/>
      </w:r>
      <w:bookmarkStart w:id="0" w:name="_Hlk184627355"/>
      <w:r w:rsidR="00CE4D23" w:rsidRPr="005A12AE">
        <w:rPr>
          <w:rStyle w:val="Hyperlink"/>
        </w:rPr>
        <w:fldChar w:fldCharType="begin"/>
      </w:r>
      <w:r w:rsidR="00CE4D23" w:rsidRPr="005A12AE">
        <w:rPr>
          <w:rStyle w:val="Hyperlink"/>
        </w:rPr>
        <w:instrText xml:space="preserve"> </w:instrText>
      </w:r>
      <w:r w:rsidR="00CE4D23">
        <w:instrText>HYPERLINK \l "_Toc185252828"</w:instrText>
      </w:r>
      <w:r w:rsidR="00CE4D23" w:rsidRPr="005A12AE">
        <w:rPr>
          <w:rStyle w:val="Hyperlink"/>
        </w:rPr>
        <w:instrText xml:space="preserve"> </w:instrText>
      </w:r>
      <w:r w:rsidR="00CE4D23" w:rsidRPr="005A12AE">
        <w:rPr>
          <w:rStyle w:val="Hyperlink"/>
        </w:rPr>
      </w:r>
      <w:r w:rsidR="00CE4D23" w:rsidRPr="005A12AE">
        <w:rPr>
          <w:rStyle w:val="Hyperlink"/>
        </w:rPr>
        <w:fldChar w:fldCharType="separate"/>
      </w:r>
      <w:r w:rsidR="00CE4D23" w:rsidRPr="005A12AE">
        <w:rPr>
          <w:rStyle w:val="Hyperlink"/>
        </w:rPr>
        <w:t>Background</w:t>
      </w:r>
      <w:r w:rsidR="00CE4D23">
        <w:rPr>
          <w:webHidden/>
        </w:rPr>
        <w:tab/>
      </w:r>
      <w:r w:rsidR="00CE4D23">
        <w:rPr>
          <w:webHidden/>
        </w:rPr>
        <w:fldChar w:fldCharType="begin"/>
      </w:r>
      <w:r w:rsidR="00CE4D23">
        <w:rPr>
          <w:webHidden/>
        </w:rPr>
        <w:instrText xml:space="preserve"> PAGEREF _Toc185252828 \h </w:instrText>
      </w:r>
      <w:r w:rsidR="00CE4D23">
        <w:rPr>
          <w:webHidden/>
        </w:rPr>
      </w:r>
      <w:r w:rsidR="00CE4D23">
        <w:rPr>
          <w:webHidden/>
        </w:rPr>
        <w:fldChar w:fldCharType="separate"/>
      </w:r>
      <w:r w:rsidR="00694160">
        <w:rPr>
          <w:webHidden/>
        </w:rPr>
        <w:t>1</w:t>
      </w:r>
      <w:r w:rsidR="00CE4D23">
        <w:rPr>
          <w:webHidden/>
        </w:rPr>
        <w:fldChar w:fldCharType="end"/>
      </w:r>
      <w:r w:rsidR="00CE4D23" w:rsidRPr="005A12AE">
        <w:rPr>
          <w:rStyle w:val="Hyperlink"/>
        </w:rPr>
        <w:fldChar w:fldCharType="end"/>
      </w:r>
    </w:p>
    <w:p w14:paraId="6B8AD74B" w14:textId="536A7C7F" w:rsidR="00CE4D23" w:rsidRDefault="00CE4D23">
      <w:pPr>
        <w:pStyle w:val="TOC2"/>
        <w:rPr>
          <w:rFonts w:asciiTheme="minorHAnsi" w:eastAsiaTheme="minorEastAsia" w:hAnsiTheme="minorHAnsi" w:cstheme="minorBidi"/>
          <w:kern w:val="2"/>
          <w:sz w:val="24"/>
          <w:szCs w:val="24"/>
          <w:lang w:eastAsia="en-AU"/>
          <w14:ligatures w14:val="standardContextual"/>
        </w:rPr>
      </w:pPr>
      <w:hyperlink w:anchor="_Toc185252829" w:history="1">
        <w:r w:rsidRPr="005A12AE">
          <w:rPr>
            <w:rStyle w:val="Hyperlink"/>
          </w:rPr>
          <w:t>Aims</w:t>
        </w:r>
        <w:r>
          <w:rPr>
            <w:webHidden/>
          </w:rPr>
          <w:tab/>
        </w:r>
        <w:r>
          <w:rPr>
            <w:webHidden/>
          </w:rPr>
          <w:fldChar w:fldCharType="begin"/>
        </w:r>
        <w:r>
          <w:rPr>
            <w:webHidden/>
          </w:rPr>
          <w:instrText xml:space="preserve"> PAGEREF _Toc185252829 \h </w:instrText>
        </w:r>
        <w:r>
          <w:rPr>
            <w:webHidden/>
          </w:rPr>
        </w:r>
        <w:r>
          <w:rPr>
            <w:webHidden/>
          </w:rPr>
          <w:fldChar w:fldCharType="separate"/>
        </w:r>
        <w:r w:rsidR="00694160">
          <w:rPr>
            <w:webHidden/>
          </w:rPr>
          <w:t>2</w:t>
        </w:r>
        <w:r>
          <w:rPr>
            <w:webHidden/>
          </w:rPr>
          <w:fldChar w:fldCharType="end"/>
        </w:r>
      </w:hyperlink>
    </w:p>
    <w:p w14:paraId="487255E7" w14:textId="53204CCD" w:rsidR="00CE4D23" w:rsidRDefault="00CE4D23">
      <w:pPr>
        <w:pStyle w:val="TOC2"/>
        <w:rPr>
          <w:rFonts w:asciiTheme="minorHAnsi" w:eastAsiaTheme="minorEastAsia" w:hAnsiTheme="minorHAnsi" w:cstheme="minorBidi"/>
          <w:kern w:val="2"/>
          <w:sz w:val="24"/>
          <w:szCs w:val="24"/>
          <w:lang w:eastAsia="en-AU"/>
          <w14:ligatures w14:val="standardContextual"/>
        </w:rPr>
      </w:pPr>
      <w:hyperlink w:anchor="_Toc185252830" w:history="1">
        <w:r w:rsidRPr="005A12AE">
          <w:rPr>
            <w:rStyle w:val="Hyperlink"/>
          </w:rPr>
          <w:t>Objectives</w:t>
        </w:r>
        <w:r>
          <w:rPr>
            <w:webHidden/>
          </w:rPr>
          <w:tab/>
        </w:r>
        <w:r>
          <w:rPr>
            <w:webHidden/>
          </w:rPr>
          <w:fldChar w:fldCharType="begin"/>
        </w:r>
        <w:r>
          <w:rPr>
            <w:webHidden/>
          </w:rPr>
          <w:instrText xml:space="preserve"> PAGEREF _Toc185252830 \h </w:instrText>
        </w:r>
        <w:r>
          <w:rPr>
            <w:webHidden/>
          </w:rPr>
        </w:r>
        <w:r>
          <w:rPr>
            <w:webHidden/>
          </w:rPr>
          <w:fldChar w:fldCharType="separate"/>
        </w:r>
        <w:r w:rsidR="00694160">
          <w:rPr>
            <w:webHidden/>
          </w:rPr>
          <w:t>2</w:t>
        </w:r>
        <w:r>
          <w:rPr>
            <w:webHidden/>
          </w:rPr>
          <w:fldChar w:fldCharType="end"/>
        </w:r>
      </w:hyperlink>
    </w:p>
    <w:p w14:paraId="655649EB" w14:textId="40EB51ED" w:rsidR="00CE4D23" w:rsidRDefault="00CE4D23">
      <w:pPr>
        <w:pStyle w:val="TOC2"/>
        <w:rPr>
          <w:rFonts w:asciiTheme="minorHAnsi" w:eastAsiaTheme="minorEastAsia" w:hAnsiTheme="minorHAnsi" w:cstheme="minorBidi"/>
          <w:kern w:val="2"/>
          <w:sz w:val="24"/>
          <w:szCs w:val="24"/>
          <w:lang w:eastAsia="en-AU"/>
          <w14:ligatures w14:val="standardContextual"/>
        </w:rPr>
      </w:pPr>
      <w:hyperlink w:anchor="_Toc185252831" w:history="1">
        <w:r w:rsidRPr="005A12AE">
          <w:rPr>
            <w:rStyle w:val="Hyperlink"/>
          </w:rPr>
          <w:t>Method</w:t>
        </w:r>
        <w:r>
          <w:rPr>
            <w:webHidden/>
          </w:rPr>
          <w:tab/>
        </w:r>
        <w:r>
          <w:rPr>
            <w:webHidden/>
          </w:rPr>
          <w:fldChar w:fldCharType="begin"/>
        </w:r>
        <w:r>
          <w:rPr>
            <w:webHidden/>
          </w:rPr>
          <w:instrText xml:space="preserve"> PAGEREF _Toc185252831 \h </w:instrText>
        </w:r>
        <w:r>
          <w:rPr>
            <w:webHidden/>
          </w:rPr>
        </w:r>
        <w:r>
          <w:rPr>
            <w:webHidden/>
          </w:rPr>
          <w:fldChar w:fldCharType="separate"/>
        </w:r>
        <w:r w:rsidR="00694160">
          <w:rPr>
            <w:webHidden/>
          </w:rPr>
          <w:t>2</w:t>
        </w:r>
        <w:r>
          <w:rPr>
            <w:webHidden/>
          </w:rPr>
          <w:fldChar w:fldCharType="end"/>
        </w:r>
      </w:hyperlink>
    </w:p>
    <w:p w14:paraId="3A5EB5C1" w14:textId="4BCFAE7B" w:rsidR="00CE4D23" w:rsidRDefault="00CE4D23">
      <w:pPr>
        <w:pStyle w:val="TOC2"/>
        <w:rPr>
          <w:rFonts w:asciiTheme="minorHAnsi" w:eastAsiaTheme="minorEastAsia" w:hAnsiTheme="minorHAnsi" w:cstheme="minorBidi"/>
          <w:kern w:val="2"/>
          <w:sz w:val="24"/>
          <w:szCs w:val="24"/>
          <w:lang w:eastAsia="en-AU"/>
          <w14:ligatures w14:val="standardContextual"/>
        </w:rPr>
      </w:pPr>
      <w:hyperlink w:anchor="_Toc185252832" w:history="1">
        <w:r w:rsidRPr="005A12AE">
          <w:rPr>
            <w:rStyle w:val="Hyperlink"/>
          </w:rPr>
          <w:t>Definitions</w:t>
        </w:r>
        <w:r>
          <w:rPr>
            <w:webHidden/>
          </w:rPr>
          <w:tab/>
        </w:r>
        <w:r>
          <w:rPr>
            <w:webHidden/>
          </w:rPr>
          <w:fldChar w:fldCharType="begin"/>
        </w:r>
        <w:r>
          <w:rPr>
            <w:webHidden/>
          </w:rPr>
          <w:instrText xml:space="preserve"> PAGEREF _Toc185252832 \h </w:instrText>
        </w:r>
        <w:r>
          <w:rPr>
            <w:webHidden/>
          </w:rPr>
        </w:r>
        <w:r>
          <w:rPr>
            <w:webHidden/>
          </w:rPr>
          <w:fldChar w:fldCharType="separate"/>
        </w:r>
        <w:r w:rsidR="00694160">
          <w:rPr>
            <w:webHidden/>
          </w:rPr>
          <w:t>3</w:t>
        </w:r>
        <w:r>
          <w:rPr>
            <w:webHidden/>
          </w:rPr>
          <w:fldChar w:fldCharType="end"/>
        </w:r>
      </w:hyperlink>
    </w:p>
    <w:p w14:paraId="5E6F90D7" w14:textId="45ADEC9C" w:rsidR="00CE4D23" w:rsidRDefault="00CE4D23">
      <w:pPr>
        <w:pStyle w:val="TOC2"/>
        <w:rPr>
          <w:rFonts w:asciiTheme="minorHAnsi" w:eastAsiaTheme="minorEastAsia" w:hAnsiTheme="minorHAnsi" w:cstheme="minorBidi"/>
          <w:kern w:val="2"/>
          <w:sz w:val="24"/>
          <w:szCs w:val="24"/>
          <w:lang w:eastAsia="en-AU"/>
          <w14:ligatures w14:val="standardContextual"/>
        </w:rPr>
      </w:pPr>
      <w:hyperlink w:anchor="_Toc185252833" w:history="1">
        <w:r w:rsidRPr="005A12AE">
          <w:rPr>
            <w:rStyle w:val="Hyperlink"/>
          </w:rPr>
          <w:t>References</w:t>
        </w:r>
        <w:r>
          <w:rPr>
            <w:webHidden/>
          </w:rPr>
          <w:tab/>
        </w:r>
        <w:r>
          <w:rPr>
            <w:webHidden/>
          </w:rPr>
          <w:fldChar w:fldCharType="begin"/>
        </w:r>
        <w:r>
          <w:rPr>
            <w:webHidden/>
          </w:rPr>
          <w:instrText xml:space="preserve"> PAGEREF _Toc185252833 \h </w:instrText>
        </w:r>
        <w:r>
          <w:rPr>
            <w:webHidden/>
          </w:rPr>
        </w:r>
        <w:r>
          <w:rPr>
            <w:webHidden/>
          </w:rPr>
          <w:fldChar w:fldCharType="separate"/>
        </w:r>
        <w:r w:rsidR="00694160">
          <w:rPr>
            <w:webHidden/>
          </w:rPr>
          <w:t>5</w:t>
        </w:r>
        <w:r>
          <w:rPr>
            <w:webHidden/>
          </w:rPr>
          <w:fldChar w:fldCharType="end"/>
        </w:r>
      </w:hyperlink>
    </w:p>
    <w:bookmarkEnd w:id="0"/>
    <w:p w14:paraId="2E2D54EC" w14:textId="6A689D51" w:rsidR="00580394" w:rsidRPr="00B519CD" w:rsidRDefault="00AD784C"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r>
        <w:fldChar w:fldCharType="end"/>
      </w:r>
    </w:p>
    <w:p w14:paraId="1C1FB369" w14:textId="77777777" w:rsidR="00F32368" w:rsidRPr="00F32368" w:rsidRDefault="00F32368" w:rsidP="00F32368">
      <w:pPr>
        <w:pStyle w:val="Body"/>
      </w:pPr>
      <w:bookmarkStart w:id="1" w:name="_Hlk41913885"/>
    </w:p>
    <w:p w14:paraId="4F4B649D" w14:textId="58DD8139" w:rsidR="00A62D44" w:rsidRPr="00B57329" w:rsidRDefault="00966696" w:rsidP="001E0C5D">
      <w:pPr>
        <w:pStyle w:val="Heading2"/>
      </w:pPr>
      <w:bookmarkStart w:id="2" w:name="_Toc185252828"/>
      <w:bookmarkEnd w:id="1"/>
      <w:r>
        <w:t>Background</w:t>
      </w:r>
      <w:bookmarkEnd w:id="2"/>
    </w:p>
    <w:p w14:paraId="72227D47" w14:textId="77777777" w:rsidR="00966696" w:rsidRPr="00966696" w:rsidRDefault="00966696" w:rsidP="00966696">
      <w:pPr>
        <w:rPr>
          <w:rFonts w:eastAsia="Times"/>
        </w:rPr>
      </w:pPr>
      <w:r w:rsidRPr="00966696">
        <w:rPr>
          <w:rFonts w:eastAsia="Times"/>
        </w:rPr>
        <w:t>The Blood Matters Program assists health services to ensure blood and blood products are administered to patients appropriately and safely in accordance with best practice guidelines.</w:t>
      </w:r>
    </w:p>
    <w:p w14:paraId="302CF5B2" w14:textId="26488281" w:rsidR="00966696" w:rsidRDefault="00966696" w:rsidP="00966696">
      <w:pPr>
        <w:rPr>
          <w:rFonts w:eastAsia="Times"/>
        </w:rPr>
      </w:pPr>
      <w:r w:rsidRPr="00966696">
        <w:rPr>
          <w:rFonts w:eastAsia="Times"/>
        </w:rPr>
        <w:t>The Serious Transfusion Incident Reporting (STIR) system has received an increase in notifications for wrong blood in tube</w:t>
      </w:r>
      <w:r w:rsidR="000922F2">
        <w:rPr>
          <w:rFonts w:eastAsia="Times"/>
        </w:rPr>
        <w:t xml:space="preserve"> (</w:t>
      </w:r>
      <w:r w:rsidR="000922F2" w:rsidRPr="000922F2">
        <w:rPr>
          <w:rFonts w:eastAsia="Times"/>
        </w:rPr>
        <w:t>WBIT</w:t>
      </w:r>
      <w:r w:rsidRPr="00966696">
        <w:rPr>
          <w:rFonts w:eastAsia="Times"/>
        </w:rPr>
        <w:t>) and incorrect blood component transfused</w:t>
      </w:r>
      <w:r w:rsidR="000922F2" w:rsidRPr="000922F2">
        <w:t xml:space="preserve"> </w:t>
      </w:r>
      <w:r w:rsidR="000922F2">
        <w:t>(</w:t>
      </w:r>
      <w:r w:rsidR="000922F2" w:rsidRPr="000922F2">
        <w:rPr>
          <w:rFonts w:eastAsia="Times"/>
        </w:rPr>
        <w:t>IBCT</w:t>
      </w:r>
      <w:r w:rsidRPr="00966696">
        <w:rPr>
          <w:rFonts w:eastAsia="Times"/>
        </w:rPr>
        <w:t>) in FY 2024</w:t>
      </w:r>
      <w:r w:rsidR="002C055C">
        <w:rPr>
          <w:rFonts w:eastAsia="Times"/>
        </w:rPr>
        <w:t xml:space="preserve"> </w:t>
      </w:r>
      <w:r w:rsidR="002C055C" w:rsidRPr="002C055C">
        <w:rPr>
          <w:rFonts w:eastAsia="Times"/>
        </w:rPr>
        <w:t>(see table 1 below)</w:t>
      </w:r>
      <w:r w:rsidRPr="00966696">
        <w:rPr>
          <w:rFonts w:eastAsia="Times"/>
        </w:rPr>
        <w:t xml:space="preserve">. </w:t>
      </w:r>
      <w:r w:rsidR="00842A0A">
        <w:rPr>
          <w:rFonts w:eastAsia="Times"/>
        </w:rPr>
        <w:t xml:space="preserve">Fortunately, </w:t>
      </w:r>
      <w:r w:rsidRPr="00966696">
        <w:rPr>
          <w:rFonts w:eastAsia="Times"/>
        </w:rPr>
        <w:t>ABO incompatible transfusions</w:t>
      </w:r>
      <w:r w:rsidR="00D523B0">
        <w:rPr>
          <w:rFonts w:eastAsia="Times"/>
        </w:rPr>
        <w:t>, a form of IB</w:t>
      </w:r>
      <w:r w:rsidR="00842A0A">
        <w:rPr>
          <w:rFonts w:eastAsia="Times"/>
        </w:rPr>
        <w:t>C</w:t>
      </w:r>
      <w:r w:rsidR="00D523B0">
        <w:rPr>
          <w:rFonts w:eastAsia="Times"/>
        </w:rPr>
        <w:t>T</w:t>
      </w:r>
      <w:r w:rsidR="00842A0A">
        <w:rPr>
          <w:rFonts w:eastAsia="Times"/>
        </w:rPr>
        <w:t xml:space="preserve"> with the potential for significant morbidity and mortality</w:t>
      </w:r>
      <w:r w:rsidR="00D523B0">
        <w:rPr>
          <w:rFonts w:eastAsia="Times"/>
        </w:rPr>
        <w:t>,</w:t>
      </w:r>
      <w:r w:rsidRPr="00966696">
        <w:rPr>
          <w:rFonts w:eastAsia="Times"/>
        </w:rPr>
        <w:t xml:space="preserve"> are </w:t>
      </w:r>
      <w:r w:rsidR="00D523B0">
        <w:rPr>
          <w:rFonts w:eastAsia="Times"/>
        </w:rPr>
        <w:t>reported infrequently</w:t>
      </w:r>
      <w:r w:rsidR="00842A0A">
        <w:rPr>
          <w:rFonts w:eastAsia="Times"/>
        </w:rPr>
        <w:t>; however,</w:t>
      </w:r>
      <w:r w:rsidRPr="00966696">
        <w:rPr>
          <w:rFonts w:eastAsia="Times"/>
        </w:rPr>
        <w:t xml:space="preserve"> STIR </w:t>
      </w:r>
      <w:r w:rsidR="00842A0A">
        <w:rPr>
          <w:rFonts w:eastAsia="Times"/>
        </w:rPr>
        <w:t>continues to</w:t>
      </w:r>
      <w:r w:rsidR="00842A0A" w:rsidRPr="00966696">
        <w:rPr>
          <w:rFonts w:eastAsia="Times"/>
        </w:rPr>
        <w:t xml:space="preserve"> </w:t>
      </w:r>
      <w:r w:rsidRPr="00966696">
        <w:rPr>
          <w:rFonts w:eastAsia="Times"/>
        </w:rPr>
        <w:t>receive reports of components administered to a patient other than the intended patient</w:t>
      </w:r>
      <w:r w:rsidR="000A5988">
        <w:rPr>
          <w:rFonts w:eastAsia="Times"/>
        </w:rPr>
        <w:t xml:space="preserve">. </w:t>
      </w:r>
      <w:r w:rsidRPr="00966696">
        <w:rPr>
          <w:rFonts w:eastAsia="Times"/>
        </w:rPr>
        <w:t xml:space="preserve">This indicates there is improvement to be made in the areas of patient identification and the pretransfusion check. </w:t>
      </w:r>
    </w:p>
    <w:p w14:paraId="736DCA2C" w14:textId="58D592AA" w:rsidR="00966696" w:rsidRPr="00966696" w:rsidRDefault="00966696" w:rsidP="00966696">
      <w:pPr>
        <w:pStyle w:val="Tablecaption"/>
      </w:pPr>
      <w:r w:rsidRPr="00966696">
        <w:t>Table 1 WBIT and IBCT events for the financial years 2022 to 2024</w:t>
      </w:r>
    </w:p>
    <w:tbl>
      <w:tblPr>
        <w:tblStyle w:val="TableGrid"/>
        <w:tblW w:w="0" w:type="auto"/>
        <w:tblLook w:val="04A0" w:firstRow="1" w:lastRow="0" w:firstColumn="1" w:lastColumn="0" w:noHBand="0" w:noVBand="1"/>
      </w:tblPr>
      <w:tblGrid>
        <w:gridCol w:w="3005"/>
        <w:gridCol w:w="3005"/>
        <w:gridCol w:w="3006"/>
      </w:tblGrid>
      <w:tr w:rsidR="00966696" w14:paraId="1C326737" w14:textId="77777777" w:rsidTr="00DC779B">
        <w:tc>
          <w:tcPr>
            <w:tcW w:w="3005" w:type="dxa"/>
          </w:tcPr>
          <w:p w14:paraId="3C1C21A0" w14:textId="77777777" w:rsidR="00966696" w:rsidRDefault="00966696" w:rsidP="00966696">
            <w:pPr>
              <w:pStyle w:val="Tablecolhead"/>
              <w:rPr>
                <w:rFonts w:cs="Arial"/>
                <w:sz w:val="24"/>
                <w:szCs w:val="24"/>
              </w:rPr>
            </w:pPr>
            <w:r w:rsidRPr="00966696">
              <w:t>Year</w:t>
            </w:r>
          </w:p>
        </w:tc>
        <w:tc>
          <w:tcPr>
            <w:tcW w:w="3005" w:type="dxa"/>
          </w:tcPr>
          <w:p w14:paraId="1E42CA86" w14:textId="77777777" w:rsidR="00966696" w:rsidRDefault="00966696" w:rsidP="00966696">
            <w:pPr>
              <w:pStyle w:val="Tablecolhead"/>
              <w:rPr>
                <w:rFonts w:cs="Arial"/>
                <w:sz w:val="24"/>
                <w:szCs w:val="24"/>
              </w:rPr>
            </w:pPr>
            <w:r w:rsidRPr="00966696">
              <w:t xml:space="preserve">WBIT </w:t>
            </w:r>
          </w:p>
        </w:tc>
        <w:tc>
          <w:tcPr>
            <w:tcW w:w="3006" w:type="dxa"/>
          </w:tcPr>
          <w:p w14:paraId="03603087" w14:textId="77777777" w:rsidR="00966696" w:rsidRDefault="00966696" w:rsidP="00966696">
            <w:pPr>
              <w:pStyle w:val="Tablecolhead"/>
              <w:rPr>
                <w:rFonts w:cs="Arial"/>
                <w:sz w:val="24"/>
                <w:szCs w:val="24"/>
              </w:rPr>
            </w:pPr>
            <w:r w:rsidRPr="00966696">
              <w:t xml:space="preserve">IBCT </w:t>
            </w:r>
          </w:p>
        </w:tc>
      </w:tr>
      <w:tr w:rsidR="00966696" w14:paraId="757C9315" w14:textId="77777777" w:rsidTr="00DC779B">
        <w:tc>
          <w:tcPr>
            <w:tcW w:w="3005" w:type="dxa"/>
          </w:tcPr>
          <w:p w14:paraId="54AE56FC" w14:textId="77777777" w:rsidR="00966696" w:rsidRPr="00966696" w:rsidRDefault="00966696" w:rsidP="00DC779B">
            <w:pPr>
              <w:rPr>
                <w:rFonts w:cs="Arial"/>
                <w:szCs w:val="21"/>
              </w:rPr>
            </w:pPr>
            <w:r w:rsidRPr="00966696">
              <w:rPr>
                <w:rFonts w:cs="Arial"/>
                <w:szCs w:val="21"/>
              </w:rPr>
              <w:t>2023-2024</w:t>
            </w:r>
          </w:p>
        </w:tc>
        <w:tc>
          <w:tcPr>
            <w:tcW w:w="3005" w:type="dxa"/>
          </w:tcPr>
          <w:p w14:paraId="3F4BEF9E" w14:textId="77777777" w:rsidR="00966696" w:rsidRPr="00966696" w:rsidRDefault="00966696" w:rsidP="00DC779B">
            <w:pPr>
              <w:rPr>
                <w:rFonts w:cs="Arial"/>
                <w:szCs w:val="21"/>
              </w:rPr>
            </w:pPr>
            <w:r w:rsidRPr="00966696">
              <w:rPr>
                <w:rFonts w:cs="Arial"/>
                <w:szCs w:val="21"/>
              </w:rPr>
              <w:t>36</w:t>
            </w:r>
          </w:p>
        </w:tc>
        <w:tc>
          <w:tcPr>
            <w:tcW w:w="3006" w:type="dxa"/>
          </w:tcPr>
          <w:p w14:paraId="5F3453B8" w14:textId="77777777" w:rsidR="00966696" w:rsidRPr="00966696" w:rsidRDefault="00966696" w:rsidP="00DC779B">
            <w:pPr>
              <w:rPr>
                <w:rFonts w:cs="Arial"/>
                <w:szCs w:val="21"/>
              </w:rPr>
            </w:pPr>
            <w:r w:rsidRPr="00966696">
              <w:rPr>
                <w:rFonts w:cs="Arial"/>
                <w:szCs w:val="21"/>
              </w:rPr>
              <w:t>15</w:t>
            </w:r>
          </w:p>
        </w:tc>
      </w:tr>
      <w:tr w:rsidR="00966696" w14:paraId="075A6267" w14:textId="77777777" w:rsidTr="00DC779B">
        <w:tc>
          <w:tcPr>
            <w:tcW w:w="3005" w:type="dxa"/>
          </w:tcPr>
          <w:p w14:paraId="47237348" w14:textId="77777777" w:rsidR="00966696" w:rsidRPr="00966696" w:rsidRDefault="00966696" w:rsidP="00DC779B">
            <w:pPr>
              <w:rPr>
                <w:rFonts w:cs="Arial"/>
                <w:szCs w:val="21"/>
              </w:rPr>
            </w:pPr>
            <w:r w:rsidRPr="00966696">
              <w:rPr>
                <w:rFonts w:cs="Arial"/>
                <w:szCs w:val="21"/>
              </w:rPr>
              <w:t>2022-2023</w:t>
            </w:r>
          </w:p>
        </w:tc>
        <w:tc>
          <w:tcPr>
            <w:tcW w:w="3005" w:type="dxa"/>
          </w:tcPr>
          <w:p w14:paraId="360A654D" w14:textId="77777777" w:rsidR="00966696" w:rsidRPr="00966696" w:rsidRDefault="00966696" w:rsidP="00DC779B">
            <w:pPr>
              <w:rPr>
                <w:rFonts w:cs="Arial"/>
                <w:szCs w:val="21"/>
              </w:rPr>
            </w:pPr>
            <w:r w:rsidRPr="00966696">
              <w:rPr>
                <w:rFonts w:cs="Arial"/>
                <w:szCs w:val="21"/>
              </w:rPr>
              <w:t>27</w:t>
            </w:r>
          </w:p>
        </w:tc>
        <w:tc>
          <w:tcPr>
            <w:tcW w:w="3006" w:type="dxa"/>
          </w:tcPr>
          <w:p w14:paraId="47DD1423" w14:textId="77777777" w:rsidR="00966696" w:rsidRPr="00966696" w:rsidRDefault="00966696" w:rsidP="00DC779B">
            <w:pPr>
              <w:rPr>
                <w:rFonts w:cs="Arial"/>
                <w:szCs w:val="21"/>
              </w:rPr>
            </w:pPr>
            <w:r w:rsidRPr="00966696">
              <w:rPr>
                <w:rFonts w:cs="Arial"/>
                <w:szCs w:val="21"/>
              </w:rPr>
              <w:t>10</w:t>
            </w:r>
          </w:p>
        </w:tc>
      </w:tr>
      <w:tr w:rsidR="00966696" w14:paraId="2A189F69" w14:textId="77777777" w:rsidTr="00DC779B">
        <w:tc>
          <w:tcPr>
            <w:tcW w:w="3005" w:type="dxa"/>
          </w:tcPr>
          <w:p w14:paraId="317DBB2C" w14:textId="77777777" w:rsidR="00966696" w:rsidRPr="00966696" w:rsidRDefault="00966696" w:rsidP="00DC779B">
            <w:pPr>
              <w:rPr>
                <w:rFonts w:cs="Arial"/>
                <w:szCs w:val="21"/>
              </w:rPr>
            </w:pPr>
            <w:r w:rsidRPr="00966696">
              <w:rPr>
                <w:rFonts w:cs="Arial"/>
                <w:szCs w:val="21"/>
              </w:rPr>
              <w:t>2021-2022</w:t>
            </w:r>
          </w:p>
        </w:tc>
        <w:tc>
          <w:tcPr>
            <w:tcW w:w="3005" w:type="dxa"/>
          </w:tcPr>
          <w:p w14:paraId="3F8251D7" w14:textId="77777777" w:rsidR="00966696" w:rsidRPr="00966696" w:rsidRDefault="00966696" w:rsidP="00DC779B">
            <w:pPr>
              <w:rPr>
                <w:rFonts w:cs="Arial"/>
                <w:szCs w:val="21"/>
              </w:rPr>
            </w:pPr>
            <w:r w:rsidRPr="00966696">
              <w:rPr>
                <w:rFonts w:cs="Arial"/>
                <w:szCs w:val="21"/>
              </w:rPr>
              <w:t>22</w:t>
            </w:r>
          </w:p>
        </w:tc>
        <w:tc>
          <w:tcPr>
            <w:tcW w:w="3006" w:type="dxa"/>
          </w:tcPr>
          <w:p w14:paraId="058A6A31" w14:textId="77777777" w:rsidR="00966696" w:rsidRPr="00966696" w:rsidRDefault="00966696" w:rsidP="00DC779B">
            <w:pPr>
              <w:rPr>
                <w:rFonts w:cs="Arial"/>
                <w:szCs w:val="21"/>
              </w:rPr>
            </w:pPr>
            <w:r w:rsidRPr="00966696">
              <w:rPr>
                <w:rFonts w:cs="Arial"/>
                <w:szCs w:val="21"/>
              </w:rPr>
              <w:t>15</w:t>
            </w:r>
          </w:p>
        </w:tc>
      </w:tr>
    </w:tbl>
    <w:p w14:paraId="4899E8AA" w14:textId="77777777" w:rsidR="00630F03" w:rsidRDefault="00630F03" w:rsidP="00966696">
      <w:pPr>
        <w:rPr>
          <w:rFonts w:cs="Arial"/>
          <w:szCs w:val="21"/>
        </w:rPr>
      </w:pPr>
    </w:p>
    <w:p w14:paraId="53B5FBF3" w14:textId="6B87822D" w:rsidR="00966696" w:rsidRPr="00966696" w:rsidRDefault="00966696" w:rsidP="00966696">
      <w:pPr>
        <w:rPr>
          <w:rFonts w:cs="Arial"/>
          <w:szCs w:val="21"/>
        </w:rPr>
      </w:pPr>
      <w:r w:rsidRPr="00966696">
        <w:rPr>
          <w:rFonts w:cs="Arial"/>
          <w:szCs w:val="21"/>
        </w:rPr>
        <w:t xml:space="preserve">Patient identification and the matching of a patient to an intended treatment is performed routinely in all care settings. The development of safety routines for this common but critical task, help prevent mistakes that can cause harm or death  </w:t>
      </w:r>
      <w:hyperlink r:id="rId16" w:history="1">
        <w:r w:rsidRPr="00966696">
          <w:rPr>
            <w:rStyle w:val="Hyperlink"/>
            <w:rFonts w:cs="Arial"/>
            <w:szCs w:val="21"/>
          </w:rPr>
          <w:t>(National Safety and Quality Health Service Standards, 2021)</w:t>
        </w:r>
      </w:hyperlink>
      <w:r w:rsidRPr="00966696">
        <w:rPr>
          <w:szCs w:val="21"/>
        </w:rPr>
        <w:t xml:space="preserve"> </w:t>
      </w:r>
      <w:r w:rsidRPr="00966696">
        <w:rPr>
          <w:rFonts w:cs="Arial"/>
          <w:szCs w:val="21"/>
        </w:rPr>
        <w:t>&lt;https://www.safetyandquality.gov.au/our-work/communicating-safety/patient-identification&gt;.</w:t>
      </w:r>
    </w:p>
    <w:p w14:paraId="078F6C9A" w14:textId="77777777" w:rsidR="00966696" w:rsidRPr="00966696" w:rsidRDefault="00966696" w:rsidP="00966696">
      <w:pPr>
        <w:rPr>
          <w:rFonts w:cs="Arial"/>
          <w:szCs w:val="21"/>
        </w:rPr>
      </w:pPr>
      <w:r w:rsidRPr="00966696">
        <w:rPr>
          <w:rFonts w:cs="Arial"/>
          <w:szCs w:val="21"/>
        </w:rPr>
        <w:lastRenderedPageBreak/>
        <w:t>The pretransfusion checking procedure, which includes positive patient identification and blood component matching, is the last chance to ensure the right blood component is transfused to the right patient at the right time.</w:t>
      </w:r>
    </w:p>
    <w:p w14:paraId="244602D3" w14:textId="5598D45D" w:rsidR="00966696" w:rsidRPr="00966696" w:rsidRDefault="00966696" w:rsidP="00966696">
      <w:pPr>
        <w:rPr>
          <w:rFonts w:cs="Arial"/>
          <w:szCs w:val="21"/>
        </w:rPr>
      </w:pPr>
      <w:r w:rsidRPr="00966696">
        <w:rPr>
          <w:rFonts w:cs="Arial"/>
          <w:szCs w:val="21"/>
        </w:rPr>
        <w:t xml:space="preserve">Commonly staff have undertaken </w:t>
      </w:r>
      <w:r w:rsidR="003D4B2A">
        <w:rPr>
          <w:rFonts w:cs="Arial"/>
          <w:szCs w:val="21"/>
        </w:rPr>
        <w:t>a</w:t>
      </w:r>
      <w:r w:rsidRPr="00966696">
        <w:rPr>
          <w:rFonts w:cs="Arial"/>
          <w:szCs w:val="21"/>
        </w:rPr>
        <w:t xml:space="preserve"> shared pretransfusion checking procedure where one person reads information aloud from one source and another checks that information against another source, which is not aligned with current guidelines and best practice.</w:t>
      </w:r>
    </w:p>
    <w:p w14:paraId="2CE718F1" w14:textId="6317D7E3" w:rsidR="00966696" w:rsidRPr="00966696" w:rsidRDefault="00966696" w:rsidP="00966696">
      <w:pPr>
        <w:rPr>
          <w:rFonts w:cs="Arial"/>
          <w:szCs w:val="21"/>
        </w:rPr>
      </w:pPr>
      <w:hyperlink r:id="rId17" w:history="1">
        <w:r w:rsidRPr="00966696">
          <w:rPr>
            <w:rStyle w:val="Hyperlink"/>
            <w:rFonts w:cs="Arial"/>
            <w:szCs w:val="21"/>
          </w:rPr>
          <w:t>The ANZSBT Guidelines for the Administration of Blood Products 3</w:t>
        </w:r>
        <w:r w:rsidRPr="00966696">
          <w:rPr>
            <w:rStyle w:val="Hyperlink"/>
            <w:rFonts w:cs="Arial"/>
            <w:szCs w:val="21"/>
            <w:vertAlign w:val="superscript"/>
          </w:rPr>
          <w:t>rd</w:t>
        </w:r>
        <w:r w:rsidRPr="00966696">
          <w:rPr>
            <w:rStyle w:val="Hyperlink"/>
            <w:rFonts w:cs="Arial"/>
            <w:szCs w:val="21"/>
          </w:rPr>
          <w:t xml:space="preserve"> edition (2024) </w:t>
        </w:r>
      </w:hyperlink>
      <w:r w:rsidRPr="00DE4D9F">
        <w:rPr>
          <w:rFonts w:eastAsia="Times"/>
        </w:rPr>
        <w:t xml:space="preserve">&lt;https://anzsbt.org.au/wp-content/uploads/2024/02/Guidelines-for-the-Administration-of-Blood-Products-revised-Feb-2024.pdf&gt; </w:t>
      </w:r>
      <w:r w:rsidRPr="00966696">
        <w:rPr>
          <w:rFonts w:cs="Arial"/>
          <w:szCs w:val="21"/>
        </w:rPr>
        <w:t>outline the requirements for positive patient identification, double independent checking and the</w:t>
      </w:r>
      <w:r w:rsidRPr="00966696">
        <w:rPr>
          <w:szCs w:val="21"/>
        </w:rPr>
        <w:t xml:space="preserve"> </w:t>
      </w:r>
      <w:r w:rsidRPr="00966696">
        <w:rPr>
          <w:rFonts w:cs="Arial"/>
          <w:szCs w:val="21"/>
        </w:rPr>
        <w:t>pretransfusion checking procedure. Double independent checking was first included in the</w:t>
      </w:r>
      <w:r w:rsidR="003D4B2A">
        <w:rPr>
          <w:rFonts w:cs="Arial"/>
          <w:szCs w:val="21"/>
        </w:rPr>
        <w:t>se</w:t>
      </w:r>
      <w:r w:rsidRPr="00966696">
        <w:rPr>
          <w:rFonts w:cs="Arial"/>
          <w:szCs w:val="21"/>
        </w:rPr>
        <w:t xml:space="preserve"> guidelines</w:t>
      </w:r>
      <w:r w:rsidR="003D4B2A">
        <w:rPr>
          <w:rFonts w:cs="Arial"/>
          <w:szCs w:val="21"/>
        </w:rPr>
        <w:t xml:space="preserve"> in 2018</w:t>
      </w:r>
      <w:r w:rsidRPr="00966696">
        <w:rPr>
          <w:rFonts w:cs="Arial"/>
          <w:szCs w:val="21"/>
        </w:rPr>
        <w:t xml:space="preserve"> to minimise the risk of error at the final check before transfusion.</w:t>
      </w:r>
    </w:p>
    <w:p w14:paraId="36E6531E" w14:textId="5BA9CA26" w:rsidR="00966696" w:rsidRPr="00DE4D9F" w:rsidRDefault="00DE4D9F" w:rsidP="00966696">
      <w:pPr>
        <w:rPr>
          <w:rFonts w:eastAsia="Times"/>
          <w:b/>
          <w:bCs/>
        </w:rPr>
      </w:pPr>
      <w:r w:rsidRPr="00DE4D9F">
        <w:rPr>
          <w:rFonts w:eastAsia="Times"/>
          <w:b/>
          <w:bCs/>
        </w:rPr>
        <w:t>Double independent checking: Clinicians individually and without requiring direct involvement of each other, check the prescription, patient and blood and blood product identification, and blood and blood product characteristics (including expiry, compatibility and special requirements (if any)). This process must ensure that each clinician is individually satisfied that, and responsible for, the correct product/ component is transfused in the correct way to the correct patient. The clinicians must agree before the transfusion is commenced.</w:t>
      </w:r>
    </w:p>
    <w:p w14:paraId="6472A1EA" w14:textId="112C135C" w:rsidR="00DE4D9F" w:rsidRDefault="00DE4D9F" w:rsidP="00966696">
      <w:pPr>
        <w:rPr>
          <w:rFonts w:eastAsia="Times"/>
        </w:rPr>
      </w:pPr>
      <w:r w:rsidRPr="00DE4D9F">
        <w:rPr>
          <w:rFonts w:eastAsia="Times"/>
        </w:rPr>
        <w:t>Health services should have policies and procedures for blood administration that are aligned with national guidelines.</w:t>
      </w:r>
    </w:p>
    <w:p w14:paraId="1A0B962D" w14:textId="385A3CC5" w:rsidR="00DE4D9F" w:rsidRDefault="00DE4D9F" w:rsidP="00DE4D9F">
      <w:pPr>
        <w:pStyle w:val="Heading2"/>
      </w:pPr>
      <w:bookmarkStart w:id="3" w:name="_Toc185252829"/>
      <w:r>
        <w:t>Aims</w:t>
      </w:r>
      <w:bookmarkEnd w:id="3"/>
    </w:p>
    <w:p w14:paraId="385C3883" w14:textId="6272F208" w:rsidR="00DE4D9F" w:rsidRPr="00DE4D9F" w:rsidRDefault="00DE4D9F" w:rsidP="00BA24DE">
      <w:pPr>
        <w:pStyle w:val="Body"/>
      </w:pPr>
      <w:r w:rsidRPr="00DE4D9F">
        <w:t>To identify if health service blood administration policies</w:t>
      </w:r>
      <w:r w:rsidR="00731D3D">
        <w:t xml:space="preserve"> and practices are consistent with</w:t>
      </w:r>
      <w:r w:rsidRPr="00DE4D9F">
        <w:t xml:space="preserve"> </w:t>
      </w:r>
      <w:r w:rsidR="00731D3D" w:rsidRPr="00DE4D9F">
        <w:t>the Australian and New Zealand Society of Blood Transfusion (ANZSBT) Guidelines for the administration of blood products 3rd edition (2024).</w:t>
      </w:r>
      <w:r w:rsidR="00731D3D">
        <w:t xml:space="preserve"> </w:t>
      </w:r>
    </w:p>
    <w:p w14:paraId="48A049C1" w14:textId="1696A32B" w:rsidR="00C37031" w:rsidRPr="00C37031" w:rsidRDefault="00C37031" w:rsidP="00C37031">
      <w:pPr>
        <w:pStyle w:val="Heading2"/>
      </w:pPr>
      <w:bookmarkStart w:id="4" w:name="_Toc185252830"/>
      <w:r w:rsidRPr="00C37031">
        <w:t>Objectives</w:t>
      </w:r>
      <w:bookmarkEnd w:id="4"/>
    </w:p>
    <w:p w14:paraId="483A5DD6" w14:textId="6EBBF5FE" w:rsidR="00C37031" w:rsidRPr="00C37031" w:rsidRDefault="00C37031" w:rsidP="00C37031">
      <w:pPr>
        <w:pStyle w:val="Bulletafternumbers1"/>
      </w:pPr>
      <w:r w:rsidRPr="00C37031">
        <w:t>To determine if health services have pretransfusion checking procedures and protocols, incorporating positive patient identification and double independent checking and alignment with the ANZSBT Guidelines for the administration of blood products (2024)</w:t>
      </w:r>
    </w:p>
    <w:p w14:paraId="022EA3BA" w14:textId="77777777" w:rsidR="00C37031" w:rsidRPr="00C37031" w:rsidRDefault="00C37031" w:rsidP="00C37031">
      <w:pPr>
        <w:pStyle w:val="Bulletafternumbers1"/>
      </w:pPr>
      <w:r w:rsidRPr="00C37031">
        <w:t>To observe clinical staff performing pretransfusion checks to determine if double independent checking and positive patient identification as defined by ANZSBT guidelines is undertaken prior to blood component administration.</w:t>
      </w:r>
    </w:p>
    <w:p w14:paraId="27209EB8" w14:textId="2BFE5D86" w:rsidR="00C37031" w:rsidRDefault="00C37031" w:rsidP="00C37031">
      <w:pPr>
        <w:pStyle w:val="Heading2"/>
      </w:pPr>
      <w:bookmarkStart w:id="5" w:name="_Toc185252831"/>
      <w:r>
        <w:t>Method</w:t>
      </w:r>
      <w:bookmarkEnd w:id="5"/>
    </w:p>
    <w:p w14:paraId="2975BE9B" w14:textId="77777777" w:rsidR="00C37031" w:rsidRDefault="00C37031" w:rsidP="00C37031">
      <w:pPr>
        <w:pStyle w:val="Body"/>
      </w:pPr>
      <w:r>
        <w:t>The audit comprises two parts:</w:t>
      </w:r>
    </w:p>
    <w:p w14:paraId="251DF7E8" w14:textId="0B10234E" w:rsidR="00C37031" w:rsidRDefault="00C37031" w:rsidP="00C37031">
      <w:pPr>
        <w:pStyle w:val="Body"/>
      </w:pPr>
      <w:r w:rsidRPr="00C37031">
        <w:rPr>
          <w:b/>
          <w:bCs/>
        </w:rPr>
        <w:t>Part A</w:t>
      </w:r>
      <w:r>
        <w:t xml:space="preserve"> – Audit of health service blood administration policy, specifically pretransfusion checking procedure, to determine if it is aligned with the ANZSBT Guidelines for the administration of blood products (2024). Part A is to be completed once for each health service.</w:t>
      </w:r>
    </w:p>
    <w:p w14:paraId="09BC5095" w14:textId="77777777" w:rsidR="00C37031" w:rsidRDefault="00C37031" w:rsidP="00C37031">
      <w:pPr>
        <w:pStyle w:val="Body"/>
      </w:pPr>
      <w:r w:rsidRPr="00C37031">
        <w:rPr>
          <w:b/>
          <w:bCs/>
        </w:rPr>
        <w:t>Part B</w:t>
      </w:r>
      <w:r>
        <w:t xml:space="preserve"> – Observation of the pretransfusion patient identification and component check prior to blood administration. Part B is to be completed for up to 20 individual, randomly selected patients who receive a transfusion between 1 March 2025 to 30 April 2025.</w:t>
      </w:r>
    </w:p>
    <w:p w14:paraId="186C1AAE" w14:textId="77777777" w:rsidR="00C37031" w:rsidRDefault="00C37031" w:rsidP="00C37031">
      <w:pPr>
        <w:pStyle w:val="Body"/>
      </w:pPr>
      <w:r>
        <w:t xml:space="preserve">Inclusions: all patients receiving a transfusion that do not have an active massive haemorrhage protocol (MHP) or critical bleeding event. </w:t>
      </w:r>
    </w:p>
    <w:p w14:paraId="64D145AD" w14:textId="064841AF" w:rsidR="00DE4D9F" w:rsidRPr="00DE4D9F" w:rsidRDefault="00C37031" w:rsidP="00C37031">
      <w:pPr>
        <w:pStyle w:val="Body"/>
      </w:pPr>
      <w:r>
        <w:t>Exclude: Patients with activated MHP or critical bleeding event.</w:t>
      </w:r>
    </w:p>
    <w:p w14:paraId="02199952" w14:textId="24463B43" w:rsidR="00C37031" w:rsidRPr="00C37031" w:rsidRDefault="00C37031" w:rsidP="00C37031">
      <w:pPr>
        <w:rPr>
          <w:rFonts w:cs="Arial"/>
          <w:szCs w:val="21"/>
        </w:rPr>
      </w:pPr>
      <w:r w:rsidRPr="00C37031">
        <w:rPr>
          <w:rFonts w:cs="Arial"/>
          <w:szCs w:val="21"/>
        </w:rPr>
        <w:lastRenderedPageBreak/>
        <w:t xml:space="preserve">Data entry </w:t>
      </w:r>
      <w:r w:rsidR="00333C91">
        <w:rPr>
          <w:rFonts w:cs="Arial"/>
          <w:szCs w:val="21"/>
        </w:rPr>
        <w:t xml:space="preserve">is open and available </w:t>
      </w:r>
      <w:r w:rsidRPr="00C37031">
        <w:rPr>
          <w:rFonts w:cs="Arial"/>
          <w:szCs w:val="21"/>
        </w:rPr>
        <w:t xml:space="preserve">to be completed </w:t>
      </w:r>
      <w:r w:rsidR="00333C91">
        <w:rPr>
          <w:rFonts w:cs="Arial"/>
          <w:szCs w:val="21"/>
        </w:rPr>
        <w:t xml:space="preserve">from </w:t>
      </w:r>
      <w:r w:rsidR="00BA24DE">
        <w:rPr>
          <w:rFonts w:cs="Arial"/>
          <w:szCs w:val="21"/>
        </w:rPr>
        <w:t>1</w:t>
      </w:r>
      <w:r w:rsidR="00333C91">
        <w:rPr>
          <w:rFonts w:cs="Arial"/>
          <w:szCs w:val="21"/>
        </w:rPr>
        <w:t xml:space="preserve"> March to</w:t>
      </w:r>
      <w:r w:rsidRPr="00C37031">
        <w:rPr>
          <w:rFonts w:cs="Arial"/>
          <w:szCs w:val="21"/>
        </w:rPr>
        <w:t xml:space="preserve"> 12 </w:t>
      </w:r>
      <w:r w:rsidR="00077CFD">
        <w:rPr>
          <w:rFonts w:cs="Arial"/>
          <w:szCs w:val="21"/>
        </w:rPr>
        <w:t>May</w:t>
      </w:r>
      <w:r w:rsidRPr="00C37031">
        <w:rPr>
          <w:rFonts w:cs="Arial"/>
          <w:szCs w:val="21"/>
        </w:rPr>
        <w:t xml:space="preserve"> 2025.</w:t>
      </w:r>
    </w:p>
    <w:p w14:paraId="2B1B83E1" w14:textId="77777777" w:rsidR="00C37031" w:rsidRPr="00FF38CA" w:rsidRDefault="00C37031" w:rsidP="00C37031">
      <w:pPr>
        <w:rPr>
          <w:rFonts w:cs="Arial"/>
          <w:szCs w:val="21"/>
        </w:rPr>
      </w:pPr>
      <w:r w:rsidRPr="00FF38CA">
        <w:rPr>
          <w:rFonts w:cs="Arial"/>
          <w:szCs w:val="21"/>
        </w:rPr>
        <w:t>Data entry is electronic using REDcap.</w:t>
      </w:r>
    </w:p>
    <w:p w14:paraId="599F2535" w14:textId="3B49F23A" w:rsidR="00C37031" w:rsidRPr="00FF38CA" w:rsidRDefault="00C37031" w:rsidP="00C37031">
      <w:pPr>
        <w:rPr>
          <w:rFonts w:cs="Arial"/>
          <w:szCs w:val="21"/>
        </w:rPr>
      </w:pPr>
      <w:r w:rsidRPr="00FF38CA">
        <w:rPr>
          <w:rFonts w:cs="Arial"/>
          <w:szCs w:val="21"/>
        </w:rPr>
        <w:t>Part A &lt;</w:t>
      </w:r>
      <w:r w:rsidR="00694160">
        <w:rPr>
          <w:rFonts w:cs="Arial"/>
          <w:szCs w:val="21"/>
        </w:rPr>
        <w:t xml:space="preserve"> </w:t>
      </w:r>
      <w:hyperlink r:id="rId18" w:history="1">
        <w:r w:rsidR="00694160" w:rsidRPr="00E964D9">
          <w:rPr>
            <w:rStyle w:val="Hyperlink"/>
            <w:rFonts w:cs="Arial"/>
            <w:szCs w:val="21"/>
          </w:rPr>
          <w:t>https://redcap.lifeblood.com.au/surveys/?s=YP98FY4PPXPAYDDM</w:t>
        </w:r>
      </w:hyperlink>
      <w:r w:rsidR="00017737" w:rsidRPr="00FF38CA">
        <w:rPr>
          <w:rFonts w:cs="Arial"/>
          <w:szCs w:val="21"/>
        </w:rPr>
        <w:t>&gt;</w:t>
      </w:r>
    </w:p>
    <w:p w14:paraId="15D9B4CF" w14:textId="5DB4D47E" w:rsidR="00694160" w:rsidRDefault="00C37031" w:rsidP="00C37031">
      <w:pPr>
        <w:rPr>
          <w:rFonts w:cs="Arial"/>
          <w:szCs w:val="21"/>
        </w:rPr>
      </w:pPr>
      <w:r w:rsidRPr="00FF38CA">
        <w:rPr>
          <w:rFonts w:cs="Arial"/>
          <w:szCs w:val="21"/>
        </w:rPr>
        <w:t>Part B &lt;</w:t>
      </w:r>
      <w:r w:rsidR="00017737" w:rsidRPr="00FF38CA">
        <w:rPr>
          <w:rFonts w:cs="Arial"/>
          <w:szCs w:val="21"/>
        </w:rPr>
        <w:t xml:space="preserve"> </w:t>
      </w:r>
      <w:hyperlink r:id="rId19" w:history="1">
        <w:r w:rsidR="00694160" w:rsidRPr="00E964D9">
          <w:rPr>
            <w:rStyle w:val="Hyperlink"/>
            <w:rFonts w:cs="Arial"/>
            <w:szCs w:val="21"/>
          </w:rPr>
          <w:t>https://redcap.lifeblood.com.au/surveys/?s=FCMXAYTHMXYC3JAC</w:t>
        </w:r>
      </w:hyperlink>
      <w:r w:rsidR="00017737">
        <w:rPr>
          <w:rFonts w:cs="Arial"/>
          <w:szCs w:val="21"/>
        </w:rPr>
        <w:t>&gt;</w:t>
      </w:r>
    </w:p>
    <w:p w14:paraId="003E884C" w14:textId="69B31280" w:rsidR="00C37031" w:rsidRPr="00C37031" w:rsidRDefault="00C37031" w:rsidP="00C37031">
      <w:pPr>
        <w:rPr>
          <w:rFonts w:cs="Arial"/>
          <w:szCs w:val="21"/>
        </w:rPr>
      </w:pPr>
      <w:r w:rsidRPr="00C37031">
        <w:rPr>
          <w:rFonts w:cs="Arial"/>
          <w:szCs w:val="21"/>
        </w:rPr>
        <w:t>A data collection tool has been provided to assist in the collection of data prior to entry.</w:t>
      </w:r>
    </w:p>
    <w:p w14:paraId="79FF89CC" w14:textId="77777777" w:rsidR="00C37031" w:rsidRPr="00C37031" w:rsidRDefault="00C37031" w:rsidP="00C37031">
      <w:pPr>
        <w:rPr>
          <w:rFonts w:cs="Arial"/>
          <w:szCs w:val="21"/>
        </w:rPr>
      </w:pPr>
      <w:r w:rsidRPr="00C37031">
        <w:rPr>
          <w:rFonts w:cs="Arial"/>
          <w:szCs w:val="21"/>
        </w:rPr>
        <w:t>When entering data for part B, it is not necessary to input all records at once. However, it is necessary to complete all questions for an individual patient.</w:t>
      </w:r>
    </w:p>
    <w:p w14:paraId="5B564E2C" w14:textId="77777777" w:rsidR="00C37031" w:rsidRPr="00C37031" w:rsidRDefault="00C37031" w:rsidP="00C37031">
      <w:pPr>
        <w:rPr>
          <w:rFonts w:cs="Arial"/>
          <w:szCs w:val="21"/>
        </w:rPr>
      </w:pPr>
      <w:r w:rsidRPr="00C37031">
        <w:rPr>
          <w:rFonts w:cs="Arial"/>
          <w:szCs w:val="21"/>
        </w:rPr>
        <w:t>If experiencing problems entering data or if you have questions, please contact Blood Matters on 03</w:t>
      </w:r>
      <w:r w:rsidRPr="00333C91">
        <w:t xml:space="preserve"> </w:t>
      </w:r>
      <w:r w:rsidRPr="00C37031">
        <w:rPr>
          <w:rFonts w:cs="Arial"/>
          <w:szCs w:val="21"/>
        </w:rPr>
        <w:t xml:space="preserve">9694 0102 or email </w:t>
      </w:r>
      <w:hyperlink r:id="rId20" w:history="1">
        <w:r w:rsidRPr="00C37031">
          <w:rPr>
            <w:rStyle w:val="Hyperlink"/>
            <w:rFonts w:cs="Arial"/>
            <w:szCs w:val="21"/>
          </w:rPr>
          <w:t>bloodmatters@redcrossblood.org.au</w:t>
        </w:r>
      </w:hyperlink>
      <w:r w:rsidRPr="00C37031">
        <w:rPr>
          <w:rFonts w:cs="Arial"/>
          <w:szCs w:val="21"/>
        </w:rPr>
        <w:t xml:space="preserve">  </w:t>
      </w:r>
    </w:p>
    <w:p w14:paraId="09B6007C" w14:textId="030E18F0" w:rsidR="00DE4D9F" w:rsidRPr="00DE4D9F" w:rsidRDefault="00C37031" w:rsidP="00DE4D9F">
      <w:pPr>
        <w:rPr>
          <w:rFonts w:eastAsia="Times"/>
        </w:rPr>
      </w:pPr>
      <w:r w:rsidRPr="00C37031">
        <w:rPr>
          <w:rFonts w:eastAsia="Times"/>
        </w:rPr>
        <w:t>Victorian health services are expected (as outlined in the Victorian Department of Health Policy and Funding agreement) to complete both part A &amp; B.</w:t>
      </w:r>
    </w:p>
    <w:p w14:paraId="1AE4A76E" w14:textId="75A0472B" w:rsidR="00DE4D9F" w:rsidRPr="00C37031" w:rsidRDefault="00C37031" w:rsidP="00C37031">
      <w:pPr>
        <w:pStyle w:val="Heading2"/>
      </w:pPr>
      <w:bookmarkStart w:id="6" w:name="_Toc185252832"/>
      <w:r w:rsidRPr="00C37031">
        <w:t>Definitions</w:t>
      </w:r>
      <w:bookmarkEnd w:id="6"/>
    </w:p>
    <w:tbl>
      <w:tblPr>
        <w:tblStyle w:val="TableGrid"/>
        <w:tblW w:w="0" w:type="auto"/>
        <w:tblLook w:val="04A0" w:firstRow="1" w:lastRow="0" w:firstColumn="1" w:lastColumn="0" w:noHBand="0" w:noVBand="1"/>
      </w:tblPr>
      <w:tblGrid>
        <w:gridCol w:w="3539"/>
        <w:gridCol w:w="5477"/>
      </w:tblGrid>
      <w:tr w:rsidR="00C37031" w:rsidRPr="00C37031" w14:paraId="2DD23D73" w14:textId="77777777" w:rsidTr="00DF01A3">
        <w:trPr>
          <w:cantSplit/>
          <w:tblHeader/>
        </w:trPr>
        <w:tc>
          <w:tcPr>
            <w:tcW w:w="3539" w:type="dxa"/>
          </w:tcPr>
          <w:p w14:paraId="52ACCCB9" w14:textId="05181A2C" w:rsidR="00C37031" w:rsidRPr="00C37031" w:rsidRDefault="00C37031" w:rsidP="00C37031">
            <w:pPr>
              <w:pStyle w:val="Tablecolhead"/>
              <w:rPr>
                <w:rFonts w:eastAsia="Times"/>
              </w:rPr>
            </w:pPr>
            <w:r w:rsidRPr="00C37031">
              <w:t>Element</w:t>
            </w:r>
          </w:p>
        </w:tc>
        <w:tc>
          <w:tcPr>
            <w:tcW w:w="5477" w:type="dxa"/>
          </w:tcPr>
          <w:p w14:paraId="4A36A7DA" w14:textId="7EA58AF0" w:rsidR="00C37031" w:rsidRPr="00C37031" w:rsidRDefault="00C37031" w:rsidP="00C37031">
            <w:pPr>
              <w:pStyle w:val="Tablecolhead"/>
              <w:rPr>
                <w:rFonts w:eastAsia="Times"/>
              </w:rPr>
            </w:pPr>
            <w:r w:rsidRPr="00C37031">
              <w:t>How it is defined</w:t>
            </w:r>
          </w:p>
        </w:tc>
      </w:tr>
      <w:tr w:rsidR="00C37031" w:rsidRPr="00C37031" w14:paraId="0BFE073A" w14:textId="77777777" w:rsidTr="00DF01A3">
        <w:trPr>
          <w:cantSplit/>
        </w:trPr>
        <w:tc>
          <w:tcPr>
            <w:tcW w:w="3539" w:type="dxa"/>
          </w:tcPr>
          <w:p w14:paraId="07434154" w14:textId="77777777" w:rsidR="00C37031" w:rsidRPr="00C37031" w:rsidRDefault="00C37031" w:rsidP="00C37031">
            <w:pPr>
              <w:rPr>
                <w:rFonts w:eastAsia="Times"/>
              </w:rPr>
            </w:pPr>
            <w:r w:rsidRPr="00C37031">
              <w:t>Blood components</w:t>
            </w:r>
          </w:p>
        </w:tc>
        <w:tc>
          <w:tcPr>
            <w:tcW w:w="5477" w:type="dxa"/>
          </w:tcPr>
          <w:p w14:paraId="3A2DD981" w14:textId="77777777" w:rsidR="00C37031" w:rsidRPr="00C37031" w:rsidRDefault="00C37031" w:rsidP="00C37031">
            <w:pPr>
              <w:rPr>
                <w:rFonts w:eastAsia="Times"/>
              </w:rPr>
            </w:pPr>
            <w:r w:rsidRPr="00C37031">
              <w:rPr>
                <w:rFonts w:eastAsia="Times"/>
              </w:rPr>
              <w:t>Refers to fresh blood components - red blood cells, platelets, fresh frozen plasma, cryoprecipitate.</w:t>
            </w:r>
          </w:p>
        </w:tc>
      </w:tr>
      <w:tr w:rsidR="00C37031" w:rsidRPr="00C37031" w14:paraId="063A4AFF" w14:textId="77777777" w:rsidTr="00DF01A3">
        <w:trPr>
          <w:cantSplit/>
        </w:trPr>
        <w:tc>
          <w:tcPr>
            <w:tcW w:w="3539" w:type="dxa"/>
          </w:tcPr>
          <w:p w14:paraId="2B67FBFC" w14:textId="77777777" w:rsidR="00C37031" w:rsidRPr="00C37031" w:rsidRDefault="00C37031" w:rsidP="00C37031">
            <w:pPr>
              <w:rPr>
                <w:rFonts w:eastAsia="Times"/>
              </w:rPr>
            </w:pPr>
            <w:r w:rsidRPr="00C37031">
              <w:rPr>
                <w:rFonts w:eastAsia="Times"/>
              </w:rPr>
              <w:t>Blood products</w:t>
            </w:r>
          </w:p>
        </w:tc>
        <w:tc>
          <w:tcPr>
            <w:tcW w:w="5477" w:type="dxa"/>
          </w:tcPr>
          <w:p w14:paraId="4F3ACA10" w14:textId="77777777" w:rsidR="00C37031" w:rsidRPr="00C37031" w:rsidRDefault="00C37031" w:rsidP="00C37031">
            <w:pPr>
              <w:rPr>
                <w:rFonts w:eastAsia="Times"/>
              </w:rPr>
            </w:pPr>
            <w:r w:rsidRPr="00C37031">
              <w:rPr>
                <w:rFonts w:eastAsia="Times"/>
              </w:rPr>
              <w:t>Refers to fractionated plasma products such as immunoglobulins, albumin, clotting factors.</w:t>
            </w:r>
          </w:p>
          <w:p w14:paraId="1D66A7A6" w14:textId="77777777" w:rsidR="00C37031" w:rsidRPr="00C37031" w:rsidRDefault="00C37031" w:rsidP="00C37031">
            <w:pPr>
              <w:rPr>
                <w:rFonts w:eastAsia="Times"/>
              </w:rPr>
            </w:pPr>
            <w:r w:rsidRPr="00C37031">
              <w:rPr>
                <w:rFonts w:eastAsia="Times"/>
              </w:rPr>
              <w:t>*Please note the ANZSBT guidelines use the term blood product as an all-encompassing term for both blood components and fractionated products.</w:t>
            </w:r>
          </w:p>
        </w:tc>
      </w:tr>
      <w:tr w:rsidR="00C37031" w:rsidRPr="00C37031" w14:paraId="76A402F3" w14:textId="77777777" w:rsidTr="00DF01A3">
        <w:trPr>
          <w:cantSplit/>
        </w:trPr>
        <w:tc>
          <w:tcPr>
            <w:tcW w:w="3539" w:type="dxa"/>
          </w:tcPr>
          <w:p w14:paraId="055BDB40" w14:textId="77777777" w:rsidR="00C37031" w:rsidRPr="00C37031" w:rsidRDefault="00C37031" w:rsidP="00C37031">
            <w:pPr>
              <w:rPr>
                <w:rFonts w:eastAsia="Times"/>
              </w:rPr>
            </w:pPr>
            <w:r w:rsidRPr="00C37031">
              <w:rPr>
                <w:rFonts w:eastAsia="Times"/>
              </w:rPr>
              <w:t>Positive patient identification</w:t>
            </w:r>
          </w:p>
        </w:tc>
        <w:tc>
          <w:tcPr>
            <w:tcW w:w="5477" w:type="dxa"/>
          </w:tcPr>
          <w:p w14:paraId="2FF6EC16" w14:textId="5E5C8E3E" w:rsidR="00C37031" w:rsidRPr="00C37031" w:rsidRDefault="00FE00BE" w:rsidP="00A74987">
            <w:pPr>
              <w:rPr>
                <w:rFonts w:eastAsia="Times"/>
              </w:rPr>
            </w:pPr>
            <w:r w:rsidRPr="00FE00BE">
              <w:rPr>
                <w:rFonts w:eastAsia="Times"/>
              </w:rPr>
              <w:t>‘Positive patient identification’ is correctly identifying a patient to ensure that the right person receives their intended care.</w:t>
            </w:r>
            <w:r w:rsidR="00C37031" w:rsidRPr="00C37031">
              <w:rPr>
                <w:rFonts w:eastAsia="Times"/>
              </w:rPr>
              <w:t xml:space="preserve"> This involves the following:</w:t>
            </w:r>
          </w:p>
          <w:p w14:paraId="2ECBC68F" w14:textId="6D5AE02F" w:rsidR="00C37031" w:rsidRPr="00C37031" w:rsidRDefault="00C37031" w:rsidP="00BA24DE">
            <w:pPr>
              <w:numPr>
                <w:ilvl w:val="0"/>
                <w:numId w:val="45"/>
              </w:numPr>
              <w:rPr>
                <w:rFonts w:eastAsia="Times"/>
              </w:rPr>
            </w:pPr>
            <w:r w:rsidRPr="00C37031">
              <w:rPr>
                <w:rFonts w:eastAsia="Times"/>
              </w:rPr>
              <w:t>Ask the patient (if conscious and competent) to state and spell their family name and given name in full, and their date of birth (DOB</w:t>
            </w:r>
            <w:r w:rsidR="00694160" w:rsidRPr="00C37031">
              <w:rPr>
                <w:rFonts w:eastAsia="Times"/>
              </w:rPr>
              <w:t>).</w:t>
            </w:r>
            <w:r w:rsidRPr="00C37031">
              <w:rPr>
                <w:rFonts w:eastAsia="Times"/>
              </w:rPr>
              <w:t xml:space="preserve"> </w:t>
            </w:r>
          </w:p>
          <w:p w14:paraId="5A8D2920" w14:textId="36A70A44" w:rsidR="00C37031" w:rsidRPr="00C37031" w:rsidRDefault="00C37031" w:rsidP="00BA24DE">
            <w:pPr>
              <w:numPr>
                <w:ilvl w:val="0"/>
                <w:numId w:val="45"/>
              </w:numPr>
              <w:rPr>
                <w:rFonts w:eastAsia="Times"/>
              </w:rPr>
            </w:pPr>
            <w:r w:rsidRPr="00C37031">
              <w:rPr>
                <w:rFonts w:eastAsia="Times"/>
              </w:rPr>
              <w:t>ensure that the stated family name and given names and DOB are identical to those on the identification band.</w:t>
            </w:r>
          </w:p>
          <w:p w14:paraId="746F8DE8" w14:textId="4141B2E9" w:rsidR="00C37031" w:rsidRPr="00C37031" w:rsidRDefault="00C37031" w:rsidP="00BA24DE">
            <w:pPr>
              <w:numPr>
                <w:ilvl w:val="0"/>
                <w:numId w:val="45"/>
              </w:numPr>
              <w:rPr>
                <w:rFonts w:eastAsia="Times"/>
              </w:rPr>
            </w:pPr>
            <w:r w:rsidRPr="00C37031">
              <w:rPr>
                <w:rFonts w:eastAsia="Times"/>
              </w:rPr>
              <w:t>If the patient is unable to state and spell their name, ask a parent, guardian or carer (if present and able to do so) to verify the patient’s identity; ensure that the stated family name and given name and DOB are identical to those on the identification band.</w:t>
            </w:r>
          </w:p>
        </w:tc>
      </w:tr>
      <w:tr w:rsidR="00C37031" w:rsidRPr="00C37031" w14:paraId="10121541" w14:textId="77777777" w:rsidTr="00DF01A3">
        <w:trPr>
          <w:cantSplit/>
        </w:trPr>
        <w:tc>
          <w:tcPr>
            <w:tcW w:w="3539" w:type="dxa"/>
          </w:tcPr>
          <w:p w14:paraId="0D122648" w14:textId="77777777" w:rsidR="00C37031" w:rsidRPr="00C37031" w:rsidRDefault="00C37031" w:rsidP="00C37031">
            <w:pPr>
              <w:rPr>
                <w:rFonts w:eastAsia="Times"/>
              </w:rPr>
            </w:pPr>
            <w:r w:rsidRPr="00C37031">
              <w:rPr>
                <w:rFonts w:eastAsia="Times"/>
              </w:rPr>
              <w:lastRenderedPageBreak/>
              <w:t>Double independent checking</w:t>
            </w:r>
          </w:p>
        </w:tc>
        <w:tc>
          <w:tcPr>
            <w:tcW w:w="5477" w:type="dxa"/>
          </w:tcPr>
          <w:p w14:paraId="0C535154" w14:textId="2CF676AD" w:rsidR="00C37031" w:rsidRPr="00C37031" w:rsidRDefault="00A74987" w:rsidP="00C37031">
            <w:pPr>
              <w:rPr>
                <w:rFonts w:eastAsia="Times"/>
              </w:rPr>
            </w:pPr>
            <w:r>
              <w:rPr>
                <w:rFonts w:eastAsia="Times"/>
              </w:rPr>
              <w:t>A defined process where t</w:t>
            </w:r>
            <w:r w:rsidR="00C37031" w:rsidRPr="00C37031">
              <w:rPr>
                <w:rFonts w:eastAsia="Times"/>
              </w:rPr>
              <w:t xml:space="preserve">wo clinicians individually and without requiring direct involvement of each other, check the prescription, patient and blood component identification, and blood component characteristics (including expiry, compatibility and special requirements, if any). </w:t>
            </w:r>
          </w:p>
          <w:p w14:paraId="7363CDB1" w14:textId="77777777" w:rsidR="00C37031" w:rsidRPr="00C37031" w:rsidRDefault="00C37031" w:rsidP="00C37031">
            <w:pPr>
              <w:rPr>
                <w:rFonts w:eastAsia="Times"/>
              </w:rPr>
            </w:pPr>
            <w:r w:rsidRPr="00C37031">
              <w:rPr>
                <w:rFonts w:eastAsia="Times"/>
              </w:rPr>
              <w:t>This process must ensure that each clinician is individually satisfied that, and responsible for, the correct component is transfused in the correct way to the correct patient.</w:t>
            </w:r>
          </w:p>
          <w:p w14:paraId="56D6F8C2" w14:textId="0633946E" w:rsidR="00C37031" w:rsidRPr="00C37031" w:rsidRDefault="00C37031" w:rsidP="00C37031">
            <w:pPr>
              <w:rPr>
                <w:rFonts w:eastAsia="Times"/>
              </w:rPr>
            </w:pPr>
            <w:r w:rsidRPr="00C37031">
              <w:rPr>
                <w:rFonts w:eastAsia="Times"/>
              </w:rPr>
              <w:t>The clinicians must agree before the transfusion is commenced. (ANZSBT Guidelines for the administration of blood products 3</w:t>
            </w:r>
            <w:r w:rsidRPr="00C37031">
              <w:rPr>
                <w:rFonts w:eastAsia="Times"/>
                <w:vertAlign w:val="superscript"/>
              </w:rPr>
              <w:t>rd</w:t>
            </w:r>
            <w:r w:rsidRPr="00C37031">
              <w:rPr>
                <w:rFonts w:eastAsia="Times"/>
              </w:rPr>
              <w:t xml:space="preserve"> edition,2024)</w:t>
            </w:r>
          </w:p>
        </w:tc>
      </w:tr>
      <w:tr w:rsidR="00C37031" w:rsidRPr="00C37031" w14:paraId="7E086701" w14:textId="77777777" w:rsidTr="00DF01A3">
        <w:trPr>
          <w:cantSplit/>
        </w:trPr>
        <w:tc>
          <w:tcPr>
            <w:tcW w:w="3539" w:type="dxa"/>
          </w:tcPr>
          <w:p w14:paraId="20C60BDF" w14:textId="77777777" w:rsidR="00C37031" w:rsidRPr="00C37031" w:rsidRDefault="00C37031" w:rsidP="00C37031">
            <w:pPr>
              <w:rPr>
                <w:rFonts w:eastAsia="Times"/>
              </w:rPr>
            </w:pPr>
            <w:r w:rsidRPr="00C37031">
              <w:rPr>
                <w:rFonts w:eastAsia="Times"/>
              </w:rPr>
              <w:t>DOB</w:t>
            </w:r>
          </w:p>
        </w:tc>
        <w:tc>
          <w:tcPr>
            <w:tcW w:w="5477" w:type="dxa"/>
          </w:tcPr>
          <w:p w14:paraId="68C238C2" w14:textId="77777777" w:rsidR="00C37031" w:rsidRPr="00C37031" w:rsidRDefault="00C37031" w:rsidP="00C37031">
            <w:pPr>
              <w:rPr>
                <w:rFonts w:eastAsia="Times"/>
              </w:rPr>
            </w:pPr>
            <w:r w:rsidRPr="00C37031">
              <w:rPr>
                <w:rFonts w:eastAsia="Times"/>
              </w:rPr>
              <w:t>Date of birth</w:t>
            </w:r>
          </w:p>
        </w:tc>
      </w:tr>
      <w:tr w:rsidR="00C37031" w:rsidRPr="00C37031" w14:paraId="5380C6EF" w14:textId="77777777" w:rsidTr="00DF01A3">
        <w:trPr>
          <w:cantSplit/>
        </w:trPr>
        <w:tc>
          <w:tcPr>
            <w:tcW w:w="3539" w:type="dxa"/>
          </w:tcPr>
          <w:p w14:paraId="23648D39" w14:textId="77777777" w:rsidR="00C37031" w:rsidRPr="00C37031" w:rsidRDefault="00C37031" w:rsidP="00C37031">
            <w:pPr>
              <w:rPr>
                <w:rFonts w:eastAsia="Times"/>
              </w:rPr>
            </w:pPr>
            <w:r w:rsidRPr="00C37031">
              <w:rPr>
                <w:rFonts w:eastAsia="Times"/>
              </w:rPr>
              <w:t>MRN</w:t>
            </w:r>
          </w:p>
        </w:tc>
        <w:tc>
          <w:tcPr>
            <w:tcW w:w="5477" w:type="dxa"/>
          </w:tcPr>
          <w:p w14:paraId="638A80EC" w14:textId="77777777" w:rsidR="00C37031" w:rsidRPr="00C37031" w:rsidRDefault="00C37031" w:rsidP="00C37031">
            <w:pPr>
              <w:rPr>
                <w:rFonts w:eastAsia="Times"/>
              </w:rPr>
            </w:pPr>
            <w:r w:rsidRPr="00C37031">
              <w:rPr>
                <w:rFonts w:eastAsia="Times"/>
              </w:rPr>
              <w:t>Medical record number</w:t>
            </w:r>
          </w:p>
        </w:tc>
      </w:tr>
      <w:tr w:rsidR="00C37031" w:rsidRPr="00C37031" w14:paraId="5D60E309" w14:textId="77777777" w:rsidTr="00DF01A3">
        <w:trPr>
          <w:cantSplit/>
        </w:trPr>
        <w:tc>
          <w:tcPr>
            <w:tcW w:w="3539" w:type="dxa"/>
          </w:tcPr>
          <w:p w14:paraId="0E5C9991" w14:textId="77777777" w:rsidR="00C37031" w:rsidRPr="00C37031" w:rsidRDefault="00C37031" w:rsidP="00C37031">
            <w:pPr>
              <w:rPr>
                <w:rFonts w:eastAsia="Times"/>
              </w:rPr>
            </w:pPr>
            <w:r w:rsidRPr="00C37031">
              <w:rPr>
                <w:rFonts w:eastAsia="Times"/>
              </w:rPr>
              <w:t>EMR</w:t>
            </w:r>
          </w:p>
        </w:tc>
        <w:tc>
          <w:tcPr>
            <w:tcW w:w="5477" w:type="dxa"/>
          </w:tcPr>
          <w:p w14:paraId="117C01E2" w14:textId="77777777" w:rsidR="00C37031" w:rsidRPr="00C37031" w:rsidRDefault="00C37031" w:rsidP="00C37031">
            <w:pPr>
              <w:rPr>
                <w:rFonts w:eastAsia="Times"/>
              </w:rPr>
            </w:pPr>
            <w:r w:rsidRPr="00C37031">
              <w:rPr>
                <w:rFonts w:eastAsia="Times"/>
              </w:rPr>
              <w:t>Electronic medical record</w:t>
            </w:r>
          </w:p>
        </w:tc>
      </w:tr>
      <w:tr w:rsidR="00C37031" w:rsidRPr="00C37031" w14:paraId="7B894543" w14:textId="77777777" w:rsidTr="00DF01A3">
        <w:trPr>
          <w:cantSplit/>
        </w:trPr>
        <w:tc>
          <w:tcPr>
            <w:tcW w:w="3539" w:type="dxa"/>
          </w:tcPr>
          <w:p w14:paraId="68F2C95A" w14:textId="77777777" w:rsidR="00C37031" w:rsidRPr="00C37031" w:rsidRDefault="00C37031" w:rsidP="00C37031">
            <w:pPr>
              <w:rPr>
                <w:rFonts w:eastAsia="Times"/>
              </w:rPr>
            </w:pPr>
            <w:r w:rsidRPr="00C37031">
              <w:rPr>
                <w:rFonts w:eastAsia="Times"/>
              </w:rPr>
              <w:t>ID</w:t>
            </w:r>
          </w:p>
        </w:tc>
        <w:tc>
          <w:tcPr>
            <w:tcW w:w="5477" w:type="dxa"/>
          </w:tcPr>
          <w:p w14:paraId="45236FEA" w14:textId="77777777" w:rsidR="00C37031" w:rsidRPr="00C37031" w:rsidRDefault="00C37031" w:rsidP="00C37031">
            <w:pPr>
              <w:rPr>
                <w:rFonts w:eastAsia="Times"/>
              </w:rPr>
            </w:pPr>
            <w:r w:rsidRPr="00C37031">
              <w:rPr>
                <w:rFonts w:eastAsia="Times"/>
              </w:rPr>
              <w:t>Identification</w:t>
            </w:r>
          </w:p>
        </w:tc>
      </w:tr>
      <w:tr w:rsidR="00C37031" w:rsidRPr="00C37031" w14:paraId="315BCF48" w14:textId="77777777" w:rsidTr="00DF01A3">
        <w:trPr>
          <w:cantSplit/>
          <w:trHeight w:val="2134"/>
        </w:trPr>
        <w:tc>
          <w:tcPr>
            <w:tcW w:w="3539" w:type="dxa"/>
          </w:tcPr>
          <w:p w14:paraId="5C3312B3" w14:textId="77777777" w:rsidR="00C37031" w:rsidRPr="00C37031" w:rsidRDefault="00C37031" w:rsidP="00C37031">
            <w:pPr>
              <w:rPr>
                <w:rFonts w:eastAsia="Times"/>
              </w:rPr>
            </w:pPr>
            <w:r w:rsidRPr="00C37031">
              <w:rPr>
                <w:rFonts w:eastAsia="Times"/>
              </w:rPr>
              <w:t>Shared checking</w:t>
            </w:r>
          </w:p>
        </w:tc>
        <w:tc>
          <w:tcPr>
            <w:tcW w:w="5477" w:type="dxa"/>
          </w:tcPr>
          <w:p w14:paraId="2E614481" w14:textId="77777777" w:rsidR="00C37031" w:rsidRPr="00C37031" w:rsidRDefault="00C37031" w:rsidP="00C37031">
            <w:pPr>
              <w:rPr>
                <w:rFonts w:eastAsia="Times"/>
              </w:rPr>
            </w:pPr>
            <w:r w:rsidRPr="00C37031">
              <w:rPr>
                <w:rFonts w:eastAsia="Times"/>
              </w:rPr>
              <w:t xml:space="preserve">This occurs when one staff member reads information from one source e.g. the patient ID band while the other staff member reads the same information from another source e.g. the prescription. </w:t>
            </w:r>
          </w:p>
          <w:p w14:paraId="648DDCC8" w14:textId="77777777" w:rsidR="00C37031" w:rsidRPr="00C37031" w:rsidRDefault="00C37031" w:rsidP="00C37031">
            <w:pPr>
              <w:rPr>
                <w:rFonts w:eastAsia="Times"/>
              </w:rPr>
            </w:pPr>
            <w:r w:rsidRPr="00C37031">
              <w:rPr>
                <w:rFonts w:eastAsia="Times"/>
              </w:rPr>
              <w:t xml:space="preserve">In this case each person has not independently fulfilled the requirements for patient identification. This is not recommended as safe pretransfusion checking. </w:t>
            </w:r>
          </w:p>
        </w:tc>
      </w:tr>
      <w:tr w:rsidR="00C37031" w:rsidRPr="00C37031" w14:paraId="533E5980" w14:textId="77777777" w:rsidTr="00DF01A3">
        <w:trPr>
          <w:cantSplit/>
          <w:trHeight w:val="337"/>
        </w:trPr>
        <w:tc>
          <w:tcPr>
            <w:tcW w:w="3539" w:type="dxa"/>
          </w:tcPr>
          <w:p w14:paraId="2A2BC2D7" w14:textId="77777777" w:rsidR="00C37031" w:rsidRPr="00C37031" w:rsidRDefault="00C37031" w:rsidP="00C37031">
            <w:pPr>
              <w:rPr>
                <w:rFonts w:eastAsia="Times"/>
              </w:rPr>
            </w:pPr>
            <w:r w:rsidRPr="00C37031">
              <w:rPr>
                <w:rFonts w:eastAsia="Times"/>
              </w:rPr>
              <w:t>Family name</w:t>
            </w:r>
          </w:p>
        </w:tc>
        <w:tc>
          <w:tcPr>
            <w:tcW w:w="5477" w:type="dxa"/>
          </w:tcPr>
          <w:p w14:paraId="6BDE8918" w14:textId="77777777" w:rsidR="00C37031" w:rsidRPr="00C37031" w:rsidRDefault="00C37031" w:rsidP="00C37031">
            <w:pPr>
              <w:rPr>
                <w:rFonts w:eastAsia="Times"/>
              </w:rPr>
            </w:pPr>
            <w:r w:rsidRPr="00C37031">
              <w:rPr>
                <w:rFonts w:eastAsia="Times"/>
              </w:rPr>
              <w:t>Surname or last name</w:t>
            </w:r>
          </w:p>
        </w:tc>
      </w:tr>
      <w:tr w:rsidR="00C37031" w:rsidRPr="00C37031" w14:paraId="66B2F53F" w14:textId="77777777" w:rsidTr="00DF01A3">
        <w:trPr>
          <w:cantSplit/>
          <w:trHeight w:val="356"/>
        </w:trPr>
        <w:tc>
          <w:tcPr>
            <w:tcW w:w="3539" w:type="dxa"/>
          </w:tcPr>
          <w:p w14:paraId="19FC600A" w14:textId="77777777" w:rsidR="00C37031" w:rsidRPr="00C37031" w:rsidRDefault="00C37031" w:rsidP="00C37031">
            <w:pPr>
              <w:rPr>
                <w:rFonts w:eastAsia="Times"/>
              </w:rPr>
            </w:pPr>
            <w:r w:rsidRPr="00C37031">
              <w:rPr>
                <w:rFonts w:eastAsia="Times"/>
              </w:rPr>
              <w:t>Given names</w:t>
            </w:r>
          </w:p>
        </w:tc>
        <w:tc>
          <w:tcPr>
            <w:tcW w:w="5477" w:type="dxa"/>
          </w:tcPr>
          <w:p w14:paraId="01FD1FA0" w14:textId="77777777" w:rsidR="00C37031" w:rsidRPr="00C37031" w:rsidRDefault="00C37031" w:rsidP="00C37031">
            <w:pPr>
              <w:rPr>
                <w:rFonts w:eastAsia="Times"/>
              </w:rPr>
            </w:pPr>
            <w:r w:rsidRPr="00C37031">
              <w:rPr>
                <w:rFonts w:eastAsia="Times"/>
              </w:rPr>
              <w:t>First name and/or middle name</w:t>
            </w:r>
          </w:p>
        </w:tc>
      </w:tr>
    </w:tbl>
    <w:p w14:paraId="5E9487C6" w14:textId="77777777" w:rsidR="00BA24DE" w:rsidRDefault="00BA24DE">
      <w:pPr>
        <w:spacing w:after="0" w:line="240" w:lineRule="auto"/>
      </w:pPr>
      <w:bookmarkStart w:id="7" w:name="_Toc185252833"/>
      <w:r>
        <w:br w:type="page"/>
      </w:r>
    </w:p>
    <w:p w14:paraId="42FBBE13" w14:textId="7F8CCFD8" w:rsidR="00B75D6D" w:rsidRPr="00B75D6D" w:rsidRDefault="003B7656">
      <w:pPr>
        <w:spacing w:after="0" w:line="240" w:lineRule="auto"/>
        <w:rPr>
          <w:b/>
          <w:color w:val="53565A"/>
          <w:sz w:val="32"/>
          <w:szCs w:val="28"/>
        </w:rPr>
      </w:pPr>
      <w:r w:rsidRPr="003B7656">
        <w:rPr>
          <w:noProof/>
        </w:rPr>
        <w:lastRenderedPageBreak/>
        <w:drawing>
          <wp:inline distT="0" distB="0" distL="0" distR="0" wp14:anchorId="33DDEF0D" wp14:editId="4BBA7801">
            <wp:extent cx="6001588" cy="8526065"/>
            <wp:effectExtent l="19050" t="19050" r="18415" b="27940"/>
            <wp:docPr id="1807536681" name="Picture 1" descr="A screenshot of a medical check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36681" name="Picture 1" descr="A screenshot of a medical checklist&#10;&#10;Description automatically generated"/>
                    <pic:cNvPicPr/>
                  </pic:nvPicPr>
                  <pic:blipFill>
                    <a:blip r:embed="rId21"/>
                    <a:stretch>
                      <a:fillRect/>
                    </a:stretch>
                  </pic:blipFill>
                  <pic:spPr>
                    <a:xfrm>
                      <a:off x="0" y="0"/>
                      <a:ext cx="6001588" cy="8526065"/>
                    </a:xfrm>
                    <a:prstGeom prst="rect">
                      <a:avLst/>
                    </a:prstGeom>
                    <a:ln>
                      <a:solidFill>
                        <a:schemeClr val="tx1"/>
                      </a:solidFill>
                    </a:ln>
                  </pic:spPr>
                </pic:pic>
              </a:graphicData>
            </a:graphic>
          </wp:inline>
        </w:drawing>
      </w:r>
      <w:hyperlink r:id="rId22" w:history="1">
        <w:r w:rsidR="00B75D6D" w:rsidRPr="00B75D6D">
          <w:rPr>
            <w:rStyle w:val="Hyperlink"/>
            <w:bCs/>
            <w:sz w:val="20"/>
          </w:rPr>
          <w:t>https://www.health.vic.gov.au/patient-care/resources-and-education-blood-transfusion</w:t>
        </w:r>
      </w:hyperlink>
    </w:p>
    <w:p w14:paraId="52A60252" w14:textId="21250D10" w:rsidR="00C37031" w:rsidRPr="00C37031" w:rsidRDefault="00C37031" w:rsidP="00C37031">
      <w:pPr>
        <w:pStyle w:val="Heading2"/>
      </w:pPr>
      <w:r w:rsidRPr="00C37031">
        <w:lastRenderedPageBreak/>
        <w:t>References</w:t>
      </w:r>
      <w:bookmarkEnd w:id="7"/>
    </w:p>
    <w:p w14:paraId="210FCFE9" w14:textId="77777777" w:rsidR="00AA23F0" w:rsidRPr="00DE4D9F" w:rsidRDefault="00AA23F0" w:rsidP="00AA23F0">
      <w:pPr>
        <w:rPr>
          <w:rFonts w:eastAsia="Times"/>
        </w:rPr>
      </w:pPr>
      <w:r w:rsidRPr="00DE4D9F">
        <w:rPr>
          <w:rFonts w:eastAsia="Times"/>
        </w:rPr>
        <w:t xml:space="preserve">Australian Commission on Safety and Quality in Health Care. National Safety and Quality Health Service Standards. 2nd ed. – version 2. Sydney: ACSQHC; 2021. Accessed Nov. 12, 2024. [Online] Available: </w:t>
      </w:r>
      <w:hyperlink r:id="rId23" w:history="1">
        <w:r w:rsidRPr="00DE4D9F">
          <w:rPr>
            <w:rStyle w:val="Hyperlink"/>
            <w:rFonts w:eastAsia="Times"/>
          </w:rPr>
          <w:t>https://www.safetyandquality.gov.au/sites/default/files/2021-05/national_safety_and_quality_health_service_nsqhs_standards_second_edition_-_updated_may_2021.pdf</w:t>
        </w:r>
      </w:hyperlink>
      <w:r w:rsidRPr="00DE4D9F">
        <w:rPr>
          <w:rFonts w:eastAsia="Times"/>
        </w:rPr>
        <w:t xml:space="preserve"> </w:t>
      </w:r>
    </w:p>
    <w:p w14:paraId="76A7E3B3" w14:textId="77777777" w:rsidR="00AA23F0" w:rsidRPr="00DE4D9F" w:rsidRDefault="00AA23F0" w:rsidP="00AA23F0">
      <w:pPr>
        <w:rPr>
          <w:rFonts w:eastAsia="Times"/>
        </w:rPr>
      </w:pPr>
      <w:r w:rsidRPr="00DE4D9F">
        <w:rPr>
          <w:rFonts w:eastAsia="Times"/>
        </w:rPr>
        <w:t xml:space="preserve">Australian commission on safety and quality in health care. National Safety and Quality Health Services Standards. Blood Management Standard. Accessed Sep. 25, 2024. [Online]. Available: </w:t>
      </w:r>
      <w:hyperlink r:id="rId24" w:history="1">
        <w:r w:rsidRPr="00DE4D9F">
          <w:rPr>
            <w:rStyle w:val="Hyperlink"/>
            <w:rFonts w:eastAsia="Times"/>
          </w:rPr>
          <w:t>https://www.safetyandquality.gov.au/standards/nsqhs-standards/blood-management-standard</w:t>
        </w:r>
      </w:hyperlink>
    </w:p>
    <w:p w14:paraId="21D743DD" w14:textId="77777777" w:rsidR="00AA23F0" w:rsidRPr="00DE4D9F" w:rsidRDefault="00AA23F0" w:rsidP="00AA23F0">
      <w:pPr>
        <w:rPr>
          <w:rFonts w:eastAsia="Times"/>
        </w:rPr>
      </w:pPr>
      <w:r w:rsidRPr="00DE4D9F">
        <w:rPr>
          <w:rFonts w:eastAsia="Times"/>
        </w:rPr>
        <w:t xml:space="preserve">Australian commission on safety and quality in health care. National Safety and Quality Health Services Standards. Communicating for Safety Standard Accessed Sep. 25, 2024. [Online]. Available: </w:t>
      </w:r>
      <w:hyperlink r:id="rId25" w:history="1">
        <w:r w:rsidRPr="00DE4D9F">
          <w:rPr>
            <w:rStyle w:val="Hyperlink"/>
            <w:rFonts w:eastAsia="Times"/>
          </w:rPr>
          <w:t>https://www.safetyandquality.gov.au/standards/nsqhs-standards/communicating-safety-standard</w:t>
        </w:r>
      </w:hyperlink>
    </w:p>
    <w:p w14:paraId="5A53363F" w14:textId="77777777" w:rsidR="00AA23F0" w:rsidRPr="00DE4D9F" w:rsidRDefault="00AA23F0" w:rsidP="00AA23F0">
      <w:pPr>
        <w:rPr>
          <w:rFonts w:eastAsia="Times"/>
        </w:rPr>
      </w:pPr>
      <w:r w:rsidRPr="00DE4D9F">
        <w:rPr>
          <w:rFonts w:eastAsia="Times"/>
        </w:rPr>
        <w:t xml:space="preserve">Australian and New Zealand Society of Blood Transfusion. Guidelines for the administration of blood products. 3rd Ed. (2024) [Online]. </w:t>
      </w:r>
      <w:bookmarkStart w:id="8" w:name="_Hlk178157281"/>
      <w:r w:rsidRPr="00DE4D9F">
        <w:rPr>
          <w:rFonts w:eastAsia="Times"/>
        </w:rPr>
        <w:t xml:space="preserve">Accessed Sep. 25, 2024. </w:t>
      </w:r>
      <w:bookmarkEnd w:id="8"/>
      <w:r w:rsidRPr="00DE4D9F">
        <w:rPr>
          <w:rFonts w:eastAsia="Times"/>
        </w:rPr>
        <w:t xml:space="preserve">\Available: </w:t>
      </w:r>
      <w:hyperlink r:id="rId26" w:history="1">
        <w:r w:rsidRPr="00DE4D9F">
          <w:rPr>
            <w:rStyle w:val="Hyperlink"/>
            <w:rFonts w:eastAsia="Times"/>
          </w:rPr>
          <w:t>https://anzsbt.org.au/wp-content/uploads/2024/02/Guidelines-for-the-Administration-of-Blood-Products-revised-Feb-2024.pdf</w:t>
        </w:r>
      </w:hyperlink>
      <w:r w:rsidRPr="00DE4D9F">
        <w:rPr>
          <w:rFonts w:eastAsia="Times"/>
        </w:rPr>
        <w:t xml:space="preserve">   </w:t>
      </w:r>
    </w:p>
    <w:p w14:paraId="2D0F22C1" w14:textId="77777777" w:rsidR="00AA23F0" w:rsidRPr="00C37031" w:rsidRDefault="00AA23F0" w:rsidP="00AA23F0">
      <w:pPr>
        <w:rPr>
          <w:rFonts w:eastAsia="Times"/>
        </w:rPr>
      </w:pPr>
      <w:r w:rsidRPr="00C37031">
        <w:rPr>
          <w:rFonts w:eastAsia="Times"/>
        </w:rPr>
        <w:t xml:space="preserve">BloodSafe SA EMR </w:t>
      </w:r>
      <w:hyperlink r:id="rId27" w:history="1">
        <w:r w:rsidRPr="00C37031">
          <w:rPr>
            <w:rStyle w:val="Hyperlink"/>
            <w:rFonts w:eastAsia="Times"/>
          </w:rPr>
          <w:t>Double independent check</w:t>
        </w:r>
      </w:hyperlink>
      <w:r>
        <w:rPr>
          <w:rFonts w:eastAsia="Times"/>
        </w:rPr>
        <w:t xml:space="preserve"> video &lt;</w:t>
      </w:r>
      <w:r w:rsidRPr="00C37031">
        <w:rPr>
          <w:rFonts w:eastAsia="Times"/>
        </w:rPr>
        <w:t>https://vimeo.com/599951929/ee654d8e61</w:t>
      </w:r>
      <w:r>
        <w:rPr>
          <w:rFonts w:eastAsia="Times"/>
        </w:rPr>
        <w:t>&gt;</w:t>
      </w:r>
    </w:p>
    <w:p w14:paraId="182D1E97" w14:textId="77777777" w:rsidR="00AA23F0" w:rsidRDefault="00AA23F0" w:rsidP="00AA23F0">
      <w:pPr>
        <w:rPr>
          <w:rStyle w:val="Hyperlink"/>
          <w:rFonts w:eastAsia="Times"/>
        </w:rPr>
      </w:pPr>
      <w:hyperlink r:id="rId28" w:history="1">
        <w:r w:rsidRPr="00C37031">
          <w:rPr>
            <w:rStyle w:val="Hyperlink"/>
            <w:rFonts w:eastAsia="Times"/>
          </w:rPr>
          <w:t>Double Independent Checking</w:t>
        </w:r>
        <w:r w:rsidRPr="00D945A8">
          <w:rPr>
            <w:rStyle w:val="Hyperlink"/>
            <w:rFonts w:eastAsia="Times"/>
          </w:rPr>
          <w:t>:</w:t>
        </w:r>
        <w:r w:rsidRPr="00C37031">
          <w:rPr>
            <w:rStyle w:val="Hyperlink"/>
            <w:rFonts w:eastAsia="Times"/>
          </w:rPr>
          <w:t xml:space="preserve"> Transfusion</w:t>
        </w:r>
      </w:hyperlink>
      <w:r>
        <w:rPr>
          <w:rFonts w:eastAsia="Times"/>
        </w:rPr>
        <w:t xml:space="preserve"> -</w:t>
      </w:r>
      <w:r w:rsidRPr="00C37031">
        <w:rPr>
          <w:rFonts w:eastAsia="Times"/>
        </w:rPr>
        <w:t xml:space="preserve"> </w:t>
      </w:r>
      <w:r>
        <w:rPr>
          <w:rFonts w:eastAsia="Times"/>
        </w:rPr>
        <w:t xml:space="preserve">Clinical Excellence Commission New South Wales information sheet </w:t>
      </w:r>
      <w:hyperlink r:id="rId29" w:history="1">
        <w:r w:rsidRPr="00C37031">
          <w:rPr>
            <w:rStyle w:val="Hyperlink"/>
            <w:rFonts w:eastAsia="Times"/>
          </w:rPr>
          <w:t xml:space="preserve">https://www.cec.health.nsw.gov.au/__data/assets/pdf_file/0006/476520/Information-for-Clinicians-Double-Independent-Checking-BW.pdf </w:t>
        </w:r>
      </w:hyperlink>
    </w:p>
    <w:bookmarkStart w:id="9" w:name="_Hlk182299107"/>
    <w:p w14:paraId="7D3A5016" w14:textId="77777777" w:rsidR="00AA23F0" w:rsidRPr="00C37031" w:rsidRDefault="00AA23F0" w:rsidP="00AA23F0">
      <w:pPr>
        <w:rPr>
          <w:rFonts w:eastAsia="Times"/>
        </w:rPr>
      </w:pPr>
      <w:r>
        <w:rPr>
          <w:rFonts w:eastAsia="Times"/>
        </w:rPr>
        <w:fldChar w:fldCharType="begin"/>
      </w:r>
      <w:r>
        <w:rPr>
          <w:rFonts w:eastAsia="Times"/>
        </w:rPr>
        <w:instrText>HYPERLINK "https://vimeo.com/303045235"</w:instrText>
      </w:r>
      <w:r>
        <w:rPr>
          <w:rFonts w:eastAsia="Times"/>
        </w:rPr>
      </w:r>
      <w:r>
        <w:rPr>
          <w:rFonts w:eastAsia="Times"/>
        </w:rPr>
        <w:fldChar w:fldCharType="separate"/>
      </w:r>
      <w:r w:rsidRPr="00C37031">
        <w:rPr>
          <w:rStyle w:val="Hyperlink"/>
          <w:rFonts w:eastAsia="Times"/>
        </w:rPr>
        <w:t>Patient identification and pretransfusion checking</w:t>
      </w:r>
      <w:r>
        <w:rPr>
          <w:rFonts w:eastAsia="Times"/>
        </w:rPr>
        <w:fldChar w:fldCharType="end"/>
      </w:r>
      <w:r>
        <w:rPr>
          <w:rFonts w:eastAsia="Times"/>
        </w:rPr>
        <w:t xml:space="preserve"> video &lt;</w:t>
      </w:r>
      <w:r w:rsidRPr="00C37031">
        <w:rPr>
          <w:rFonts w:eastAsia="Times"/>
        </w:rPr>
        <w:t>https://vimeo.com/303045235</w:t>
      </w:r>
      <w:r>
        <w:rPr>
          <w:rFonts w:eastAsia="Times"/>
        </w:rPr>
        <w:t>&gt;</w:t>
      </w:r>
    </w:p>
    <w:bookmarkEnd w:id="9"/>
    <w:p w14:paraId="411F5108" w14:textId="77777777" w:rsidR="00AA23F0" w:rsidRPr="00C37031" w:rsidRDefault="00AA23F0" w:rsidP="00AA23F0">
      <w:pPr>
        <w:rPr>
          <w:rFonts w:eastAsia="Times"/>
        </w:rPr>
      </w:pPr>
      <w:r>
        <w:fldChar w:fldCharType="begin"/>
      </w:r>
      <w:r>
        <w:instrText>HYPERLINK "https://www.sahealth.sa.gov.au/wps/wcm/connect/39312629-55c8-4e8b-aebe-3b86a4a21945/Pre-Transfusion+Check+non+EMR.pdf?MOD=AJPERES&amp;amp;CACHEID=ROOTWORKSPACE-39312629-55c8-4e8b-aebe-3b86a4a21945-p7.2NBt"</w:instrText>
      </w:r>
      <w:r>
        <w:fldChar w:fldCharType="separate"/>
      </w:r>
      <w:r w:rsidRPr="00C37031">
        <w:rPr>
          <w:rStyle w:val="Hyperlink"/>
          <w:rFonts w:eastAsia="Times"/>
        </w:rPr>
        <w:t>Pre-transfusion check (non EMR)</w:t>
      </w:r>
      <w:r>
        <w:rPr>
          <w:rStyle w:val="Hyperlink"/>
          <w:rFonts w:eastAsia="Times"/>
        </w:rPr>
        <w:fldChar w:fldCharType="end"/>
      </w:r>
      <w:r>
        <w:rPr>
          <w:rFonts w:eastAsia="Times"/>
        </w:rPr>
        <w:t xml:space="preserve"> poster &lt;</w:t>
      </w:r>
      <w:r w:rsidRPr="00C37031">
        <w:rPr>
          <w:rFonts w:eastAsia="Times"/>
        </w:rPr>
        <w:t>https://www.sahealth.sa.gov.au/wps/wcm/connect/39312629-55c8-4e8b-aebe-3b86a4a21945/Pre-Transfusion+Check+non+EMR.pdf?MOD=AJPERES&amp;amp;CACHEID=ROOTWORKSPACE-39312629-55c8-4e8b-aebe-3b86a4a21945-p7.2NBt</w:t>
      </w:r>
      <w:r>
        <w:rPr>
          <w:rFonts w:eastAsia="Times"/>
        </w:rPr>
        <w:t>&gt;</w:t>
      </w:r>
      <w:r w:rsidRPr="00C37031">
        <w:rPr>
          <w:rFonts w:eastAsia="Times"/>
        </w:rPr>
        <w:t xml:space="preserve"> </w:t>
      </w:r>
    </w:p>
    <w:p w14:paraId="3F982ECC" w14:textId="77777777" w:rsidR="00AA23F0" w:rsidRDefault="00AA23F0" w:rsidP="00C37031">
      <w:pPr>
        <w:rPr>
          <w:rFonts w:eastAsia="Times"/>
        </w:rPr>
      </w:pPr>
    </w:p>
    <w:p w14:paraId="681D8A96" w14:textId="77777777" w:rsidR="00F50AB1" w:rsidRDefault="00F50AB1" w:rsidP="00C37031">
      <w:pPr>
        <w:rPr>
          <w:rFonts w:eastAsia="Times"/>
        </w:rPr>
      </w:pPr>
    </w:p>
    <w:p w14:paraId="3CA4818A" w14:textId="77777777" w:rsidR="00AB61E1" w:rsidRDefault="00AB61E1" w:rsidP="00C37031">
      <w:pPr>
        <w:rPr>
          <w:rFonts w:eastAsia="Times"/>
        </w:rPr>
      </w:pPr>
    </w:p>
    <w:p w14:paraId="057CAF50" w14:textId="77777777" w:rsidR="00AB61E1" w:rsidRDefault="00AB61E1" w:rsidP="00C37031">
      <w:pPr>
        <w:rPr>
          <w:rFonts w:eastAsia="Times"/>
        </w:rPr>
      </w:pPr>
    </w:p>
    <w:p w14:paraId="25720EA1" w14:textId="77777777" w:rsidR="00AB61E1" w:rsidRDefault="00AB61E1" w:rsidP="00C37031">
      <w:pPr>
        <w:rPr>
          <w:rFonts w:eastAsia="Times"/>
        </w:rPr>
      </w:pPr>
    </w:p>
    <w:p w14:paraId="58093084" w14:textId="77777777" w:rsidR="00AB61E1" w:rsidRDefault="00AB61E1" w:rsidP="00C37031">
      <w:pPr>
        <w:rPr>
          <w:rFonts w:eastAsia="Times"/>
        </w:rPr>
      </w:pPr>
    </w:p>
    <w:p w14:paraId="2EEB9B67" w14:textId="77777777" w:rsidR="00F50AB1" w:rsidRPr="00C37031" w:rsidRDefault="00F50AB1" w:rsidP="00C37031">
      <w:pPr>
        <w:rPr>
          <w:rFonts w:eastAsia="Times"/>
        </w:rPr>
      </w:pPr>
    </w:p>
    <w:tbl>
      <w:tblPr>
        <w:tblW w:w="0" w:type="auto"/>
        <w:tblLook w:val="04A0" w:firstRow="1" w:lastRow="0" w:firstColumn="1" w:lastColumn="0" w:noHBand="0" w:noVBand="1"/>
      </w:tblPr>
      <w:tblGrid>
        <w:gridCol w:w="10194"/>
      </w:tblGrid>
      <w:tr w:rsidR="0055119B" w14:paraId="36FC55DB" w14:textId="77777777" w:rsidTr="001261E5">
        <w:tc>
          <w:tcPr>
            <w:tcW w:w="10194" w:type="dxa"/>
          </w:tcPr>
          <w:p w14:paraId="30D3E927" w14:textId="44C16133" w:rsidR="0055119B" w:rsidRPr="0055119B" w:rsidRDefault="0055119B" w:rsidP="0055119B">
            <w:pPr>
              <w:pStyle w:val="Accessibilitypara"/>
            </w:pPr>
            <w:bookmarkStart w:id="10" w:name="_Hlk37240926"/>
            <w:r w:rsidRPr="0055119B">
              <w:t>To receive this document in another format</w:t>
            </w:r>
            <w:r>
              <w:t>,</w:t>
            </w:r>
            <w:r w:rsidRPr="0055119B">
              <w:t xml:space="preserve"> phone </w:t>
            </w:r>
            <w:r w:rsidR="00F50AB1" w:rsidRPr="00F50AB1">
              <w:rPr>
                <w:color w:val="004C97"/>
              </w:rPr>
              <w:t>03 9694 0102</w:t>
            </w:r>
            <w:r w:rsidRPr="0055119B">
              <w:t xml:space="preserve">, using the National Relay Service 13 36 77 if required, or email </w:t>
            </w:r>
            <w:hyperlink r:id="rId30" w:history="1">
              <w:r w:rsidR="00F50AB1" w:rsidRPr="00F50AB1">
                <w:rPr>
                  <w:rStyle w:val="Hyperlink"/>
                </w:rPr>
                <w:t>Blood Matters</w:t>
              </w:r>
            </w:hyperlink>
            <w:r w:rsidRPr="0055119B">
              <w:rPr>
                <w:color w:val="004C97"/>
              </w:rPr>
              <w:t xml:space="preserve">, </w:t>
            </w:r>
            <w:r w:rsidRPr="0055119B">
              <w:t>&lt;</w:t>
            </w:r>
            <w:r w:rsidR="00F50AB1">
              <w:t>bloodmatters@redcrossblood.org.au</w:t>
            </w:r>
            <w:r w:rsidRPr="0055119B">
              <w:t>&gt;.</w:t>
            </w:r>
          </w:p>
          <w:p w14:paraId="4CA44852" w14:textId="77777777" w:rsidR="0055119B" w:rsidRPr="0055119B" w:rsidRDefault="0055119B" w:rsidP="00E33237">
            <w:pPr>
              <w:pStyle w:val="Imprint"/>
            </w:pPr>
            <w:r w:rsidRPr="0055119B">
              <w:t>Authorised and published by the Victorian Government, 1 Treasury Place, Melbourne.</w:t>
            </w:r>
          </w:p>
          <w:p w14:paraId="557752BF" w14:textId="3386AA3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B75D6D" w:rsidRPr="00DE43C3">
              <w:t>January</w:t>
            </w:r>
            <w:r w:rsidR="00B75D6D">
              <w:t xml:space="preserve"> </w:t>
            </w:r>
            <w:r w:rsidR="00F50AB1">
              <w:t>2025</w:t>
            </w:r>
            <w:r w:rsidRPr="0055119B">
              <w:t>.</w:t>
            </w:r>
          </w:p>
          <w:p w14:paraId="019516E7" w14:textId="49BAC39C" w:rsidR="0055119B" w:rsidRPr="00DE43C3" w:rsidRDefault="0055119B" w:rsidP="00F50AB1">
            <w:pPr>
              <w:pStyle w:val="Imprint"/>
            </w:pPr>
            <w:r w:rsidRPr="00DE43C3">
              <w:t xml:space="preserve">Except where otherwise indicated, the images in this document show models and illustrative settings only, and do not necessarily depict actual services, facilities or recipients of services. </w:t>
            </w:r>
          </w:p>
          <w:p w14:paraId="133B0767" w14:textId="57D73528" w:rsidR="001261E5" w:rsidRDefault="001261E5" w:rsidP="00F50AB1">
            <w:pPr>
              <w:pStyle w:val="Imprint"/>
            </w:pPr>
            <w:r w:rsidRPr="001261E5">
              <w:rPr>
                <w:b/>
                <w:bCs/>
              </w:rPr>
              <w:t xml:space="preserve">ISBN </w:t>
            </w:r>
            <w:r w:rsidRPr="001261E5">
              <w:t xml:space="preserve">978-1-76131-721-7 </w:t>
            </w:r>
            <w:r w:rsidRPr="001261E5">
              <w:rPr>
                <w:b/>
                <w:bCs/>
              </w:rPr>
              <w:t>(pdf/online/MS word)</w:t>
            </w:r>
            <w:r w:rsidRPr="001261E5">
              <w:t xml:space="preserve"> </w:t>
            </w:r>
          </w:p>
          <w:p w14:paraId="3EB814A2" w14:textId="25DC65D3" w:rsidR="0055119B" w:rsidRDefault="0055119B" w:rsidP="00F50AB1">
            <w:pPr>
              <w:pStyle w:val="Imprint"/>
            </w:pPr>
            <w:r w:rsidRPr="0055119B">
              <w:t xml:space="preserve">Available at </w:t>
            </w:r>
            <w:hyperlink r:id="rId31" w:history="1">
              <w:r w:rsidR="00F50AB1" w:rsidRPr="00F50AB1">
                <w:rPr>
                  <w:rStyle w:val="Hyperlink"/>
                </w:rPr>
                <w:t>Blood Matters Program</w:t>
              </w:r>
            </w:hyperlink>
            <w:r w:rsidR="00F50AB1">
              <w:t xml:space="preserve"> </w:t>
            </w:r>
            <w:r w:rsidRPr="00DE43C3">
              <w:t>&lt;</w:t>
            </w:r>
            <w:r w:rsidR="00F50AB1" w:rsidRPr="00DE43C3">
              <w:t>https://www.health.vic.gov.au/patient-care/blood-matters-program</w:t>
            </w:r>
            <w:r w:rsidRPr="00DE43C3">
              <w:t>&gt;</w:t>
            </w:r>
          </w:p>
        </w:tc>
      </w:tr>
      <w:bookmarkEnd w:id="10"/>
    </w:tbl>
    <w:p w14:paraId="09768595" w14:textId="77777777" w:rsidR="00162CA9" w:rsidRDefault="00162CA9" w:rsidP="00162CA9">
      <w:pPr>
        <w:pStyle w:val="Body"/>
      </w:pPr>
    </w:p>
    <w:sectPr w:rsidR="00162CA9" w:rsidSect="00D5409D">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C5FAD" w14:textId="77777777" w:rsidR="00BA3624" w:rsidRDefault="00BA3624">
      <w:r>
        <w:separator/>
      </w:r>
    </w:p>
  </w:endnote>
  <w:endnote w:type="continuationSeparator" w:id="0">
    <w:p w14:paraId="1CEBD4CE" w14:textId="77777777" w:rsidR="00BA3624" w:rsidRDefault="00B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BDF2"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33708AB6" wp14:editId="7F86404E">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C5DE885" wp14:editId="19AE1DA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96E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5DE88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396E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B16A1"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47B408ED" wp14:editId="60C7389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6A363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B408E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36A363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C3B"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5D330E1" wp14:editId="220705C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ED04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D330E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87ED04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BF3D" w14:textId="77777777" w:rsidR="00BA3624" w:rsidRDefault="00BA3624" w:rsidP="002862F1">
      <w:pPr>
        <w:spacing w:before="120"/>
      </w:pPr>
      <w:r>
        <w:separator/>
      </w:r>
    </w:p>
  </w:footnote>
  <w:footnote w:type="continuationSeparator" w:id="0">
    <w:p w14:paraId="64330C7D" w14:textId="77777777" w:rsidR="00BA3624" w:rsidRDefault="00BA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AB0D"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8B5" w14:textId="2A9708CA" w:rsidR="00E261B3" w:rsidRPr="0051568D" w:rsidRDefault="002251C5" w:rsidP="0011701A">
    <w:pPr>
      <w:pStyle w:val="Header"/>
    </w:pPr>
    <w:r>
      <w:t>2025 audit: Positive patient identification and pretransfusion checking procedure</w:t>
    </w:r>
    <w:r w:rsidDel="002251C5">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077DAB"/>
    <w:multiLevelType w:val="hybridMultilevel"/>
    <w:tmpl w:val="826E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781D6F"/>
    <w:multiLevelType w:val="hybridMultilevel"/>
    <w:tmpl w:val="BD0A9990"/>
    <w:lvl w:ilvl="0" w:tplc="01268260">
      <w:start w:val="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1DD7270"/>
    <w:multiLevelType w:val="hybridMultilevel"/>
    <w:tmpl w:val="0DC48A76"/>
    <w:lvl w:ilvl="0" w:tplc="01268260">
      <w:start w:val="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7B5C31"/>
    <w:multiLevelType w:val="hybridMultilevel"/>
    <w:tmpl w:val="2702DDD2"/>
    <w:lvl w:ilvl="0" w:tplc="01268260">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75253879">
    <w:abstractNumId w:val="10"/>
  </w:num>
  <w:num w:numId="2" w16cid:durableId="1415279553">
    <w:abstractNumId w:val="21"/>
  </w:num>
  <w:num w:numId="3" w16cid:durableId="7985676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5091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60316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8974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506324">
    <w:abstractNumId w:val="25"/>
  </w:num>
  <w:num w:numId="8" w16cid:durableId="30228041">
    <w:abstractNumId w:val="20"/>
  </w:num>
  <w:num w:numId="9" w16cid:durableId="1565525127">
    <w:abstractNumId w:val="24"/>
  </w:num>
  <w:num w:numId="10" w16cid:durableId="92023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2879954">
    <w:abstractNumId w:val="26"/>
  </w:num>
  <w:num w:numId="12" w16cid:durableId="3271002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7858749">
    <w:abstractNumId w:val="22"/>
  </w:num>
  <w:num w:numId="14" w16cid:durableId="7742522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830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6134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6090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800564">
    <w:abstractNumId w:val="28"/>
  </w:num>
  <w:num w:numId="19" w16cid:durableId="16347548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5744347">
    <w:abstractNumId w:val="16"/>
  </w:num>
  <w:num w:numId="21" w16cid:durableId="797114934">
    <w:abstractNumId w:val="13"/>
  </w:num>
  <w:num w:numId="22" w16cid:durableId="16696747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5842464">
    <w:abstractNumId w:val="18"/>
  </w:num>
  <w:num w:numId="24" w16cid:durableId="995037419">
    <w:abstractNumId w:val="29"/>
  </w:num>
  <w:num w:numId="25" w16cid:durableId="1262183983">
    <w:abstractNumId w:val="27"/>
  </w:num>
  <w:num w:numId="26" w16cid:durableId="140077381">
    <w:abstractNumId w:val="23"/>
  </w:num>
  <w:num w:numId="27" w16cid:durableId="1122652623">
    <w:abstractNumId w:val="12"/>
  </w:num>
  <w:num w:numId="28" w16cid:durableId="489061259">
    <w:abstractNumId w:val="30"/>
  </w:num>
  <w:num w:numId="29" w16cid:durableId="2134445455">
    <w:abstractNumId w:val="9"/>
  </w:num>
  <w:num w:numId="30" w16cid:durableId="1927422818">
    <w:abstractNumId w:val="7"/>
  </w:num>
  <w:num w:numId="31" w16cid:durableId="1207140075">
    <w:abstractNumId w:val="6"/>
  </w:num>
  <w:num w:numId="32" w16cid:durableId="655838350">
    <w:abstractNumId w:val="5"/>
  </w:num>
  <w:num w:numId="33" w16cid:durableId="1057897923">
    <w:abstractNumId w:val="4"/>
  </w:num>
  <w:num w:numId="34" w16cid:durableId="973487603">
    <w:abstractNumId w:val="8"/>
  </w:num>
  <w:num w:numId="35" w16cid:durableId="1448041999">
    <w:abstractNumId w:val="3"/>
  </w:num>
  <w:num w:numId="36" w16cid:durableId="971060706">
    <w:abstractNumId w:val="2"/>
  </w:num>
  <w:num w:numId="37" w16cid:durableId="176386104">
    <w:abstractNumId w:val="1"/>
  </w:num>
  <w:num w:numId="38" w16cid:durableId="2041121658">
    <w:abstractNumId w:val="0"/>
  </w:num>
  <w:num w:numId="39" w16cid:durableId="160242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1534790">
    <w:abstractNumId w:val="17"/>
  </w:num>
  <w:num w:numId="41" w16cid:durableId="1260140246">
    <w:abstractNumId w:val="21"/>
  </w:num>
  <w:num w:numId="42" w16cid:durableId="1493182903">
    <w:abstractNumId w:val="14"/>
  </w:num>
  <w:num w:numId="43" w16cid:durableId="1628047861">
    <w:abstractNumId w:val="19"/>
  </w:num>
  <w:num w:numId="44" w16cid:durableId="924386269">
    <w:abstractNumId w:val="21"/>
  </w:num>
  <w:num w:numId="45" w16cid:durableId="142738515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24"/>
    <w:rsid w:val="00000719"/>
    <w:rsid w:val="00003403"/>
    <w:rsid w:val="00005347"/>
    <w:rsid w:val="000072B6"/>
    <w:rsid w:val="0001021B"/>
    <w:rsid w:val="00011D89"/>
    <w:rsid w:val="000154FD"/>
    <w:rsid w:val="0001677A"/>
    <w:rsid w:val="00016FBF"/>
    <w:rsid w:val="00017737"/>
    <w:rsid w:val="00022271"/>
    <w:rsid w:val="000235E8"/>
    <w:rsid w:val="00024D89"/>
    <w:rsid w:val="000250B6"/>
    <w:rsid w:val="000278A3"/>
    <w:rsid w:val="00033D81"/>
    <w:rsid w:val="00037366"/>
    <w:rsid w:val="00037D51"/>
    <w:rsid w:val="00041BF0"/>
    <w:rsid w:val="00042C8A"/>
    <w:rsid w:val="0004536B"/>
    <w:rsid w:val="00046B68"/>
    <w:rsid w:val="000527DD"/>
    <w:rsid w:val="000578B2"/>
    <w:rsid w:val="00060959"/>
    <w:rsid w:val="00060C8F"/>
    <w:rsid w:val="0006298A"/>
    <w:rsid w:val="000663CD"/>
    <w:rsid w:val="00071309"/>
    <w:rsid w:val="00072597"/>
    <w:rsid w:val="000733FE"/>
    <w:rsid w:val="00074219"/>
    <w:rsid w:val="00074ED5"/>
    <w:rsid w:val="00077CFD"/>
    <w:rsid w:val="000835C6"/>
    <w:rsid w:val="0008508E"/>
    <w:rsid w:val="00087951"/>
    <w:rsid w:val="0009113B"/>
    <w:rsid w:val="000922F2"/>
    <w:rsid w:val="00092F53"/>
    <w:rsid w:val="00093402"/>
    <w:rsid w:val="00094DA3"/>
    <w:rsid w:val="00096CD1"/>
    <w:rsid w:val="000A012C"/>
    <w:rsid w:val="000A0EB9"/>
    <w:rsid w:val="000A186C"/>
    <w:rsid w:val="000A1EA4"/>
    <w:rsid w:val="000A2476"/>
    <w:rsid w:val="000A5988"/>
    <w:rsid w:val="000A641A"/>
    <w:rsid w:val="000B3EDB"/>
    <w:rsid w:val="000B543D"/>
    <w:rsid w:val="000B55F9"/>
    <w:rsid w:val="000B5BF7"/>
    <w:rsid w:val="000B6BC8"/>
    <w:rsid w:val="000C0303"/>
    <w:rsid w:val="000C04D1"/>
    <w:rsid w:val="000C42EA"/>
    <w:rsid w:val="000C4546"/>
    <w:rsid w:val="000D08DB"/>
    <w:rsid w:val="000D1242"/>
    <w:rsid w:val="000E0970"/>
    <w:rsid w:val="000E1910"/>
    <w:rsid w:val="000E3CC7"/>
    <w:rsid w:val="000E6BD4"/>
    <w:rsid w:val="000E6D6D"/>
    <w:rsid w:val="000F19E1"/>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1E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3468"/>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67C"/>
    <w:rsid w:val="00216C03"/>
    <w:rsid w:val="00220C04"/>
    <w:rsid w:val="0022278D"/>
    <w:rsid w:val="002251C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973"/>
    <w:rsid w:val="00273BAC"/>
    <w:rsid w:val="00274B5C"/>
    <w:rsid w:val="002763B3"/>
    <w:rsid w:val="002802E3"/>
    <w:rsid w:val="0028213D"/>
    <w:rsid w:val="002862F1"/>
    <w:rsid w:val="00291373"/>
    <w:rsid w:val="0029597D"/>
    <w:rsid w:val="002962C3"/>
    <w:rsid w:val="0029752B"/>
    <w:rsid w:val="002A0A9C"/>
    <w:rsid w:val="002A3C40"/>
    <w:rsid w:val="002A483C"/>
    <w:rsid w:val="002A4B21"/>
    <w:rsid w:val="002B0C7C"/>
    <w:rsid w:val="002B1729"/>
    <w:rsid w:val="002B36C7"/>
    <w:rsid w:val="002B4DD4"/>
    <w:rsid w:val="002B5277"/>
    <w:rsid w:val="002B5375"/>
    <w:rsid w:val="002B77C1"/>
    <w:rsid w:val="002C055C"/>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179C3"/>
    <w:rsid w:val="003214F1"/>
    <w:rsid w:val="00322E4B"/>
    <w:rsid w:val="00327870"/>
    <w:rsid w:val="0033259D"/>
    <w:rsid w:val="003333D2"/>
    <w:rsid w:val="00333C91"/>
    <w:rsid w:val="003406C6"/>
    <w:rsid w:val="003418CC"/>
    <w:rsid w:val="003459BD"/>
    <w:rsid w:val="00350D38"/>
    <w:rsid w:val="00351B36"/>
    <w:rsid w:val="00357B4E"/>
    <w:rsid w:val="003707A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7656"/>
    <w:rsid w:val="003C08A2"/>
    <w:rsid w:val="003C2045"/>
    <w:rsid w:val="003C43A1"/>
    <w:rsid w:val="003C4FC0"/>
    <w:rsid w:val="003C55F4"/>
    <w:rsid w:val="003C7897"/>
    <w:rsid w:val="003C7A3F"/>
    <w:rsid w:val="003D2766"/>
    <w:rsid w:val="003D2A74"/>
    <w:rsid w:val="003D3E8F"/>
    <w:rsid w:val="003D4B2A"/>
    <w:rsid w:val="003D6475"/>
    <w:rsid w:val="003E1EF8"/>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CB2"/>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5380"/>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0F03"/>
    <w:rsid w:val="00631E08"/>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4160"/>
    <w:rsid w:val="00696F27"/>
    <w:rsid w:val="006A18C2"/>
    <w:rsid w:val="006A3383"/>
    <w:rsid w:val="006B077C"/>
    <w:rsid w:val="006B6803"/>
    <w:rsid w:val="006C7197"/>
    <w:rsid w:val="006D0F16"/>
    <w:rsid w:val="006D2A3F"/>
    <w:rsid w:val="006D2FBC"/>
    <w:rsid w:val="006E0541"/>
    <w:rsid w:val="006E138B"/>
    <w:rsid w:val="006E3F78"/>
    <w:rsid w:val="006E499F"/>
    <w:rsid w:val="006F0330"/>
    <w:rsid w:val="006F1FDC"/>
    <w:rsid w:val="006F6A1B"/>
    <w:rsid w:val="006F6B8C"/>
    <w:rsid w:val="007013EF"/>
    <w:rsid w:val="00702FDD"/>
    <w:rsid w:val="007055BD"/>
    <w:rsid w:val="007173CA"/>
    <w:rsid w:val="007216AA"/>
    <w:rsid w:val="00721AB5"/>
    <w:rsid w:val="00721CFB"/>
    <w:rsid w:val="00721DEF"/>
    <w:rsid w:val="0072251A"/>
    <w:rsid w:val="00724A43"/>
    <w:rsid w:val="007273AC"/>
    <w:rsid w:val="00731AD4"/>
    <w:rsid w:val="00731D3D"/>
    <w:rsid w:val="007346E4"/>
    <w:rsid w:val="00734FCA"/>
    <w:rsid w:val="0073582E"/>
    <w:rsid w:val="00740F22"/>
    <w:rsid w:val="00741CF0"/>
    <w:rsid w:val="00741F1A"/>
    <w:rsid w:val="007447DA"/>
    <w:rsid w:val="007450F8"/>
    <w:rsid w:val="0074696E"/>
    <w:rsid w:val="00750135"/>
    <w:rsid w:val="00750EC2"/>
    <w:rsid w:val="00752B28"/>
    <w:rsid w:val="007541A9"/>
    <w:rsid w:val="007549CB"/>
    <w:rsid w:val="00754E36"/>
    <w:rsid w:val="00763139"/>
    <w:rsid w:val="00770F37"/>
    <w:rsid w:val="007711A0"/>
    <w:rsid w:val="00771B03"/>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2A0A"/>
    <w:rsid w:val="00843F1E"/>
    <w:rsid w:val="008474FE"/>
    <w:rsid w:val="00853EE4"/>
    <w:rsid w:val="00855535"/>
    <w:rsid w:val="00855920"/>
    <w:rsid w:val="00857C5A"/>
    <w:rsid w:val="0086255E"/>
    <w:rsid w:val="008633F0"/>
    <w:rsid w:val="00867D9D"/>
    <w:rsid w:val="00872E0A"/>
    <w:rsid w:val="00873594"/>
    <w:rsid w:val="00875285"/>
    <w:rsid w:val="00877ADD"/>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757F"/>
    <w:rsid w:val="00950E2C"/>
    <w:rsid w:val="0095165C"/>
    <w:rsid w:val="00951D50"/>
    <w:rsid w:val="009525EB"/>
    <w:rsid w:val="0095470B"/>
    <w:rsid w:val="00954874"/>
    <w:rsid w:val="0095615A"/>
    <w:rsid w:val="00961400"/>
    <w:rsid w:val="00963646"/>
    <w:rsid w:val="0096632D"/>
    <w:rsid w:val="00966696"/>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4987"/>
    <w:rsid w:val="00A77AA3"/>
    <w:rsid w:val="00A80421"/>
    <w:rsid w:val="00A81E15"/>
    <w:rsid w:val="00A8236D"/>
    <w:rsid w:val="00A854EB"/>
    <w:rsid w:val="00A872E5"/>
    <w:rsid w:val="00A91406"/>
    <w:rsid w:val="00A96E65"/>
    <w:rsid w:val="00A97C72"/>
    <w:rsid w:val="00AA23F0"/>
    <w:rsid w:val="00AA268E"/>
    <w:rsid w:val="00AA310B"/>
    <w:rsid w:val="00AA63D4"/>
    <w:rsid w:val="00AB06E8"/>
    <w:rsid w:val="00AB1CD3"/>
    <w:rsid w:val="00AB352F"/>
    <w:rsid w:val="00AB61E1"/>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AF684B"/>
    <w:rsid w:val="00B00672"/>
    <w:rsid w:val="00B01B4D"/>
    <w:rsid w:val="00B06571"/>
    <w:rsid w:val="00B068BA"/>
    <w:rsid w:val="00B07FF7"/>
    <w:rsid w:val="00B13851"/>
    <w:rsid w:val="00B13B1C"/>
    <w:rsid w:val="00B14780"/>
    <w:rsid w:val="00B1550F"/>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36F"/>
    <w:rsid w:val="00B62B50"/>
    <w:rsid w:val="00B635B7"/>
    <w:rsid w:val="00B63AE8"/>
    <w:rsid w:val="00B65950"/>
    <w:rsid w:val="00B65E00"/>
    <w:rsid w:val="00B66D83"/>
    <w:rsid w:val="00B672C0"/>
    <w:rsid w:val="00B676FD"/>
    <w:rsid w:val="00B75646"/>
    <w:rsid w:val="00B75D6D"/>
    <w:rsid w:val="00B8728A"/>
    <w:rsid w:val="00B90729"/>
    <w:rsid w:val="00B907DA"/>
    <w:rsid w:val="00B94CD5"/>
    <w:rsid w:val="00B950BC"/>
    <w:rsid w:val="00B9714C"/>
    <w:rsid w:val="00BA24DE"/>
    <w:rsid w:val="00BA29AD"/>
    <w:rsid w:val="00BA33CF"/>
    <w:rsid w:val="00BA3624"/>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7031"/>
    <w:rsid w:val="00C4173A"/>
    <w:rsid w:val="00C50DED"/>
    <w:rsid w:val="00C602FF"/>
    <w:rsid w:val="00C61174"/>
    <w:rsid w:val="00C6148F"/>
    <w:rsid w:val="00C621B1"/>
    <w:rsid w:val="00C62F7A"/>
    <w:rsid w:val="00C63B9C"/>
    <w:rsid w:val="00C6682F"/>
    <w:rsid w:val="00C67BF4"/>
    <w:rsid w:val="00C7082B"/>
    <w:rsid w:val="00C7275E"/>
    <w:rsid w:val="00C74C5D"/>
    <w:rsid w:val="00C863C4"/>
    <w:rsid w:val="00C8746D"/>
    <w:rsid w:val="00C920EA"/>
    <w:rsid w:val="00C93C3E"/>
    <w:rsid w:val="00CA12E3"/>
    <w:rsid w:val="00CA1476"/>
    <w:rsid w:val="00CA3D24"/>
    <w:rsid w:val="00CA6611"/>
    <w:rsid w:val="00CA6AE6"/>
    <w:rsid w:val="00CA782F"/>
    <w:rsid w:val="00CB187B"/>
    <w:rsid w:val="00CB2835"/>
    <w:rsid w:val="00CB3285"/>
    <w:rsid w:val="00CB4500"/>
    <w:rsid w:val="00CB7800"/>
    <w:rsid w:val="00CC0C72"/>
    <w:rsid w:val="00CC2BFD"/>
    <w:rsid w:val="00CC7E07"/>
    <w:rsid w:val="00CD3476"/>
    <w:rsid w:val="00CD64DF"/>
    <w:rsid w:val="00CE225F"/>
    <w:rsid w:val="00CE4D23"/>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3B0"/>
    <w:rsid w:val="00D52D73"/>
    <w:rsid w:val="00D52E58"/>
    <w:rsid w:val="00D5409D"/>
    <w:rsid w:val="00D56B20"/>
    <w:rsid w:val="00D578B3"/>
    <w:rsid w:val="00D618F4"/>
    <w:rsid w:val="00D6261F"/>
    <w:rsid w:val="00D714CC"/>
    <w:rsid w:val="00D75EA7"/>
    <w:rsid w:val="00D81ADF"/>
    <w:rsid w:val="00D81F21"/>
    <w:rsid w:val="00D864F2"/>
    <w:rsid w:val="00D925A2"/>
    <w:rsid w:val="00D92F95"/>
    <w:rsid w:val="00D943F8"/>
    <w:rsid w:val="00D945A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3C3"/>
    <w:rsid w:val="00DE451A"/>
    <w:rsid w:val="00DE4D9F"/>
    <w:rsid w:val="00DE6028"/>
    <w:rsid w:val="00DE78A3"/>
    <w:rsid w:val="00DF01A3"/>
    <w:rsid w:val="00DF06CD"/>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466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7E6"/>
    <w:rsid w:val="00ED5B9B"/>
    <w:rsid w:val="00ED6BAD"/>
    <w:rsid w:val="00ED7447"/>
    <w:rsid w:val="00EE00D6"/>
    <w:rsid w:val="00EE11E7"/>
    <w:rsid w:val="00EE122F"/>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B1"/>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8A0"/>
    <w:rsid w:val="00FD3766"/>
    <w:rsid w:val="00FD47C4"/>
    <w:rsid w:val="00FD722A"/>
    <w:rsid w:val="00FE00BE"/>
    <w:rsid w:val="00FE2DCF"/>
    <w:rsid w:val="00FE3FA7"/>
    <w:rsid w:val="00FF188F"/>
    <w:rsid w:val="00FF2A4E"/>
    <w:rsid w:val="00FF2FCE"/>
    <w:rsid w:val="00FF38CA"/>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8AF04"/>
  <w15:docId w15:val="{51A1963D-6549-43B5-9ED6-CB5BA11E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edcap.lifeblood.com.au/surveys/?s=YP98FY4PPXPAYDDM" TargetMode="External"/><Relationship Id="rId26" Type="http://schemas.openxmlformats.org/officeDocument/2006/relationships/hyperlink" Target="https://anzsbt.org.au/wp-content/uploads/2024/02/Guidelines-for-the-Administration-of-Blood-Products-revised-Feb-2024.pdf"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nzsbt.org.au/wp-content/uploads/2024/02/Guidelines-for-the-Administration-of-Blood-Products-revised-Feb-2024.pdf" TargetMode="External"/><Relationship Id="rId25" Type="http://schemas.openxmlformats.org/officeDocument/2006/relationships/hyperlink" Target="https://www.safetyandquality.gov.au/standards/nsqhs-standards/communicating-safety-standar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tyandquality.gov.au/our-work/communicating-safety/patient-identification" TargetMode="External"/><Relationship Id="rId20" Type="http://schemas.openxmlformats.org/officeDocument/2006/relationships/hyperlink" Target="mailto:bloodmatters@redcrossblood.org.au" TargetMode="External"/><Relationship Id="rId29" Type="http://schemas.openxmlformats.org/officeDocument/2006/relationships/hyperlink" Target="https://www.cec.health.nsw.gov.au/__data/assets/pdf_file/0006/476520/Information-for-Clinicians-Double-Independent-Checking-BW.pdf%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tyandquality.gov.au/standards/nsqhs-standards/blood-management-standard"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afetyandquality.gov.au/sites/default/files/2021-05/national_safety_and_quality_health_service_nsqhs_standards_second_edition_-_updated_may_2021.pdf" TargetMode="External"/><Relationship Id="rId28" Type="http://schemas.openxmlformats.org/officeDocument/2006/relationships/hyperlink" Target="https://www.cec.health.nsw.gov.au/__data/assets/pdf_file/0006/476520/Information-for-Clinicians-Double-Independent-Checking-BW.pdf" TargetMode="External"/><Relationship Id="rId10" Type="http://schemas.openxmlformats.org/officeDocument/2006/relationships/endnotes" Target="endnotes.xml"/><Relationship Id="rId19" Type="http://schemas.openxmlformats.org/officeDocument/2006/relationships/hyperlink" Target="https://redcap.lifeblood.com.au/surveys/?s=FCMXAYTHMXYC3JAC" TargetMode="External"/><Relationship Id="rId31" Type="http://schemas.openxmlformats.org/officeDocument/2006/relationships/hyperlink" Target="https://www.health.vic.gov.au/patient-care/blood-matter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patient-care/resources-and-education-blood-transfusion" TargetMode="External"/><Relationship Id="rId27" Type="http://schemas.openxmlformats.org/officeDocument/2006/relationships/hyperlink" Target="https://vimeo.com/599951929/ee654d8e61" TargetMode="External"/><Relationship Id="rId30" Type="http://schemas.openxmlformats.org/officeDocument/2006/relationships/hyperlink" Target="mailto:bloodmatters@redcrossblood.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4\Branding_templates\New%20templates%20July%202021\Blood%20Matters%20DH%20red%20factsheet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f9efe166-4f28-4f85-8235-ea2c89133434"/>
    <ds:schemaRef ds:uri="http://schemas.microsoft.com/office/2006/documentManagement/types"/>
    <ds:schemaRef ds:uri="http://schemas.openxmlformats.org/package/2006/metadata/core-properties"/>
    <ds:schemaRef ds:uri="71bad440-a7e7-46c6-81bd-18ed54663c6a"/>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42</TotalTime>
  <Pages>6</Pages>
  <Words>1322</Words>
  <Characters>11381</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Pretransfusion checking audit</vt:lpstr>
    </vt:vector>
  </TitlesOfParts>
  <Manager/>
  <Company>Victoria State Government, Department of Health, Blood Matters</Company>
  <LinksUpToDate>false</LinksUpToDate>
  <CharactersWithSpaces>12678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Pretransfusion checking audit</dc:title>
  <dc:subject/>
  <dc:creator>Bloodmatters@redcrossblood.org.au</dc:creator>
  <cp:keywords>blood audit, pretransfusion checks, transfusion, blood</cp:keywords>
  <dc:description/>
  <cp:lastModifiedBy>Emily Hirst (Health)</cp:lastModifiedBy>
  <cp:revision>10</cp:revision>
  <cp:lastPrinted>2025-02-19T01:22:00Z</cp:lastPrinted>
  <dcterms:created xsi:type="dcterms:W3CDTF">2025-02-04T23:49:00Z</dcterms:created>
  <dcterms:modified xsi:type="dcterms:W3CDTF">2025-03-05T21:31:00Z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