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F0DA4"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228089E9" wp14:editId="3837678B">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3B4B358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39A23AC" w14:textId="77777777" w:rsidTr="00B07FF7">
        <w:trPr>
          <w:trHeight w:val="622"/>
        </w:trPr>
        <w:tc>
          <w:tcPr>
            <w:tcW w:w="10348" w:type="dxa"/>
            <w:tcMar>
              <w:top w:w="1531" w:type="dxa"/>
              <w:left w:w="0" w:type="dxa"/>
              <w:right w:w="0" w:type="dxa"/>
            </w:tcMar>
          </w:tcPr>
          <w:p w14:paraId="4F524E7E" w14:textId="5A59D2C6" w:rsidR="003B5733" w:rsidRPr="003B5733" w:rsidRDefault="000E4082" w:rsidP="003B5733">
            <w:pPr>
              <w:pStyle w:val="Documenttitle"/>
            </w:pPr>
            <w:r>
              <w:t xml:space="preserve">Security of High Consequence Radioactive Material </w:t>
            </w:r>
          </w:p>
        </w:tc>
      </w:tr>
      <w:tr w:rsidR="003B5733" w14:paraId="0E39F9CC" w14:textId="77777777" w:rsidTr="00B07FF7">
        <w:tc>
          <w:tcPr>
            <w:tcW w:w="10348" w:type="dxa"/>
          </w:tcPr>
          <w:p w14:paraId="6B57468A" w14:textId="1E730A5B" w:rsidR="003B5733" w:rsidRPr="00A1389F" w:rsidRDefault="000E4082" w:rsidP="005F44C0">
            <w:pPr>
              <w:pStyle w:val="Documentsubtitle"/>
            </w:pPr>
            <w:r>
              <w:t>Radiation Practice Note #1</w:t>
            </w:r>
          </w:p>
        </w:tc>
      </w:tr>
      <w:tr w:rsidR="003B5733" w14:paraId="25C35A8B" w14:textId="77777777" w:rsidTr="00B07FF7">
        <w:tc>
          <w:tcPr>
            <w:tcW w:w="10348" w:type="dxa"/>
          </w:tcPr>
          <w:p w14:paraId="6130BCAE" w14:textId="77777777" w:rsidR="003B5733" w:rsidRPr="001E5058" w:rsidRDefault="000E4082" w:rsidP="001E5058">
            <w:pPr>
              <w:pStyle w:val="Bannermarking"/>
            </w:pPr>
            <w:fldSimple w:instr=" FILLIN  &quot;Type the protective marking&quot; \d OFFICIAL \o  \* MERGEFORMAT ">
              <w:r>
                <w:t>OFFICIAL</w:t>
              </w:r>
            </w:fldSimple>
          </w:p>
        </w:tc>
      </w:tr>
    </w:tbl>
    <w:p w14:paraId="1811AF29" w14:textId="77777777" w:rsidR="00855920" w:rsidRPr="00200176" w:rsidRDefault="00855920" w:rsidP="00855920">
      <w:pPr>
        <w:pStyle w:val="Body"/>
      </w:pPr>
    </w:p>
    <w:p w14:paraId="79796500" w14:textId="7698AF3E" w:rsidR="00C51F0A" w:rsidRPr="00A71CE4" w:rsidRDefault="000E4082" w:rsidP="00C51F0A">
      <w:pPr>
        <w:pStyle w:val="Heading1"/>
        <w:spacing w:before="0"/>
      </w:pPr>
      <w:bookmarkStart w:id="0" w:name="_Toc66712322"/>
      <w:r>
        <w:t>Context</w:t>
      </w:r>
      <w:bookmarkEnd w:id="0"/>
    </w:p>
    <w:p w14:paraId="7B266A4C" w14:textId="1778A2C9" w:rsidR="000E4082" w:rsidRPr="00E74492" w:rsidRDefault="000E4082" w:rsidP="00747A6D">
      <w:pPr>
        <w:jc w:val="both"/>
        <w:rPr>
          <w:rFonts w:eastAsia="Times"/>
        </w:rPr>
      </w:pPr>
      <w:bookmarkStart w:id="1" w:name="_Toc66711981"/>
      <w:r w:rsidRPr="00E74492">
        <w:rPr>
          <w:rFonts w:eastAsia="Times"/>
        </w:rPr>
        <w:t xml:space="preserve">The </w:t>
      </w:r>
      <w:r w:rsidRPr="00E74492">
        <w:rPr>
          <w:rFonts w:eastAsia="Times"/>
          <w:i/>
          <w:iCs/>
        </w:rPr>
        <w:t>Radiation Act 2005</w:t>
      </w:r>
      <w:r w:rsidRPr="00E74492">
        <w:rPr>
          <w:rFonts w:eastAsia="Times"/>
        </w:rPr>
        <w:t xml:space="preserve"> (the Act) places significant obligations onto management licence holders who are authorised to possess or transport high consequence sealed sources or high consequence groups of sealed sources. </w:t>
      </w:r>
    </w:p>
    <w:p w14:paraId="07824368" w14:textId="61428D4B" w:rsidR="00E74492" w:rsidRPr="00E74492" w:rsidRDefault="00E74492" w:rsidP="00747A6D">
      <w:pPr>
        <w:jc w:val="both"/>
        <w:rPr>
          <w:rFonts w:eastAsia="Times"/>
        </w:rPr>
      </w:pPr>
      <w:r w:rsidRPr="00E74492">
        <w:rPr>
          <w:rFonts w:eastAsia="Times"/>
        </w:rPr>
        <w:t>The purpose of this Radiation Practice Note is to provide guidance about the legislation.</w:t>
      </w:r>
    </w:p>
    <w:p w14:paraId="64E717C8" w14:textId="66A6E1E0" w:rsidR="00C51F0A" w:rsidRPr="00B57329" w:rsidRDefault="00E74492" w:rsidP="00C51F0A">
      <w:pPr>
        <w:pStyle w:val="Heading1"/>
      </w:pPr>
      <w:bookmarkStart w:id="2" w:name="_Toc66712323"/>
      <w:r>
        <w:t xml:space="preserve">What </w:t>
      </w:r>
      <w:proofErr w:type="gramStart"/>
      <w:r>
        <w:t>are</w:t>
      </w:r>
      <w:proofErr w:type="gramEnd"/>
      <w:r>
        <w:t xml:space="preserve"> high consequence sealed sources? </w:t>
      </w:r>
      <w:bookmarkStart w:id="3" w:name="_Hlk63948051"/>
      <w:bookmarkEnd w:id="1"/>
      <w:bookmarkEnd w:id="2"/>
    </w:p>
    <w:bookmarkEnd w:id="3"/>
    <w:p w14:paraId="4976CFF8" w14:textId="31700EB0" w:rsidR="00E74492" w:rsidRDefault="00E74492" w:rsidP="00747A6D">
      <w:pPr>
        <w:spacing w:after="0" w:line="240" w:lineRule="auto"/>
        <w:jc w:val="both"/>
        <w:rPr>
          <w:rFonts w:eastAsia="Times"/>
        </w:rPr>
      </w:pPr>
      <w:r w:rsidRPr="00E74492">
        <w:rPr>
          <w:rFonts w:eastAsia="Times"/>
        </w:rPr>
        <w:t>The Act defines high consequence sealed sources to be a category 1 sealed source, a category 2 sealed source or a category 3 sealed source.</w:t>
      </w:r>
    </w:p>
    <w:p w14:paraId="32F0375A" w14:textId="44884120" w:rsidR="00E74492" w:rsidRDefault="00E74492" w:rsidP="00747A6D">
      <w:pPr>
        <w:spacing w:after="0" w:line="240" w:lineRule="auto"/>
        <w:jc w:val="both"/>
        <w:rPr>
          <w:rFonts w:eastAsia="Times"/>
        </w:rPr>
      </w:pPr>
    </w:p>
    <w:p w14:paraId="3015B046" w14:textId="77777777" w:rsidR="00E74492" w:rsidRPr="00793417" w:rsidRDefault="00E74492" w:rsidP="00747A6D">
      <w:pPr>
        <w:pStyle w:val="Bullet1"/>
        <w:jc w:val="both"/>
      </w:pPr>
      <w:r w:rsidRPr="00793417">
        <w:t>Category 1 sealed sources are further defined to be a sealed source that has an activity ratio of greater than 1,000.</w:t>
      </w:r>
    </w:p>
    <w:p w14:paraId="3B8476D7" w14:textId="77777777" w:rsidR="00E74492" w:rsidRPr="00793417" w:rsidRDefault="00E74492" w:rsidP="00747A6D">
      <w:pPr>
        <w:pStyle w:val="Bullet1"/>
        <w:jc w:val="both"/>
      </w:pPr>
      <w:r w:rsidRPr="00793417">
        <w:t>Category 2 sealed sources are further defined to be a sealed source that has an activity ratio of less than 1,000 but greater than or equal to 10.</w:t>
      </w:r>
    </w:p>
    <w:p w14:paraId="1B0181DA" w14:textId="1D3C16C7" w:rsidR="00E74492" w:rsidRDefault="00E74492" w:rsidP="00747A6D">
      <w:pPr>
        <w:pStyle w:val="Bullet1"/>
        <w:jc w:val="both"/>
      </w:pPr>
      <w:r w:rsidRPr="00793417">
        <w:t>Category 3 sealed sources are further defined to be a sealed source that has an activity ratio of less than 10 but greater than or equal to 1.</w:t>
      </w:r>
    </w:p>
    <w:p w14:paraId="2542839F" w14:textId="03C02E80" w:rsidR="00E74492" w:rsidRDefault="00E74492" w:rsidP="00747A6D">
      <w:pPr>
        <w:pStyle w:val="Bullet1"/>
        <w:numPr>
          <w:ilvl w:val="0"/>
          <w:numId w:val="0"/>
        </w:numPr>
        <w:ind w:left="284" w:hanging="284"/>
        <w:jc w:val="both"/>
      </w:pPr>
    </w:p>
    <w:p w14:paraId="1F0F9A0F" w14:textId="77777777" w:rsidR="00E74492" w:rsidRPr="00E74492" w:rsidRDefault="00E74492" w:rsidP="00747A6D">
      <w:pPr>
        <w:pStyle w:val="Bullet1"/>
        <w:numPr>
          <w:ilvl w:val="0"/>
          <w:numId w:val="0"/>
        </w:numPr>
        <w:jc w:val="both"/>
      </w:pPr>
      <w:r w:rsidRPr="00E74492">
        <w:t>The process of determining the Activity Ratio for a specific sealed source is Appendix 1.</w:t>
      </w:r>
    </w:p>
    <w:p w14:paraId="3D40146F" w14:textId="59C77954" w:rsidR="00E74492" w:rsidRPr="00B57329" w:rsidRDefault="00E74492" w:rsidP="00E74492">
      <w:pPr>
        <w:pStyle w:val="Heading1"/>
      </w:pPr>
      <w:r>
        <w:t xml:space="preserve">What are high consequence groups of sealed sources? </w:t>
      </w:r>
    </w:p>
    <w:p w14:paraId="04E83245" w14:textId="77777777" w:rsidR="00E74492" w:rsidRDefault="00E74492" w:rsidP="00747A6D">
      <w:pPr>
        <w:pStyle w:val="Bullet1"/>
        <w:numPr>
          <w:ilvl w:val="0"/>
          <w:numId w:val="0"/>
        </w:numPr>
        <w:ind w:left="284" w:hanging="284"/>
        <w:jc w:val="both"/>
      </w:pPr>
      <w:r w:rsidRPr="00E74492">
        <w:t>The Act defines high consequence groups of sealed sources to be a category 1 group of sealed sources, a</w:t>
      </w:r>
    </w:p>
    <w:p w14:paraId="447023AF" w14:textId="761C5331" w:rsidR="00E74492" w:rsidRPr="00793417" w:rsidRDefault="00E74492" w:rsidP="00747A6D">
      <w:pPr>
        <w:pStyle w:val="Bullet1"/>
        <w:numPr>
          <w:ilvl w:val="0"/>
          <w:numId w:val="0"/>
        </w:numPr>
        <w:ind w:left="284" w:hanging="284"/>
        <w:jc w:val="both"/>
      </w:pPr>
      <w:r w:rsidRPr="00E74492">
        <w:t>category 2 group of sealed sources or a category 3 group of sealed sources</w:t>
      </w:r>
      <w:r>
        <w:t>.</w:t>
      </w:r>
    </w:p>
    <w:p w14:paraId="5B81AD7F" w14:textId="77777777" w:rsidR="00E74492" w:rsidRPr="00793417" w:rsidRDefault="00E74492" w:rsidP="00747A6D">
      <w:pPr>
        <w:pStyle w:val="Bullet1"/>
        <w:jc w:val="both"/>
      </w:pPr>
      <w:r w:rsidRPr="00793417">
        <w:t>A category 1 group of sealed sources is further defined as 2 or more sealed sources that when kept at the same place and secured in the same way at that place, or when transported in the same vehicle, have an aggregate activity ratio greater than or equal to 1000.</w:t>
      </w:r>
    </w:p>
    <w:p w14:paraId="4C432AB0" w14:textId="77777777" w:rsidR="00E74492" w:rsidRPr="00793417" w:rsidRDefault="00E74492" w:rsidP="00747A6D">
      <w:pPr>
        <w:pStyle w:val="Bullet1"/>
        <w:jc w:val="both"/>
      </w:pPr>
      <w:r w:rsidRPr="00793417">
        <w:t>A category 2 group of sealed sources has an aggregate activity ratio less than 1000 but greater than or equal to 10.</w:t>
      </w:r>
    </w:p>
    <w:p w14:paraId="156EF732" w14:textId="77777777" w:rsidR="00E74492" w:rsidRPr="00793417" w:rsidRDefault="00E74492" w:rsidP="00747A6D">
      <w:pPr>
        <w:pStyle w:val="Bullet1"/>
        <w:jc w:val="both"/>
      </w:pPr>
      <w:r w:rsidRPr="00793417">
        <w:t>A category 3 group of sealed sources has aggregate activity ratio less than 10.</w:t>
      </w:r>
    </w:p>
    <w:p w14:paraId="08BB38F3" w14:textId="6114FA15" w:rsidR="00E74492" w:rsidRDefault="00E74492" w:rsidP="00747A6D">
      <w:pPr>
        <w:pStyle w:val="Bullet1"/>
        <w:jc w:val="both"/>
      </w:pPr>
      <w:r w:rsidRPr="00793417">
        <w:t>A category 3 group of sealed sources has aggregate activity ratio less than 10.</w:t>
      </w:r>
    </w:p>
    <w:p w14:paraId="565D1ACD" w14:textId="6C0706E5" w:rsidR="00E74492" w:rsidRDefault="00E74492" w:rsidP="00747A6D">
      <w:pPr>
        <w:pStyle w:val="Heading1"/>
      </w:pPr>
      <w:r>
        <w:lastRenderedPageBreak/>
        <w:t xml:space="preserve">Appendix 1 </w:t>
      </w:r>
      <w:proofErr w:type="gramStart"/>
      <w:r>
        <w:t>-  Determining</w:t>
      </w:r>
      <w:proofErr w:type="gramEnd"/>
      <w:r>
        <w:t xml:space="preserve"> the Activity Ratio for a specific sealed source. </w:t>
      </w:r>
    </w:p>
    <w:p w14:paraId="767A1CFC" w14:textId="74643823" w:rsidR="00C51F0A" w:rsidRDefault="007C10B3" w:rsidP="00747A6D">
      <w:pPr>
        <w:pStyle w:val="Heading4"/>
        <w:jc w:val="both"/>
      </w:pPr>
      <w:r>
        <w:t xml:space="preserve">How do you determine the Activity Ratio for a specific sealed source? </w:t>
      </w:r>
    </w:p>
    <w:p w14:paraId="599E71F6" w14:textId="77777777" w:rsidR="007C10B3" w:rsidRPr="007C10B3" w:rsidRDefault="007C10B3" w:rsidP="00747A6D">
      <w:pPr>
        <w:spacing w:after="0" w:line="240" w:lineRule="auto"/>
        <w:jc w:val="both"/>
        <w:rPr>
          <w:rFonts w:eastAsia="Times"/>
        </w:rPr>
      </w:pPr>
      <w:r w:rsidRPr="007C10B3">
        <w:rPr>
          <w:rFonts w:eastAsia="Times"/>
        </w:rPr>
        <w:t>The first step is to note the specific radionuclide in the sealed source e.g. is it Americum-241 or Caesium-137 etc.</w:t>
      </w:r>
    </w:p>
    <w:p w14:paraId="2E86CBDA" w14:textId="77777777" w:rsidR="007C10B3" w:rsidRPr="007C10B3" w:rsidRDefault="007C10B3" w:rsidP="00747A6D">
      <w:pPr>
        <w:spacing w:after="0" w:line="240" w:lineRule="auto"/>
        <w:jc w:val="both"/>
        <w:rPr>
          <w:rFonts w:eastAsia="Times"/>
        </w:rPr>
      </w:pPr>
    </w:p>
    <w:p w14:paraId="6C34D12C" w14:textId="59D1D34C" w:rsidR="007C10B3" w:rsidRPr="007C10B3" w:rsidRDefault="007C10B3" w:rsidP="00747A6D">
      <w:pPr>
        <w:spacing w:after="0" w:line="240" w:lineRule="auto"/>
        <w:jc w:val="both"/>
        <w:rPr>
          <w:rFonts w:eastAsia="Times"/>
        </w:rPr>
      </w:pPr>
      <w:r w:rsidRPr="007C10B3">
        <w:rPr>
          <w:rFonts w:eastAsia="Times"/>
        </w:rPr>
        <w:t>The second step is to check your radiation management licence and note the maximum permitted activity, A, of that radionuclide e.g. 60GBq of Amercium-241.</w:t>
      </w:r>
    </w:p>
    <w:p w14:paraId="1FDC11D7" w14:textId="77777777" w:rsidR="007C10B3" w:rsidRDefault="007C10B3" w:rsidP="00747A6D">
      <w:pPr>
        <w:pStyle w:val="Body"/>
        <w:jc w:val="both"/>
      </w:pPr>
    </w:p>
    <w:p w14:paraId="19703B14" w14:textId="01972E69" w:rsidR="007C10B3" w:rsidRPr="007C10B3" w:rsidRDefault="007C10B3" w:rsidP="00747A6D">
      <w:pPr>
        <w:pStyle w:val="Body"/>
        <w:jc w:val="both"/>
      </w:pPr>
      <w:r w:rsidRPr="007C10B3">
        <w:t>The third step is to check the ‘D-value’ for the radionuclide against the Schedule in the Radiation Regulations 2017.</w:t>
      </w:r>
    </w:p>
    <w:p w14:paraId="03F1B65D" w14:textId="77777777" w:rsidR="007C10B3" w:rsidRPr="007C10B3" w:rsidRDefault="007C10B3" w:rsidP="00747A6D">
      <w:pPr>
        <w:spacing w:after="0" w:line="240" w:lineRule="auto"/>
        <w:jc w:val="both"/>
        <w:rPr>
          <w:rFonts w:eastAsia="Times"/>
        </w:rPr>
      </w:pPr>
      <w:r w:rsidRPr="007C10B3">
        <w:rPr>
          <w:rFonts w:eastAsia="Times"/>
        </w:rPr>
        <w:t>The fourth step is to then calculate the activity ratio, A/D, to determine the category of the radionuclide using the formula in Table 1:</w:t>
      </w:r>
    </w:p>
    <w:p w14:paraId="76E9C1FD" w14:textId="5774B0F5" w:rsidR="007C10B3" w:rsidRDefault="007C10B3" w:rsidP="007C10B3">
      <w:pPr>
        <w:pStyle w:val="Tablecaption"/>
      </w:pPr>
      <w:r>
        <w:t>Table 1: Activity Ratio calculations</w:t>
      </w:r>
    </w:p>
    <w:tbl>
      <w:tblPr>
        <w:tblStyle w:val="TableGrid"/>
        <w:tblW w:w="9351" w:type="dxa"/>
        <w:tblLook w:val="06A0" w:firstRow="1" w:lastRow="0" w:firstColumn="1" w:lastColumn="0" w:noHBand="1" w:noVBand="1"/>
      </w:tblPr>
      <w:tblGrid>
        <w:gridCol w:w="4815"/>
        <w:gridCol w:w="4536"/>
      </w:tblGrid>
      <w:tr w:rsidR="007C10B3" w14:paraId="2CE41358" w14:textId="77777777" w:rsidTr="007C10B3">
        <w:trPr>
          <w:tblHeader/>
        </w:trPr>
        <w:tc>
          <w:tcPr>
            <w:tcW w:w="4815" w:type="dxa"/>
          </w:tcPr>
          <w:p w14:paraId="5387612A" w14:textId="548F3365" w:rsidR="007C10B3" w:rsidRPr="00CB3285" w:rsidRDefault="007C10B3" w:rsidP="008727F5">
            <w:pPr>
              <w:pStyle w:val="Tablecolhead"/>
            </w:pPr>
            <w:r>
              <w:t>Catego</w:t>
            </w:r>
            <w:r w:rsidR="00891DBA">
              <w:t>r</w:t>
            </w:r>
            <w:r>
              <w:t>y</w:t>
            </w:r>
          </w:p>
        </w:tc>
        <w:tc>
          <w:tcPr>
            <w:tcW w:w="4536" w:type="dxa"/>
          </w:tcPr>
          <w:p w14:paraId="68C01B4C" w14:textId="37FBB8A7" w:rsidR="007C10B3" w:rsidRPr="00891DBA" w:rsidRDefault="00891DBA" w:rsidP="008727F5">
            <w:pPr>
              <w:pStyle w:val="Tablecolhead"/>
            </w:pPr>
            <w:r>
              <w:t>Activity Ratio (A/D</w:t>
            </w:r>
            <w:r>
              <w:rPr>
                <w:vertAlign w:val="superscript"/>
              </w:rPr>
              <w:t>1</w:t>
            </w:r>
            <w:r>
              <w:t>)</w:t>
            </w:r>
          </w:p>
        </w:tc>
      </w:tr>
      <w:tr w:rsidR="007C10B3" w14:paraId="64A3CCF8" w14:textId="77777777" w:rsidTr="00E24B83">
        <w:trPr>
          <w:trHeight w:val="444"/>
        </w:trPr>
        <w:tc>
          <w:tcPr>
            <w:tcW w:w="4815" w:type="dxa"/>
          </w:tcPr>
          <w:p w14:paraId="1C2E481C" w14:textId="63E71B48" w:rsidR="007C10B3" w:rsidRDefault="00E24B83" w:rsidP="008727F5">
            <w:pPr>
              <w:pStyle w:val="Tabletext"/>
            </w:pPr>
            <w:r>
              <w:t>1</w:t>
            </w:r>
          </w:p>
        </w:tc>
        <w:tc>
          <w:tcPr>
            <w:tcW w:w="4536" w:type="dxa"/>
          </w:tcPr>
          <w:p w14:paraId="72E209ED" w14:textId="18C70544" w:rsidR="007C10B3" w:rsidRDefault="00E24B83" w:rsidP="00E24B83">
            <w:pPr>
              <w:pStyle w:val="Tablebullet2"/>
              <w:numPr>
                <w:ilvl w:val="0"/>
                <w:numId w:val="0"/>
              </w:numPr>
            </w:pPr>
            <w:r>
              <w:rPr>
                <w:rFonts w:eastAsia="MS Mincho" w:cs="Arial"/>
              </w:rPr>
              <w:t xml:space="preserve"> </w:t>
            </w:r>
            <w:r w:rsidRPr="00793417">
              <w:rPr>
                <w:rFonts w:eastAsia="MS Mincho" w:cs="Arial"/>
              </w:rPr>
              <w:t xml:space="preserve">A/D </w:t>
            </w:r>
            <w:r w:rsidRPr="00793417">
              <w:rPr>
                <w:rFonts w:eastAsia="MS Mincho" w:cs="Arial"/>
                <w:u w:val="single"/>
              </w:rPr>
              <w:t xml:space="preserve">&gt; </w:t>
            </w:r>
            <w:r w:rsidRPr="00793417">
              <w:rPr>
                <w:rFonts w:eastAsia="MS Mincho" w:cs="Arial"/>
              </w:rPr>
              <w:t>1,000</w:t>
            </w:r>
          </w:p>
        </w:tc>
      </w:tr>
      <w:tr w:rsidR="007C10B3" w14:paraId="628541A5" w14:textId="77777777" w:rsidTr="00E24B83">
        <w:trPr>
          <w:trHeight w:val="444"/>
        </w:trPr>
        <w:tc>
          <w:tcPr>
            <w:tcW w:w="4815" w:type="dxa"/>
          </w:tcPr>
          <w:p w14:paraId="7AFB3A4E" w14:textId="340E83C8" w:rsidR="007C10B3" w:rsidRPr="002365B4" w:rsidRDefault="00E24B83" w:rsidP="008727F5">
            <w:pPr>
              <w:pStyle w:val="Tabletext6pt"/>
            </w:pPr>
            <w:r>
              <w:t>2</w:t>
            </w:r>
          </w:p>
        </w:tc>
        <w:tc>
          <w:tcPr>
            <w:tcW w:w="4536" w:type="dxa"/>
          </w:tcPr>
          <w:p w14:paraId="0D431B91" w14:textId="401AB862" w:rsidR="007C10B3" w:rsidRPr="00924D74" w:rsidRDefault="00E24B83" w:rsidP="00E24B83">
            <w:pPr>
              <w:pStyle w:val="Tablebullet2"/>
              <w:numPr>
                <w:ilvl w:val="0"/>
                <w:numId w:val="0"/>
              </w:numPr>
            </w:pPr>
            <w:r w:rsidRPr="00793417">
              <w:rPr>
                <w:rFonts w:eastAsia="MS Mincho" w:cs="Arial"/>
              </w:rPr>
              <w:t xml:space="preserve">1,000 </w:t>
            </w:r>
            <w:r w:rsidRPr="00793417">
              <w:rPr>
                <w:rFonts w:eastAsia="MS Mincho" w:cs="Arial"/>
                <w:u w:val="single"/>
              </w:rPr>
              <w:t xml:space="preserve">&gt; </w:t>
            </w:r>
            <w:r w:rsidRPr="00793417">
              <w:rPr>
                <w:rFonts w:eastAsia="MS Mincho" w:cs="Arial"/>
              </w:rPr>
              <w:t xml:space="preserve">A/D </w:t>
            </w:r>
            <w:r w:rsidRPr="00793417">
              <w:rPr>
                <w:rFonts w:eastAsia="MS Mincho" w:cs="Arial"/>
                <w:u w:val="single"/>
              </w:rPr>
              <w:t>&gt;</w:t>
            </w:r>
            <w:r w:rsidRPr="00793417">
              <w:rPr>
                <w:rFonts w:eastAsia="MS Mincho" w:cs="Arial"/>
              </w:rPr>
              <w:t xml:space="preserve"> 10</w:t>
            </w:r>
          </w:p>
        </w:tc>
      </w:tr>
      <w:tr w:rsidR="00E24B83" w14:paraId="6CFC3A1F" w14:textId="77777777" w:rsidTr="00E24B83">
        <w:trPr>
          <w:trHeight w:val="444"/>
        </w:trPr>
        <w:tc>
          <w:tcPr>
            <w:tcW w:w="4815" w:type="dxa"/>
          </w:tcPr>
          <w:p w14:paraId="433FE000" w14:textId="234E95C0" w:rsidR="00E24B83" w:rsidRDefault="00E24B83" w:rsidP="008727F5">
            <w:pPr>
              <w:pStyle w:val="Tabletext6pt"/>
            </w:pPr>
            <w:r>
              <w:t>3</w:t>
            </w:r>
          </w:p>
        </w:tc>
        <w:tc>
          <w:tcPr>
            <w:tcW w:w="4536" w:type="dxa"/>
          </w:tcPr>
          <w:p w14:paraId="04813C8A" w14:textId="5C07C0E8" w:rsidR="00E24B83" w:rsidRDefault="00E24B83" w:rsidP="00E24B83">
            <w:pPr>
              <w:pStyle w:val="Tablebullet1"/>
              <w:numPr>
                <w:ilvl w:val="0"/>
                <w:numId w:val="0"/>
              </w:numPr>
            </w:pPr>
            <w:r w:rsidRPr="00793417">
              <w:rPr>
                <w:rFonts w:eastAsia="MS Mincho" w:cs="Arial"/>
              </w:rPr>
              <w:t>10 &gt; A/D</w:t>
            </w:r>
            <w:r w:rsidRPr="00793417">
              <w:rPr>
                <w:rFonts w:eastAsia="MS Mincho" w:cs="Arial"/>
                <w:u w:val="single"/>
              </w:rPr>
              <w:t>&gt;</w:t>
            </w:r>
            <w:r w:rsidRPr="00793417">
              <w:rPr>
                <w:rFonts w:eastAsia="MS Mincho" w:cs="Arial"/>
              </w:rPr>
              <w:t>1</w:t>
            </w:r>
          </w:p>
        </w:tc>
      </w:tr>
    </w:tbl>
    <w:p w14:paraId="61117758" w14:textId="77777777" w:rsidR="00747A6D" w:rsidRDefault="00747A6D" w:rsidP="00747A6D">
      <w:pPr>
        <w:spacing w:after="0" w:line="240" w:lineRule="auto"/>
        <w:jc w:val="both"/>
        <w:rPr>
          <w:rFonts w:eastAsia="Times"/>
        </w:rPr>
      </w:pPr>
    </w:p>
    <w:p w14:paraId="63A1B856" w14:textId="18146272" w:rsidR="00E24B83" w:rsidRPr="00E24B83" w:rsidRDefault="00E24B83" w:rsidP="00747A6D">
      <w:pPr>
        <w:spacing w:after="0" w:line="240" w:lineRule="auto"/>
        <w:jc w:val="both"/>
        <w:rPr>
          <w:rFonts w:eastAsia="Times"/>
        </w:rPr>
      </w:pPr>
      <w:r w:rsidRPr="00E24B83">
        <w:rPr>
          <w:rFonts w:eastAsia="Times"/>
        </w:rPr>
        <w:t xml:space="preserve">Where A is the maximum activity of a specific radionuclide which is authorised to be possessed OR the aggregation of sealed sources (see Practice Note 3) containing the same radionuclide in units of </w:t>
      </w:r>
      <w:proofErr w:type="spellStart"/>
      <w:r w:rsidRPr="00E24B83">
        <w:rPr>
          <w:rFonts w:eastAsia="Times"/>
        </w:rPr>
        <w:t>gigabecquerel</w:t>
      </w:r>
      <w:proofErr w:type="spellEnd"/>
      <w:r w:rsidRPr="00E24B83">
        <w:rPr>
          <w:rFonts w:eastAsia="Times"/>
        </w:rPr>
        <w:t xml:space="preserve"> (</w:t>
      </w:r>
      <w:proofErr w:type="spellStart"/>
      <w:r w:rsidRPr="00E24B83">
        <w:rPr>
          <w:rFonts w:eastAsia="Times"/>
        </w:rPr>
        <w:t>GBq</w:t>
      </w:r>
      <w:proofErr w:type="spellEnd"/>
      <w:r w:rsidRPr="00E24B83">
        <w:rPr>
          <w:rFonts w:eastAsia="Times"/>
        </w:rPr>
        <w:t>).</w:t>
      </w:r>
    </w:p>
    <w:p w14:paraId="483796C0" w14:textId="179F2010" w:rsidR="007C10B3" w:rsidRPr="00E24B83" w:rsidRDefault="007C10B3" w:rsidP="00747A6D">
      <w:pPr>
        <w:spacing w:after="0" w:line="240" w:lineRule="auto"/>
        <w:jc w:val="both"/>
        <w:rPr>
          <w:rFonts w:eastAsia="Times"/>
        </w:rPr>
      </w:pPr>
    </w:p>
    <w:p w14:paraId="02CFC593" w14:textId="1379367D" w:rsidR="00E24B83" w:rsidRPr="00E24B83" w:rsidRDefault="00E24B83" w:rsidP="00747A6D">
      <w:pPr>
        <w:pStyle w:val="Body"/>
        <w:jc w:val="both"/>
      </w:pPr>
      <w:r w:rsidRPr="00E24B83">
        <w:t xml:space="preserve">D (also known as the D-value) for a specific radionuclide is the value specified in Column 2 of Table </w:t>
      </w:r>
      <w:r w:rsidR="00747A6D">
        <w:t>1.</w:t>
      </w:r>
    </w:p>
    <w:p w14:paraId="77DB480E" w14:textId="77777777" w:rsidR="00E24B83" w:rsidRPr="00E24B83" w:rsidRDefault="00E24B83" w:rsidP="00747A6D">
      <w:pPr>
        <w:pStyle w:val="Body"/>
        <w:jc w:val="both"/>
      </w:pPr>
      <w:r w:rsidRPr="00E24B83">
        <w:t>Note that where there are two or more sealed sources within a sealed source apparatus, the activity ratios are to be added together.</w:t>
      </w:r>
    </w:p>
    <w:p w14:paraId="42A403AA" w14:textId="77777777" w:rsidR="00E24B83" w:rsidRPr="00E24B83" w:rsidRDefault="00E24B83" w:rsidP="00747A6D">
      <w:pPr>
        <w:spacing w:after="0" w:line="240" w:lineRule="auto"/>
        <w:jc w:val="both"/>
        <w:rPr>
          <w:rFonts w:eastAsia="Times"/>
        </w:rPr>
      </w:pPr>
      <w:r w:rsidRPr="00E24B83">
        <w:rPr>
          <w:rFonts w:eastAsia="Times"/>
        </w:rPr>
        <w:t xml:space="preserve">Similarly, where there are two or more sealed sources grouped together at the same place and secured in the same way that the activity ratios of each radionuclide must be added together and the process repeated for each radionuclide. The total of the activity ratios then determines the security category. </w:t>
      </w:r>
    </w:p>
    <w:p w14:paraId="445639D8" w14:textId="77777777" w:rsidR="00E24B83" w:rsidRDefault="00E24B83" w:rsidP="00747A6D">
      <w:pPr>
        <w:pStyle w:val="Body"/>
        <w:jc w:val="both"/>
      </w:pPr>
    </w:p>
    <w:p w14:paraId="49328210" w14:textId="77777777" w:rsidR="00E24B83" w:rsidRDefault="00E24B83" w:rsidP="00747A6D">
      <w:pPr>
        <w:pStyle w:val="Body"/>
        <w:jc w:val="both"/>
      </w:pPr>
    </w:p>
    <w:p w14:paraId="762710C1" w14:textId="77777777" w:rsidR="00E24B83" w:rsidRDefault="00E24B83" w:rsidP="00747A6D">
      <w:pPr>
        <w:pStyle w:val="Body"/>
        <w:jc w:val="both"/>
      </w:pPr>
    </w:p>
    <w:p w14:paraId="3F4450D3" w14:textId="77777777" w:rsidR="00E24B83" w:rsidRDefault="00E24B83" w:rsidP="00747A6D">
      <w:pPr>
        <w:pStyle w:val="Body"/>
        <w:jc w:val="both"/>
      </w:pPr>
    </w:p>
    <w:p w14:paraId="5E1DCEB7" w14:textId="77777777" w:rsidR="00E24B83" w:rsidRDefault="00E24B83" w:rsidP="00747A6D">
      <w:pPr>
        <w:pStyle w:val="Body"/>
        <w:jc w:val="both"/>
      </w:pPr>
    </w:p>
    <w:p w14:paraId="2CCEE898" w14:textId="37B0720B" w:rsidR="00E24B83" w:rsidRDefault="00E24B83" w:rsidP="00747A6D">
      <w:pPr>
        <w:pStyle w:val="Body"/>
        <w:jc w:val="both"/>
      </w:pPr>
    </w:p>
    <w:p w14:paraId="2BA61F53" w14:textId="77777777" w:rsidR="00747A6D" w:rsidRDefault="00747A6D" w:rsidP="00747A6D">
      <w:pPr>
        <w:pStyle w:val="Body"/>
        <w:jc w:val="both"/>
      </w:pPr>
    </w:p>
    <w:p w14:paraId="481B9C33" w14:textId="1CF93701" w:rsidR="00E24B83" w:rsidRDefault="00E24B83" w:rsidP="00747A6D">
      <w:pPr>
        <w:pStyle w:val="Body"/>
        <w:jc w:val="both"/>
      </w:pPr>
      <w:r>
        <w:t>__________________________</w:t>
      </w:r>
    </w:p>
    <w:p w14:paraId="4284CC09" w14:textId="77777777" w:rsidR="00E24B83" w:rsidRPr="00E24B83" w:rsidRDefault="00E24B83" w:rsidP="00E24B83">
      <w:pPr>
        <w:pStyle w:val="FootnoteText"/>
        <w:rPr>
          <w:sz w:val="16"/>
        </w:rPr>
      </w:pPr>
      <w:r w:rsidRPr="00E24B83">
        <w:rPr>
          <w:rStyle w:val="FootnoteReference"/>
          <w:szCs w:val="18"/>
        </w:rPr>
        <w:footnoteRef/>
      </w:r>
      <w:r w:rsidRPr="00E24B83">
        <w:rPr>
          <w:szCs w:val="18"/>
        </w:rPr>
        <w:t xml:space="preserve"> </w:t>
      </w:r>
      <w:r w:rsidRPr="00E24B83">
        <w:rPr>
          <w:sz w:val="16"/>
        </w:rPr>
        <w:t xml:space="preserve">Where A is the maximum activity of a specific radionuclide which is authorised to be possessed OR the aggregation of sealed sources (see Practice Note 3) containing the same radionuclide in units of </w:t>
      </w:r>
      <w:proofErr w:type="spellStart"/>
      <w:r w:rsidRPr="00E24B83">
        <w:rPr>
          <w:sz w:val="16"/>
        </w:rPr>
        <w:t>gigabecquerel</w:t>
      </w:r>
      <w:proofErr w:type="spellEnd"/>
      <w:r w:rsidRPr="00E24B83">
        <w:rPr>
          <w:sz w:val="16"/>
        </w:rPr>
        <w:t xml:space="preserve"> (</w:t>
      </w:r>
      <w:proofErr w:type="spellStart"/>
      <w:r w:rsidRPr="00E24B83">
        <w:rPr>
          <w:sz w:val="16"/>
        </w:rPr>
        <w:t>GBq</w:t>
      </w:r>
      <w:proofErr w:type="spellEnd"/>
      <w:r w:rsidRPr="00E24B83">
        <w:rPr>
          <w:sz w:val="16"/>
        </w:rPr>
        <w:t>).</w:t>
      </w:r>
    </w:p>
    <w:p w14:paraId="7B945852" w14:textId="77777777" w:rsidR="00E24B83" w:rsidRPr="00E24B83" w:rsidRDefault="00E24B83" w:rsidP="00E24B83">
      <w:pPr>
        <w:spacing w:before="60" w:after="60" w:line="200" w:lineRule="atLeast"/>
        <w:rPr>
          <w:rFonts w:eastAsia="MS Gothic" w:cs="Arial"/>
          <w:sz w:val="16"/>
          <w:szCs w:val="16"/>
        </w:rPr>
      </w:pPr>
    </w:p>
    <w:p w14:paraId="050D46F1" w14:textId="0EB08D84" w:rsidR="00E24B83" w:rsidRPr="00E24B83" w:rsidRDefault="00E24B83" w:rsidP="00E24B83">
      <w:pPr>
        <w:spacing w:before="60" w:after="60" w:line="200" w:lineRule="atLeast"/>
        <w:rPr>
          <w:rFonts w:eastAsia="MS Gothic" w:cs="Arial"/>
          <w:sz w:val="16"/>
          <w:szCs w:val="16"/>
        </w:rPr>
      </w:pPr>
      <w:r w:rsidRPr="00E24B83">
        <w:rPr>
          <w:rFonts w:eastAsia="MS Gothic" w:cs="Arial"/>
          <w:sz w:val="16"/>
          <w:szCs w:val="16"/>
        </w:rPr>
        <w:t xml:space="preserve">The D-value for a specific radionuclide is the value specified in Column 2 of Table </w:t>
      </w:r>
      <w:r w:rsidR="00747A6D">
        <w:rPr>
          <w:rFonts w:eastAsia="MS Gothic" w:cs="Arial"/>
          <w:sz w:val="16"/>
          <w:szCs w:val="16"/>
        </w:rPr>
        <w:t>1</w:t>
      </w:r>
    </w:p>
    <w:p w14:paraId="50BAAC59" w14:textId="4F57C57E" w:rsidR="00E24B83" w:rsidRDefault="00E24B83" w:rsidP="00E24B83">
      <w:pPr>
        <w:pStyle w:val="Heading1"/>
      </w:pPr>
      <w:r>
        <w:lastRenderedPageBreak/>
        <w:t xml:space="preserve">Appendix 2 </w:t>
      </w:r>
      <w:proofErr w:type="gramStart"/>
      <w:r>
        <w:t>-  High</w:t>
      </w:r>
      <w:proofErr w:type="gramEnd"/>
      <w:r>
        <w:t xml:space="preserve"> consequence groups of sealed sources. </w:t>
      </w:r>
    </w:p>
    <w:p w14:paraId="441561DA" w14:textId="55A93148" w:rsidR="00E24B83" w:rsidRDefault="00E24B83" w:rsidP="00747A6D">
      <w:pPr>
        <w:pStyle w:val="Heading4"/>
        <w:jc w:val="both"/>
      </w:pPr>
      <w:r>
        <w:t xml:space="preserve">Why is this concept important? </w:t>
      </w:r>
    </w:p>
    <w:p w14:paraId="560A83F0" w14:textId="51127F06" w:rsidR="00E24B83" w:rsidRPr="00216404" w:rsidRDefault="00E24B83" w:rsidP="00747A6D">
      <w:pPr>
        <w:pStyle w:val="Body"/>
        <w:jc w:val="both"/>
        <w:rPr>
          <w:sz w:val="18"/>
          <w:szCs w:val="18"/>
        </w:rPr>
      </w:pPr>
      <w:r w:rsidRPr="00793417">
        <w:rPr>
          <w:rFonts w:cs="Arial"/>
        </w:rPr>
        <w:t>This concept is important because you may be authorised to possess multiple sealed sources. Whilst each individual sealed source may not attract these additional security obligations but if grouped together at the ‘same place’ and secured in the same way’ then they may well do so. There are several tests to determine your legal obligations</w:t>
      </w:r>
    </w:p>
    <w:p w14:paraId="65BBD119" w14:textId="13482079" w:rsidR="00216404" w:rsidRDefault="00216404" w:rsidP="00747A6D">
      <w:pPr>
        <w:pStyle w:val="Heading4"/>
        <w:jc w:val="both"/>
      </w:pPr>
      <w:r>
        <w:t xml:space="preserve">Test 1: Do I have sufficient sealed sources to potentially constitute a high consequence group of sealed sources? </w:t>
      </w:r>
    </w:p>
    <w:p w14:paraId="0A0BA609" w14:textId="17A89622" w:rsidR="00216404" w:rsidRDefault="00216404" w:rsidP="00747A6D">
      <w:pPr>
        <w:spacing w:after="0" w:line="240" w:lineRule="auto"/>
        <w:jc w:val="both"/>
        <w:rPr>
          <w:rFonts w:eastAsia="Times" w:cs="Arial"/>
        </w:rPr>
      </w:pPr>
      <w:r w:rsidRPr="00216404">
        <w:rPr>
          <w:rFonts w:eastAsia="Times" w:cs="Arial"/>
        </w:rPr>
        <w:t xml:space="preserve">You need to note the maximum activity in </w:t>
      </w:r>
      <w:proofErr w:type="spellStart"/>
      <w:r w:rsidRPr="00216404">
        <w:rPr>
          <w:rFonts w:eastAsia="Times" w:cs="Arial"/>
        </w:rPr>
        <w:t>GBq</w:t>
      </w:r>
      <w:proofErr w:type="spellEnd"/>
      <w:r w:rsidRPr="00216404">
        <w:rPr>
          <w:rFonts w:eastAsia="Times" w:cs="Arial"/>
        </w:rPr>
        <w:t xml:space="preserve"> for each radionuclide that your licence allows you to possess and divide this activity by the relevant D-value to calculate the activity ratio for each radionuclide (see Radiation Practice Note 2).</w:t>
      </w:r>
    </w:p>
    <w:p w14:paraId="39946208" w14:textId="0C8191EB" w:rsidR="00216404" w:rsidRDefault="00216404" w:rsidP="00747A6D">
      <w:pPr>
        <w:spacing w:after="0" w:line="240" w:lineRule="auto"/>
        <w:jc w:val="both"/>
        <w:rPr>
          <w:rFonts w:eastAsia="Times" w:cs="Arial"/>
        </w:rPr>
      </w:pPr>
    </w:p>
    <w:p w14:paraId="1718A3BB" w14:textId="122DA4F2" w:rsidR="00216404" w:rsidRPr="00216404" w:rsidRDefault="00216404" w:rsidP="00747A6D">
      <w:pPr>
        <w:spacing w:after="0" w:line="240" w:lineRule="auto"/>
        <w:jc w:val="both"/>
        <w:rPr>
          <w:rFonts w:eastAsia="Times" w:cs="Arial"/>
        </w:rPr>
      </w:pPr>
      <w:r w:rsidRPr="00216404">
        <w:rPr>
          <w:rFonts w:eastAsia="Times" w:cs="Arial"/>
        </w:rPr>
        <w:t xml:space="preserve">The activity ratios are then summed.  The total of these summed activity ratios represents the maximum activity ratio if </w:t>
      </w:r>
      <w:proofErr w:type="gramStart"/>
      <w:r w:rsidRPr="00216404">
        <w:rPr>
          <w:rFonts w:eastAsia="Times" w:cs="Arial"/>
        </w:rPr>
        <w:t>all of</w:t>
      </w:r>
      <w:proofErr w:type="gramEnd"/>
      <w:r w:rsidRPr="00216404">
        <w:rPr>
          <w:rFonts w:eastAsia="Times" w:cs="Arial"/>
        </w:rPr>
        <w:t xml:space="preserve"> the sources were to be kept at the same place and secured in the same way. If that number is less 1, then the aggregation of sources is not a high consequence group of sealed sources. If it exceeds 1, then it is potentially a high consequence group of sealed sources. You then need to move on to Test 2. </w:t>
      </w:r>
    </w:p>
    <w:p w14:paraId="0FF2E4FD" w14:textId="5410EF93" w:rsidR="00216404" w:rsidRDefault="00216404" w:rsidP="00747A6D">
      <w:pPr>
        <w:pStyle w:val="Heading4"/>
        <w:jc w:val="both"/>
      </w:pPr>
      <w:r>
        <w:t>Test 2: Are the sealed sources in the same place?</w:t>
      </w:r>
    </w:p>
    <w:p w14:paraId="4F1D9610" w14:textId="77777777" w:rsidR="00216404" w:rsidRPr="00216404" w:rsidRDefault="00216404" w:rsidP="00747A6D">
      <w:pPr>
        <w:spacing w:after="0" w:line="240" w:lineRule="auto"/>
        <w:jc w:val="both"/>
        <w:rPr>
          <w:rFonts w:eastAsia="Times" w:cs="Arial"/>
        </w:rPr>
      </w:pPr>
      <w:r w:rsidRPr="00216404">
        <w:rPr>
          <w:rFonts w:eastAsia="Times" w:cs="Arial"/>
        </w:rPr>
        <w:t xml:space="preserve">As a minimum, the ‘same place’ would mean at the same site in the rare instance where the sources are not located inside a building or vehicle. </w:t>
      </w:r>
    </w:p>
    <w:p w14:paraId="3D12D0C2" w14:textId="77777777" w:rsidR="00216404" w:rsidRPr="00216404" w:rsidRDefault="00216404" w:rsidP="00747A6D">
      <w:pPr>
        <w:spacing w:after="0" w:line="240" w:lineRule="auto"/>
        <w:jc w:val="both"/>
        <w:rPr>
          <w:rFonts w:eastAsia="Times" w:cs="Arial"/>
        </w:rPr>
      </w:pPr>
    </w:p>
    <w:p w14:paraId="54CB3EC0" w14:textId="7A7B1FF3" w:rsidR="00216404" w:rsidRPr="00216404" w:rsidRDefault="00216404" w:rsidP="00747A6D">
      <w:pPr>
        <w:spacing w:after="0" w:line="240" w:lineRule="auto"/>
        <w:jc w:val="both"/>
        <w:rPr>
          <w:rFonts w:eastAsia="Times" w:cs="Arial"/>
        </w:rPr>
      </w:pPr>
      <w:r w:rsidRPr="00216404">
        <w:rPr>
          <w:rFonts w:eastAsia="Times" w:cs="Arial"/>
        </w:rPr>
        <w:t>However, where the sources are located inside a building, we regard them to be in the same place. It is then a question of the way in which the sources are secured that will determine whether the sources are of high consequence.</w:t>
      </w:r>
    </w:p>
    <w:p w14:paraId="1370D8E7" w14:textId="1B33F5B9" w:rsidR="00216404" w:rsidRDefault="00216404" w:rsidP="00747A6D">
      <w:pPr>
        <w:pStyle w:val="Heading4"/>
        <w:jc w:val="both"/>
      </w:pPr>
      <w:r>
        <w:t>Test 3: Are the sources that are in the same place secured in the same way?</w:t>
      </w:r>
    </w:p>
    <w:p w14:paraId="07BD5479" w14:textId="22372628" w:rsidR="00216404" w:rsidRPr="00216404" w:rsidRDefault="00216404" w:rsidP="00747A6D">
      <w:pPr>
        <w:spacing w:after="0" w:line="240" w:lineRule="auto"/>
        <w:jc w:val="both"/>
        <w:rPr>
          <w:rFonts w:eastAsia="Times" w:cs="Arial"/>
        </w:rPr>
      </w:pPr>
      <w:r w:rsidRPr="00216404">
        <w:rPr>
          <w:rFonts w:eastAsia="Times" w:cs="Arial"/>
        </w:rPr>
        <w:t xml:space="preserve">It is possible that not </w:t>
      </w:r>
      <w:proofErr w:type="gramStart"/>
      <w:r w:rsidRPr="00216404">
        <w:rPr>
          <w:rFonts w:eastAsia="Times" w:cs="Arial"/>
        </w:rPr>
        <w:t>all of</w:t>
      </w:r>
      <w:proofErr w:type="gramEnd"/>
      <w:r w:rsidRPr="00216404">
        <w:rPr>
          <w:rFonts w:eastAsia="Times" w:cs="Arial"/>
        </w:rPr>
        <w:t xml:space="preserve"> the sources will be located in the same room inside the same building e.g. 2 sources might be in room 1, two more sources in room 2 etc. These rooms may still represent the ‘same place’ if the security measures are at the entrance to the building e.g. at the main entrance door. </w:t>
      </w:r>
    </w:p>
    <w:p w14:paraId="38BF9357" w14:textId="77777777" w:rsidR="00216404" w:rsidRPr="00216404" w:rsidRDefault="00216404" w:rsidP="00747A6D">
      <w:pPr>
        <w:spacing w:after="0" w:line="240" w:lineRule="auto"/>
        <w:jc w:val="both"/>
        <w:rPr>
          <w:rFonts w:eastAsia="Times" w:cs="Arial"/>
        </w:rPr>
      </w:pPr>
    </w:p>
    <w:p w14:paraId="10E02BF0" w14:textId="46EFC27D" w:rsidR="00216404" w:rsidRPr="00216404" w:rsidRDefault="00216404" w:rsidP="00747A6D">
      <w:pPr>
        <w:spacing w:after="0" w:line="240" w:lineRule="auto"/>
        <w:jc w:val="both"/>
        <w:rPr>
          <w:rFonts w:eastAsia="Times" w:cs="Arial"/>
        </w:rPr>
      </w:pPr>
      <w:r w:rsidRPr="00216404">
        <w:rPr>
          <w:rFonts w:eastAsia="Times" w:cs="Arial"/>
        </w:rPr>
        <w:t xml:space="preserve">However, if each room is separately locked, then we would not consider that the sources are secured in the same way unless the level of security of each room was not considered to be sufficient as to comply with the licence conditions. </w:t>
      </w:r>
    </w:p>
    <w:p w14:paraId="77052068" w14:textId="77777777" w:rsidR="00216404" w:rsidRPr="00216404" w:rsidRDefault="00216404" w:rsidP="00747A6D">
      <w:pPr>
        <w:spacing w:after="0" w:line="240" w:lineRule="auto"/>
        <w:jc w:val="both"/>
        <w:rPr>
          <w:rFonts w:eastAsia="Times" w:cs="Arial"/>
        </w:rPr>
      </w:pPr>
    </w:p>
    <w:p w14:paraId="32C1D868" w14:textId="1AB91E4F" w:rsidR="00216404" w:rsidRPr="00216404" w:rsidRDefault="00216404" w:rsidP="00747A6D">
      <w:pPr>
        <w:pStyle w:val="Body"/>
        <w:jc w:val="both"/>
        <w:rPr>
          <w:rFonts w:cs="Arial"/>
        </w:rPr>
      </w:pPr>
      <w:r w:rsidRPr="00216404">
        <w:rPr>
          <w:rFonts w:cs="Arial"/>
        </w:rPr>
        <w:t xml:space="preserve">All sealed sources must be protected to a minimum standard which is that required by the relevant management licence. However, where HCSS or HCGSS are </w:t>
      </w:r>
      <w:proofErr w:type="gramStart"/>
      <w:r w:rsidRPr="00216404">
        <w:rPr>
          <w:rFonts w:cs="Arial"/>
        </w:rPr>
        <w:t>involved</w:t>
      </w:r>
      <w:proofErr w:type="gramEnd"/>
      <w:r w:rsidRPr="00216404">
        <w:rPr>
          <w:rFonts w:cs="Arial"/>
        </w:rPr>
        <w:t xml:space="preserve"> they must be protected to the higher standards required by the Act.</w:t>
      </w:r>
    </w:p>
    <w:p w14:paraId="2CE5D01D" w14:textId="0F6876B1" w:rsidR="00C51F0A" w:rsidRDefault="00216404" w:rsidP="00747A6D">
      <w:pPr>
        <w:pStyle w:val="Body"/>
        <w:jc w:val="both"/>
        <w:rPr>
          <w:rFonts w:cs="Arial"/>
        </w:rPr>
      </w:pPr>
      <w:r w:rsidRPr="00216404">
        <w:rPr>
          <w:rFonts w:cs="Arial"/>
        </w:rPr>
        <w:t xml:space="preserve">It is also possible that in some sites, particularly industrial sites, that a source may </w:t>
      </w:r>
      <w:proofErr w:type="gramStart"/>
      <w:r w:rsidRPr="00216404">
        <w:rPr>
          <w:rFonts w:cs="Arial"/>
        </w:rPr>
        <w:t>be located in</w:t>
      </w:r>
      <w:proofErr w:type="gramEnd"/>
      <w:r w:rsidRPr="00216404">
        <w:rPr>
          <w:rFonts w:cs="Arial"/>
        </w:rPr>
        <w:t xml:space="preserve"> a secured area within a large building. In some sites there may be several such sources all secured in their own secure areas within the larger building.</w:t>
      </w:r>
    </w:p>
    <w:p w14:paraId="359E27BD" w14:textId="105AE5AE" w:rsidR="00216404" w:rsidRDefault="00216404" w:rsidP="00747A6D">
      <w:pPr>
        <w:pStyle w:val="Body"/>
        <w:jc w:val="both"/>
        <w:rPr>
          <w:rFonts w:cs="Arial"/>
        </w:rPr>
      </w:pPr>
    </w:p>
    <w:p w14:paraId="0A29FAC3" w14:textId="77777777" w:rsidR="00216404" w:rsidRPr="00216404" w:rsidRDefault="00216404" w:rsidP="00216404">
      <w:pPr>
        <w:pStyle w:val="Body"/>
        <w:rPr>
          <w:rFonts w:cs="Arial"/>
        </w:rPr>
      </w:pPr>
    </w:p>
    <w:tbl>
      <w:tblPr>
        <w:tblStyle w:val="TableGrid"/>
        <w:tblW w:w="0" w:type="auto"/>
        <w:tblCellMar>
          <w:bottom w:w="108" w:type="dxa"/>
        </w:tblCellMar>
        <w:tblLook w:val="0600" w:firstRow="0" w:lastRow="0" w:firstColumn="0" w:lastColumn="0" w:noHBand="1" w:noVBand="1"/>
      </w:tblPr>
      <w:tblGrid>
        <w:gridCol w:w="10194"/>
      </w:tblGrid>
      <w:tr w:rsidR="0055119B" w14:paraId="756C48AF" w14:textId="77777777" w:rsidTr="00EC40D5">
        <w:tc>
          <w:tcPr>
            <w:tcW w:w="10194" w:type="dxa"/>
          </w:tcPr>
          <w:p w14:paraId="6967D477" w14:textId="4AB8BA33" w:rsidR="0055119B" w:rsidRPr="0055119B" w:rsidRDefault="0055119B" w:rsidP="0055119B">
            <w:pPr>
              <w:pStyle w:val="Accessibilitypara"/>
            </w:pPr>
            <w:bookmarkStart w:id="4" w:name="_Hlk37240926"/>
            <w:r w:rsidRPr="0055119B">
              <w:lastRenderedPageBreak/>
              <w:t>To receive this document in another format</w:t>
            </w:r>
            <w:r>
              <w:t>,</w:t>
            </w:r>
            <w:r w:rsidRPr="0055119B">
              <w:t xml:space="preserve"> </w:t>
            </w:r>
            <w:hyperlink r:id="rId15" w:history="1">
              <w:r w:rsidRPr="00216404">
                <w:rPr>
                  <w:rStyle w:val="Hyperlink"/>
                </w:rPr>
                <w:t xml:space="preserve">email </w:t>
              </w:r>
              <w:r w:rsidR="00216404" w:rsidRPr="00216404">
                <w:rPr>
                  <w:rStyle w:val="Hyperlink"/>
                </w:rPr>
                <w:t>Radiation Team</w:t>
              </w:r>
            </w:hyperlink>
            <w:r w:rsidRPr="00216404">
              <w:t xml:space="preserve"> </w:t>
            </w:r>
            <w:r w:rsidRPr="0055119B">
              <w:t>&lt;</w:t>
            </w:r>
            <w:r w:rsidR="00747A6D" w:rsidRPr="00747A6D">
              <w:t>Radiation.safety@health.vic.gov.au</w:t>
            </w:r>
            <w:r w:rsidRPr="0055119B">
              <w:t>&gt;.</w:t>
            </w:r>
          </w:p>
          <w:p w14:paraId="4F4ECC78" w14:textId="77777777" w:rsidR="0055119B" w:rsidRPr="0055119B" w:rsidRDefault="0055119B" w:rsidP="00E33237">
            <w:pPr>
              <w:pStyle w:val="Imprint"/>
            </w:pPr>
            <w:r w:rsidRPr="0055119B">
              <w:t>Authorised and published by the Victorian Government, 1 Treasury Place, Melbourne.</w:t>
            </w:r>
          </w:p>
          <w:p w14:paraId="1D06FF5F" w14:textId="017B1580"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4542D6">
              <w:rPr>
                <w:color w:val="004C97"/>
              </w:rPr>
              <w:t>January 2022</w:t>
            </w:r>
            <w:r w:rsidRPr="0055119B">
              <w:t>.</w:t>
            </w:r>
          </w:p>
          <w:p w14:paraId="38D59971" w14:textId="06FE98A5" w:rsidR="0055119B" w:rsidRDefault="0055119B" w:rsidP="00E33237">
            <w:pPr>
              <w:pStyle w:val="Imprint"/>
            </w:pPr>
            <w:r w:rsidRPr="0055119B">
              <w:t xml:space="preserve">Available at </w:t>
            </w:r>
            <w:hyperlink r:id="rId16" w:history="1">
              <w:r w:rsidR="00216404" w:rsidRPr="00216404">
                <w:rPr>
                  <w:rStyle w:val="Hyperlink"/>
                </w:rPr>
                <w:t xml:space="preserve">Radiation website </w:t>
              </w:r>
            </w:hyperlink>
            <w:r w:rsidRPr="00216404">
              <w:rPr>
                <w:color w:val="auto"/>
              </w:rPr>
              <w:t xml:space="preserve"> &lt;</w:t>
            </w:r>
            <w:r w:rsidR="00216404" w:rsidRPr="00216404">
              <w:rPr>
                <w:color w:val="auto"/>
              </w:rPr>
              <w:t xml:space="preserve"> https://www.health.vic.gov.au/publications/security-of-high-consequence-radioactive-material-radiation-practice-note-1</w:t>
            </w:r>
            <w:r w:rsidRPr="00216404">
              <w:rPr>
                <w:color w:val="auto"/>
              </w:rPr>
              <w:t>&gt;</w:t>
            </w:r>
          </w:p>
        </w:tc>
      </w:tr>
      <w:bookmarkEnd w:id="4"/>
    </w:tbl>
    <w:p w14:paraId="562D4A19"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24FFE" w14:textId="77777777" w:rsidR="000E4082" w:rsidRDefault="000E4082">
      <w:r>
        <w:separator/>
      </w:r>
    </w:p>
  </w:endnote>
  <w:endnote w:type="continuationSeparator" w:id="0">
    <w:p w14:paraId="491FDF59" w14:textId="77777777" w:rsidR="000E4082" w:rsidRDefault="000E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1DEA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78D3CEF" wp14:editId="3067780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C73E71B" wp14:editId="5575AC6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5A963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73E71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75A963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DE5B"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E630093" wp14:editId="5719BA2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B2FA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63009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A9B2FA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FAA4F" w14:textId="57F2C7F5" w:rsidR="00373890" w:rsidRPr="00F65AA9" w:rsidRDefault="00747A6D" w:rsidP="00F84FA0">
    <w:pPr>
      <w:pStyle w:val="Footer"/>
    </w:pPr>
    <w:r>
      <w:rPr>
        <w:noProof/>
      </w:rPr>
      <mc:AlternateContent>
        <mc:Choice Requires="wps">
          <w:drawing>
            <wp:anchor distT="0" distB="0" distL="114300" distR="114300" simplePos="0" relativeHeight="251676160" behindDoc="0" locked="0" layoutInCell="0" allowOverlap="1" wp14:anchorId="17EDDA33" wp14:editId="2BB32826">
              <wp:simplePos x="0" y="0"/>
              <wp:positionH relativeFrom="page">
                <wp:posOffset>0</wp:posOffset>
              </wp:positionH>
              <wp:positionV relativeFrom="page">
                <wp:posOffset>10189210</wp:posOffset>
              </wp:positionV>
              <wp:extent cx="7560310" cy="311785"/>
              <wp:effectExtent l="0" t="0" r="0" b="12065"/>
              <wp:wrapNone/>
              <wp:docPr id="3" name="MSIPCMd11f47e6a3d1517f58cdd18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625C" w14:textId="0A220758" w:rsidR="00747A6D" w:rsidRPr="00747A6D" w:rsidRDefault="00747A6D" w:rsidP="00747A6D">
                          <w:pPr>
                            <w:spacing w:after="0"/>
                            <w:jc w:val="center"/>
                            <w:rPr>
                              <w:rFonts w:ascii="Arial Black" w:hAnsi="Arial Black"/>
                              <w:color w:val="000000"/>
                              <w:sz w:val="20"/>
                            </w:rPr>
                          </w:pPr>
                          <w:r w:rsidRPr="00747A6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EDDA33" id="_x0000_t202" coordsize="21600,21600" o:spt="202" path="m,l,21600r21600,l21600,xe">
              <v:stroke joinstyle="miter"/>
              <v:path gradientshapeok="t" o:connecttype="rect"/>
            </v:shapetype>
            <v:shape id="MSIPCMd11f47e6a3d1517f58cdd187"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C0C625C" w14:textId="0A220758" w:rsidR="00747A6D" w:rsidRPr="00747A6D" w:rsidRDefault="00747A6D" w:rsidP="00747A6D">
                    <w:pPr>
                      <w:spacing w:after="0"/>
                      <w:jc w:val="center"/>
                      <w:rPr>
                        <w:rFonts w:ascii="Arial Black" w:hAnsi="Arial Black"/>
                        <w:color w:val="000000"/>
                        <w:sz w:val="20"/>
                      </w:rPr>
                    </w:pPr>
                    <w:r w:rsidRPr="00747A6D">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1065CB5" wp14:editId="3C1F41A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92FD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1065CB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F792FD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F56C7" w14:textId="77777777" w:rsidR="000E4082" w:rsidRDefault="000E4082" w:rsidP="002862F1">
      <w:pPr>
        <w:spacing w:before="120"/>
      </w:pPr>
      <w:r>
        <w:separator/>
      </w:r>
    </w:p>
  </w:footnote>
  <w:footnote w:type="continuationSeparator" w:id="0">
    <w:p w14:paraId="3AA82F63" w14:textId="77777777" w:rsidR="000E4082" w:rsidRDefault="000E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A8255"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BA2623"/>
    <w:multiLevelType w:val="hybridMultilevel"/>
    <w:tmpl w:val="3DCAE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1CD1147"/>
    <w:multiLevelType w:val="hybridMultilevel"/>
    <w:tmpl w:val="4DF40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76790748">
    <w:abstractNumId w:val="10"/>
  </w:num>
  <w:num w:numId="2" w16cid:durableId="139615302">
    <w:abstractNumId w:val="18"/>
  </w:num>
  <w:num w:numId="3" w16cid:durableId="2146043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538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0814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670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464763">
    <w:abstractNumId w:val="22"/>
  </w:num>
  <w:num w:numId="8" w16cid:durableId="214894406">
    <w:abstractNumId w:val="17"/>
  </w:num>
  <w:num w:numId="9" w16cid:durableId="1425301712">
    <w:abstractNumId w:val="21"/>
  </w:num>
  <w:num w:numId="10" w16cid:durableId="13372279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689042">
    <w:abstractNumId w:val="23"/>
  </w:num>
  <w:num w:numId="12" w16cid:durableId="1146312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6551877">
    <w:abstractNumId w:val="19"/>
  </w:num>
  <w:num w:numId="14" w16cid:durableId="19289991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93387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946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0655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78017">
    <w:abstractNumId w:val="25"/>
  </w:num>
  <w:num w:numId="19" w16cid:durableId="5070590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0341272">
    <w:abstractNumId w:val="14"/>
  </w:num>
  <w:num w:numId="21" w16cid:durableId="123349417">
    <w:abstractNumId w:val="12"/>
  </w:num>
  <w:num w:numId="22" w16cid:durableId="549150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9327485">
    <w:abstractNumId w:val="16"/>
  </w:num>
  <w:num w:numId="24" w16cid:durableId="879127663">
    <w:abstractNumId w:val="27"/>
  </w:num>
  <w:num w:numId="25" w16cid:durableId="513423958">
    <w:abstractNumId w:val="24"/>
  </w:num>
  <w:num w:numId="26" w16cid:durableId="524175714">
    <w:abstractNumId w:val="20"/>
  </w:num>
  <w:num w:numId="27" w16cid:durableId="747075372">
    <w:abstractNumId w:val="11"/>
  </w:num>
  <w:num w:numId="28" w16cid:durableId="1614248945">
    <w:abstractNumId w:val="28"/>
  </w:num>
  <w:num w:numId="29" w16cid:durableId="964194395">
    <w:abstractNumId w:val="9"/>
  </w:num>
  <w:num w:numId="30" w16cid:durableId="573247612">
    <w:abstractNumId w:val="7"/>
  </w:num>
  <w:num w:numId="31" w16cid:durableId="1469513996">
    <w:abstractNumId w:val="6"/>
  </w:num>
  <w:num w:numId="32" w16cid:durableId="1196425668">
    <w:abstractNumId w:val="5"/>
  </w:num>
  <w:num w:numId="33" w16cid:durableId="1375035170">
    <w:abstractNumId w:val="4"/>
  </w:num>
  <w:num w:numId="34" w16cid:durableId="775903420">
    <w:abstractNumId w:val="8"/>
  </w:num>
  <w:num w:numId="35" w16cid:durableId="1868370143">
    <w:abstractNumId w:val="3"/>
  </w:num>
  <w:num w:numId="36" w16cid:durableId="648705099">
    <w:abstractNumId w:val="2"/>
  </w:num>
  <w:num w:numId="37" w16cid:durableId="1302267218">
    <w:abstractNumId w:val="1"/>
  </w:num>
  <w:num w:numId="38" w16cid:durableId="984235920">
    <w:abstractNumId w:val="0"/>
  </w:num>
  <w:num w:numId="39" w16cid:durableId="71241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3359723">
    <w:abstractNumId w:val="15"/>
  </w:num>
  <w:num w:numId="41" w16cid:durableId="193550566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82"/>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72A"/>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4082"/>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404"/>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2D6"/>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A6D"/>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0B3"/>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097"/>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1DBA"/>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4715"/>
    <w:rsid w:val="00A6061C"/>
    <w:rsid w:val="00A62D44"/>
    <w:rsid w:val="00A67263"/>
    <w:rsid w:val="00A7161C"/>
    <w:rsid w:val="00A77AA3"/>
    <w:rsid w:val="00A8236D"/>
    <w:rsid w:val="00A854EB"/>
    <w:rsid w:val="00A872E5"/>
    <w:rsid w:val="00A91406"/>
    <w:rsid w:val="00A9503C"/>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3A23"/>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4B83"/>
    <w:rsid w:val="00E261B3"/>
    <w:rsid w:val="00E26818"/>
    <w:rsid w:val="00E27FFC"/>
    <w:rsid w:val="00E30B15"/>
    <w:rsid w:val="00E33237"/>
    <w:rsid w:val="00E40181"/>
    <w:rsid w:val="00E54950"/>
    <w:rsid w:val="00E56A01"/>
    <w:rsid w:val="00E62622"/>
    <w:rsid w:val="00E629A1"/>
    <w:rsid w:val="00E6794C"/>
    <w:rsid w:val="00E71591"/>
    <w:rsid w:val="00E71CEB"/>
    <w:rsid w:val="00E74492"/>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15A967"/>
  <w15:docId w15:val="{561A6ED0-60C1-461E-AC63-BACA6E4B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74492"/>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styleId="PlaceholderText">
    <w:name w:val="Placeholder Text"/>
    <w:basedOn w:val="DefaultParagraphFont"/>
    <w:uiPriority w:val="99"/>
    <w:unhideWhenUsed/>
    <w:rsid w:val="00891D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publications/security-of-high-consequence-radioactive-material-radiation-practice-not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adiation.safety@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DH orange factsheet</vt:lpstr>
    </vt:vector>
  </TitlesOfParts>
  <Manager/>
  <Company>Victoria State Government, Department of Health</Company>
  <LinksUpToDate>false</LinksUpToDate>
  <CharactersWithSpaces>7196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Violette Lazanas (Health)</cp:lastModifiedBy>
  <cp:revision>2</cp:revision>
  <cp:lastPrinted>2020-03-30T03:28:00Z</cp:lastPrinted>
  <dcterms:created xsi:type="dcterms:W3CDTF">2024-12-11T08:26:00Z</dcterms:created>
  <dcterms:modified xsi:type="dcterms:W3CDTF">2024-12-11T08:26:00Z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2022-01-11T06:31:55Z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