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5BF13"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2F80D09D" wp14:editId="7BCFF1D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50F01EC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06CF1D3" w14:textId="77777777" w:rsidTr="00B07FF7">
        <w:trPr>
          <w:trHeight w:val="622"/>
        </w:trPr>
        <w:tc>
          <w:tcPr>
            <w:tcW w:w="10348" w:type="dxa"/>
            <w:tcMar>
              <w:top w:w="1531" w:type="dxa"/>
              <w:left w:w="0" w:type="dxa"/>
              <w:right w:w="0" w:type="dxa"/>
            </w:tcMar>
          </w:tcPr>
          <w:p w14:paraId="26DABC0C" w14:textId="4133868D" w:rsidR="003B5733" w:rsidRPr="003B5733" w:rsidRDefault="00F127FE" w:rsidP="003B5733">
            <w:pPr>
              <w:pStyle w:val="Documenttitle"/>
            </w:pPr>
            <w:r>
              <w:t xml:space="preserve">Disposal of radioactive material </w:t>
            </w:r>
          </w:p>
        </w:tc>
      </w:tr>
      <w:tr w:rsidR="003B5733" w14:paraId="55DB4C76" w14:textId="77777777" w:rsidTr="00B07FF7">
        <w:tc>
          <w:tcPr>
            <w:tcW w:w="10348" w:type="dxa"/>
          </w:tcPr>
          <w:p w14:paraId="5D838E1B" w14:textId="77777777" w:rsidR="003B5733" w:rsidRDefault="00F127FE" w:rsidP="005772CD">
            <w:pPr>
              <w:pStyle w:val="Documentsubtitle"/>
            </w:pPr>
            <w:r>
              <w:t>Management licence holder’s obligations</w:t>
            </w:r>
          </w:p>
          <w:p w14:paraId="5E8600D8" w14:textId="405159B2" w:rsidR="00F127FE" w:rsidRPr="00F127FE" w:rsidRDefault="00F127FE" w:rsidP="005772CD">
            <w:pPr>
              <w:pStyle w:val="Documentsubtitle"/>
              <w:rPr>
                <w:i/>
                <w:iCs/>
              </w:rPr>
            </w:pPr>
            <w:r w:rsidRPr="00F127FE">
              <w:rPr>
                <w:i/>
                <w:iCs/>
              </w:rPr>
              <w:t>Radiation Act 2005</w:t>
            </w:r>
          </w:p>
        </w:tc>
      </w:tr>
      <w:tr w:rsidR="003B5733" w14:paraId="05745A7E" w14:textId="77777777" w:rsidTr="00B07FF7">
        <w:tc>
          <w:tcPr>
            <w:tcW w:w="10348" w:type="dxa"/>
          </w:tcPr>
          <w:p w14:paraId="59113D95" w14:textId="77777777" w:rsidR="003B5733" w:rsidRPr="001E5058" w:rsidRDefault="00F127FE" w:rsidP="001E5058">
            <w:pPr>
              <w:pStyle w:val="Bannermarking"/>
            </w:pPr>
            <w:fldSimple w:instr=" FILLIN  &quot;Type the protective marking&quot; \d OFFICIAL \o  \* MERGEFORMAT ">
              <w:r>
                <w:t>OFFICIAL</w:t>
              </w:r>
            </w:fldSimple>
          </w:p>
        </w:tc>
      </w:tr>
    </w:tbl>
    <w:p w14:paraId="7C701D26" w14:textId="2AA321C1" w:rsidR="00C51F0A" w:rsidRPr="00B57329" w:rsidRDefault="00F127FE" w:rsidP="00ED5A55">
      <w:pPr>
        <w:pStyle w:val="Heading1"/>
      </w:pPr>
      <w:bookmarkStart w:id="0" w:name="_Toc66711981"/>
      <w:bookmarkStart w:id="1" w:name="_Toc66712323"/>
      <w:r>
        <w:t>Introduction</w:t>
      </w:r>
      <w:bookmarkEnd w:id="0"/>
      <w:bookmarkEnd w:id="1"/>
      <w:r w:rsidR="00C51F0A">
        <w:t xml:space="preserve"> </w:t>
      </w:r>
      <w:bookmarkStart w:id="2" w:name="_Hlk63948051"/>
    </w:p>
    <w:bookmarkEnd w:id="2"/>
    <w:p w14:paraId="2FCFA40C" w14:textId="77777777" w:rsidR="00F127FE" w:rsidRDefault="00F127FE" w:rsidP="00ED5A55">
      <w:pPr>
        <w:pStyle w:val="Body"/>
      </w:pPr>
      <w:r w:rsidRPr="00F127FE">
        <w:t xml:space="preserve">The Victorian Radiation Act 2005 (the Act) has the objective of protecting the health and safety of persons and the environment from the harmful effects of radiation. The Department of Health (Department) administers this legislation. </w:t>
      </w:r>
    </w:p>
    <w:p w14:paraId="4BD53840" w14:textId="77777777" w:rsidR="00F127FE" w:rsidRDefault="00F127FE" w:rsidP="00ED5A55">
      <w:pPr>
        <w:pStyle w:val="Body"/>
      </w:pPr>
      <w:r w:rsidRPr="00F127FE">
        <w:t xml:space="preserve">The Act seeks to fulfil this objective by establishing a licensing framework to regulate the conduct of radiation practices and the use of radiation sources. </w:t>
      </w:r>
    </w:p>
    <w:p w14:paraId="4DDBCB90" w14:textId="77777777" w:rsidR="00F127FE" w:rsidRDefault="00F127FE" w:rsidP="00ED5A55">
      <w:pPr>
        <w:pStyle w:val="Body"/>
      </w:pPr>
      <w:r w:rsidRPr="00F127FE">
        <w:t>Any person who conducts a radiation practice must hold a management licence (unless exempted from that requirement). The management licence holder must comply with every condition of their licence.</w:t>
      </w:r>
    </w:p>
    <w:p w14:paraId="33891ABD" w14:textId="0768C976" w:rsidR="00F127FE" w:rsidRPr="00B57329" w:rsidRDefault="00F127FE" w:rsidP="00ED5A55">
      <w:pPr>
        <w:pStyle w:val="Heading1"/>
      </w:pPr>
      <w:r>
        <w:t>Scope</w:t>
      </w:r>
    </w:p>
    <w:p w14:paraId="7AD75FF4" w14:textId="45747764" w:rsidR="00F127FE" w:rsidRDefault="00F127FE" w:rsidP="00ED5A55">
      <w:pPr>
        <w:pStyle w:val="Body"/>
      </w:pPr>
      <w:r>
        <w:t>All management licences issued by the Department include a condition which requires a management licence holder whose licence permits disposal of radioactive material to meet the requirements described in this document.</w:t>
      </w:r>
    </w:p>
    <w:p w14:paraId="20150F85" w14:textId="6A395459" w:rsidR="00F127FE" w:rsidRDefault="00F127FE" w:rsidP="00ED5A55">
      <w:pPr>
        <w:pStyle w:val="Body"/>
      </w:pPr>
      <w:r w:rsidRPr="00F127FE">
        <w:t>Disposal in this context includes:</w:t>
      </w:r>
    </w:p>
    <w:p w14:paraId="6F6B30D2" w14:textId="77777777" w:rsidR="00F127FE" w:rsidRDefault="00F127FE" w:rsidP="00ED5A55">
      <w:pPr>
        <w:pStyle w:val="Numberloweralpha"/>
      </w:pPr>
      <w:r w:rsidRPr="00F127FE">
        <w:t>relocation of a radiation source to a destination outside Victoria; and</w:t>
      </w:r>
      <w:r>
        <w:t xml:space="preserve"> </w:t>
      </w:r>
    </w:p>
    <w:p w14:paraId="14B6CF11" w14:textId="77777777" w:rsidR="00F127FE" w:rsidRDefault="00F127FE" w:rsidP="00ED5A55">
      <w:pPr>
        <w:pStyle w:val="Numberloweralpha"/>
      </w:pPr>
      <w:r w:rsidRPr="00F127FE">
        <w:t>relinquishing possession of a radiation source through sale of the radiation source or giving away of the radiation source or any other means.</w:t>
      </w:r>
    </w:p>
    <w:p w14:paraId="3465CF39" w14:textId="2EED8950" w:rsidR="00F127FE" w:rsidRDefault="00F127FE" w:rsidP="00ED5A55">
      <w:pPr>
        <w:pStyle w:val="Body"/>
      </w:pPr>
      <w:r w:rsidRPr="00F127FE">
        <w:t>These restrictions do not apply to the disposal of bodily wastes to sewer by a person who, as part of a diagnostic or therapeutic medical procedure, has previously had an administration or implantation of radioactive mater</w:t>
      </w:r>
      <w:r>
        <w:t>ial.</w:t>
      </w:r>
    </w:p>
    <w:p w14:paraId="4F2BCF9F" w14:textId="34296382" w:rsidR="00F127FE" w:rsidRPr="00B57329" w:rsidRDefault="00F127FE" w:rsidP="00ED5A55">
      <w:pPr>
        <w:pStyle w:val="Heading1"/>
      </w:pPr>
      <w:r>
        <w:t xml:space="preserve">What methods are available for the disposal of radioactive material? </w:t>
      </w:r>
    </w:p>
    <w:p w14:paraId="59D2D1F3" w14:textId="4A343A7B" w:rsidR="00F127FE" w:rsidRDefault="00F127FE" w:rsidP="00ED5A55">
      <w:pPr>
        <w:pStyle w:val="Body"/>
      </w:pPr>
      <w:r>
        <w:t>The available methods of disposal are:</w:t>
      </w:r>
    </w:p>
    <w:p w14:paraId="050FB9FC" w14:textId="77777777" w:rsidR="005F5A39" w:rsidRDefault="005F5A39" w:rsidP="00ED5A55">
      <w:pPr>
        <w:pStyle w:val="Bullet1"/>
      </w:pPr>
      <w:r w:rsidRPr="005F5A39">
        <w:t xml:space="preserve">For short-lived unsealed radionuclides, the ‘delay and decay’ </w:t>
      </w:r>
      <w:proofErr w:type="gramStart"/>
      <w:r w:rsidRPr="005F5A39">
        <w:t>method;</w:t>
      </w:r>
      <w:proofErr w:type="gramEnd"/>
    </w:p>
    <w:p w14:paraId="576293D1" w14:textId="77777777" w:rsidR="005F5A39" w:rsidRDefault="005F5A39" w:rsidP="00ED5A55">
      <w:pPr>
        <w:pStyle w:val="Bullet1"/>
      </w:pPr>
      <w:r w:rsidRPr="005F5A39">
        <w:t xml:space="preserve">For long-lived sealed sources, disposal via </w:t>
      </w:r>
      <w:proofErr w:type="gramStart"/>
      <w:r w:rsidRPr="005F5A39">
        <w:t>export;</w:t>
      </w:r>
      <w:proofErr w:type="gramEnd"/>
    </w:p>
    <w:p w14:paraId="73265D6C" w14:textId="77777777" w:rsidR="005F5A39" w:rsidRDefault="005F5A39" w:rsidP="00ED5A55">
      <w:pPr>
        <w:pStyle w:val="Bullet1"/>
      </w:pPr>
      <w:r w:rsidRPr="005F5A39">
        <w:t xml:space="preserve">For short-lived unsealed radionuclides, disposal to </w:t>
      </w:r>
      <w:proofErr w:type="gramStart"/>
      <w:r w:rsidRPr="005F5A39">
        <w:t>sewer;</w:t>
      </w:r>
      <w:proofErr w:type="gramEnd"/>
    </w:p>
    <w:p w14:paraId="2C061E79" w14:textId="77777777" w:rsidR="005F5A39" w:rsidRDefault="005F5A39" w:rsidP="00ED5A55">
      <w:pPr>
        <w:pStyle w:val="Bullet1"/>
      </w:pPr>
      <w:r w:rsidRPr="005F5A39">
        <w:t xml:space="preserve">For short-lived radionuclides, disposal by release to </w:t>
      </w:r>
      <w:proofErr w:type="gramStart"/>
      <w:r w:rsidRPr="005F5A39">
        <w:t>air;</w:t>
      </w:r>
      <w:proofErr w:type="gramEnd"/>
    </w:p>
    <w:p w14:paraId="5005DB7B" w14:textId="77777777" w:rsidR="005F5A39" w:rsidRDefault="005F5A39" w:rsidP="00ED5A55">
      <w:pPr>
        <w:pStyle w:val="Bullet1"/>
      </w:pPr>
      <w:r w:rsidRPr="005F5A39">
        <w:t xml:space="preserve">For any radioactive material, via transfer of </w:t>
      </w:r>
      <w:proofErr w:type="gramStart"/>
      <w:r w:rsidRPr="005F5A39">
        <w:t>ownership;</w:t>
      </w:r>
      <w:proofErr w:type="gramEnd"/>
      <w:r w:rsidRPr="005F5A39">
        <w:t xml:space="preserve"> </w:t>
      </w:r>
    </w:p>
    <w:p w14:paraId="6E1FF3FD" w14:textId="5AE02C04" w:rsidR="005F5A39" w:rsidRDefault="005F5A39" w:rsidP="00ED5A55">
      <w:pPr>
        <w:pStyle w:val="Bullet1"/>
      </w:pPr>
      <w:r w:rsidRPr="005F5A39">
        <w:t>For any radioactive material, via relocation outside Victoria.</w:t>
      </w:r>
    </w:p>
    <w:p w14:paraId="7622F839" w14:textId="769A2D3A" w:rsidR="005F5A39" w:rsidRPr="00B57329" w:rsidRDefault="005F5A39" w:rsidP="00ED5A55">
      <w:pPr>
        <w:pStyle w:val="Heading1"/>
      </w:pPr>
      <w:r>
        <w:lastRenderedPageBreak/>
        <w:t xml:space="preserve">What is the ‘delay and decay’ method of disposal? </w:t>
      </w:r>
    </w:p>
    <w:p w14:paraId="250AE250" w14:textId="77777777" w:rsidR="005F5A39" w:rsidRDefault="005F5A39" w:rsidP="00ED5A55">
      <w:pPr>
        <w:pStyle w:val="Bullet1"/>
        <w:numPr>
          <w:ilvl w:val="0"/>
          <w:numId w:val="0"/>
        </w:numPr>
      </w:pPr>
      <w:r w:rsidRPr="005F5A39">
        <w:t xml:space="preserve">Put simply, this is the careful storage of the radioactive waste until such time as it no longer meets the definition of ‘radioactive material’ under the Act. This in practice only works for short-lived radioisotopes and any material that may have contact with the radioactive material e.g. syringes, dressings etc. </w:t>
      </w:r>
    </w:p>
    <w:p w14:paraId="5E3C4CA6" w14:textId="77777777" w:rsidR="005F5A39" w:rsidRDefault="005F5A39" w:rsidP="00ED5A55">
      <w:pPr>
        <w:pStyle w:val="Bullet1"/>
        <w:numPr>
          <w:ilvl w:val="0"/>
          <w:numId w:val="0"/>
        </w:numPr>
      </w:pPr>
    </w:p>
    <w:p w14:paraId="7E08F404" w14:textId="033E6654" w:rsidR="005F5A39" w:rsidRDefault="005F5A39" w:rsidP="00ED5A55">
      <w:pPr>
        <w:pStyle w:val="Bullet1"/>
        <w:numPr>
          <w:ilvl w:val="0"/>
          <w:numId w:val="0"/>
        </w:numPr>
      </w:pPr>
      <w:r w:rsidRPr="005F5A39">
        <w:t xml:space="preserve">There are </w:t>
      </w:r>
      <w:proofErr w:type="gramStart"/>
      <w:r w:rsidRPr="005F5A39">
        <w:t>a number of</w:t>
      </w:r>
      <w:proofErr w:type="gramEnd"/>
      <w:r w:rsidRPr="005F5A39">
        <w:t xml:space="preserve"> steps that you must take to ensure that you are holding the material for sufficient time for the decay to have resulted in the material no longer meeting the definition of radioactive material. These include:</w:t>
      </w:r>
    </w:p>
    <w:p w14:paraId="700480CD" w14:textId="77CE390C" w:rsidR="005F5A39" w:rsidRDefault="005F5A39" w:rsidP="00ED5A55">
      <w:pPr>
        <w:pStyle w:val="Bullet1"/>
        <w:rPr>
          <w:b/>
          <w:bCs/>
        </w:rPr>
      </w:pPr>
      <w:r w:rsidRPr="005F5A39">
        <w:rPr>
          <w:b/>
          <w:bCs/>
        </w:rPr>
        <w:t>Ensuring that isotopes cannot be mixed. One box = One isotope</w:t>
      </w:r>
    </w:p>
    <w:p w14:paraId="3D6F75E0" w14:textId="6A9B3149" w:rsidR="005F5A39" w:rsidRPr="005F5A39" w:rsidRDefault="005F5A39" w:rsidP="00ED5A55">
      <w:pPr>
        <w:pStyle w:val="Bullet1"/>
        <w:numPr>
          <w:ilvl w:val="0"/>
          <w:numId w:val="0"/>
        </w:numPr>
        <w:ind w:left="284"/>
      </w:pPr>
      <w:r w:rsidRPr="005F5A39">
        <w:t xml:space="preserve">You need to calculate that date </w:t>
      </w:r>
      <w:r>
        <w:t xml:space="preserve">when the waste will be below the prescribed activity or activity concentration that defines radioactive material under the Radiation Action Act 2005. As a guide, for most short-lived radionuclides in small quantities, you will need to retain the material for a time equal to at least 10 half-lives. </w:t>
      </w:r>
    </w:p>
    <w:p w14:paraId="7307701F" w14:textId="77777777" w:rsidR="005F5A39" w:rsidRPr="005F5A39" w:rsidRDefault="005F5A39" w:rsidP="00ED5A55">
      <w:pPr>
        <w:pStyle w:val="Bullet1"/>
        <w:rPr>
          <w:b/>
          <w:bCs/>
        </w:rPr>
      </w:pPr>
      <w:r w:rsidRPr="005F5A39">
        <w:rPr>
          <w:b/>
          <w:bCs/>
        </w:rPr>
        <w:t xml:space="preserve">Clearly label your waste containers </w:t>
      </w:r>
    </w:p>
    <w:p w14:paraId="35AE01D0" w14:textId="2042FAE9" w:rsidR="005F5A39" w:rsidRPr="00286FFA" w:rsidRDefault="005F5A39" w:rsidP="00ED5A55">
      <w:pPr>
        <w:pStyle w:val="Bullet1"/>
        <w:rPr>
          <w:b/>
          <w:bCs/>
        </w:rPr>
      </w:pPr>
      <w:r w:rsidRPr="00286FFA">
        <w:rPr>
          <w:b/>
          <w:bCs/>
        </w:rPr>
        <w:t xml:space="preserve">Do not mix solid waste and liquid waste together </w:t>
      </w:r>
    </w:p>
    <w:p w14:paraId="47E2CA2C" w14:textId="6DFCE07E" w:rsidR="00286FFA" w:rsidRDefault="00286FFA" w:rsidP="00ED5A55">
      <w:pPr>
        <w:pStyle w:val="Bullet1"/>
        <w:numPr>
          <w:ilvl w:val="0"/>
          <w:numId w:val="0"/>
        </w:numPr>
        <w:ind w:left="284"/>
      </w:pPr>
      <w:r>
        <w:t xml:space="preserve">Different guidelines apply based on the physical property of the waste. </w:t>
      </w:r>
    </w:p>
    <w:p w14:paraId="193D403F" w14:textId="77777777" w:rsidR="00FF5B94" w:rsidRDefault="00FF5B94" w:rsidP="00ED5A55">
      <w:pPr>
        <w:pStyle w:val="Bullet1"/>
        <w:numPr>
          <w:ilvl w:val="0"/>
          <w:numId w:val="0"/>
        </w:numPr>
        <w:ind w:left="284"/>
      </w:pPr>
    </w:p>
    <w:p w14:paraId="3467630A" w14:textId="2AC528D7" w:rsidR="00286FFA" w:rsidRDefault="00286FFA" w:rsidP="00ED5A55">
      <w:pPr>
        <w:pStyle w:val="Bullet1"/>
        <w:numPr>
          <w:ilvl w:val="0"/>
          <w:numId w:val="0"/>
        </w:numPr>
      </w:pPr>
      <w:r w:rsidRPr="00286FFA">
        <w:t>Once you are satisfied that the waste material is no longer radioactive under the Act’s definition of radioactive</w:t>
      </w:r>
      <w:r>
        <w:t xml:space="preserve"> </w:t>
      </w:r>
      <w:r w:rsidRPr="00286FFA">
        <w:t>material, you can commence the disposal process. The following advice is provided to assist you in this</w:t>
      </w:r>
      <w:r>
        <w:t xml:space="preserve"> </w:t>
      </w:r>
      <w:r w:rsidRPr="00286FFA">
        <w:t>process:</w:t>
      </w:r>
    </w:p>
    <w:p w14:paraId="30453D0B" w14:textId="65228344" w:rsidR="00FF5B94" w:rsidRPr="00FF5B94" w:rsidRDefault="00FF5B94" w:rsidP="00ED5A55">
      <w:pPr>
        <w:pStyle w:val="Bullet1"/>
        <w:rPr>
          <w:b/>
          <w:bCs/>
        </w:rPr>
      </w:pPr>
      <w:r w:rsidRPr="00FF5B94">
        <w:rPr>
          <w:b/>
          <w:bCs/>
        </w:rPr>
        <w:t>Remove radioactive and hazardous material markings and labels on regular waste</w:t>
      </w:r>
    </w:p>
    <w:p w14:paraId="47BA4370" w14:textId="633089A9" w:rsidR="005F5A39" w:rsidRPr="002365B4" w:rsidRDefault="00FF5B94" w:rsidP="00ED5A55">
      <w:pPr>
        <w:pStyle w:val="Bullet1"/>
        <w:numPr>
          <w:ilvl w:val="0"/>
          <w:numId w:val="0"/>
        </w:numPr>
        <w:ind w:left="284"/>
      </w:pPr>
      <w:r>
        <w:t xml:space="preserve"> </w:t>
      </w:r>
      <w:r w:rsidRPr="00FF5B94">
        <w:t xml:space="preserve">All waste which can be disposed as regular waste because it no longer meets the definition of radioactive material under Victorian law may be sent to landfill. You must ensure that radioactive markings from tape, labels, vials and other material have been removed before placing materials inside a container. You will also need to ensure that you comply with the Environment Protection Act 1970 </w:t>
      </w:r>
      <w:proofErr w:type="gramStart"/>
      <w:r w:rsidRPr="00FF5B94">
        <w:t>in regard to</w:t>
      </w:r>
      <w:proofErr w:type="gramEnd"/>
      <w:r w:rsidRPr="00FF5B94">
        <w:t xml:space="preserve"> whether the other characteristics of the waste meet the Environment Protection Authority’s (EPA) definition of prescribed waste. Contact the EPA on 9695 2722 to discuss the Victorian requirements for prescribed waste. </w:t>
      </w:r>
    </w:p>
    <w:p w14:paraId="78FF7B19" w14:textId="77777777" w:rsidR="00FF5B94" w:rsidRPr="00FF5B94" w:rsidRDefault="00FF5B94" w:rsidP="00ED5A55">
      <w:pPr>
        <w:pStyle w:val="Bullet1"/>
        <w:rPr>
          <w:b/>
          <w:bCs/>
        </w:rPr>
      </w:pPr>
      <w:r w:rsidRPr="00FF5B94">
        <w:rPr>
          <w:b/>
          <w:bCs/>
        </w:rPr>
        <w:t>Consider removing lead pigs &amp; isotope protective casings</w:t>
      </w:r>
    </w:p>
    <w:p w14:paraId="4FBA00DE" w14:textId="581DFFCB" w:rsidR="005F5A39" w:rsidRDefault="00FF5B94" w:rsidP="00ED5A55">
      <w:pPr>
        <w:pStyle w:val="Bullet1"/>
        <w:numPr>
          <w:ilvl w:val="0"/>
          <w:numId w:val="0"/>
        </w:numPr>
        <w:ind w:left="284"/>
      </w:pPr>
      <w:r>
        <w:t xml:space="preserve">The presence of the pigs could interfere with the tests of activity of the waste material. </w:t>
      </w:r>
    </w:p>
    <w:p w14:paraId="786F35DB" w14:textId="61BD8A59" w:rsidR="00FF5B94" w:rsidRPr="00B57329" w:rsidRDefault="00FF5B94" w:rsidP="00ED5A55">
      <w:pPr>
        <w:pStyle w:val="Heading1"/>
      </w:pPr>
      <w:r>
        <w:t xml:space="preserve">Disposal of sealed sources via export </w:t>
      </w:r>
    </w:p>
    <w:p w14:paraId="7D16295D" w14:textId="1560DA9C" w:rsidR="00FF5B94" w:rsidRDefault="00FF5B94" w:rsidP="00ED5A55">
      <w:pPr>
        <w:pStyle w:val="Heading4"/>
      </w:pPr>
      <w:r>
        <w:t>Disposal via a Victorian Serviced Provider</w:t>
      </w:r>
    </w:p>
    <w:p w14:paraId="361D6211" w14:textId="77777777" w:rsidR="00FF5B94" w:rsidRDefault="00FF5B94" w:rsidP="00ED5A55">
      <w:pPr>
        <w:pStyle w:val="Bullet1"/>
        <w:numPr>
          <w:ilvl w:val="0"/>
          <w:numId w:val="0"/>
        </w:numPr>
        <w:ind w:left="284" w:hanging="284"/>
      </w:pPr>
      <w:r w:rsidRPr="00FF5B94">
        <w:t>The Department has licensed a small number of Victorian based companies to dispose of sealed sources and</w:t>
      </w:r>
    </w:p>
    <w:p w14:paraId="175D282D" w14:textId="77777777" w:rsidR="00FF5B94" w:rsidRDefault="00FF5B94" w:rsidP="00ED5A55">
      <w:pPr>
        <w:pStyle w:val="Bullet1"/>
        <w:numPr>
          <w:ilvl w:val="0"/>
          <w:numId w:val="0"/>
        </w:numPr>
        <w:ind w:left="284" w:hanging="284"/>
      </w:pPr>
      <w:r w:rsidRPr="00FF5B94">
        <w:t>of sealed source apparatus by export to facilities located in other countries. In some cases, the sealed</w:t>
      </w:r>
    </w:p>
    <w:p w14:paraId="7ADFF7A3" w14:textId="77777777" w:rsidR="00FF5B94" w:rsidRDefault="00FF5B94" w:rsidP="00ED5A55">
      <w:pPr>
        <w:pStyle w:val="Bullet1"/>
        <w:numPr>
          <w:ilvl w:val="0"/>
          <w:numId w:val="0"/>
        </w:numPr>
        <w:ind w:left="284" w:hanging="284"/>
      </w:pPr>
      <w:r w:rsidRPr="00FF5B94">
        <w:t xml:space="preserve">sources once exported are </w:t>
      </w:r>
      <w:proofErr w:type="gramStart"/>
      <w:r w:rsidRPr="00FF5B94">
        <w:t>actually reprocessed</w:t>
      </w:r>
      <w:proofErr w:type="gramEnd"/>
      <w:r w:rsidRPr="00FF5B94">
        <w:t xml:space="preserve"> or recycled by the international facility so that they can be</w:t>
      </w:r>
    </w:p>
    <w:p w14:paraId="2187239E" w14:textId="58E240E2" w:rsidR="00FF5B94" w:rsidRDefault="00FF5B94" w:rsidP="00ED5A55">
      <w:pPr>
        <w:pStyle w:val="Bullet1"/>
        <w:numPr>
          <w:ilvl w:val="0"/>
          <w:numId w:val="0"/>
        </w:numPr>
        <w:ind w:left="284" w:hanging="284"/>
      </w:pPr>
      <w:r w:rsidRPr="00FF5B94">
        <w:t>used again by another party.</w:t>
      </w:r>
    </w:p>
    <w:p w14:paraId="66768190" w14:textId="30F3F28E" w:rsidR="00410CD3" w:rsidRPr="006812ED" w:rsidRDefault="00410CD3" w:rsidP="00ED5A55">
      <w:pPr>
        <w:pStyle w:val="Heading5"/>
      </w:pPr>
      <w:r>
        <w:t xml:space="preserve">Responsibilities of a Management Licence holder authorised to possess a sealed source </w:t>
      </w:r>
    </w:p>
    <w:p w14:paraId="7FF65FEF" w14:textId="77777777" w:rsidR="00410CD3" w:rsidRDefault="00410CD3" w:rsidP="00ED5A55">
      <w:pPr>
        <w:pStyle w:val="Bullet1"/>
        <w:numPr>
          <w:ilvl w:val="0"/>
          <w:numId w:val="0"/>
        </w:numPr>
        <w:ind w:left="284" w:hanging="284"/>
      </w:pPr>
      <w:r w:rsidRPr="00410CD3">
        <w:t>If you wish to dispose of a sealed source or of a sealed source apparatus by export by using a ‘service</w:t>
      </w:r>
      <w:r>
        <w:t xml:space="preserve"> </w:t>
      </w:r>
    </w:p>
    <w:p w14:paraId="3EFF629A" w14:textId="5F677612" w:rsidR="00410CD3" w:rsidRDefault="00410CD3" w:rsidP="00ED5A55">
      <w:pPr>
        <w:pStyle w:val="Bullet1"/>
        <w:numPr>
          <w:ilvl w:val="0"/>
          <w:numId w:val="0"/>
        </w:numPr>
        <w:ind w:left="284" w:hanging="284"/>
      </w:pPr>
      <w:r w:rsidRPr="00410CD3">
        <w:t>provider’, then you must:</w:t>
      </w:r>
    </w:p>
    <w:p w14:paraId="0E965A0E" w14:textId="79A75C72" w:rsidR="00410CD3" w:rsidRDefault="00410CD3" w:rsidP="00ED5A55">
      <w:pPr>
        <w:pStyle w:val="Bullet1"/>
      </w:pPr>
      <w:r w:rsidRPr="00410CD3">
        <w:lastRenderedPageBreak/>
        <w:t>Contact one of the companies (‘service providers’) who are licensed in Victoria to provide this service. A list of</w:t>
      </w:r>
      <w:r>
        <w:t xml:space="preserve"> </w:t>
      </w:r>
      <w:hyperlink r:id="rId15" w:history="1">
        <w:r w:rsidRPr="00410CD3">
          <w:rPr>
            <w:rStyle w:val="Hyperlink"/>
          </w:rPr>
          <w:t>service providers authorised to facilitate the disposal of radioactive material</w:t>
        </w:r>
      </w:hyperlink>
      <w:r>
        <w:t xml:space="preserve"> </w:t>
      </w:r>
      <w:r w:rsidRPr="00410CD3">
        <w:t xml:space="preserve">licensed in Victoria is available at: </w:t>
      </w:r>
      <w:hyperlink r:id="rId16" w:history="1">
        <w:r w:rsidRPr="00410CD3">
          <w:rPr>
            <w:rStyle w:val="Hyperlink"/>
            <w:color w:val="auto"/>
          </w:rPr>
          <w:t>https://www.health.vic.gov.au/publications/service-providers-authorised-to-facilitate-the-disposal-of-radioactive-material</w:t>
        </w:r>
      </w:hyperlink>
    </w:p>
    <w:p w14:paraId="7BB3042D" w14:textId="79A11674" w:rsidR="006D5583" w:rsidRDefault="00990F34" w:rsidP="00ED5A55">
      <w:pPr>
        <w:pStyle w:val="Bullet1"/>
        <w:numPr>
          <w:ilvl w:val="0"/>
          <w:numId w:val="0"/>
        </w:numPr>
        <w:ind w:left="284"/>
      </w:pPr>
      <w:r w:rsidRPr="00990F34">
        <w:t>Please telephone 1300 767 469 or</w:t>
      </w:r>
      <w:r>
        <w:t xml:space="preserve"> email </w:t>
      </w:r>
      <w:hyperlink r:id="rId17" w:history="1">
        <w:r w:rsidR="006D5583">
          <w:rPr>
            <w:rStyle w:val="Hyperlink"/>
          </w:rPr>
          <w:t>Radiation.Safety@health.vic.gov.au</w:t>
        </w:r>
      </w:hyperlink>
      <w:r w:rsidRPr="00990F34">
        <w:t>should you require further details regarding service providers in Victoria</w:t>
      </w:r>
    </w:p>
    <w:p w14:paraId="3C0D5550" w14:textId="3D83EB58" w:rsidR="00410CD3" w:rsidRPr="0025287D" w:rsidRDefault="00990F34" w:rsidP="00ED5A55">
      <w:pPr>
        <w:pStyle w:val="Bullet1"/>
        <w:rPr>
          <w:i/>
          <w:iCs/>
        </w:rPr>
      </w:pPr>
      <w:r w:rsidRPr="00990F34">
        <w:t xml:space="preserve">Apply to the Department for the approval to dispose of a sealed source or a sealed source apparatus using the </w:t>
      </w:r>
      <w:hyperlink r:id="rId18" w:history="1">
        <w:r w:rsidR="0025287D" w:rsidRPr="0025287D">
          <w:rPr>
            <w:rStyle w:val="Hyperlink"/>
          </w:rPr>
          <w:t xml:space="preserve">Disposal </w:t>
        </w:r>
        <w:r w:rsidRPr="0025287D">
          <w:rPr>
            <w:rStyle w:val="Hyperlink"/>
          </w:rPr>
          <w:t>application form</w:t>
        </w:r>
        <w:r w:rsidR="0025287D" w:rsidRPr="0025287D">
          <w:rPr>
            <w:rStyle w:val="Hyperlink"/>
          </w:rPr>
          <w:t xml:space="preserve"> – Management Licence holder who is authorised as a source disposal facilitator</w:t>
        </w:r>
        <w:r w:rsidR="0025287D" w:rsidRPr="0025287D">
          <w:rPr>
            <w:rStyle w:val="Hyperlink"/>
            <w:i/>
            <w:iCs/>
          </w:rPr>
          <w:t>.</w:t>
        </w:r>
      </w:hyperlink>
      <w:r w:rsidR="0025287D" w:rsidRPr="0025287D">
        <w:rPr>
          <w:i/>
          <w:iCs/>
        </w:rPr>
        <w:t xml:space="preserve"> </w:t>
      </w:r>
    </w:p>
    <w:p w14:paraId="19CE20FE" w14:textId="5A778BF0" w:rsidR="00410CD3" w:rsidRDefault="006D5583" w:rsidP="00ED5A55">
      <w:pPr>
        <w:pStyle w:val="Bullet1"/>
      </w:pPr>
      <w:r w:rsidRPr="006D5583">
        <w:t>Dispose of the sealed source only when you have received approval in writing from the Department for the disposal of the sealed source</w:t>
      </w:r>
      <w:r>
        <w:t>.</w:t>
      </w:r>
    </w:p>
    <w:p w14:paraId="37406190" w14:textId="5D4CB1E2" w:rsidR="006D5583" w:rsidRDefault="006D5583" w:rsidP="00ED5A55">
      <w:pPr>
        <w:pStyle w:val="Bullet1"/>
      </w:pPr>
      <w:r w:rsidRPr="006D5583">
        <w:t>If the disposal involves taking possession of the sealed source, then take possession of the sealed source only when you have received approval in writing from the Department for the disposal of the sealed source</w:t>
      </w:r>
    </w:p>
    <w:p w14:paraId="6251034A" w14:textId="52DE8250" w:rsidR="006D5583" w:rsidRDefault="006D5583" w:rsidP="00ED5A55">
      <w:pPr>
        <w:pStyle w:val="Bullet1"/>
        <w:numPr>
          <w:ilvl w:val="0"/>
          <w:numId w:val="0"/>
        </w:numPr>
        <w:ind w:left="284"/>
      </w:pPr>
    </w:p>
    <w:p w14:paraId="3D3A0E48" w14:textId="6A09ADB1" w:rsidR="006D5583" w:rsidRDefault="006D5583" w:rsidP="00ED5A55">
      <w:pPr>
        <w:pStyle w:val="Bullet1"/>
        <w:numPr>
          <w:ilvl w:val="0"/>
          <w:numId w:val="0"/>
        </w:numPr>
      </w:pPr>
      <w:r w:rsidRPr="006D5583">
        <w:t>Prior to the sealed source being delivered to you, you may also need to vary your licence to authorise the</w:t>
      </w:r>
      <w:r w:rsidR="00ED2FD3">
        <w:t xml:space="preserve"> </w:t>
      </w:r>
      <w:r w:rsidRPr="006D5583">
        <w:t>possession of the sealed source</w:t>
      </w:r>
      <w:r>
        <w:t>.</w:t>
      </w:r>
    </w:p>
    <w:p w14:paraId="1D4B0AD3" w14:textId="5F052B02" w:rsidR="006D5583" w:rsidRDefault="006D5583" w:rsidP="00ED5A55">
      <w:pPr>
        <w:pStyle w:val="Bullet1"/>
        <w:numPr>
          <w:ilvl w:val="0"/>
          <w:numId w:val="0"/>
        </w:numPr>
      </w:pPr>
      <w:proofErr w:type="gramStart"/>
      <w:r>
        <w:t>In the event that</w:t>
      </w:r>
      <w:proofErr w:type="gramEnd"/>
      <w:r>
        <w:t xml:space="preserve"> the export process has not occurred within three months of your taking possession of the</w:t>
      </w:r>
      <w:r w:rsidR="00ED2FD3">
        <w:t xml:space="preserve"> </w:t>
      </w:r>
      <w:r>
        <w:t>sealed source you must notify the management licence holder who sought your services to dispose of the source. You must provide reasonable assistance to ensure that the management licence holder takes possession of the sealed source as soon as practicable.</w:t>
      </w:r>
    </w:p>
    <w:p w14:paraId="380D06CD" w14:textId="77777777" w:rsidR="00EC228A" w:rsidRDefault="00EC228A" w:rsidP="00ED5A55">
      <w:pPr>
        <w:pStyle w:val="Bullet1"/>
        <w:numPr>
          <w:ilvl w:val="0"/>
          <w:numId w:val="0"/>
        </w:numPr>
      </w:pPr>
    </w:p>
    <w:p w14:paraId="1A38A955" w14:textId="36C82A56" w:rsidR="00ED2FD3" w:rsidRDefault="006D5583" w:rsidP="00ED5A55">
      <w:pPr>
        <w:pStyle w:val="Bullet1"/>
        <w:numPr>
          <w:ilvl w:val="0"/>
          <w:numId w:val="0"/>
        </w:numPr>
      </w:pPr>
      <w:r>
        <w:t>If the disposal involves taking possession of the sealed source, then you must notify the Department</w:t>
      </w:r>
      <w:r w:rsidR="00ED2FD3">
        <w:t xml:space="preserve"> </w:t>
      </w:r>
      <w:r>
        <w:t>regarding the possession in accordance with a general condition on your management licence. When you have disposed of the sealed source, you must notify the Department of the disposal in accordance with the requirements specified under the section titled ‘Notification of the disposal’ on page five of this document.</w:t>
      </w:r>
    </w:p>
    <w:p w14:paraId="6EDD8A84" w14:textId="10B12B6A" w:rsidR="00ED2FD3" w:rsidRDefault="00ED2FD3" w:rsidP="00ED5A55">
      <w:pPr>
        <w:pStyle w:val="Heading4"/>
      </w:pPr>
      <w:r>
        <w:t xml:space="preserve">Disposal via the Management Licence holder authorised to possess a sealed source </w:t>
      </w:r>
    </w:p>
    <w:p w14:paraId="240AFBBA" w14:textId="77777777" w:rsidR="00ED2FD3" w:rsidRPr="006812ED" w:rsidRDefault="00ED2FD3" w:rsidP="00ED5A55">
      <w:pPr>
        <w:pStyle w:val="Heading5"/>
      </w:pPr>
      <w:r>
        <w:t xml:space="preserve">Responsibilities of a Management Licence holder authorised to possess a sealed source </w:t>
      </w:r>
    </w:p>
    <w:p w14:paraId="3E05C10A" w14:textId="16833205" w:rsidR="00ED2FD3" w:rsidRDefault="00ED2FD3" w:rsidP="00ED5A55">
      <w:pPr>
        <w:pStyle w:val="Bullet1"/>
        <w:numPr>
          <w:ilvl w:val="0"/>
          <w:numId w:val="0"/>
        </w:numPr>
      </w:pPr>
      <w:r w:rsidRPr="00ED2FD3">
        <w:t>If you hold a management licence authorising the possession of a sealed source which you wish to dispose of by export or via an interstate Service Provider, then you mus</w:t>
      </w:r>
      <w:r>
        <w:t>t:</w:t>
      </w:r>
    </w:p>
    <w:p w14:paraId="1554C654" w14:textId="5F3E85AD" w:rsidR="00ED2FD3" w:rsidRDefault="00ED2FD3" w:rsidP="00ED5A55">
      <w:pPr>
        <w:pStyle w:val="Bullet1"/>
      </w:pPr>
      <w:r w:rsidRPr="00ED2FD3">
        <w:t xml:space="preserve">Apply to the Department for the approval to dispose of a sealed source or a sealed source apparatus using the </w:t>
      </w:r>
      <w:hyperlink r:id="rId19" w:history="1">
        <w:r w:rsidRPr="00ED2FD3">
          <w:rPr>
            <w:rStyle w:val="Hyperlink"/>
          </w:rPr>
          <w:t>Disposal application form - Management Licence holder who is authorised to possess a sealed source or a sealed source apparatus.</w:t>
        </w:r>
      </w:hyperlink>
      <w:r>
        <w:t xml:space="preserve"> </w:t>
      </w:r>
    </w:p>
    <w:p w14:paraId="26651044" w14:textId="5C01547D" w:rsidR="00ED2FD3" w:rsidRDefault="00ED2FD3" w:rsidP="00ED5A55">
      <w:pPr>
        <w:pStyle w:val="Bullet1"/>
      </w:pPr>
      <w:r w:rsidRPr="00ED2FD3">
        <w:t>Dispose of the sealed source only when you have received approval in writing from the Department for the disposal of the sealed source</w:t>
      </w:r>
      <w:r>
        <w:t>.</w:t>
      </w:r>
    </w:p>
    <w:p w14:paraId="3A133306" w14:textId="0D995170" w:rsidR="00ED2FD3" w:rsidRDefault="00ED2FD3" w:rsidP="00ED5A55">
      <w:pPr>
        <w:pStyle w:val="Bullet1"/>
        <w:numPr>
          <w:ilvl w:val="0"/>
          <w:numId w:val="0"/>
        </w:numPr>
        <w:ind w:left="284"/>
      </w:pPr>
    </w:p>
    <w:p w14:paraId="4DD5EA83" w14:textId="0F33A546" w:rsidR="00ED2FD3" w:rsidRDefault="00EC228A" w:rsidP="00ED5A55">
      <w:pPr>
        <w:pStyle w:val="Bullet1"/>
        <w:numPr>
          <w:ilvl w:val="0"/>
          <w:numId w:val="0"/>
        </w:numPr>
        <w:ind w:left="284"/>
      </w:pPr>
      <w:proofErr w:type="gramStart"/>
      <w:r w:rsidRPr="00EC228A">
        <w:t>In the event that</w:t>
      </w:r>
      <w:proofErr w:type="gramEnd"/>
      <w:r w:rsidRPr="00EC228A">
        <w:t xml:space="preserve"> the export process has not occurred within three months of the sealed source being transported to the service provider’s premises the service provider is required to surrender the sealed source to you. You must take possession of the sealed source as soon as practicable after being advised by the service provider that the disposal cannot occur</w:t>
      </w:r>
      <w:r>
        <w:t>.</w:t>
      </w:r>
    </w:p>
    <w:p w14:paraId="1D172F6E" w14:textId="77777777" w:rsidR="00EC228A" w:rsidRDefault="00EC228A" w:rsidP="00ED5A55">
      <w:pPr>
        <w:pStyle w:val="Bullet1"/>
        <w:numPr>
          <w:ilvl w:val="0"/>
          <w:numId w:val="0"/>
        </w:numPr>
        <w:ind w:left="284"/>
      </w:pPr>
    </w:p>
    <w:p w14:paraId="6452E36D" w14:textId="58849B9E" w:rsidR="00EC228A" w:rsidRDefault="00EC228A" w:rsidP="00ED5A55">
      <w:pPr>
        <w:pStyle w:val="Bullet1"/>
        <w:numPr>
          <w:ilvl w:val="0"/>
          <w:numId w:val="0"/>
        </w:numPr>
        <w:ind w:left="284"/>
      </w:pPr>
      <w:r w:rsidRPr="00EC228A">
        <w:t>The management licence holder must ensure that the Department is notified of the disposal in accordance with the requirements specified under the section titled ‘</w:t>
      </w:r>
      <w:r w:rsidRPr="00884E7B">
        <w:t xml:space="preserve">Notification of the disposal’ on page </w:t>
      </w:r>
      <w:r w:rsidR="00884E7B">
        <w:t>six</w:t>
      </w:r>
      <w:r w:rsidRPr="00EC228A">
        <w:t xml:space="preserve"> of this document.</w:t>
      </w:r>
    </w:p>
    <w:p w14:paraId="704898F9" w14:textId="39CB08A4" w:rsidR="00EC228A" w:rsidRPr="006812ED" w:rsidRDefault="00EC228A" w:rsidP="00ED5A55">
      <w:pPr>
        <w:pStyle w:val="Heading5"/>
      </w:pPr>
      <w:r>
        <w:lastRenderedPageBreak/>
        <w:t>Responsibilities of a Management Licence holder authorised as a disposal facilitator</w:t>
      </w:r>
    </w:p>
    <w:p w14:paraId="7279270C" w14:textId="08C954BF" w:rsidR="00EC228A" w:rsidRDefault="00EC228A" w:rsidP="00ED5A55">
      <w:pPr>
        <w:pStyle w:val="Bullet1"/>
        <w:numPr>
          <w:ilvl w:val="0"/>
          <w:numId w:val="0"/>
        </w:numPr>
      </w:pPr>
      <w:r w:rsidRPr="00EC228A">
        <w:t>If you are a service provider that is authorised to facilitate the disposal of a sealed source or a sealed source</w:t>
      </w:r>
    </w:p>
    <w:p w14:paraId="21124F6C" w14:textId="77777777" w:rsidR="00EC228A" w:rsidRDefault="00EC228A" w:rsidP="00ED5A55">
      <w:pPr>
        <w:pStyle w:val="Bullet1"/>
        <w:numPr>
          <w:ilvl w:val="0"/>
          <w:numId w:val="0"/>
        </w:numPr>
        <w:ind w:left="284" w:hanging="284"/>
      </w:pPr>
      <w:r w:rsidRPr="00EC228A">
        <w:t>apparatus by export, then prior to facilitating the disposal of a sealed source or a sealed source apparatus</w:t>
      </w:r>
    </w:p>
    <w:p w14:paraId="56FAD84B" w14:textId="3309FBEC" w:rsidR="00EC228A" w:rsidRDefault="00EC228A" w:rsidP="00ED5A55">
      <w:pPr>
        <w:pStyle w:val="Bullet1"/>
        <w:numPr>
          <w:ilvl w:val="0"/>
          <w:numId w:val="0"/>
        </w:numPr>
        <w:ind w:left="284" w:hanging="284"/>
      </w:pPr>
      <w:r w:rsidRPr="00EC228A">
        <w:t>you must:</w:t>
      </w:r>
    </w:p>
    <w:p w14:paraId="0619E122" w14:textId="77777777" w:rsidR="00EC228A" w:rsidRDefault="00EC228A" w:rsidP="00ED5A55">
      <w:pPr>
        <w:pStyle w:val="Bullet1"/>
        <w:numPr>
          <w:ilvl w:val="0"/>
          <w:numId w:val="0"/>
        </w:numPr>
        <w:ind w:left="284"/>
      </w:pPr>
    </w:p>
    <w:p w14:paraId="51F65A36" w14:textId="02A4D259" w:rsidR="00EC228A" w:rsidRDefault="00EC228A" w:rsidP="00ED5A55">
      <w:pPr>
        <w:pStyle w:val="Bullet1"/>
      </w:pPr>
      <w:r w:rsidRPr="00EC228A">
        <w:t xml:space="preserve">Apply to the Department for the approval to dispose of the sealed source using the </w:t>
      </w:r>
      <w:hyperlink r:id="rId20" w:history="1">
        <w:r w:rsidR="003035A6" w:rsidRPr="003035A6">
          <w:rPr>
            <w:rStyle w:val="Hyperlink"/>
          </w:rPr>
          <w:t>Disposal application form - Management Licence holder who is authorised as a source disposal facilitator.</w:t>
        </w:r>
      </w:hyperlink>
    </w:p>
    <w:p w14:paraId="22587307" w14:textId="77777777" w:rsidR="00EC228A" w:rsidRDefault="00EC228A" w:rsidP="00ED5A55">
      <w:pPr>
        <w:pStyle w:val="Bullet1"/>
      </w:pPr>
      <w:r w:rsidRPr="00EC228A">
        <w:t>Dispose of the sealed source only when you have received approval in writing from the Department for the disposal of the sealed source,</w:t>
      </w:r>
    </w:p>
    <w:p w14:paraId="554BBD59" w14:textId="77777777" w:rsidR="00EC228A" w:rsidRDefault="00EC228A" w:rsidP="00ED5A55">
      <w:pPr>
        <w:pStyle w:val="Bullet1"/>
      </w:pPr>
      <w:r w:rsidRPr="00EC228A">
        <w:t>If the disposal involves taking possession of the sealed source, then take possession of the sealed source only when you have received approval in writing from the Department for the disposal of the sealed source.</w:t>
      </w:r>
    </w:p>
    <w:p w14:paraId="3B9AD7FE" w14:textId="77777777" w:rsidR="003035A6" w:rsidRDefault="003035A6" w:rsidP="00ED5A55">
      <w:pPr>
        <w:pStyle w:val="Bullet1"/>
        <w:numPr>
          <w:ilvl w:val="0"/>
          <w:numId w:val="0"/>
        </w:numPr>
      </w:pPr>
      <w:r w:rsidRPr="003035A6">
        <w:t xml:space="preserve">Prior to the sealed source being delivered to you, you may also need to vary your licence to authorise the possession of the sealed source. </w:t>
      </w:r>
    </w:p>
    <w:p w14:paraId="0EE81A40" w14:textId="77777777" w:rsidR="003035A6" w:rsidRDefault="003035A6" w:rsidP="00ED5A55">
      <w:pPr>
        <w:pStyle w:val="Bullet1"/>
        <w:numPr>
          <w:ilvl w:val="0"/>
          <w:numId w:val="0"/>
        </w:numPr>
      </w:pPr>
    </w:p>
    <w:p w14:paraId="3558CC81" w14:textId="6012434E" w:rsidR="003035A6" w:rsidRDefault="003035A6" w:rsidP="00ED5A55">
      <w:pPr>
        <w:pStyle w:val="Bullet1"/>
        <w:numPr>
          <w:ilvl w:val="0"/>
          <w:numId w:val="0"/>
        </w:numPr>
      </w:pPr>
      <w:proofErr w:type="gramStart"/>
      <w:r w:rsidRPr="003035A6">
        <w:t>In the event that</w:t>
      </w:r>
      <w:proofErr w:type="gramEnd"/>
      <w:r w:rsidRPr="003035A6">
        <w:t xml:space="preserve"> the export process has not occurred within three months of your taking possession of the sealed source you must notify the management licence holder who sought your services to dispose of the source. You must provide reasonable assistance to ensure that the management licence holder takes possession of the sealed source as soon as practicable.</w:t>
      </w:r>
    </w:p>
    <w:p w14:paraId="37ACF302" w14:textId="77777777" w:rsidR="003035A6" w:rsidRDefault="003035A6" w:rsidP="00ED5A55">
      <w:pPr>
        <w:pStyle w:val="Bullet1"/>
        <w:numPr>
          <w:ilvl w:val="0"/>
          <w:numId w:val="0"/>
        </w:numPr>
      </w:pPr>
    </w:p>
    <w:p w14:paraId="4CFEC962" w14:textId="3699F740" w:rsidR="003035A6" w:rsidRDefault="003035A6" w:rsidP="00ED5A55">
      <w:pPr>
        <w:pStyle w:val="Bullet1"/>
        <w:numPr>
          <w:ilvl w:val="0"/>
          <w:numId w:val="0"/>
        </w:numPr>
      </w:pPr>
      <w:r w:rsidRPr="003035A6">
        <w:t xml:space="preserve">If the disposal involves taking possession of the sealed source, then you must notify the Department regarding the possession in accordance with a general condition on your management licence. When you have disposed of the sealed source, you must notify the Department of the disposal in accordance with the requirements specified under the section titled </w:t>
      </w:r>
      <w:r w:rsidRPr="00884E7B">
        <w:t xml:space="preserve">‘Notification of the disposal’ on page </w:t>
      </w:r>
      <w:r w:rsidR="00884E7B">
        <w:t>six</w:t>
      </w:r>
      <w:r w:rsidRPr="003035A6">
        <w:t xml:space="preserve"> of this document.</w:t>
      </w:r>
    </w:p>
    <w:p w14:paraId="7A13B44D" w14:textId="1B593228" w:rsidR="003035A6" w:rsidRDefault="003035A6" w:rsidP="00ED5A55">
      <w:pPr>
        <w:pStyle w:val="Heading4"/>
      </w:pPr>
      <w:r>
        <w:t xml:space="preserve">Disposal </w:t>
      </w:r>
      <w:r w:rsidR="0095158C">
        <w:t xml:space="preserve">by the Management Licence holder authorised to possess a sealed source </w:t>
      </w:r>
    </w:p>
    <w:p w14:paraId="331BEF57" w14:textId="66A8A76C" w:rsidR="00EC228A" w:rsidRDefault="0095158C" w:rsidP="00ED5A55">
      <w:pPr>
        <w:pStyle w:val="Heading5"/>
      </w:pPr>
      <w:r w:rsidRPr="0095158C">
        <w:t>Responsibilities of a Management Licence holder authorised to possess a sealed source</w:t>
      </w:r>
    </w:p>
    <w:p w14:paraId="58D1436A" w14:textId="6F141A8A" w:rsidR="0095158C" w:rsidRDefault="0095158C" w:rsidP="00ED5A55">
      <w:pPr>
        <w:pStyle w:val="Bullet1"/>
        <w:numPr>
          <w:ilvl w:val="0"/>
          <w:numId w:val="0"/>
        </w:numPr>
        <w:ind w:left="284" w:hanging="284"/>
      </w:pPr>
    </w:p>
    <w:p w14:paraId="0BD428CA" w14:textId="1CCC8924" w:rsidR="00EC228A" w:rsidRDefault="0095158C" w:rsidP="00ED5A55">
      <w:pPr>
        <w:pStyle w:val="Bullet1"/>
        <w:numPr>
          <w:ilvl w:val="0"/>
          <w:numId w:val="0"/>
        </w:numPr>
      </w:pPr>
      <w:r w:rsidRPr="0095158C">
        <w:t>If you hold a management licence authorising the possession of a sealed source which you wish to dispose of by export or via an interstate Service Provider, then you must:</w:t>
      </w:r>
    </w:p>
    <w:p w14:paraId="52EFFD82" w14:textId="141D682E" w:rsidR="0095158C" w:rsidRDefault="0095158C" w:rsidP="00ED5A55">
      <w:pPr>
        <w:pStyle w:val="Bullet1"/>
      </w:pPr>
      <w:r w:rsidRPr="0095158C">
        <w:t xml:space="preserve">Apply to the Department for the approval to dispose of a sealed source or a sealed source apparatus using the </w:t>
      </w:r>
      <w:hyperlink r:id="rId21" w:history="1">
        <w:r w:rsidRPr="0095158C">
          <w:rPr>
            <w:rStyle w:val="Hyperlink"/>
          </w:rPr>
          <w:t>Disposal application form - Management Licence holder who is authorised to possess a sealed source or a sealed source apparatus.</w:t>
        </w:r>
      </w:hyperlink>
    </w:p>
    <w:p w14:paraId="18150A14" w14:textId="11057933" w:rsidR="0095158C" w:rsidRDefault="0095158C" w:rsidP="00ED5A55">
      <w:pPr>
        <w:pStyle w:val="Bullet1"/>
      </w:pPr>
      <w:r w:rsidRPr="0095158C">
        <w:t>Dispose of the sealed source only when you have received approval in writing from the Department for the disposal of the sealed source</w:t>
      </w:r>
      <w:r>
        <w:t>.</w:t>
      </w:r>
    </w:p>
    <w:p w14:paraId="1A074BA8" w14:textId="24EE335D" w:rsidR="0095158C" w:rsidRDefault="0095158C" w:rsidP="00ED5A55">
      <w:pPr>
        <w:pStyle w:val="Bullet1"/>
        <w:numPr>
          <w:ilvl w:val="0"/>
          <w:numId w:val="0"/>
        </w:numPr>
        <w:ind w:left="284" w:hanging="284"/>
      </w:pPr>
    </w:p>
    <w:p w14:paraId="31EB82DA" w14:textId="77777777" w:rsidR="0095158C" w:rsidRDefault="0095158C" w:rsidP="00ED5A55">
      <w:pPr>
        <w:pStyle w:val="Bullet1"/>
        <w:numPr>
          <w:ilvl w:val="0"/>
          <w:numId w:val="0"/>
        </w:numPr>
        <w:ind w:left="284" w:hanging="284"/>
      </w:pPr>
      <w:r w:rsidRPr="0095158C">
        <w:t>The management licence holder must ensure that the Department is notified of the disposal in accordance</w:t>
      </w:r>
      <w:r>
        <w:t xml:space="preserve"> </w:t>
      </w:r>
    </w:p>
    <w:p w14:paraId="3DFC3F83" w14:textId="300BFE6C" w:rsidR="0095158C" w:rsidRDefault="0095158C" w:rsidP="00ED5A55">
      <w:pPr>
        <w:pStyle w:val="Bullet1"/>
        <w:numPr>
          <w:ilvl w:val="0"/>
          <w:numId w:val="0"/>
        </w:numPr>
        <w:ind w:left="284" w:hanging="284"/>
      </w:pPr>
      <w:r w:rsidRPr="0095158C">
        <w:t>with the requirements specified under the section titled ‘</w:t>
      </w:r>
      <w:r w:rsidRPr="00884E7B">
        <w:t xml:space="preserve">Notification of the disposal’ on page </w:t>
      </w:r>
      <w:r w:rsidR="00884E7B">
        <w:t>six</w:t>
      </w:r>
      <w:r w:rsidRPr="0095158C">
        <w:t xml:space="preserve"> of this</w:t>
      </w:r>
      <w:r>
        <w:t xml:space="preserve"> </w:t>
      </w:r>
    </w:p>
    <w:p w14:paraId="61354DA0" w14:textId="6DD9220D" w:rsidR="0095158C" w:rsidRDefault="0095158C" w:rsidP="00ED5A55">
      <w:pPr>
        <w:pStyle w:val="Bullet1"/>
        <w:numPr>
          <w:ilvl w:val="0"/>
          <w:numId w:val="0"/>
        </w:numPr>
        <w:ind w:left="284" w:hanging="284"/>
      </w:pPr>
      <w:r w:rsidRPr="0095158C">
        <w:t>document.</w:t>
      </w:r>
    </w:p>
    <w:p w14:paraId="7E24C59F" w14:textId="279649F8" w:rsidR="0095158C" w:rsidRPr="00B57329" w:rsidRDefault="0095158C" w:rsidP="00ED5A55">
      <w:pPr>
        <w:pStyle w:val="Heading1"/>
      </w:pPr>
      <w:r>
        <w:t xml:space="preserve">Disposal of radioactive material via transfer of ownership </w:t>
      </w:r>
    </w:p>
    <w:p w14:paraId="68D52772" w14:textId="77777777" w:rsidR="0095158C" w:rsidRDefault="0095158C" w:rsidP="00ED5A55">
      <w:pPr>
        <w:pStyle w:val="Bullet1"/>
        <w:numPr>
          <w:ilvl w:val="0"/>
          <w:numId w:val="0"/>
        </w:numPr>
        <w:ind w:left="284" w:hanging="284"/>
      </w:pPr>
      <w:r w:rsidRPr="0095158C">
        <w:t>Radioactive material may be disposed of by transferring ownership of the radioactive material. This transfer</w:t>
      </w:r>
    </w:p>
    <w:p w14:paraId="0BF2647A" w14:textId="2A051D05" w:rsidR="0095158C" w:rsidRDefault="0095158C" w:rsidP="00ED5A55">
      <w:pPr>
        <w:pStyle w:val="Bullet1"/>
        <w:numPr>
          <w:ilvl w:val="0"/>
          <w:numId w:val="0"/>
        </w:numPr>
        <w:ind w:left="284" w:hanging="284"/>
      </w:pPr>
      <w:r w:rsidRPr="0095158C">
        <w:t>may occur either by selling the material or by giving the material away subject to the following requirements</w:t>
      </w:r>
      <w:r>
        <w:t>:</w:t>
      </w:r>
    </w:p>
    <w:p w14:paraId="2D0FAF3F" w14:textId="2AF96E20" w:rsidR="0095158C" w:rsidRDefault="0095158C" w:rsidP="00ED5A55">
      <w:pPr>
        <w:pStyle w:val="Bullet1"/>
      </w:pPr>
      <w:r w:rsidRPr="0095158C">
        <w:lastRenderedPageBreak/>
        <w:t>Apply to the Department for the approval to dispose of a sealed source or a sealed source apparatus using the</w:t>
      </w:r>
      <w:r>
        <w:t xml:space="preserve"> </w:t>
      </w:r>
      <w:hyperlink r:id="rId22" w:history="1">
        <w:r w:rsidRPr="0095158C">
          <w:rPr>
            <w:rStyle w:val="Hyperlink"/>
          </w:rPr>
          <w:t>Disposal application form - Management Licence holder who is transferring ownership of a sealed source or sealed source apparatus.</w:t>
        </w:r>
      </w:hyperlink>
    </w:p>
    <w:p w14:paraId="6770833F" w14:textId="3E0286B6" w:rsidR="0095158C" w:rsidRDefault="0095158C" w:rsidP="00ED5A55">
      <w:pPr>
        <w:pStyle w:val="Bullet1"/>
      </w:pPr>
      <w:r w:rsidRPr="0095158C">
        <w:t>Dispose of the sealed source only when you have received approval in writing from the Department for the disposal of the sealed source</w:t>
      </w:r>
      <w:r>
        <w:t>.</w:t>
      </w:r>
    </w:p>
    <w:p w14:paraId="01F6B9BB" w14:textId="713FE497" w:rsidR="0095158C" w:rsidRDefault="0095158C" w:rsidP="00ED5A55">
      <w:pPr>
        <w:pStyle w:val="Bullet1"/>
        <w:numPr>
          <w:ilvl w:val="0"/>
          <w:numId w:val="0"/>
        </w:numPr>
        <w:ind w:left="284" w:hanging="284"/>
      </w:pPr>
    </w:p>
    <w:p w14:paraId="2308036E" w14:textId="77777777" w:rsidR="0095158C" w:rsidRDefault="0095158C" w:rsidP="00ED5A55">
      <w:pPr>
        <w:pStyle w:val="Bullet1"/>
        <w:numPr>
          <w:ilvl w:val="0"/>
          <w:numId w:val="0"/>
        </w:numPr>
        <w:ind w:left="284" w:hanging="284"/>
      </w:pPr>
      <w:r w:rsidRPr="0095158C">
        <w:t>The management licence holder must ensure that the Department is notified of the disposal in accordance</w:t>
      </w:r>
    </w:p>
    <w:p w14:paraId="5DDC2EDC" w14:textId="3B0F9C31" w:rsidR="0095158C" w:rsidRDefault="0095158C" w:rsidP="00ED5A55">
      <w:pPr>
        <w:pStyle w:val="Bullet1"/>
        <w:numPr>
          <w:ilvl w:val="0"/>
          <w:numId w:val="0"/>
        </w:numPr>
        <w:ind w:left="284" w:hanging="284"/>
      </w:pPr>
      <w:r w:rsidRPr="0095158C">
        <w:t>with the requirements specified under the section titled ‘</w:t>
      </w:r>
      <w:r w:rsidRPr="00884E7B">
        <w:t xml:space="preserve">Notification of the disposal’ on page </w:t>
      </w:r>
      <w:r w:rsidR="00884E7B">
        <w:t>six</w:t>
      </w:r>
      <w:r w:rsidRPr="0095158C">
        <w:t xml:space="preserve"> of this</w:t>
      </w:r>
    </w:p>
    <w:p w14:paraId="3B3174C3" w14:textId="065D373E" w:rsidR="0095158C" w:rsidRDefault="0095158C" w:rsidP="00ED5A55">
      <w:pPr>
        <w:pStyle w:val="Bullet1"/>
        <w:numPr>
          <w:ilvl w:val="0"/>
          <w:numId w:val="0"/>
        </w:numPr>
        <w:ind w:left="284" w:hanging="284"/>
      </w:pPr>
      <w:r w:rsidRPr="0095158C">
        <w:t>docume</w:t>
      </w:r>
      <w:r>
        <w:t xml:space="preserve">nt. </w:t>
      </w:r>
    </w:p>
    <w:p w14:paraId="75C673B8" w14:textId="47CDC88C" w:rsidR="0095158C" w:rsidRPr="00B57329" w:rsidRDefault="0095158C" w:rsidP="00ED5A55">
      <w:pPr>
        <w:pStyle w:val="Heading1"/>
      </w:pPr>
      <w:r>
        <w:t>Disposal by relocation outside Victoria</w:t>
      </w:r>
    </w:p>
    <w:p w14:paraId="23AF1A37" w14:textId="77777777" w:rsidR="00632B26" w:rsidRDefault="0095158C" w:rsidP="00ED5A55">
      <w:pPr>
        <w:pStyle w:val="Bullet1"/>
        <w:numPr>
          <w:ilvl w:val="0"/>
          <w:numId w:val="0"/>
        </w:numPr>
        <w:ind w:left="284" w:hanging="284"/>
      </w:pPr>
      <w:r w:rsidRPr="0095158C">
        <w:t>Radioactive material may also be disposed of by relocation of the material outside Victoria without changing</w:t>
      </w:r>
    </w:p>
    <w:p w14:paraId="10134078" w14:textId="0F03E684" w:rsidR="0095158C" w:rsidRDefault="0095158C" w:rsidP="00ED5A55">
      <w:pPr>
        <w:pStyle w:val="Bullet1"/>
        <w:numPr>
          <w:ilvl w:val="0"/>
          <w:numId w:val="0"/>
        </w:numPr>
        <w:ind w:left="284" w:hanging="284"/>
      </w:pPr>
      <w:r w:rsidRPr="0095158C">
        <w:t>ownership</w:t>
      </w:r>
      <w:r w:rsidR="00632B26">
        <w:t>.</w:t>
      </w:r>
    </w:p>
    <w:p w14:paraId="4B221B32" w14:textId="77777777" w:rsidR="00632B26" w:rsidRDefault="00632B26" w:rsidP="00ED5A55">
      <w:pPr>
        <w:pStyle w:val="Bullet1"/>
        <w:numPr>
          <w:ilvl w:val="0"/>
          <w:numId w:val="0"/>
        </w:numPr>
        <w:ind w:left="284" w:hanging="284"/>
      </w:pPr>
      <w:r w:rsidRPr="00632B26">
        <w:t>For example, a sealed source apparatus may be moved out of Victoria, either temporarily or permanently, for</w:t>
      </w:r>
    </w:p>
    <w:p w14:paraId="17952256" w14:textId="1E9166D1" w:rsidR="0095158C" w:rsidRDefault="00632B26" w:rsidP="00ED5A55">
      <w:pPr>
        <w:pStyle w:val="Bullet1"/>
        <w:numPr>
          <w:ilvl w:val="0"/>
          <w:numId w:val="0"/>
        </w:numPr>
        <w:ind w:left="284" w:hanging="284"/>
      </w:pPr>
      <w:r w:rsidRPr="00632B26">
        <w:t>use by the licence holder outside Victoria</w:t>
      </w:r>
      <w:r>
        <w:t>.</w:t>
      </w:r>
    </w:p>
    <w:p w14:paraId="7C45D6E2" w14:textId="77777777" w:rsidR="00632B26" w:rsidRDefault="00632B26" w:rsidP="00ED5A55">
      <w:pPr>
        <w:pStyle w:val="Bullet1"/>
        <w:numPr>
          <w:ilvl w:val="0"/>
          <w:numId w:val="0"/>
        </w:numPr>
        <w:ind w:left="284" w:hanging="284"/>
      </w:pPr>
      <w:r w:rsidRPr="00632B26">
        <w:t>In the case of high consequence sealed sources (Category 1, 2 or 3 sealed sources) as defined in the</w:t>
      </w:r>
    </w:p>
    <w:p w14:paraId="3D370584" w14:textId="01502FC9" w:rsidR="0095158C" w:rsidRDefault="00632B26" w:rsidP="00ED5A55">
      <w:pPr>
        <w:pStyle w:val="Bullet1"/>
        <w:numPr>
          <w:ilvl w:val="0"/>
          <w:numId w:val="0"/>
        </w:numPr>
        <w:ind w:left="284" w:hanging="284"/>
      </w:pPr>
      <w:r w:rsidRPr="00632B26">
        <w:t>Radiation Act 2005 you must:</w:t>
      </w:r>
    </w:p>
    <w:p w14:paraId="452EB9B8" w14:textId="77777777" w:rsidR="0095158C" w:rsidRDefault="0095158C" w:rsidP="00ED5A55">
      <w:pPr>
        <w:pStyle w:val="Bullet1"/>
        <w:numPr>
          <w:ilvl w:val="0"/>
          <w:numId w:val="0"/>
        </w:numPr>
        <w:ind w:left="284" w:hanging="284"/>
      </w:pPr>
    </w:p>
    <w:p w14:paraId="1204163B" w14:textId="30C0AFD7" w:rsidR="00632B26" w:rsidRDefault="00632B26" w:rsidP="00ED5A55">
      <w:pPr>
        <w:pStyle w:val="Bullet1"/>
      </w:pPr>
      <w:r w:rsidRPr="00632B26">
        <w:t xml:space="preserve">Apply to the Department for the approval to dispose of a sealed source or a sealed source apparatus using the </w:t>
      </w:r>
      <w:hyperlink r:id="rId23" w:history="1">
        <w:r w:rsidRPr="00632B26">
          <w:rPr>
            <w:rStyle w:val="Hyperlink"/>
          </w:rPr>
          <w:t>Disposal application form - Management Licence holder who is relocating a Security Category 1, 2 or 3 sealed source or a Security Category 1, 2 or 3 sealed source apparatus interstate.</w:t>
        </w:r>
      </w:hyperlink>
    </w:p>
    <w:p w14:paraId="7652DA71" w14:textId="6B26A0BF" w:rsidR="00632B26" w:rsidRDefault="00632B26" w:rsidP="00ED5A55">
      <w:pPr>
        <w:pStyle w:val="Bullet1"/>
      </w:pPr>
      <w:r w:rsidRPr="00632B26">
        <w:t>Dispose of the sealed source only when you have received approval in writing from the Department for the disposal of the sealed source.</w:t>
      </w:r>
    </w:p>
    <w:p w14:paraId="43F1B0D4" w14:textId="2A198F28" w:rsidR="00632B26" w:rsidRDefault="00632B26" w:rsidP="00ED5A55">
      <w:pPr>
        <w:pStyle w:val="Bullet1"/>
        <w:numPr>
          <w:ilvl w:val="0"/>
          <w:numId w:val="0"/>
        </w:numPr>
      </w:pPr>
    </w:p>
    <w:p w14:paraId="17FD1688" w14:textId="3800A288" w:rsidR="00632B26" w:rsidRDefault="00632B26" w:rsidP="00ED5A55">
      <w:pPr>
        <w:pStyle w:val="Bullet1"/>
        <w:numPr>
          <w:ilvl w:val="0"/>
          <w:numId w:val="0"/>
        </w:numPr>
      </w:pPr>
      <w:r w:rsidRPr="00632B26">
        <w:t>Disposal of a source which is not a high consequence sealed source, by relocation outside Victoria, does not require prior approval. The management licence holder must ensure that the Department is notified of the disposal in accordance with the requirements specified under the section titled ‘</w:t>
      </w:r>
      <w:r w:rsidRPr="00884E7B">
        <w:t xml:space="preserve">Notification of the disposal’ on page </w:t>
      </w:r>
      <w:r w:rsidR="00884E7B" w:rsidRPr="00884E7B">
        <w:t>six</w:t>
      </w:r>
      <w:r w:rsidRPr="00884E7B">
        <w:t xml:space="preserve"> of this document.</w:t>
      </w:r>
      <w:r w:rsidRPr="00632B26">
        <w:t xml:space="preserve"> </w:t>
      </w:r>
    </w:p>
    <w:p w14:paraId="7BD6AEF7" w14:textId="77777777" w:rsidR="00632B26" w:rsidRDefault="00632B26" w:rsidP="00ED5A55">
      <w:pPr>
        <w:pStyle w:val="Bullet1"/>
        <w:numPr>
          <w:ilvl w:val="0"/>
          <w:numId w:val="0"/>
        </w:numPr>
      </w:pPr>
    </w:p>
    <w:p w14:paraId="3195B8B7" w14:textId="63562BAE" w:rsidR="00632B26" w:rsidRDefault="00632B26" w:rsidP="00ED5A55">
      <w:pPr>
        <w:pStyle w:val="Bullet1"/>
        <w:numPr>
          <w:ilvl w:val="0"/>
          <w:numId w:val="0"/>
        </w:numPr>
      </w:pPr>
      <w:r w:rsidRPr="00632B26">
        <w:t>Note also that in the case of temporarily relocated radiation sources that the licence holder must also notify the Department on regaining possession of the source in Victoria.</w:t>
      </w:r>
    </w:p>
    <w:p w14:paraId="6A691E6A" w14:textId="6FDBD1CA" w:rsidR="00632B26" w:rsidRPr="00B57329" w:rsidRDefault="00632B26" w:rsidP="00ED5A55">
      <w:pPr>
        <w:pStyle w:val="Heading1"/>
      </w:pPr>
      <w:r>
        <w:t xml:space="preserve">Disposal of unsealed radionuclides, such as radiopharmaceuticals, to sewer </w:t>
      </w:r>
    </w:p>
    <w:p w14:paraId="71611560" w14:textId="5420C8CA" w:rsidR="00632B26" w:rsidRDefault="00632B26" w:rsidP="00ED5A55">
      <w:pPr>
        <w:pStyle w:val="Bullet1"/>
        <w:numPr>
          <w:ilvl w:val="0"/>
          <w:numId w:val="0"/>
        </w:numPr>
      </w:pPr>
      <w:r w:rsidRPr="00632B26">
        <w:t>Disposal of unsealed radionuclides to sewer must not occur unless:</w:t>
      </w:r>
    </w:p>
    <w:p w14:paraId="55FB0612" w14:textId="77777777" w:rsidR="00632B26" w:rsidRDefault="00632B26" w:rsidP="00ED5A55">
      <w:pPr>
        <w:pStyle w:val="Bullet1"/>
      </w:pPr>
      <w:r w:rsidRPr="00632B26">
        <w:t xml:space="preserve">In any 24-hour period, the average concentration at the point of discharge from the premises into the sewerage system does not exceed the concentrations listed in Column 2 of Table 1 when diluted by the average daily concentration of sewage discharged from the </w:t>
      </w:r>
      <w:proofErr w:type="gramStart"/>
      <w:r w:rsidRPr="00632B26">
        <w:t>premises;</w:t>
      </w:r>
      <w:proofErr w:type="gramEnd"/>
      <w:r w:rsidRPr="00632B26">
        <w:t xml:space="preserve"> </w:t>
      </w:r>
    </w:p>
    <w:p w14:paraId="315B43AC" w14:textId="7A8AB4AB" w:rsidR="00632B26" w:rsidRDefault="00632B26" w:rsidP="00ED5A55">
      <w:pPr>
        <w:pStyle w:val="Bullet1"/>
      </w:pPr>
      <w:r w:rsidRPr="00632B26">
        <w:t xml:space="preserve">Records are kept of the nature and amounts of radioactive material discharged from the </w:t>
      </w:r>
      <w:proofErr w:type="gramStart"/>
      <w:r w:rsidRPr="00632B26">
        <w:t>premises;</w:t>
      </w:r>
      <w:proofErr w:type="gramEnd"/>
    </w:p>
    <w:p w14:paraId="509E6CBB" w14:textId="22046AF9" w:rsidR="00632B26" w:rsidRDefault="007F2C7B" w:rsidP="007F2C7B">
      <w:pPr>
        <w:pStyle w:val="Bullet1"/>
      </w:pPr>
      <w:r>
        <w:t>T</w:t>
      </w:r>
      <w:r w:rsidR="00632B26" w:rsidRPr="00632B26">
        <w:t>he disposal has been specifically approved in writing by the Department.</w:t>
      </w:r>
    </w:p>
    <w:p w14:paraId="730A5418" w14:textId="77777777" w:rsidR="00ED5A55" w:rsidRDefault="00ED5A55" w:rsidP="00ED5A55">
      <w:pPr>
        <w:pStyle w:val="Bullet1"/>
        <w:numPr>
          <w:ilvl w:val="0"/>
          <w:numId w:val="0"/>
        </w:numPr>
        <w:ind w:left="284" w:hanging="284"/>
      </w:pPr>
    </w:p>
    <w:p w14:paraId="324C8340" w14:textId="7A2EDE12" w:rsidR="00632B26" w:rsidRDefault="00632B26" w:rsidP="007F2C7B">
      <w:pPr>
        <w:pStyle w:val="Bullet1"/>
        <w:numPr>
          <w:ilvl w:val="0"/>
          <w:numId w:val="0"/>
        </w:numPr>
      </w:pPr>
      <w:r w:rsidRPr="00632B26">
        <w:lastRenderedPageBreak/>
        <w:t>Approvals may also be required by the relevant water authority for the discharge of material into the sewerage</w:t>
      </w:r>
    </w:p>
    <w:p w14:paraId="6834C72F" w14:textId="3A859907" w:rsidR="00632B26" w:rsidRDefault="00632B26" w:rsidP="00ED5A55">
      <w:pPr>
        <w:pStyle w:val="Bullet1"/>
        <w:numPr>
          <w:ilvl w:val="0"/>
          <w:numId w:val="0"/>
        </w:numPr>
        <w:ind w:left="284" w:hanging="284"/>
      </w:pPr>
      <w:r w:rsidRPr="00632B26">
        <w:t>system.</w:t>
      </w:r>
    </w:p>
    <w:p w14:paraId="7CBC7E1B" w14:textId="5CEE3A5B" w:rsidR="00ED5A55" w:rsidRPr="00B57329" w:rsidRDefault="00ED5A55" w:rsidP="00ED5A55">
      <w:pPr>
        <w:pStyle w:val="Heading1"/>
      </w:pPr>
      <w:r>
        <w:t>Disposal to air</w:t>
      </w:r>
    </w:p>
    <w:p w14:paraId="51064F31" w14:textId="77777777" w:rsidR="00ED5A55" w:rsidRDefault="00ED5A55" w:rsidP="00ED5A55">
      <w:pPr>
        <w:pStyle w:val="Bullet1"/>
        <w:numPr>
          <w:ilvl w:val="0"/>
          <w:numId w:val="0"/>
        </w:numPr>
        <w:ind w:left="284" w:hanging="284"/>
      </w:pPr>
      <w:r w:rsidRPr="00ED5A55">
        <w:t xml:space="preserve">Disposal of radioactive material to air must not occur unless the average concentration in any </w:t>
      </w:r>
      <w:proofErr w:type="gramStart"/>
      <w:r w:rsidRPr="00ED5A55">
        <w:t>24 hour</w:t>
      </w:r>
      <w:proofErr w:type="gramEnd"/>
      <w:r w:rsidRPr="00ED5A55">
        <w:t xml:space="preserve"> period</w:t>
      </w:r>
    </w:p>
    <w:p w14:paraId="082D727B" w14:textId="77777777" w:rsidR="00ED5A55" w:rsidRDefault="00ED5A55" w:rsidP="00ED5A55">
      <w:pPr>
        <w:pStyle w:val="Bullet1"/>
        <w:numPr>
          <w:ilvl w:val="0"/>
          <w:numId w:val="0"/>
        </w:numPr>
        <w:ind w:left="284" w:hanging="284"/>
      </w:pPr>
      <w:r w:rsidRPr="00ED5A55">
        <w:t>at the point of discharge from the premises does not exceed the limits specified in Column 3 of Table 1 below.</w:t>
      </w:r>
    </w:p>
    <w:p w14:paraId="2C43D13E" w14:textId="77777777" w:rsidR="00ED5A55" w:rsidRDefault="00ED5A55" w:rsidP="00ED5A55">
      <w:pPr>
        <w:pStyle w:val="Bullet1"/>
        <w:numPr>
          <w:ilvl w:val="0"/>
          <w:numId w:val="0"/>
        </w:numPr>
        <w:ind w:left="284" w:hanging="284"/>
      </w:pPr>
      <w:r w:rsidRPr="00ED5A55">
        <w:t>No radioactive material that exceeds the limits specified in Column 3 of Table 1 below can be disposed of by</w:t>
      </w:r>
    </w:p>
    <w:p w14:paraId="69BEB2B2" w14:textId="77777777" w:rsidR="00ED5A55" w:rsidRDefault="00ED5A55" w:rsidP="00ED5A55">
      <w:pPr>
        <w:pStyle w:val="Bullet1"/>
        <w:numPr>
          <w:ilvl w:val="0"/>
          <w:numId w:val="0"/>
        </w:numPr>
        <w:ind w:left="284" w:hanging="284"/>
      </w:pPr>
      <w:r w:rsidRPr="00ED5A55">
        <w:t>air unless you have notified the Department in writing of the details of the proposed disposal and the</w:t>
      </w:r>
    </w:p>
    <w:p w14:paraId="3447658C" w14:textId="7B1B84B3" w:rsidR="00ED5A55" w:rsidRDefault="00ED5A55" w:rsidP="00ED5A55">
      <w:pPr>
        <w:pStyle w:val="Bullet1"/>
        <w:numPr>
          <w:ilvl w:val="0"/>
          <w:numId w:val="0"/>
        </w:numPr>
        <w:ind w:left="284" w:hanging="284"/>
      </w:pPr>
      <w:r w:rsidRPr="00ED5A55">
        <w:t>Department has approved the proposed disposal in writing.</w:t>
      </w:r>
    </w:p>
    <w:p w14:paraId="3A419258" w14:textId="2852E480" w:rsidR="00ED5A55" w:rsidRPr="00B57329" w:rsidRDefault="00ED5A55" w:rsidP="00ED5A55">
      <w:pPr>
        <w:pStyle w:val="Heading1"/>
      </w:pPr>
      <w:r>
        <w:t>Disposal to landfill</w:t>
      </w:r>
    </w:p>
    <w:p w14:paraId="0452411E" w14:textId="2750A73D" w:rsidR="00F127FE" w:rsidRDefault="00ED5A55" w:rsidP="00C51F0A">
      <w:pPr>
        <w:pStyle w:val="Body"/>
      </w:pPr>
      <w:r w:rsidRPr="00ED5A55">
        <w:t>No radioactive material may be disposed of to landfill unless you have notified the Department in writing of the details of the proposed disposal and the Department has approved the proposed disposal in writing. At the time of writing there is no available option to dispose of radioactive material to landfill</w:t>
      </w:r>
    </w:p>
    <w:p w14:paraId="1FB1D712" w14:textId="367FE517" w:rsidR="00ED5A55" w:rsidRPr="00B57329" w:rsidRDefault="00ED5A55" w:rsidP="00ED5A55">
      <w:pPr>
        <w:pStyle w:val="Heading1"/>
      </w:pPr>
      <w:r>
        <w:t xml:space="preserve">Notification of the disposal </w:t>
      </w:r>
    </w:p>
    <w:p w14:paraId="5C2C84F5" w14:textId="6050D841" w:rsidR="00ED5A55" w:rsidRDefault="00ED5A55" w:rsidP="00C51F0A">
      <w:pPr>
        <w:pStyle w:val="Body"/>
      </w:pPr>
      <w:r w:rsidRPr="00ED5A55">
        <w:t xml:space="preserve">The management licence holder must ensure the Department is notified of the disposal using the </w:t>
      </w:r>
      <w:hyperlink r:id="rId24" w:history="1">
        <w:r w:rsidRPr="00ED5A55">
          <w:rPr>
            <w:rStyle w:val="Hyperlink"/>
          </w:rPr>
          <w:t>on-line Notification Form</w:t>
        </w:r>
      </w:hyperlink>
      <w:r w:rsidRPr="00ED5A55">
        <w:t xml:space="preserve"> within:</w:t>
      </w:r>
    </w:p>
    <w:p w14:paraId="25DAE4F9" w14:textId="77777777" w:rsidR="00ED5A55" w:rsidRDefault="00ED5A55" w:rsidP="00CA1140">
      <w:pPr>
        <w:pStyle w:val="Numberloweralpha"/>
        <w:numPr>
          <w:ilvl w:val="0"/>
          <w:numId w:val="40"/>
        </w:numPr>
      </w:pPr>
      <w:r w:rsidRPr="00ED5A55">
        <w:t xml:space="preserve">24 hours for the disposal of high consequence sealed sources as defined by the Radiation Act 2005; and </w:t>
      </w:r>
    </w:p>
    <w:p w14:paraId="718E5D4A" w14:textId="00513CBF" w:rsidR="00CA1140" w:rsidRDefault="00ED5A55" w:rsidP="00CA1140">
      <w:pPr>
        <w:pStyle w:val="Numberloweralpha"/>
      </w:pPr>
      <w:r w:rsidRPr="00ED5A55">
        <w:t xml:space="preserve">14 days for other types of sealed sources or sealed source apparatus or other types of radioactive material. </w:t>
      </w:r>
    </w:p>
    <w:p w14:paraId="56724B79" w14:textId="77777777" w:rsidR="00CA1140" w:rsidRDefault="00CA1140" w:rsidP="00C51F0A">
      <w:pPr>
        <w:pStyle w:val="Body"/>
      </w:pPr>
      <w:r w:rsidRPr="00CA1140">
        <w:t xml:space="preserve">Note that no notification is required to the Department of the disposal of unsealed radionuclides or radiopharmaceuticals due to the short-lived nature of these forms of radioactive material. </w:t>
      </w:r>
    </w:p>
    <w:p w14:paraId="038AD5A6" w14:textId="2C39A5CA" w:rsidR="00CA1140" w:rsidRPr="00B57329" w:rsidRDefault="00CA1140" w:rsidP="00CA1140">
      <w:pPr>
        <w:pStyle w:val="Heading1"/>
      </w:pPr>
      <w:r>
        <w:t>Further information</w:t>
      </w:r>
    </w:p>
    <w:p w14:paraId="7717BDEB" w14:textId="4EA98462" w:rsidR="00CA1140" w:rsidRDefault="00CA1140" w:rsidP="00C51F0A">
      <w:pPr>
        <w:pStyle w:val="Body"/>
      </w:pPr>
      <w:r>
        <w:t xml:space="preserve">Visit the </w:t>
      </w:r>
      <w:hyperlink r:id="rId25" w:history="1">
        <w:r w:rsidRPr="00CA1140">
          <w:rPr>
            <w:rStyle w:val="Hyperlink"/>
          </w:rPr>
          <w:t>Disposal o</w:t>
        </w:r>
        <w:r>
          <w:rPr>
            <w:rStyle w:val="Hyperlink"/>
          </w:rPr>
          <w:t>f</w:t>
        </w:r>
        <w:r w:rsidRPr="00CA1140">
          <w:rPr>
            <w:rStyle w:val="Hyperlink"/>
          </w:rPr>
          <w:t xml:space="preserve"> radioactive material and X-ray equipment page</w:t>
        </w:r>
      </w:hyperlink>
      <w:r>
        <w:t xml:space="preserve"> on the Radiation website. </w:t>
      </w:r>
    </w:p>
    <w:p w14:paraId="2B0C4678" w14:textId="10957BF6" w:rsidR="00CA1140" w:rsidRDefault="00CA1140" w:rsidP="00C51F0A">
      <w:pPr>
        <w:pStyle w:val="Body"/>
      </w:pPr>
      <w:r>
        <w:t xml:space="preserve">Email the </w:t>
      </w:r>
      <w:hyperlink r:id="rId26" w:history="1">
        <w:r w:rsidRPr="00CA1140">
          <w:rPr>
            <w:rStyle w:val="Hyperlink"/>
          </w:rPr>
          <w:t>Radiation Team</w:t>
        </w:r>
      </w:hyperlink>
      <w:r>
        <w:t xml:space="preserve"> </w:t>
      </w:r>
    </w:p>
    <w:p w14:paraId="2AFC39CB" w14:textId="51D70A78" w:rsidR="00D035EB" w:rsidRDefault="00D035EB" w:rsidP="00D035EB">
      <w:pPr>
        <w:pStyle w:val="Heading1"/>
      </w:pPr>
      <w:r>
        <w:lastRenderedPageBreak/>
        <w:t>Discharge limits</w:t>
      </w:r>
    </w:p>
    <w:p w14:paraId="11B4A63C" w14:textId="12AB29AF" w:rsidR="00C51F0A" w:rsidRDefault="00C51F0A" w:rsidP="00C51F0A">
      <w:pPr>
        <w:pStyle w:val="Tablecaption"/>
      </w:pPr>
      <w:r>
        <w:t xml:space="preserve">Table </w:t>
      </w:r>
      <w:r w:rsidR="00CA1140">
        <w:t>1 Discharge limits</w:t>
      </w:r>
      <w:r w:rsidR="005F3479">
        <w:rPr>
          <w:rStyle w:val="FootnoteReference"/>
        </w:rPr>
        <w:footnoteReference w:id="1"/>
      </w:r>
      <w:r w:rsidR="00CA1140">
        <w:t xml:space="preserve"> </w:t>
      </w:r>
    </w:p>
    <w:tbl>
      <w:tblPr>
        <w:tblStyle w:val="TableGrid"/>
        <w:tblW w:w="9918" w:type="dxa"/>
        <w:tblLook w:val="06A0" w:firstRow="1" w:lastRow="0" w:firstColumn="1" w:lastColumn="0" w:noHBand="1" w:noVBand="1"/>
      </w:tblPr>
      <w:tblGrid>
        <w:gridCol w:w="2263"/>
        <w:gridCol w:w="4820"/>
        <w:gridCol w:w="2835"/>
      </w:tblGrid>
      <w:tr w:rsidR="00CA1140" w14:paraId="1C5EBBF6" w14:textId="77777777" w:rsidTr="00884E7B">
        <w:trPr>
          <w:tblHeader/>
        </w:trPr>
        <w:tc>
          <w:tcPr>
            <w:tcW w:w="2263" w:type="dxa"/>
            <w:shd w:val="clear" w:color="auto" w:fill="F2F2F2" w:themeFill="background1" w:themeFillShade="F2"/>
          </w:tcPr>
          <w:p w14:paraId="5A59F934" w14:textId="237F9AE8" w:rsidR="00CA1140" w:rsidRPr="00CB3285" w:rsidRDefault="00CA1140" w:rsidP="00884E7B">
            <w:pPr>
              <w:pStyle w:val="Tablecolhead"/>
              <w:jc w:val="center"/>
            </w:pPr>
            <w:r>
              <w:t>Column 1</w:t>
            </w:r>
          </w:p>
        </w:tc>
        <w:tc>
          <w:tcPr>
            <w:tcW w:w="4820" w:type="dxa"/>
            <w:shd w:val="clear" w:color="auto" w:fill="F2F2F2" w:themeFill="background1" w:themeFillShade="F2"/>
          </w:tcPr>
          <w:p w14:paraId="48BA1C94" w14:textId="308E72F6" w:rsidR="00CA1140" w:rsidRDefault="00CA1140" w:rsidP="00884E7B">
            <w:pPr>
              <w:pStyle w:val="Tablecolhead"/>
              <w:jc w:val="center"/>
            </w:pPr>
            <w:r>
              <w:t>Column 2</w:t>
            </w:r>
          </w:p>
        </w:tc>
        <w:tc>
          <w:tcPr>
            <w:tcW w:w="2835" w:type="dxa"/>
            <w:shd w:val="clear" w:color="auto" w:fill="F2F2F2" w:themeFill="background1" w:themeFillShade="F2"/>
          </w:tcPr>
          <w:p w14:paraId="26E727B1" w14:textId="69476C44" w:rsidR="00CA1140" w:rsidRDefault="00CA1140" w:rsidP="00884E7B">
            <w:pPr>
              <w:pStyle w:val="Tablecolhead"/>
              <w:jc w:val="center"/>
            </w:pPr>
            <w:r>
              <w:t>Column 3</w:t>
            </w:r>
          </w:p>
        </w:tc>
      </w:tr>
      <w:tr w:rsidR="00885A0E" w14:paraId="6689A0AB" w14:textId="77777777" w:rsidTr="00884E7B">
        <w:trPr>
          <w:tblHeader/>
        </w:trPr>
        <w:tc>
          <w:tcPr>
            <w:tcW w:w="2263" w:type="dxa"/>
            <w:shd w:val="clear" w:color="auto" w:fill="F2F2F2" w:themeFill="background1" w:themeFillShade="F2"/>
          </w:tcPr>
          <w:p w14:paraId="3CEA7110" w14:textId="2B447DC9" w:rsidR="00885A0E" w:rsidRDefault="00885A0E" w:rsidP="00884E7B">
            <w:pPr>
              <w:pStyle w:val="Tablecolhead"/>
              <w:jc w:val="center"/>
            </w:pPr>
            <w:r>
              <w:t>Radionuclide</w:t>
            </w:r>
          </w:p>
        </w:tc>
        <w:tc>
          <w:tcPr>
            <w:tcW w:w="4820" w:type="dxa"/>
            <w:shd w:val="clear" w:color="auto" w:fill="F2F2F2" w:themeFill="background1" w:themeFillShade="F2"/>
          </w:tcPr>
          <w:p w14:paraId="32BB6CF6" w14:textId="7D9A4FDF" w:rsidR="00885A0E" w:rsidRDefault="00885A0E" w:rsidP="00884E7B">
            <w:pPr>
              <w:pStyle w:val="Tablecolhead"/>
              <w:jc w:val="center"/>
            </w:pPr>
            <w:r>
              <w:t>Limits on Discharge to Sewerage system</w:t>
            </w:r>
          </w:p>
          <w:p w14:paraId="09003594" w14:textId="79F117E5" w:rsidR="00885A0E" w:rsidRPr="00885A0E" w:rsidRDefault="00885A0E" w:rsidP="00884E7B">
            <w:pPr>
              <w:pStyle w:val="Tablecolhead"/>
              <w:jc w:val="center"/>
            </w:pPr>
            <w:r>
              <w:t>(Bq.m</w:t>
            </w:r>
            <w:r>
              <w:rPr>
                <w:vertAlign w:val="superscript"/>
              </w:rPr>
              <w:t>-3)</w:t>
            </w:r>
          </w:p>
        </w:tc>
        <w:tc>
          <w:tcPr>
            <w:tcW w:w="2835" w:type="dxa"/>
            <w:shd w:val="clear" w:color="auto" w:fill="F2F2F2" w:themeFill="background1" w:themeFillShade="F2"/>
          </w:tcPr>
          <w:p w14:paraId="1B74CB59" w14:textId="77777777" w:rsidR="00885A0E" w:rsidRDefault="00885A0E" w:rsidP="00884E7B">
            <w:pPr>
              <w:pStyle w:val="Tablecolhead"/>
              <w:jc w:val="center"/>
            </w:pPr>
            <w:r>
              <w:t>Limits on Discharge to Air</w:t>
            </w:r>
          </w:p>
          <w:p w14:paraId="68141C2C" w14:textId="2B7C13B6" w:rsidR="00885A0E" w:rsidRPr="00885A0E" w:rsidRDefault="00885A0E" w:rsidP="00884E7B">
            <w:pPr>
              <w:pStyle w:val="Tablecolhead"/>
              <w:jc w:val="center"/>
              <w:rPr>
                <w:vertAlign w:val="superscript"/>
              </w:rPr>
            </w:pPr>
            <w:r>
              <w:t>(Bq.m</w:t>
            </w:r>
            <w:r>
              <w:rPr>
                <w:vertAlign w:val="superscript"/>
              </w:rPr>
              <w:t>-3)</w:t>
            </w:r>
          </w:p>
        </w:tc>
      </w:tr>
      <w:tr w:rsidR="00CA1140" w14:paraId="4AA8D84F" w14:textId="77777777" w:rsidTr="00885A0E">
        <w:tc>
          <w:tcPr>
            <w:tcW w:w="2263" w:type="dxa"/>
          </w:tcPr>
          <w:p w14:paraId="13D30993" w14:textId="51D92346" w:rsidR="00CA1140" w:rsidRPr="007F2C7B" w:rsidRDefault="007F2C7B" w:rsidP="005772CD">
            <w:pPr>
              <w:pStyle w:val="Tabletext"/>
            </w:pPr>
            <w:r>
              <w:rPr>
                <w:vertAlign w:val="superscript"/>
              </w:rPr>
              <w:t>3</w:t>
            </w:r>
            <w:r>
              <w:t>H</w:t>
            </w:r>
          </w:p>
        </w:tc>
        <w:tc>
          <w:tcPr>
            <w:tcW w:w="4820" w:type="dxa"/>
          </w:tcPr>
          <w:p w14:paraId="33F8A9D3" w14:textId="16821AFD" w:rsidR="00CA1140" w:rsidRPr="00341083" w:rsidRDefault="00341083" w:rsidP="005772CD">
            <w:pPr>
              <w:pStyle w:val="Tabletext"/>
              <w:rPr>
                <w:vertAlign w:val="superscript"/>
              </w:rPr>
            </w:pPr>
            <w:r>
              <w:t>3 x 10</w:t>
            </w:r>
            <w:r>
              <w:rPr>
                <w:vertAlign w:val="superscript"/>
              </w:rPr>
              <w:t>7</w:t>
            </w:r>
          </w:p>
        </w:tc>
        <w:tc>
          <w:tcPr>
            <w:tcW w:w="2835" w:type="dxa"/>
          </w:tcPr>
          <w:p w14:paraId="0D2D470E" w14:textId="375837CE" w:rsidR="00CA1140" w:rsidRPr="005772CD" w:rsidRDefault="005772CD" w:rsidP="00D035EB">
            <w:pPr>
              <w:pStyle w:val="Tablebullet2"/>
              <w:numPr>
                <w:ilvl w:val="0"/>
                <w:numId w:val="0"/>
              </w:numPr>
              <w:rPr>
                <w:vertAlign w:val="superscript"/>
              </w:rPr>
            </w:pPr>
            <w:r>
              <w:t>4 x 10</w:t>
            </w:r>
            <w:r>
              <w:rPr>
                <w:vertAlign w:val="superscript"/>
              </w:rPr>
              <w:t>2</w:t>
            </w:r>
          </w:p>
        </w:tc>
      </w:tr>
      <w:tr w:rsidR="00D035EB" w14:paraId="6A8EC15F" w14:textId="77777777" w:rsidTr="00885A0E">
        <w:tc>
          <w:tcPr>
            <w:tcW w:w="2263" w:type="dxa"/>
          </w:tcPr>
          <w:p w14:paraId="773019CF" w14:textId="1554D09C" w:rsidR="00D035EB" w:rsidRPr="00D035EB" w:rsidRDefault="00D035EB" w:rsidP="005772CD">
            <w:pPr>
              <w:pStyle w:val="Tabletext"/>
            </w:pPr>
            <w:r>
              <w:rPr>
                <w:vertAlign w:val="superscript"/>
              </w:rPr>
              <w:t>14</w:t>
            </w:r>
            <w:r>
              <w:t>C</w:t>
            </w:r>
          </w:p>
        </w:tc>
        <w:tc>
          <w:tcPr>
            <w:tcW w:w="4820" w:type="dxa"/>
          </w:tcPr>
          <w:p w14:paraId="0B5B014E" w14:textId="6322FA02" w:rsidR="00D035EB" w:rsidRPr="00341083" w:rsidRDefault="00341083" w:rsidP="005772CD">
            <w:pPr>
              <w:pStyle w:val="Tabletext"/>
              <w:rPr>
                <w:vertAlign w:val="superscript"/>
              </w:rPr>
            </w:pPr>
            <w:r>
              <w:t>2 x 10</w:t>
            </w:r>
            <w:r>
              <w:rPr>
                <w:vertAlign w:val="superscript"/>
              </w:rPr>
              <w:t>6</w:t>
            </w:r>
          </w:p>
        </w:tc>
        <w:tc>
          <w:tcPr>
            <w:tcW w:w="2835" w:type="dxa"/>
          </w:tcPr>
          <w:p w14:paraId="3D4DBE6A" w14:textId="12E3C04B" w:rsidR="00D035EB" w:rsidRPr="005772CD" w:rsidRDefault="005772CD" w:rsidP="00D035EB">
            <w:pPr>
              <w:pStyle w:val="Tablebullet2"/>
              <w:numPr>
                <w:ilvl w:val="0"/>
                <w:numId w:val="0"/>
              </w:numPr>
              <w:rPr>
                <w:vertAlign w:val="superscript"/>
              </w:rPr>
            </w:pPr>
            <w:r>
              <w:t>2 x 10</w:t>
            </w:r>
            <w:r>
              <w:rPr>
                <w:vertAlign w:val="superscript"/>
              </w:rPr>
              <w:t>1</w:t>
            </w:r>
          </w:p>
        </w:tc>
      </w:tr>
      <w:tr w:rsidR="00D035EB" w14:paraId="0B73092A" w14:textId="77777777" w:rsidTr="00885A0E">
        <w:tc>
          <w:tcPr>
            <w:tcW w:w="2263" w:type="dxa"/>
          </w:tcPr>
          <w:p w14:paraId="4A7E6C04" w14:textId="40E9FAAE" w:rsidR="00D035EB" w:rsidRPr="00D035EB" w:rsidRDefault="00D035EB" w:rsidP="005772CD">
            <w:pPr>
              <w:pStyle w:val="Tabletext"/>
            </w:pPr>
            <w:r>
              <w:rPr>
                <w:vertAlign w:val="superscript"/>
              </w:rPr>
              <w:t>18</w:t>
            </w:r>
            <w:r>
              <w:t>F</w:t>
            </w:r>
          </w:p>
        </w:tc>
        <w:tc>
          <w:tcPr>
            <w:tcW w:w="4820" w:type="dxa"/>
          </w:tcPr>
          <w:p w14:paraId="6F029F41" w14:textId="60628C80" w:rsidR="00D035EB" w:rsidRPr="00341083" w:rsidRDefault="00341083" w:rsidP="005772CD">
            <w:pPr>
              <w:pStyle w:val="Tabletext"/>
              <w:rPr>
                <w:vertAlign w:val="superscript"/>
              </w:rPr>
            </w:pPr>
            <w:r w:rsidRPr="00341083">
              <w:t>3 × 10</w:t>
            </w:r>
            <w:r>
              <w:rPr>
                <w:vertAlign w:val="superscript"/>
              </w:rPr>
              <w:t>7</w:t>
            </w:r>
          </w:p>
        </w:tc>
        <w:tc>
          <w:tcPr>
            <w:tcW w:w="2835" w:type="dxa"/>
          </w:tcPr>
          <w:p w14:paraId="52A47D98" w14:textId="3B570C02" w:rsidR="00D035EB" w:rsidRPr="005772CD" w:rsidRDefault="005772CD" w:rsidP="00D035EB">
            <w:pPr>
              <w:pStyle w:val="Tablebullet2"/>
              <w:numPr>
                <w:ilvl w:val="0"/>
                <w:numId w:val="0"/>
              </w:numPr>
              <w:rPr>
                <w:vertAlign w:val="superscript"/>
              </w:rPr>
            </w:pPr>
            <w:r>
              <w:t>2 x 10</w:t>
            </w:r>
            <w:r>
              <w:rPr>
                <w:vertAlign w:val="superscript"/>
              </w:rPr>
              <w:t>3</w:t>
            </w:r>
          </w:p>
        </w:tc>
      </w:tr>
      <w:tr w:rsidR="00D035EB" w14:paraId="573A0BBF" w14:textId="77777777" w:rsidTr="00885A0E">
        <w:tc>
          <w:tcPr>
            <w:tcW w:w="2263" w:type="dxa"/>
          </w:tcPr>
          <w:p w14:paraId="1FE4A1DD" w14:textId="1C7CD70B" w:rsidR="00D035EB" w:rsidRPr="00D035EB" w:rsidRDefault="00D035EB" w:rsidP="005772CD">
            <w:pPr>
              <w:pStyle w:val="Tabletext"/>
            </w:pPr>
            <w:r>
              <w:rPr>
                <w:vertAlign w:val="superscript"/>
              </w:rPr>
              <w:t>22</w:t>
            </w:r>
            <w:r>
              <w:t>Na</w:t>
            </w:r>
          </w:p>
        </w:tc>
        <w:tc>
          <w:tcPr>
            <w:tcW w:w="4820" w:type="dxa"/>
          </w:tcPr>
          <w:p w14:paraId="21226F22" w14:textId="70408A12" w:rsidR="00D035EB" w:rsidRPr="00341083" w:rsidRDefault="00341083" w:rsidP="005772CD">
            <w:pPr>
              <w:pStyle w:val="Tabletext"/>
              <w:rPr>
                <w:vertAlign w:val="superscript"/>
              </w:rPr>
            </w:pPr>
            <w:r w:rsidRPr="00341083">
              <w:t>4 × 10</w:t>
            </w:r>
            <w:r>
              <w:rPr>
                <w:vertAlign w:val="superscript"/>
              </w:rPr>
              <w:t>5</w:t>
            </w:r>
          </w:p>
        </w:tc>
        <w:tc>
          <w:tcPr>
            <w:tcW w:w="2835" w:type="dxa"/>
          </w:tcPr>
          <w:p w14:paraId="410E28A5" w14:textId="2FA83E88" w:rsidR="00D035EB" w:rsidRPr="005772CD" w:rsidRDefault="005772CD" w:rsidP="00D035EB">
            <w:pPr>
              <w:pStyle w:val="Tablebullet2"/>
              <w:numPr>
                <w:ilvl w:val="0"/>
                <w:numId w:val="0"/>
              </w:numPr>
              <w:rPr>
                <w:vertAlign w:val="superscript"/>
              </w:rPr>
            </w:pPr>
            <w:r>
              <w:t>9 x 10</w:t>
            </w:r>
            <w:r>
              <w:rPr>
                <w:vertAlign w:val="superscript"/>
              </w:rPr>
              <w:t>1</w:t>
            </w:r>
          </w:p>
        </w:tc>
      </w:tr>
      <w:tr w:rsidR="00D035EB" w14:paraId="7D95E4CA" w14:textId="77777777" w:rsidTr="00885A0E">
        <w:tc>
          <w:tcPr>
            <w:tcW w:w="2263" w:type="dxa"/>
          </w:tcPr>
          <w:p w14:paraId="0887E411" w14:textId="0487A06A" w:rsidR="00D035EB" w:rsidRPr="00D035EB" w:rsidRDefault="00D035EB" w:rsidP="005772CD">
            <w:pPr>
              <w:pStyle w:val="Tabletext"/>
            </w:pPr>
            <w:r>
              <w:rPr>
                <w:vertAlign w:val="superscript"/>
              </w:rPr>
              <w:t>24</w:t>
            </w:r>
            <w:r>
              <w:t>Na</w:t>
            </w:r>
          </w:p>
        </w:tc>
        <w:tc>
          <w:tcPr>
            <w:tcW w:w="4820" w:type="dxa"/>
          </w:tcPr>
          <w:p w14:paraId="604513C3" w14:textId="4946553F" w:rsidR="00D035EB" w:rsidRPr="00341083" w:rsidRDefault="00341083" w:rsidP="005772CD">
            <w:pPr>
              <w:pStyle w:val="Tabletext"/>
              <w:rPr>
                <w:vertAlign w:val="superscript"/>
              </w:rPr>
            </w:pPr>
            <w:r w:rsidRPr="00341083">
              <w:t>3 × 10</w:t>
            </w:r>
            <w:r>
              <w:rPr>
                <w:vertAlign w:val="superscript"/>
              </w:rPr>
              <w:t>6</w:t>
            </w:r>
          </w:p>
        </w:tc>
        <w:tc>
          <w:tcPr>
            <w:tcW w:w="2835" w:type="dxa"/>
          </w:tcPr>
          <w:p w14:paraId="55140F25" w14:textId="48397A84" w:rsidR="00D035EB" w:rsidRPr="005772CD" w:rsidRDefault="005772CD" w:rsidP="00D035EB">
            <w:pPr>
              <w:pStyle w:val="Tablebullet2"/>
              <w:numPr>
                <w:ilvl w:val="0"/>
                <w:numId w:val="0"/>
              </w:numPr>
              <w:rPr>
                <w:vertAlign w:val="superscript"/>
              </w:rPr>
            </w:pPr>
            <w:r>
              <w:t>4 x 10</w:t>
            </w:r>
            <w:r>
              <w:rPr>
                <w:vertAlign w:val="superscript"/>
              </w:rPr>
              <w:t>2</w:t>
            </w:r>
          </w:p>
        </w:tc>
      </w:tr>
      <w:tr w:rsidR="00D035EB" w14:paraId="166114C4" w14:textId="77777777" w:rsidTr="00885A0E">
        <w:tc>
          <w:tcPr>
            <w:tcW w:w="2263" w:type="dxa"/>
          </w:tcPr>
          <w:p w14:paraId="2CA3D38B" w14:textId="69508E93" w:rsidR="00D035EB" w:rsidRPr="00341083" w:rsidRDefault="00D035EB" w:rsidP="005772CD">
            <w:pPr>
              <w:pStyle w:val="Tabletext"/>
            </w:pPr>
            <w:r>
              <w:rPr>
                <w:vertAlign w:val="superscript"/>
              </w:rPr>
              <w:t>32</w:t>
            </w:r>
            <w:r w:rsidR="00341083">
              <w:t>P</w:t>
            </w:r>
          </w:p>
        </w:tc>
        <w:tc>
          <w:tcPr>
            <w:tcW w:w="4820" w:type="dxa"/>
          </w:tcPr>
          <w:p w14:paraId="23F743F4" w14:textId="4A16CAC9" w:rsidR="00D035EB" w:rsidRPr="00341083" w:rsidRDefault="00341083" w:rsidP="005772CD">
            <w:pPr>
              <w:pStyle w:val="Tabletext"/>
              <w:rPr>
                <w:vertAlign w:val="superscript"/>
              </w:rPr>
            </w:pPr>
            <w:r w:rsidRPr="00341083">
              <w:t>6 × 10</w:t>
            </w:r>
            <w:r>
              <w:rPr>
                <w:vertAlign w:val="superscript"/>
              </w:rPr>
              <w:t>5</w:t>
            </w:r>
          </w:p>
        </w:tc>
        <w:tc>
          <w:tcPr>
            <w:tcW w:w="2835" w:type="dxa"/>
          </w:tcPr>
          <w:p w14:paraId="5FF6B3EA" w14:textId="76F671BC" w:rsidR="00D035EB" w:rsidRPr="005772CD" w:rsidRDefault="005772CD" w:rsidP="00D035EB">
            <w:pPr>
              <w:pStyle w:val="Tablebullet2"/>
              <w:numPr>
                <w:ilvl w:val="0"/>
                <w:numId w:val="0"/>
              </w:numPr>
              <w:rPr>
                <w:vertAlign w:val="superscript"/>
              </w:rPr>
            </w:pPr>
            <w:r>
              <w:t>3 x 10</w:t>
            </w:r>
            <w:r>
              <w:rPr>
                <w:vertAlign w:val="superscript"/>
              </w:rPr>
              <w:t>1</w:t>
            </w:r>
          </w:p>
        </w:tc>
      </w:tr>
      <w:tr w:rsidR="00D035EB" w14:paraId="6F8684CC" w14:textId="77777777" w:rsidTr="00885A0E">
        <w:tc>
          <w:tcPr>
            <w:tcW w:w="2263" w:type="dxa"/>
          </w:tcPr>
          <w:p w14:paraId="4D6E2C95" w14:textId="70B8E82A" w:rsidR="00D035EB" w:rsidRPr="00D035EB" w:rsidRDefault="00D035EB" w:rsidP="005772CD">
            <w:pPr>
              <w:pStyle w:val="Tabletext"/>
            </w:pPr>
            <w:r>
              <w:rPr>
                <w:vertAlign w:val="superscript"/>
              </w:rPr>
              <w:t>33</w:t>
            </w:r>
            <w:r>
              <w:t>P</w:t>
            </w:r>
          </w:p>
        </w:tc>
        <w:tc>
          <w:tcPr>
            <w:tcW w:w="4820" w:type="dxa"/>
          </w:tcPr>
          <w:p w14:paraId="16B12DF1" w14:textId="3B5CF07A" w:rsidR="00D035EB" w:rsidRPr="00341083" w:rsidRDefault="00341083" w:rsidP="005772CD">
            <w:pPr>
              <w:pStyle w:val="Tabletext"/>
              <w:rPr>
                <w:vertAlign w:val="superscript"/>
              </w:rPr>
            </w:pPr>
            <w:r w:rsidRPr="00341083">
              <w:t>6 × 10</w:t>
            </w:r>
            <w:r>
              <w:rPr>
                <w:vertAlign w:val="superscript"/>
              </w:rPr>
              <w:t>6</w:t>
            </w:r>
          </w:p>
        </w:tc>
        <w:tc>
          <w:tcPr>
            <w:tcW w:w="2835" w:type="dxa"/>
          </w:tcPr>
          <w:p w14:paraId="263C39EA" w14:textId="3DD651D5" w:rsidR="00D035EB" w:rsidRPr="005772CD" w:rsidRDefault="005772CD" w:rsidP="00D035EB">
            <w:pPr>
              <w:pStyle w:val="Tablebullet2"/>
              <w:numPr>
                <w:ilvl w:val="0"/>
                <w:numId w:val="0"/>
              </w:numPr>
              <w:rPr>
                <w:vertAlign w:val="superscript"/>
              </w:rPr>
            </w:pPr>
            <w:r>
              <w:t>8 x 10</w:t>
            </w:r>
            <w:r>
              <w:rPr>
                <w:vertAlign w:val="superscript"/>
              </w:rPr>
              <w:t>1</w:t>
            </w:r>
          </w:p>
        </w:tc>
      </w:tr>
      <w:tr w:rsidR="00D035EB" w14:paraId="2C468500" w14:textId="77777777" w:rsidTr="00885A0E">
        <w:tc>
          <w:tcPr>
            <w:tcW w:w="2263" w:type="dxa"/>
          </w:tcPr>
          <w:p w14:paraId="61C95FB9" w14:textId="4957E496" w:rsidR="00D035EB" w:rsidRPr="00D035EB" w:rsidRDefault="00D035EB" w:rsidP="005772CD">
            <w:pPr>
              <w:pStyle w:val="Tabletext"/>
            </w:pPr>
            <w:r>
              <w:rPr>
                <w:vertAlign w:val="superscript"/>
              </w:rPr>
              <w:t>35</w:t>
            </w:r>
            <w:r>
              <w:t>S</w:t>
            </w:r>
          </w:p>
        </w:tc>
        <w:tc>
          <w:tcPr>
            <w:tcW w:w="4820" w:type="dxa"/>
          </w:tcPr>
          <w:p w14:paraId="056A33B9" w14:textId="61D2222D" w:rsidR="00D035EB" w:rsidRPr="00341083" w:rsidRDefault="00341083" w:rsidP="005772CD">
            <w:pPr>
              <w:pStyle w:val="Tabletext"/>
              <w:rPr>
                <w:vertAlign w:val="superscript"/>
              </w:rPr>
            </w:pPr>
            <w:r w:rsidRPr="00341083">
              <w:t>2 × 10</w:t>
            </w:r>
            <w:r>
              <w:rPr>
                <w:vertAlign w:val="superscript"/>
              </w:rPr>
              <w:t>6</w:t>
            </w:r>
          </w:p>
        </w:tc>
        <w:tc>
          <w:tcPr>
            <w:tcW w:w="2835" w:type="dxa"/>
          </w:tcPr>
          <w:p w14:paraId="564EE8D1" w14:textId="5281A45B" w:rsidR="00D035EB" w:rsidRPr="005772CD" w:rsidRDefault="005772CD" w:rsidP="00D035EB">
            <w:pPr>
              <w:pStyle w:val="Tablebullet2"/>
              <w:numPr>
                <w:ilvl w:val="0"/>
                <w:numId w:val="0"/>
              </w:numPr>
              <w:rPr>
                <w:vertAlign w:val="superscript"/>
              </w:rPr>
            </w:pPr>
            <w:r>
              <w:t>6 x 10</w:t>
            </w:r>
            <w:r>
              <w:rPr>
                <w:vertAlign w:val="superscript"/>
              </w:rPr>
              <w:t>1</w:t>
            </w:r>
          </w:p>
        </w:tc>
      </w:tr>
      <w:tr w:rsidR="00D035EB" w14:paraId="31826877" w14:textId="77777777" w:rsidTr="00885A0E">
        <w:tc>
          <w:tcPr>
            <w:tcW w:w="2263" w:type="dxa"/>
          </w:tcPr>
          <w:p w14:paraId="634B7F0A" w14:textId="5768A6D4" w:rsidR="00D035EB" w:rsidRPr="00D035EB" w:rsidRDefault="00D035EB" w:rsidP="005772CD">
            <w:pPr>
              <w:pStyle w:val="Tabletext"/>
            </w:pPr>
            <w:r>
              <w:rPr>
                <w:vertAlign w:val="superscript"/>
              </w:rPr>
              <w:t>36</w:t>
            </w:r>
            <w:r>
              <w:t>Cl</w:t>
            </w:r>
          </w:p>
        </w:tc>
        <w:tc>
          <w:tcPr>
            <w:tcW w:w="4820" w:type="dxa"/>
          </w:tcPr>
          <w:p w14:paraId="62558BD5" w14:textId="57548383" w:rsidR="00D035EB" w:rsidRPr="00341083" w:rsidRDefault="00341083" w:rsidP="005772CD">
            <w:pPr>
              <w:pStyle w:val="Tabletext"/>
              <w:rPr>
                <w:vertAlign w:val="superscript"/>
              </w:rPr>
            </w:pPr>
            <w:r w:rsidRPr="00341083">
              <w:t>2 × 10</w:t>
            </w:r>
            <w:r>
              <w:rPr>
                <w:vertAlign w:val="superscript"/>
              </w:rPr>
              <w:t>6</w:t>
            </w:r>
          </w:p>
        </w:tc>
        <w:tc>
          <w:tcPr>
            <w:tcW w:w="2835" w:type="dxa"/>
          </w:tcPr>
          <w:p w14:paraId="06E2451F" w14:textId="3D13EDB8" w:rsidR="00D035EB" w:rsidRPr="005772CD" w:rsidRDefault="005772CD" w:rsidP="00D035EB">
            <w:pPr>
              <w:pStyle w:val="Tablebullet2"/>
              <w:numPr>
                <w:ilvl w:val="0"/>
                <w:numId w:val="0"/>
              </w:numPr>
              <w:rPr>
                <w:vertAlign w:val="superscript"/>
              </w:rPr>
            </w:pPr>
            <w:r>
              <w:t>2 x 10</w:t>
            </w:r>
            <w:r>
              <w:rPr>
                <w:vertAlign w:val="superscript"/>
              </w:rPr>
              <w:t>1</w:t>
            </w:r>
          </w:p>
        </w:tc>
      </w:tr>
      <w:tr w:rsidR="00D035EB" w14:paraId="3D782D9D" w14:textId="77777777" w:rsidTr="00885A0E">
        <w:tc>
          <w:tcPr>
            <w:tcW w:w="2263" w:type="dxa"/>
          </w:tcPr>
          <w:p w14:paraId="4E581AE4" w14:textId="6A90309D" w:rsidR="00D035EB" w:rsidRPr="00D035EB" w:rsidRDefault="00D035EB" w:rsidP="005772CD">
            <w:pPr>
              <w:pStyle w:val="Tabletext"/>
            </w:pPr>
            <w:r>
              <w:rPr>
                <w:vertAlign w:val="superscript"/>
              </w:rPr>
              <w:t>45</w:t>
            </w:r>
            <w:r>
              <w:t>Ca</w:t>
            </w:r>
          </w:p>
        </w:tc>
        <w:tc>
          <w:tcPr>
            <w:tcW w:w="4820" w:type="dxa"/>
          </w:tcPr>
          <w:p w14:paraId="250C861B" w14:textId="7F992573" w:rsidR="00D035EB" w:rsidRPr="00341083" w:rsidRDefault="00341083" w:rsidP="005772CD">
            <w:pPr>
              <w:pStyle w:val="Tabletext"/>
              <w:rPr>
                <w:vertAlign w:val="superscript"/>
              </w:rPr>
            </w:pPr>
            <w:r w:rsidRPr="00341083">
              <w:t>2 × 10</w:t>
            </w:r>
            <w:r>
              <w:rPr>
                <w:vertAlign w:val="superscript"/>
              </w:rPr>
              <w:t>6</w:t>
            </w:r>
          </w:p>
        </w:tc>
        <w:tc>
          <w:tcPr>
            <w:tcW w:w="2835" w:type="dxa"/>
          </w:tcPr>
          <w:p w14:paraId="6C817526" w14:textId="73322223" w:rsidR="00D035EB" w:rsidRPr="005772CD" w:rsidRDefault="005772CD" w:rsidP="00D035EB">
            <w:pPr>
              <w:pStyle w:val="Tablebullet2"/>
              <w:numPr>
                <w:ilvl w:val="0"/>
                <w:numId w:val="0"/>
              </w:numPr>
              <w:rPr>
                <w:vertAlign w:val="superscript"/>
              </w:rPr>
            </w:pPr>
            <w:r>
              <w:t>3 x 10</w:t>
            </w:r>
            <w:r>
              <w:rPr>
                <w:vertAlign w:val="superscript"/>
              </w:rPr>
              <w:t>1</w:t>
            </w:r>
          </w:p>
        </w:tc>
      </w:tr>
      <w:tr w:rsidR="00D035EB" w14:paraId="343E868F" w14:textId="77777777" w:rsidTr="00885A0E">
        <w:tc>
          <w:tcPr>
            <w:tcW w:w="2263" w:type="dxa"/>
          </w:tcPr>
          <w:p w14:paraId="24217585" w14:textId="7A2E04AC" w:rsidR="00D035EB" w:rsidRPr="00D035EB" w:rsidRDefault="00D035EB" w:rsidP="005772CD">
            <w:pPr>
              <w:pStyle w:val="Tabletext"/>
            </w:pPr>
            <w:r>
              <w:rPr>
                <w:vertAlign w:val="superscript"/>
              </w:rPr>
              <w:t>51</w:t>
            </w:r>
            <w:r>
              <w:t>Cr</w:t>
            </w:r>
          </w:p>
        </w:tc>
        <w:tc>
          <w:tcPr>
            <w:tcW w:w="4820" w:type="dxa"/>
          </w:tcPr>
          <w:p w14:paraId="32A62604" w14:textId="0B391A0E" w:rsidR="00D035EB" w:rsidRPr="0088154E" w:rsidRDefault="00341083" w:rsidP="005772CD">
            <w:pPr>
              <w:pStyle w:val="Tabletext"/>
              <w:rPr>
                <w:vertAlign w:val="superscript"/>
              </w:rPr>
            </w:pPr>
            <w:r w:rsidRPr="00341083">
              <w:t>4 × 10</w:t>
            </w:r>
            <w:r w:rsidR="0088154E">
              <w:rPr>
                <w:vertAlign w:val="superscript"/>
              </w:rPr>
              <w:t>7</w:t>
            </w:r>
          </w:p>
        </w:tc>
        <w:tc>
          <w:tcPr>
            <w:tcW w:w="2835" w:type="dxa"/>
          </w:tcPr>
          <w:p w14:paraId="2B0D31DC" w14:textId="7664C49B" w:rsidR="00D035EB" w:rsidRPr="005772CD" w:rsidRDefault="005772CD" w:rsidP="00D035EB">
            <w:pPr>
              <w:pStyle w:val="Tablebullet2"/>
              <w:numPr>
                <w:ilvl w:val="0"/>
                <w:numId w:val="0"/>
              </w:numPr>
              <w:rPr>
                <w:vertAlign w:val="superscript"/>
              </w:rPr>
            </w:pPr>
            <w:r>
              <w:t>3 x 10</w:t>
            </w:r>
            <w:r>
              <w:rPr>
                <w:vertAlign w:val="superscript"/>
              </w:rPr>
              <w:t>3</w:t>
            </w:r>
          </w:p>
        </w:tc>
      </w:tr>
      <w:tr w:rsidR="00D035EB" w14:paraId="1E44A4B7" w14:textId="77777777" w:rsidTr="00885A0E">
        <w:tc>
          <w:tcPr>
            <w:tcW w:w="2263" w:type="dxa"/>
          </w:tcPr>
          <w:p w14:paraId="5DBCFA48" w14:textId="428D502B" w:rsidR="00D035EB" w:rsidRPr="0088154E" w:rsidRDefault="00D035EB" w:rsidP="005772CD">
            <w:pPr>
              <w:pStyle w:val="Tabletext"/>
            </w:pPr>
            <w:r>
              <w:rPr>
                <w:vertAlign w:val="superscript"/>
              </w:rPr>
              <w:t>59</w:t>
            </w:r>
            <w:r w:rsidR="0088154E">
              <w:t>Fe</w:t>
            </w:r>
          </w:p>
        </w:tc>
        <w:tc>
          <w:tcPr>
            <w:tcW w:w="4820" w:type="dxa"/>
          </w:tcPr>
          <w:p w14:paraId="35DA904C" w14:textId="1EE7AAB6" w:rsidR="00D035EB" w:rsidRPr="0088154E" w:rsidRDefault="00341083" w:rsidP="005772CD">
            <w:pPr>
              <w:pStyle w:val="Tabletext"/>
              <w:rPr>
                <w:vertAlign w:val="superscript"/>
              </w:rPr>
            </w:pPr>
            <w:r w:rsidRPr="00341083">
              <w:t>8 × 10</w:t>
            </w:r>
            <w:r w:rsidR="0088154E">
              <w:rPr>
                <w:vertAlign w:val="superscript"/>
              </w:rPr>
              <w:t>5</w:t>
            </w:r>
          </w:p>
        </w:tc>
        <w:tc>
          <w:tcPr>
            <w:tcW w:w="2835" w:type="dxa"/>
          </w:tcPr>
          <w:p w14:paraId="1CDE7BEB" w14:textId="6B02A894" w:rsidR="00D035EB" w:rsidRPr="005772CD" w:rsidRDefault="005772CD" w:rsidP="00D035EB">
            <w:pPr>
              <w:pStyle w:val="Tablebullet2"/>
              <w:numPr>
                <w:ilvl w:val="0"/>
                <w:numId w:val="0"/>
              </w:numPr>
              <w:rPr>
                <w:vertAlign w:val="superscript"/>
              </w:rPr>
            </w:pPr>
            <w:r>
              <w:t>3 x 10</w:t>
            </w:r>
            <w:r>
              <w:rPr>
                <w:vertAlign w:val="superscript"/>
              </w:rPr>
              <w:t>1</w:t>
            </w:r>
          </w:p>
        </w:tc>
      </w:tr>
      <w:tr w:rsidR="0088154E" w14:paraId="19A9BC34" w14:textId="77777777" w:rsidTr="00885A0E">
        <w:tc>
          <w:tcPr>
            <w:tcW w:w="2263" w:type="dxa"/>
          </w:tcPr>
          <w:p w14:paraId="240C5208" w14:textId="3EC19F16" w:rsidR="0088154E" w:rsidRPr="0088154E" w:rsidRDefault="0088154E" w:rsidP="005772CD">
            <w:pPr>
              <w:pStyle w:val="Tabletext"/>
            </w:pPr>
            <w:r>
              <w:rPr>
                <w:vertAlign w:val="superscript"/>
              </w:rPr>
              <w:t>57</w:t>
            </w:r>
            <w:r>
              <w:t>Co</w:t>
            </w:r>
          </w:p>
        </w:tc>
        <w:tc>
          <w:tcPr>
            <w:tcW w:w="4820" w:type="dxa"/>
          </w:tcPr>
          <w:p w14:paraId="07B3C092" w14:textId="70BAFF0C" w:rsidR="0088154E" w:rsidRPr="0088154E" w:rsidRDefault="0088154E" w:rsidP="005772CD">
            <w:pPr>
              <w:pStyle w:val="Tabletext"/>
              <w:rPr>
                <w:vertAlign w:val="superscript"/>
              </w:rPr>
            </w:pPr>
            <w:r w:rsidRPr="0088154E">
              <w:t>7 × 10</w:t>
            </w:r>
            <w:r>
              <w:rPr>
                <w:vertAlign w:val="superscript"/>
              </w:rPr>
              <w:t>6</w:t>
            </w:r>
          </w:p>
        </w:tc>
        <w:tc>
          <w:tcPr>
            <w:tcW w:w="2835" w:type="dxa"/>
          </w:tcPr>
          <w:p w14:paraId="15EF5558" w14:textId="7E670F38" w:rsidR="0088154E" w:rsidRPr="005772CD" w:rsidRDefault="005772CD" w:rsidP="00D035EB">
            <w:pPr>
              <w:pStyle w:val="Tablebullet2"/>
              <w:numPr>
                <w:ilvl w:val="0"/>
                <w:numId w:val="0"/>
              </w:numPr>
              <w:rPr>
                <w:vertAlign w:val="superscript"/>
              </w:rPr>
            </w:pPr>
            <w:r>
              <w:t>1 x 10</w:t>
            </w:r>
            <w:r>
              <w:rPr>
                <w:vertAlign w:val="superscript"/>
              </w:rPr>
              <w:t>2</w:t>
            </w:r>
          </w:p>
        </w:tc>
      </w:tr>
      <w:tr w:rsidR="00D035EB" w14:paraId="30F6345D" w14:textId="77777777" w:rsidTr="00885A0E">
        <w:tc>
          <w:tcPr>
            <w:tcW w:w="2263" w:type="dxa"/>
          </w:tcPr>
          <w:p w14:paraId="4A6FB8C0" w14:textId="4898B25B" w:rsidR="00D035EB" w:rsidRPr="00D035EB" w:rsidRDefault="00D035EB" w:rsidP="005772CD">
            <w:pPr>
              <w:pStyle w:val="Tabletext"/>
            </w:pPr>
            <w:r>
              <w:rPr>
                <w:vertAlign w:val="superscript"/>
              </w:rPr>
              <w:t>60</w:t>
            </w:r>
            <w:r>
              <w:t>Co</w:t>
            </w:r>
          </w:p>
        </w:tc>
        <w:tc>
          <w:tcPr>
            <w:tcW w:w="4820" w:type="dxa"/>
          </w:tcPr>
          <w:p w14:paraId="3B0F8766" w14:textId="70A934DD" w:rsidR="00D035EB" w:rsidRPr="0088154E" w:rsidRDefault="00341083" w:rsidP="005772CD">
            <w:pPr>
              <w:pStyle w:val="Tabletext"/>
              <w:rPr>
                <w:vertAlign w:val="superscript"/>
              </w:rPr>
            </w:pPr>
            <w:r w:rsidRPr="00341083">
              <w:t>7 × 10</w:t>
            </w:r>
            <w:r w:rsidR="0088154E">
              <w:rPr>
                <w:vertAlign w:val="superscript"/>
              </w:rPr>
              <w:t>5</w:t>
            </w:r>
          </w:p>
        </w:tc>
        <w:tc>
          <w:tcPr>
            <w:tcW w:w="2835" w:type="dxa"/>
          </w:tcPr>
          <w:p w14:paraId="5DCA323D" w14:textId="2588FE80" w:rsidR="00D035EB" w:rsidRPr="005772CD" w:rsidRDefault="005772CD" w:rsidP="00D035EB">
            <w:pPr>
              <w:pStyle w:val="Tablebullet2"/>
              <w:numPr>
                <w:ilvl w:val="0"/>
                <w:numId w:val="0"/>
              </w:numPr>
              <w:rPr>
                <w:vertAlign w:val="superscript"/>
              </w:rPr>
            </w:pPr>
            <w:r>
              <w:t>3 x 10</w:t>
            </w:r>
            <w:r>
              <w:rPr>
                <w:vertAlign w:val="superscript"/>
              </w:rPr>
              <w:t>0</w:t>
            </w:r>
          </w:p>
        </w:tc>
      </w:tr>
      <w:tr w:rsidR="00D035EB" w14:paraId="69138665" w14:textId="77777777" w:rsidTr="00885A0E">
        <w:tc>
          <w:tcPr>
            <w:tcW w:w="2263" w:type="dxa"/>
          </w:tcPr>
          <w:p w14:paraId="7043A455" w14:textId="4A7B2791" w:rsidR="00D035EB" w:rsidRPr="00D035EB" w:rsidRDefault="00D035EB" w:rsidP="005772CD">
            <w:pPr>
              <w:pStyle w:val="Tabletext"/>
            </w:pPr>
            <w:r>
              <w:rPr>
                <w:vertAlign w:val="superscript"/>
              </w:rPr>
              <w:t>63</w:t>
            </w:r>
            <w:r>
              <w:t>Ni</w:t>
            </w:r>
          </w:p>
        </w:tc>
        <w:tc>
          <w:tcPr>
            <w:tcW w:w="4820" w:type="dxa"/>
          </w:tcPr>
          <w:p w14:paraId="6E0434D5" w14:textId="455045F5" w:rsidR="00D035EB" w:rsidRPr="0088154E" w:rsidRDefault="0088154E" w:rsidP="005772CD">
            <w:pPr>
              <w:pStyle w:val="Tabletext"/>
              <w:rPr>
                <w:vertAlign w:val="superscript"/>
              </w:rPr>
            </w:pPr>
            <w:r w:rsidRPr="0088154E">
              <w:t>9 × 10</w:t>
            </w:r>
            <w:r>
              <w:rPr>
                <w:vertAlign w:val="superscript"/>
              </w:rPr>
              <w:t>6</w:t>
            </w:r>
          </w:p>
        </w:tc>
        <w:tc>
          <w:tcPr>
            <w:tcW w:w="2835" w:type="dxa"/>
          </w:tcPr>
          <w:p w14:paraId="326BB535" w14:textId="597FA819" w:rsidR="00D035EB" w:rsidRPr="0088154E" w:rsidRDefault="0088154E" w:rsidP="00D035EB">
            <w:pPr>
              <w:pStyle w:val="Tablebullet2"/>
              <w:numPr>
                <w:ilvl w:val="0"/>
                <w:numId w:val="0"/>
              </w:numPr>
              <w:rPr>
                <w:vertAlign w:val="superscript"/>
              </w:rPr>
            </w:pPr>
            <w:r w:rsidRPr="0088154E">
              <w:t>9 × 10</w:t>
            </w:r>
            <w:r>
              <w:rPr>
                <w:vertAlign w:val="superscript"/>
              </w:rPr>
              <w:t>1</w:t>
            </w:r>
          </w:p>
        </w:tc>
      </w:tr>
      <w:tr w:rsidR="00D035EB" w14:paraId="1DE76640" w14:textId="77777777" w:rsidTr="00885A0E">
        <w:tc>
          <w:tcPr>
            <w:tcW w:w="2263" w:type="dxa"/>
          </w:tcPr>
          <w:p w14:paraId="2D17D039" w14:textId="39DB6108" w:rsidR="00D035EB" w:rsidRPr="00D035EB" w:rsidRDefault="00D035EB" w:rsidP="005772CD">
            <w:pPr>
              <w:pStyle w:val="Tabletext"/>
            </w:pPr>
            <w:r>
              <w:rPr>
                <w:vertAlign w:val="superscript"/>
              </w:rPr>
              <w:t>65</w:t>
            </w:r>
            <w:r>
              <w:t>Zn</w:t>
            </w:r>
          </w:p>
        </w:tc>
        <w:tc>
          <w:tcPr>
            <w:tcW w:w="4820" w:type="dxa"/>
          </w:tcPr>
          <w:p w14:paraId="059BD408" w14:textId="46DBA36F" w:rsidR="00D035EB" w:rsidRPr="0088154E" w:rsidRDefault="0088154E" w:rsidP="005772CD">
            <w:pPr>
              <w:pStyle w:val="Tabletext"/>
              <w:rPr>
                <w:vertAlign w:val="superscript"/>
              </w:rPr>
            </w:pPr>
            <w:r>
              <w:t>4 x 10</w:t>
            </w:r>
            <w:r>
              <w:rPr>
                <w:vertAlign w:val="superscript"/>
              </w:rPr>
              <w:t>5</w:t>
            </w:r>
          </w:p>
        </w:tc>
        <w:tc>
          <w:tcPr>
            <w:tcW w:w="2835" w:type="dxa"/>
          </w:tcPr>
          <w:p w14:paraId="4621E8A9" w14:textId="3EA74527" w:rsidR="00D035EB" w:rsidRPr="0088154E" w:rsidRDefault="0088154E" w:rsidP="00D035EB">
            <w:pPr>
              <w:pStyle w:val="Tablebullet2"/>
              <w:numPr>
                <w:ilvl w:val="0"/>
                <w:numId w:val="0"/>
              </w:numPr>
              <w:rPr>
                <w:vertAlign w:val="superscript"/>
              </w:rPr>
            </w:pPr>
            <w:r>
              <w:t>6 x 10</w:t>
            </w:r>
            <w:r>
              <w:rPr>
                <w:vertAlign w:val="superscript"/>
              </w:rPr>
              <w:t>1</w:t>
            </w:r>
          </w:p>
        </w:tc>
      </w:tr>
      <w:tr w:rsidR="00D035EB" w14:paraId="624DE6E2" w14:textId="77777777" w:rsidTr="00885A0E">
        <w:tc>
          <w:tcPr>
            <w:tcW w:w="2263" w:type="dxa"/>
          </w:tcPr>
          <w:p w14:paraId="514A6A55" w14:textId="403629F9" w:rsidR="00D035EB" w:rsidRPr="00D035EB" w:rsidRDefault="00D035EB" w:rsidP="005772CD">
            <w:pPr>
              <w:pStyle w:val="Tabletext"/>
            </w:pPr>
            <w:r>
              <w:rPr>
                <w:vertAlign w:val="superscript"/>
              </w:rPr>
              <w:t>67</w:t>
            </w:r>
            <w:r>
              <w:t>Ga</w:t>
            </w:r>
          </w:p>
        </w:tc>
        <w:tc>
          <w:tcPr>
            <w:tcW w:w="4820" w:type="dxa"/>
          </w:tcPr>
          <w:p w14:paraId="2EDE2ADA" w14:textId="5E371BAD" w:rsidR="00D035EB" w:rsidRPr="0088154E" w:rsidRDefault="0088154E" w:rsidP="005772CD">
            <w:pPr>
              <w:pStyle w:val="Tabletext"/>
              <w:rPr>
                <w:vertAlign w:val="superscript"/>
              </w:rPr>
            </w:pPr>
            <w:r>
              <w:t>7 x 10</w:t>
            </w:r>
            <w:r>
              <w:rPr>
                <w:vertAlign w:val="superscript"/>
              </w:rPr>
              <w:t>6</w:t>
            </w:r>
          </w:p>
        </w:tc>
        <w:tc>
          <w:tcPr>
            <w:tcW w:w="2835" w:type="dxa"/>
          </w:tcPr>
          <w:p w14:paraId="1C1EBD39" w14:textId="0B57DEA0" w:rsidR="00D035EB" w:rsidRPr="0088154E" w:rsidRDefault="0088154E" w:rsidP="00D035EB">
            <w:pPr>
              <w:pStyle w:val="Tablebullet2"/>
              <w:numPr>
                <w:ilvl w:val="0"/>
                <w:numId w:val="0"/>
              </w:numPr>
              <w:rPr>
                <w:vertAlign w:val="superscript"/>
              </w:rPr>
            </w:pPr>
            <w:r>
              <w:t>5 x 10</w:t>
            </w:r>
            <w:r>
              <w:rPr>
                <w:vertAlign w:val="superscript"/>
              </w:rPr>
              <w:t>2</w:t>
            </w:r>
          </w:p>
        </w:tc>
      </w:tr>
      <w:tr w:rsidR="00D035EB" w14:paraId="549E9EFF" w14:textId="77777777" w:rsidTr="00885A0E">
        <w:tc>
          <w:tcPr>
            <w:tcW w:w="2263" w:type="dxa"/>
          </w:tcPr>
          <w:p w14:paraId="4E79217B" w14:textId="1509F803" w:rsidR="00D035EB" w:rsidRPr="00D035EB" w:rsidRDefault="00D035EB" w:rsidP="005772CD">
            <w:pPr>
              <w:pStyle w:val="Tabletext"/>
            </w:pPr>
            <w:r>
              <w:rPr>
                <w:vertAlign w:val="superscript"/>
              </w:rPr>
              <w:t>85</w:t>
            </w:r>
            <w:r>
              <w:t>Kr</w:t>
            </w:r>
          </w:p>
        </w:tc>
        <w:tc>
          <w:tcPr>
            <w:tcW w:w="4820" w:type="dxa"/>
          </w:tcPr>
          <w:p w14:paraId="180654A9" w14:textId="4F690E56" w:rsidR="00D035EB" w:rsidRDefault="0088154E" w:rsidP="005772CD">
            <w:pPr>
              <w:pStyle w:val="Tabletext"/>
            </w:pPr>
            <w:r>
              <w:t>N/A</w:t>
            </w:r>
          </w:p>
        </w:tc>
        <w:tc>
          <w:tcPr>
            <w:tcW w:w="2835" w:type="dxa"/>
          </w:tcPr>
          <w:p w14:paraId="45EA9D3A" w14:textId="50E8B08B" w:rsidR="00D035EB" w:rsidRPr="0088154E" w:rsidRDefault="0088154E" w:rsidP="00D035EB">
            <w:pPr>
              <w:pStyle w:val="Tablebullet2"/>
              <w:numPr>
                <w:ilvl w:val="0"/>
                <w:numId w:val="0"/>
              </w:numPr>
              <w:rPr>
                <w:vertAlign w:val="superscript"/>
              </w:rPr>
            </w:pPr>
            <w:r>
              <w:t>1 x 10</w:t>
            </w:r>
            <w:r>
              <w:rPr>
                <w:vertAlign w:val="superscript"/>
              </w:rPr>
              <w:t>5</w:t>
            </w:r>
          </w:p>
        </w:tc>
      </w:tr>
      <w:tr w:rsidR="00D035EB" w14:paraId="21EA5189" w14:textId="77777777" w:rsidTr="00885A0E">
        <w:tc>
          <w:tcPr>
            <w:tcW w:w="2263" w:type="dxa"/>
          </w:tcPr>
          <w:p w14:paraId="6446902D" w14:textId="4DFC02E7" w:rsidR="00D035EB" w:rsidRPr="00D035EB" w:rsidRDefault="00D035EB" w:rsidP="005772CD">
            <w:pPr>
              <w:pStyle w:val="Tabletext"/>
            </w:pPr>
            <w:r>
              <w:rPr>
                <w:vertAlign w:val="superscript"/>
              </w:rPr>
              <w:t>89</w:t>
            </w:r>
            <w:r>
              <w:t>Sr</w:t>
            </w:r>
          </w:p>
        </w:tc>
        <w:tc>
          <w:tcPr>
            <w:tcW w:w="4820" w:type="dxa"/>
          </w:tcPr>
          <w:p w14:paraId="0215EBA3" w14:textId="1758F494" w:rsidR="00D035EB" w:rsidRPr="0088154E" w:rsidRDefault="0088154E" w:rsidP="005772CD">
            <w:pPr>
              <w:pStyle w:val="Tabletext"/>
              <w:rPr>
                <w:vertAlign w:val="superscript"/>
              </w:rPr>
            </w:pPr>
            <w:r>
              <w:t>5 x 10</w:t>
            </w:r>
            <w:r>
              <w:rPr>
                <w:vertAlign w:val="superscript"/>
              </w:rPr>
              <w:t>5</w:t>
            </w:r>
          </w:p>
        </w:tc>
        <w:tc>
          <w:tcPr>
            <w:tcW w:w="2835" w:type="dxa"/>
          </w:tcPr>
          <w:p w14:paraId="1DFD852A" w14:textId="354DDD37" w:rsidR="00D035EB" w:rsidRPr="0088154E" w:rsidRDefault="0088154E" w:rsidP="00D035EB">
            <w:pPr>
              <w:pStyle w:val="Tablebullet2"/>
              <w:numPr>
                <w:ilvl w:val="0"/>
                <w:numId w:val="0"/>
              </w:numPr>
              <w:rPr>
                <w:vertAlign w:val="superscript"/>
              </w:rPr>
            </w:pPr>
            <w:r>
              <w:t>1 x 10</w:t>
            </w:r>
            <w:r>
              <w:rPr>
                <w:vertAlign w:val="superscript"/>
              </w:rPr>
              <w:t>2</w:t>
            </w:r>
          </w:p>
        </w:tc>
      </w:tr>
      <w:tr w:rsidR="00D035EB" w14:paraId="1FCC6A5D" w14:textId="77777777" w:rsidTr="00885A0E">
        <w:tc>
          <w:tcPr>
            <w:tcW w:w="2263" w:type="dxa"/>
          </w:tcPr>
          <w:p w14:paraId="3546C4DE" w14:textId="370F4EEA" w:rsidR="00D035EB" w:rsidRPr="00D035EB" w:rsidRDefault="00D035EB" w:rsidP="005772CD">
            <w:pPr>
              <w:pStyle w:val="Tabletext"/>
            </w:pPr>
            <w:r>
              <w:rPr>
                <w:vertAlign w:val="superscript"/>
              </w:rPr>
              <w:t>90</w:t>
            </w:r>
            <w:r>
              <w:t>Sr</w:t>
            </w:r>
          </w:p>
        </w:tc>
        <w:tc>
          <w:tcPr>
            <w:tcW w:w="4820" w:type="dxa"/>
          </w:tcPr>
          <w:p w14:paraId="76FB5927" w14:textId="4D518109" w:rsidR="00D035EB" w:rsidRPr="0088154E" w:rsidRDefault="0088154E" w:rsidP="005772CD">
            <w:pPr>
              <w:pStyle w:val="Tabletext"/>
              <w:rPr>
                <w:vertAlign w:val="superscript"/>
              </w:rPr>
            </w:pPr>
            <w:r>
              <w:t>5 x 10</w:t>
            </w:r>
            <w:r>
              <w:rPr>
                <w:vertAlign w:val="superscript"/>
              </w:rPr>
              <w:t>4</w:t>
            </w:r>
          </w:p>
        </w:tc>
        <w:tc>
          <w:tcPr>
            <w:tcW w:w="2835" w:type="dxa"/>
          </w:tcPr>
          <w:p w14:paraId="23982B93" w14:textId="2E56CDB2" w:rsidR="00D035EB" w:rsidRPr="0088154E" w:rsidRDefault="0088154E" w:rsidP="00D035EB">
            <w:pPr>
              <w:pStyle w:val="Tablebullet2"/>
              <w:numPr>
                <w:ilvl w:val="0"/>
                <w:numId w:val="0"/>
              </w:numPr>
              <w:rPr>
                <w:vertAlign w:val="superscript"/>
              </w:rPr>
            </w:pPr>
            <w:r>
              <w:t>5 x 10</w:t>
            </w:r>
            <w:r>
              <w:rPr>
                <w:vertAlign w:val="superscript"/>
              </w:rPr>
              <w:t>0</w:t>
            </w:r>
          </w:p>
        </w:tc>
      </w:tr>
      <w:tr w:rsidR="00D035EB" w14:paraId="452C5935" w14:textId="77777777" w:rsidTr="00885A0E">
        <w:tc>
          <w:tcPr>
            <w:tcW w:w="2263" w:type="dxa"/>
          </w:tcPr>
          <w:p w14:paraId="001941F6" w14:textId="6DD382E3" w:rsidR="00D035EB" w:rsidRPr="00D035EB" w:rsidRDefault="00D035EB" w:rsidP="005772CD">
            <w:pPr>
              <w:pStyle w:val="Tabletext"/>
            </w:pPr>
            <w:r>
              <w:rPr>
                <w:vertAlign w:val="superscript"/>
              </w:rPr>
              <w:t>90</w:t>
            </w:r>
            <w:r>
              <w:t>Y</w:t>
            </w:r>
          </w:p>
        </w:tc>
        <w:tc>
          <w:tcPr>
            <w:tcW w:w="4820" w:type="dxa"/>
          </w:tcPr>
          <w:p w14:paraId="64043B7A" w14:textId="3CD7D7F7" w:rsidR="00D035EB" w:rsidRPr="0088154E" w:rsidRDefault="0088154E" w:rsidP="005772CD">
            <w:pPr>
              <w:pStyle w:val="Tabletext"/>
              <w:rPr>
                <w:vertAlign w:val="superscript"/>
              </w:rPr>
            </w:pPr>
            <w:r>
              <w:t>5 x 10</w:t>
            </w:r>
            <w:r>
              <w:rPr>
                <w:vertAlign w:val="superscript"/>
              </w:rPr>
              <w:t>5</w:t>
            </w:r>
          </w:p>
        </w:tc>
        <w:tc>
          <w:tcPr>
            <w:tcW w:w="2835" w:type="dxa"/>
          </w:tcPr>
          <w:p w14:paraId="116AB19C" w14:textId="68AE8853" w:rsidR="00D035EB" w:rsidRPr="0088154E" w:rsidRDefault="0088154E" w:rsidP="00D035EB">
            <w:pPr>
              <w:pStyle w:val="Tablebullet2"/>
              <w:numPr>
                <w:ilvl w:val="0"/>
                <w:numId w:val="0"/>
              </w:numPr>
              <w:rPr>
                <w:vertAlign w:val="superscript"/>
              </w:rPr>
            </w:pPr>
            <w:r>
              <w:t>8 x 10</w:t>
            </w:r>
            <w:r>
              <w:rPr>
                <w:vertAlign w:val="superscript"/>
              </w:rPr>
              <w:t>1</w:t>
            </w:r>
          </w:p>
        </w:tc>
      </w:tr>
      <w:tr w:rsidR="00D035EB" w14:paraId="7DCCBBC1" w14:textId="77777777" w:rsidTr="00885A0E">
        <w:tc>
          <w:tcPr>
            <w:tcW w:w="2263" w:type="dxa"/>
          </w:tcPr>
          <w:p w14:paraId="51670E2F" w14:textId="08114D70" w:rsidR="00D035EB" w:rsidRPr="00D035EB" w:rsidRDefault="00D035EB" w:rsidP="005772CD">
            <w:pPr>
              <w:pStyle w:val="Tabletext"/>
            </w:pPr>
            <w:r>
              <w:rPr>
                <w:vertAlign w:val="superscript"/>
              </w:rPr>
              <w:t>99</w:t>
            </w:r>
            <w:r>
              <w:t>Mo</w:t>
            </w:r>
          </w:p>
        </w:tc>
        <w:tc>
          <w:tcPr>
            <w:tcW w:w="4820" w:type="dxa"/>
          </w:tcPr>
          <w:p w14:paraId="7998094C" w14:textId="3B0A6805" w:rsidR="00D035EB" w:rsidRPr="0088154E" w:rsidRDefault="0088154E" w:rsidP="005772CD">
            <w:pPr>
              <w:pStyle w:val="Tabletext"/>
              <w:rPr>
                <w:vertAlign w:val="superscript"/>
              </w:rPr>
            </w:pPr>
            <w:r>
              <w:t>2 x 10</w:t>
            </w:r>
            <w:r>
              <w:rPr>
                <w:vertAlign w:val="superscript"/>
              </w:rPr>
              <w:t>6</w:t>
            </w:r>
          </w:p>
        </w:tc>
        <w:tc>
          <w:tcPr>
            <w:tcW w:w="2835" w:type="dxa"/>
          </w:tcPr>
          <w:p w14:paraId="58A99BD9" w14:textId="13C37299" w:rsidR="00D035EB" w:rsidRPr="0088154E" w:rsidRDefault="0088154E" w:rsidP="00D035EB">
            <w:pPr>
              <w:pStyle w:val="Tablebullet2"/>
              <w:numPr>
                <w:ilvl w:val="0"/>
                <w:numId w:val="0"/>
              </w:numPr>
              <w:rPr>
                <w:vertAlign w:val="superscript"/>
              </w:rPr>
            </w:pPr>
            <w:r>
              <w:t>1 x 10</w:t>
            </w:r>
            <w:r>
              <w:rPr>
                <w:vertAlign w:val="superscript"/>
              </w:rPr>
              <w:t>2</w:t>
            </w:r>
          </w:p>
        </w:tc>
      </w:tr>
      <w:tr w:rsidR="00D035EB" w14:paraId="4ECDCFA6" w14:textId="77777777" w:rsidTr="00885A0E">
        <w:tc>
          <w:tcPr>
            <w:tcW w:w="2263" w:type="dxa"/>
          </w:tcPr>
          <w:p w14:paraId="7A0AD48A" w14:textId="1F84115E" w:rsidR="00D035EB" w:rsidRPr="00D035EB" w:rsidRDefault="00D035EB" w:rsidP="005772CD">
            <w:pPr>
              <w:pStyle w:val="Tabletext"/>
            </w:pPr>
            <w:r>
              <w:rPr>
                <w:vertAlign w:val="superscript"/>
              </w:rPr>
              <w:t>99</w:t>
            </w:r>
            <w:r>
              <w:t>Tc</w:t>
            </w:r>
          </w:p>
        </w:tc>
        <w:tc>
          <w:tcPr>
            <w:tcW w:w="4820" w:type="dxa"/>
          </w:tcPr>
          <w:p w14:paraId="0C88BDBA" w14:textId="536CE383" w:rsidR="00D035EB" w:rsidRPr="005772CD" w:rsidRDefault="00973F13" w:rsidP="005772CD">
            <w:pPr>
              <w:pStyle w:val="Tabletext"/>
              <w:rPr>
                <w:vertAlign w:val="superscript"/>
              </w:rPr>
            </w:pPr>
            <w:r>
              <w:t>2 x 10</w:t>
            </w:r>
            <w:r w:rsidR="005772CD">
              <w:rPr>
                <w:vertAlign w:val="superscript"/>
              </w:rPr>
              <w:t>6</w:t>
            </w:r>
          </w:p>
        </w:tc>
        <w:tc>
          <w:tcPr>
            <w:tcW w:w="2835" w:type="dxa"/>
          </w:tcPr>
          <w:p w14:paraId="74E34B54" w14:textId="0A078EB7" w:rsidR="00D035EB" w:rsidRPr="005772CD" w:rsidRDefault="00973F13" w:rsidP="00D035EB">
            <w:pPr>
              <w:pStyle w:val="Tablebullet2"/>
              <w:numPr>
                <w:ilvl w:val="0"/>
                <w:numId w:val="0"/>
              </w:numPr>
              <w:rPr>
                <w:vertAlign w:val="superscript"/>
              </w:rPr>
            </w:pPr>
            <w:r>
              <w:t>3 x 10</w:t>
            </w:r>
            <w:r w:rsidR="005772CD">
              <w:rPr>
                <w:vertAlign w:val="superscript"/>
              </w:rPr>
              <w:t>1</w:t>
            </w:r>
          </w:p>
        </w:tc>
      </w:tr>
      <w:tr w:rsidR="00D035EB" w14:paraId="6F6E26E3" w14:textId="77777777" w:rsidTr="00885A0E">
        <w:tc>
          <w:tcPr>
            <w:tcW w:w="2263" w:type="dxa"/>
          </w:tcPr>
          <w:p w14:paraId="0C04A5A5" w14:textId="0FEB4318" w:rsidR="00D035EB" w:rsidRPr="00D035EB" w:rsidRDefault="00D035EB" w:rsidP="005772CD">
            <w:pPr>
              <w:pStyle w:val="Tabletext"/>
            </w:pPr>
            <w:r>
              <w:rPr>
                <w:vertAlign w:val="superscript"/>
              </w:rPr>
              <w:t>99m</w:t>
            </w:r>
            <w:r>
              <w:t>Tc</w:t>
            </w:r>
          </w:p>
        </w:tc>
        <w:tc>
          <w:tcPr>
            <w:tcW w:w="4820" w:type="dxa"/>
          </w:tcPr>
          <w:p w14:paraId="29536337" w14:textId="50B385BD" w:rsidR="00D035EB" w:rsidRPr="005772CD" w:rsidRDefault="00973F13" w:rsidP="005772CD">
            <w:pPr>
              <w:pStyle w:val="Tabletext"/>
              <w:rPr>
                <w:vertAlign w:val="superscript"/>
              </w:rPr>
            </w:pPr>
            <w:r>
              <w:t>6 x 10</w:t>
            </w:r>
            <w:r w:rsidR="005772CD">
              <w:rPr>
                <w:vertAlign w:val="superscript"/>
              </w:rPr>
              <w:t>7</w:t>
            </w:r>
          </w:p>
        </w:tc>
        <w:tc>
          <w:tcPr>
            <w:tcW w:w="2835" w:type="dxa"/>
          </w:tcPr>
          <w:p w14:paraId="7F11F843" w14:textId="38793563" w:rsidR="00D035EB" w:rsidRPr="005772CD" w:rsidRDefault="00973F13" w:rsidP="00D035EB">
            <w:pPr>
              <w:pStyle w:val="Tablebullet2"/>
              <w:numPr>
                <w:ilvl w:val="0"/>
                <w:numId w:val="0"/>
              </w:numPr>
              <w:rPr>
                <w:vertAlign w:val="superscript"/>
              </w:rPr>
            </w:pPr>
            <w:r>
              <w:t>6 x 10</w:t>
            </w:r>
            <w:r w:rsidR="005772CD">
              <w:rPr>
                <w:vertAlign w:val="superscript"/>
              </w:rPr>
              <w:t>3</w:t>
            </w:r>
          </w:p>
        </w:tc>
      </w:tr>
      <w:tr w:rsidR="00D035EB" w14:paraId="6714021D" w14:textId="77777777" w:rsidTr="00885A0E">
        <w:tc>
          <w:tcPr>
            <w:tcW w:w="2263" w:type="dxa"/>
          </w:tcPr>
          <w:p w14:paraId="36DFDC76" w14:textId="48C7E805" w:rsidR="00D035EB" w:rsidRPr="00D035EB" w:rsidRDefault="00D035EB" w:rsidP="005772CD">
            <w:pPr>
              <w:pStyle w:val="Tabletext"/>
            </w:pPr>
            <w:r>
              <w:rPr>
                <w:vertAlign w:val="superscript"/>
              </w:rPr>
              <w:t>125</w:t>
            </w:r>
            <w:r>
              <w:t>I</w:t>
            </w:r>
          </w:p>
        </w:tc>
        <w:tc>
          <w:tcPr>
            <w:tcW w:w="4820" w:type="dxa"/>
          </w:tcPr>
          <w:p w14:paraId="45195935" w14:textId="6BED9E1F" w:rsidR="00D035EB" w:rsidRPr="005772CD" w:rsidRDefault="00973F13" w:rsidP="005772CD">
            <w:pPr>
              <w:pStyle w:val="Tabletext"/>
              <w:rPr>
                <w:vertAlign w:val="superscript"/>
              </w:rPr>
            </w:pPr>
            <w:r>
              <w:t>9 x 10</w:t>
            </w:r>
            <w:r w:rsidR="005772CD">
              <w:rPr>
                <w:vertAlign w:val="superscript"/>
              </w:rPr>
              <w:t>4</w:t>
            </w:r>
          </w:p>
        </w:tc>
        <w:tc>
          <w:tcPr>
            <w:tcW w:w="2835" w:type="dxa"/>
          </w:tcPr>
          <w:p w14:paraId="788024E3" w14:textId="19DE2131" w:rsidR="00D035EB" w:rsidRPr="005772CD" w:rsidRDefault="00973F13" w:rsidP="00D035EB">
            <w:pPr>
              <w:pStyle w:val="Tablebullet2"/>
              <w:numPr>
                <w:ilvl w:val="0"/>
                <w:numId w:val="0"/>
              </w:numPr>
              <w:rPr>
                <w:vertAlign w:val="superscript"/>
              </w:rPr>
            </w:pPr>
            <w:r>
              <w:t>8 x 10</w:t>
            </w:r>
            <w:r w:rsidR="005772CD">
              <w:rPr>
                <w:vertAlign w:val="superscript"/>
              </w:rPr>
              <w:t>1</w:t>
            </w:r>
          </w:p>
        </w:tc>
      </w:tr>
      <w:tr w:rsidR="00D035EB" w14:paraId="7B29C598" w14:textId="77777777" w:rsidTr="00885A0E">
        <w:tc>
          <w:tcPr>
            <w:tcW w:w="2263" w:type="dxa"/>
          </w:tcPr>
          <w:p w14:paraId="0F843944" w14:textId="4C175F68" w:rsidR="00D035EB" w:rsidRPr="00341083" w:rsidRDefault="00341083" w:rsidP="005772CD">
            <w:pPr>
              <w:pStyle w:val="Tabletext"/>
            </w:pPr>
            <w:r>
              <w:rPr>
                <w:vertAlign w:val="superscript"/>
              </w:rPr>
              <w:t>131</w:t>
            </w:r>
            <w:r>
              <w:t>I</w:t>
            </w:r>
          </w:p>
        </w:tc>
        <w:tc>
          <w:tcPr>
            <w:tcW w:w="4820" w:type="dxa"/>
          </w:tcPr>
          <w:p w14:paraId="5E95AE02" w14:textId="5B895224" w:rsidR="00D035EB" w:rsidRPr="005772CD" w:rsidRDefault="00973F13" w:rsidP="005772CD">
            <w:pPr>
              <w:pStyle w:val="Tabletext"/>
              <w:rPr>
                <w:vertAlign w:val="superscript"/>
              </w:rPr>
            </w:pPr>
            <w:r>
              <w:t>6 x 10</w:t>
            </w:r>
            <w:r w:rsidR="005772CD">
              <w:rPr>
                <w:vertAlign w:val="superscript"/>
              </w:rPr>
              <w:t>4</w:t>
            </w:r>
          </w:p>
        </w:tc>
        <w:tc>
          <w:tcPr>
            <w:tcW w:w="2835" w:type="dxa"/>
          </w:tcPr>
          <w:p w14:paraId="2F41676E" w14:textId="1465B0CA" w:rsidR="00D035EB" w:rsidRPr="005772CD" w:rsidRDefault="00973F13" w:rsidP="00D035EB">
            <w:pPr>
              <w:pStyle w:val="Tablebullet2"/>
              <w:numPr>
                <w:ilvl w:val="0"/>
                <w:numId w:val="0"/>
              </w:numPr>
              <w:rPr>
                <w:vertAlign w:val="superscript"/>
              </w:rPr>
            </w:pPr>
            <w:r>
              <w:t>5 x 10</w:t>
            </w:r>
            <w:r w:rsidR="005772CD">
              <w:rPr>
                <w:vertAlign w:val="superscript"/>
              </w:rPr>
              <w:t>1</w:t>
            </w:r>
          </w:p>
        </w:tc>
      </w:tr>
      <w:tr w:rsidR="00D035EB" w14:paraId="14794946" w14:textId="77777777" w:rsidTr="00885A0E">
        <w:tc>
          <w:tcPr>
            <w:tcW w:w="2263" w:type="dxa"/>
          </w:tcPr>
          <w:p w14:paraId="324BD8D8" w14:textId="4E12F9CB" w:rsidR="00D035EB" w:rsidRPr="00341083" w:rsidRDefault="00341083" w:rsidP="005772CD">
            <w:pPr>
              <w:pStyle w:val="Tabletext"/>
            </w:pPr>
            <w:r>
              <w:rPr>
                <w:vertAlign w:val="superscript"/>
              </w:rPr>
              <w:lastRenderedPageBreak/>
              <w:t>137</w:t>
            </w:r>
            <w:r>
              <w:t>Cs</w:t>
            </w:r>
          </w:p>
        </w:tc>
        <w:tc>
          <w:tcPr>
            <w:tcW w:w="4820" w:type="dxa"/>
          </w:tcPr>
          <w:p w14:paraId="22CAA884" w14:textId="4013A099" w:rsidR="00D035EB" w:rsidRPr="005772CD" w:rsidRDefault="00973F13" w:rsidP="005772CD">
            <w:pPr>
              <w:pStyle w:val="Tabletext"/>
              <w:rPr>
                <w:vertAlign w:val="superscript"/>
              </w:rPr>
            </w:pPr>
            <w:r>
              <w:t>1 x 10</w:t>
            </w:r>
            <w:r w:rsidR="005772CD">
              <w:rPr>
                <w:vertAlign w:val="superscript"/>
              </w:rPr>
              <w:t>5</w:t>
            </w:r>
          </w:p>
        </w:tc>
        <w:tc>
          <w:tcPr>
            <w:tcW w:w="2835" w:type="dxa"/>
          </w:tcPr>
          <w:p w14:paraId="53AFA5D2" w14:textId="70045060" w:rsidR="00D035EB" w:rsidRPr="005772CD" w:rsidRDefault="00973F13" w:rsidP="00D035EB">
            <w:pPr>
              <w:pStyle w:val="Tablebullet2"/>
              <w:numPr>
                <w:ilvl w:val="0"/>
                <w:numId w:val="0"/>
              </w:numPr>
              <w:rPr>
                <w:vertAlign w:val="superscript"/>
              </w:rPr>
            </w:pPr>
            <w:r>
              <w:t>3 x 10</w:t>
            </w:r>
            <w:r w:rsidR="005772CD">
              <w:rPr>
                <w:vertAlign w:val="superscript"/>
              </w:rPr>
              <w:t>1</w:t>
            </w:r>
          </w:p>
        </w:tc>
      </w:tr>
      <w:tr w:rsidR="00D035EB" w14:paraId="4D7B600C" w14:textId="77777777" w:rsidTr="00885A0E">
        <w:tc>
          <w:tcPr>
            <w:tcW w:w="2263" w:type="dxa"/>
          </w:tcPr>
          <w:p w14:paraId="0BFCD00F" w14:textId="4AE8DD7E" w:rsidR="00D035EB" w:rsidRPr="00341083" w:rsidRDefault="00341083" w:rsidP="005772CD">
            <w:pPr>
              <w:pStyle w:val="Tabletext"/>
            </w:pPr>
            <w:r>
              <w:rPr>
                <w:vertAlign w:val="superscript"/>
              </w:rPr>
              <w:t>147</w:t>
            </w:r>
            <w:r>
              <w:t>Pm</w:t>
            </w:r>
          </w:p>
        </w:tc>
        <w:tc>
          <w:tcPr>
            <w:tcW w:w="4820" w:type="dxa"/>
          </w:tcPr>
          <w:p w14:paraId="7CC689D1" w14:textId="5305C79A" w:rsidR="00D035EB" w:rsidRPr="005772CD" w:rsidRDefault="00973F13" w:rsidP="005772CD">
            <w:pPr>
              <w:pStyle w:val="Tabletext"/>
              <w:rPr>
                <w:vertAlign w:val="superscript"/>
              </w:rPr>
            </w:pPr>
            <w:r>
              <w:t>5 x 10</w:t>
            </w:r>
            <w:r w:rsidR="005772CD">
              <w:rPr>
                <w:vertAlign w:val="superscript"/>
              </w:rPr>
              <w:t>6</w:t>
            </w:r>
          </w:p>
        </w:tc>
        <w:tc>
          <w:tcPr>
            <w:tcW w:w="2835" w:type="dxa"/>
          </w:tcPr>
          <w:p w14:paraId="67A203DF" w14:textId="3CE51A22" w:rsidR="00D035EB" w:rsidRPr="005772CD" w:rsidRDefault="00973F13" w:rsidP="00D035EB">
            <w:pPr>
              <w:pStyle w:val="Tablebullet2"/>
              <w:numPr>
                <w:ilvl w:val="0"/>
                <w:numId w:val="0"/>
              </w:numPr>
              <w:rPr>
                <w:vertAlign w:val="superscript"/>
              </w:rPr>
            </w:pPr>
            <w:r>
              <w:t>2 x 10</w:t>
            </w:r>
            <w:r w:rsidR="005772CD">
              <w:rPr>
                <w:vertAlign w:val="superscript"/>
              </w:rPr>
              <w:t>1</w:t>
            </w:r>
          </w:p>
        </w:tc>
      </w:tr>
      <w:tr w:rsidR="00D035EB" w14:paraId="4F6E1E56" w14:textId="77777777" w:rsidTr="00885A0E">
        <w:tc>
          <w:tcPr>
            <w:tcW w:w="2263" w:type="dxa"/>
          </w:tcPr>
          <w:p w14:paraId="112084A1" w14:textId="353E3A48" w:rsidR="00D035EB" w:rsidRPr="00341083" w:rsidRDefault="00341083" w:rsidP="005772CD">
            <w:pPr>
              <w:pStyle w:val="Tabletext"/>
            </w:pPr>
            <w:r>
              <w:rPr>
                <w:vertAlign w:val="superscript"/>
              </w:rPr>
              <w:t>153</w:t>
            </w:r>
            <w:r>
              <w:t>Sm</w:t>
            </w:r>
          </w:p>
        </w:tc>
        <w:tc>
          <w:tcPr>
            <w:tcW w:w="4820" w:type="dxa"/>
          </w:tcPr>
          <w:p w14:paraId="278CC6EB" w14:textId="766A2885" w:rsidR="00D035EB" w:rsidRPr="005772CD" w:rsidRDefault="00973F13" w:rsidP="005772CD">
            <w:pPr>
              <w:pStyle w:val="Tabletext"/>
              <w:rPr>
                <w:vertAlign w:val="superscript"/>
              </w:rPr>
            </w:pPr>
            <w:r>
              <w:t>2 x 10</w:t>
            </w:r>
            <w:r w:rsidR="005772CD">
              <w:rPr>
                <w:vertAlign w:val="superscript"/>
              </w:rPr>
              <w:t>6</w:t>
            </w:r>
          </w:p>
        </w:tc>
        <w:tc>
          <w:tcPr>
            <w:tcW w:w="2835" w:type="dxa"/>
          </w:tcPr>
          <w:p w14:paraId="5EB7E236" w14:textId="07EB397C" w:rsidR="00D035EB" w:rsidRPr="005772CD" w:rsidRDefault="00973F13" w:rsidP="00D035EB">
            <w:pPr>
              <w:pStyle w:val="Tablebullet2"/>
              <w:numPr>
                <w:ilvl w:val="0"/>
                <w:numId w:val="0"/>
              </w:numPr>
              <w:rPr>
                <w:vertAlign w:val="superscript"/>
              </w:rPr>
            </w:pPr>
            <w:r>
              <w:t>2 x 10</w:t>
            </w:r>
            <w:r w:rsidR="005772CD">
              <w:rPr>
                <w:vertAlign w:val="superscript"/>
              </w:rPr>
              <w:t>2</w:t>
            </w:r>
          </w:p>
        </w:tc>
      </w:tr>
      <w:tr w:rsidR="00D035EB" w14:paraId="673BBD34" w14:textId="77777777" w:rsidTr="00885A0E">
        <w:tc>
          <w:tcPr>
            <w:tcW w:w="2263" w:type="dxa"/>
          </w:tcPr>
          <w:p w14:paraId="4E8EB896" w14:textId="45C0E830" w:rsidR="00D035EB" w:rsidRPr="00341083" w:rsidRDefault="00341083" w:rsidP="005772CD">
            <w:pPr>
              <w:pStyle w:val="Tabletext"/>
            </w:pPr>
            <w:r>
              <w:rPr>
                <w:vertAlign w:val="superscript"/>
              </w:rPr>
              <w:t>192</w:t>
            </w:r>
            <w:r>
              <w:t>Ir</w:t>
            </w:r>
          </w:p>
        </w:tc>
        <w:tc>
          <w:tcPr>
            <w:tcW w:w="4820" w:type="dxa"/>
          </w:tcPr>
          <w:p w14:paraId="544C292F" w14:textId="019F731B" w:rsidR="00D035EB" w:rsidRPr="005772CD" w:rsidRDefault="00973F13" w:rsidP="005772CD">
            <w:pPr>
              <w:pStyle w:val="Tabletext"/>
              <w:rPr>
                <w:vertAlign w:val="superscript"/>
              </w:rPr>
            </w:pPr>
            <w:r>
              <w:t>1 x 10</w:t>
            </w:r>
            <w:r w:rsidR="005772CD">
              <w:rPr>
                <w:vertAlign w:val="superscript"/>
              </w:rPr>
              <w:t>6</w:t>
            </w:r>
          </w:p>
        </w:tc>
        <w:tc>
          <w:tcPr>
            <w:tcW w:w="2835" w:type="dxa"/>
          </w:tcPr>
          <w:p w14:paraId="08D4CFFC" w14:textId="3837C957" w:rsidR="00D035EB" w:rsidRPr="005772CD" w:rsidRDefault="00973F13" w:rsidP="00D035EB">
            <w:pPr>
              <w:pStyle w:val="Tablebullet2"/>
              <w:numPr>
                <w:ilvl w:val="0"/>
                <w:numId w:val="0"/>
              </w:numPr>
              <w:rPr>
                <w:vertAlign w:val="superscript"/>
              </w:rPr>
            </w:pPr>
            <w:r>
              <w:t>2 x 10</w:t>
            </w:r>
            <w:r w:rsidR="005772CD">
              <w:rPr>
                <w:vertAlign w:val="superscript"/>
              </w:rPr>
              <w:t>1</w:t>
            </w:r>
          </w:p>
        </w:tc>
      </w:tr>
      <w:tr w:rsidR="00D035EB" w14:paraId="5E0CC5EE" w14:textId="77777777" w:rsidTr="00885A0E">
        <w:tc>
          <w:tcPr>
            <w:tcW w:w="2263" w:type="dxa"/>
          </w:tcPr>
          <w:p w14:paraId="79D658BE" w14:textId="557E36A5" w:rsidR="00D035EB" w:rsidRPr="00341083" w:rsidRDefault="00341083" w:rsidP="005772CD">
            <w:pPr>
              <w:pStyle w:val="Tabletext"/>
            </w:pPr>
            <w:r>
              <w:rPr>
                <w:vertAlign w:val="superscript"/>
              </w:rPr>
              <w:t>197</w:t>
            </w:r>
            <w:r>
              <w:t>Hg</w:t>
            </w:r>
          </w:p>
        </w:tc>
        <w:tc>
          <w:tcPr>
            <w:tcW w:w="4820" w:type="dxa"/>
          </w:tcPr>
          <w:p w14:paraId="2F175D99" w14:textId="131349FD" w:rsidR="00D035EB" w:rsidRPr="005772CD" w:rsidRDefault="00973F13" w:rsidP="005772CD">
            <w:pPr>
              <w:pStyle w:val="Tabletext"/>
              <w:rPr>
                <w:vertAlign w:val="superscript"/>
              </w:rPr>
            </w:pPr>
            <w:r>
              <w:t>6 x 10</w:t>
            </w:r>
            <w:r w:rsidR="005772CD">
              <w:rPr>
                <w:vertAlign w:val="superscript"/>
              </w:rPr>
              <w:t>6</w:t>
            </w:r>
          </w:p>
        </w:tc>
        <w:tc>
          <w:tcPr>
            <w:tcW w:w="2835" w:type="dxa"/>
          </w:tcPr>
          <w:p w14:paraId="2E6E71B4" w14:textId="2FBEABA7" w:rsidR="00D035EB" w:rsidRPr="005772CD" w:rsidRDefault="00973F13" w:rsidP="00D035EB">
            <w:pPr>
              <w:pStyle w:val="Tablebullet2"/>
              <w:numPr>
                <w:ilvl w:val="0"/>
                <w:numId w:val="0"/>
              </w:numPr>
              <w:rPr>
                <w:vertAlign w:val="superscript"/>
              </w:rPr>
            </w:pPr>
            <w:r>
              <w:t>4 x 10</w:t>
            </w:r>
            <w:r w:rsidR="005772CD">
              <w:rPr>
                <w:vertAlign w:val="superscript"/>
              </w:rPr>
              <w:t>1</w:t>
            </w:r>
          </w:p>
        </w:tc>
      </w:tr>
      <w:tr w:rsidR="00D035EB" w14:paraId="2D67D16D" w14:textId="77777777" w:rsidTr="00885A0E">
        <w:tc>
          <w:tcPr>
            <w:tcW w:w="2263" w:type="dxa"/>
          </w:tcPr>
          <w:p w14:paraId="2B121680" w14:textId="58756C75" w:rsidR="00D035EB" w:rsidRPr="00341083" w:rsidRDefault="00341083" w:rsidP="005772CD">
            <w:pPr>
              <w:pStyle w:val="Tabletext"/>
            </w:pPr>
            <w:r>
              <w:rPr>
                <w:vertAlign w:val="superscript"/>
              </w:rPr>
              <w:t>203</w:t>
            </w:r>
            <w:r>
              <w:t>Hg</w:t>
            </w:r>
          </w:p>
        </w:tc>
        <w:tc>
          <w:tcPr>
            <w:tcW w:w="4820" w:type="dxa"/>
          </w:tcPr>
          <w:p w14:paraId="6FF5FA93" w14:textId="6B838200" w:rsidR="00D035EB" w:rsidRPr="005772CD" w:rsidRDefault="00973F13" w:rsidP="005772CD">
            <w:pPr>
              <w:pStyle w:val="Tabletext"/>
              <w:rPr>
                <w:vertAlign w:val="superscript"/>
              </w:rPr>
            </w:pPr>
            <w:r>
              <w:t>7 x 10</w:t>
            </w:r>
            <w:r w:rsidR="005772CD">
              <w:rPr>
                <w:vertAlign w:val="superscript"/>
              </w:rPr>
              <w:t>5</w:t>
            </w:r>
          </w:p>
        </w:tc>
        <w:tc>
          <w:tcPr>
            <w:tcW w:w="2835" w:type="dxa"/>
          </w:tcPr>
          <w:p w14:paraId="4A9ABD95" w14:textId="5C30ECD3" w:rsidR="00D035EB" w:rsidRPr="005772CD" w:rsidRDefault="00973F13" w:rsidP="00D035EB">
            <w:pPr>
              <w:pStyle w:val="Tablebullet2"/>
              <w:numPr>
                <w:ilvl w:val="0"/>
                <w:numId w:val="0"/>
              </w:numPr>
              <w:rPr>
                <w:vertAlign w:val="superscript"/>
              </w:rPr>
            </w:pPr>
            <w:r>
              <w:t>5 x 10</w:t>
            </w:r>
            <w:r w:rsidR="005772CD">
              <w:rPr>
                <w:vertAlign w:val="superscript"/>
              </w:rPr>
              <w:t>1</w:t>
            </w:r>
          </w:p>
        </w:tc>
      </w:tr>
      <w:tr w:rsidR="00D035EB" w14:paraId="2A1A6CDC" w14:textId="77777777" w:rsidTr="00885A0E">
        <w:tc>
          <w:tcPr>
            <w:tcW w:w="2263" w:type="dxa"/>
          </w:tcPr>
          <w:p w14:paraId="02DA0357" w14:textId="57DF9EE4" w:rsidR="00D035EB" w:rsidRPr="00341083" w:rsidRDefault="00341083" w:rsidP="005772CD">
            <w:pPr>
              <w:pStyle w:val="Tabletext"/>
            </w:pPr>
            <w:r>
              <w:rPr>
                <w:vertAlign w:val="superscript"/>
              </w:rPr>
              <w:t>201</w:t>
            </w:r>
            <w:r>
              <w:t>Ti</w:t>
            </w:r>
          </w:p>
        </w:tc>
        <w:tc>
          <w:tcPr>
            <w:tcW w:w="4820" w:type="dxa"/>
          </w:tcPr>
          <w:p w14:paraId="00BED1B0" w14:textId="2C90CB59" w:rsidR="00D035EB" w:rsidRPr="005772CD" w:rsidRDefault="00973F13" w:rsidP="005772CD">
            <w:pPr>
              <w:pStyle w:val="Tabletext"/>
              <w:rPr>
                <w:vertAlign w:val="superscript"/>
              </w:rPr>
            </w:pPr>
            <w:r>
              <w:t>1 x 10</w:t>
            </w:r>
            <w:r w:rsidR="005772CD">
              <w:rPr>
                <w:vertAlign w:val="superscript"/>
              </w:rPr>
              <w:t>7</w:t>
            </w:r>
          </w:p>
        </w:tc>
        <w:tc>
          <w:tcPr>
            <w:tcW w:w="2835" w:type="dxa"/>
          </w:tcPr>
          <w:p w14:paraId="337EFF71" w14:textId="2B938735" w:rsidR="00D035EB" w:rsidRPr="005772CD" w:rsidRDefault="00973F13" w:rsidP="00D035EB">
            <w:pPr>
              <w:pStyle w:val="Tablebullet2"/>
              <w:numPr>
                <w:ilvl w:val="0"/>
                <w:numId w:val="0"/>
              </w:numPr>
              <w:rPr>
                <w:vertAlign w:val="superscript"/>
              </w:rPr>
            </w:pPr>
            <w:r>
              <w:t>3 x 10</w:t>
            </w:r>
            <w:r w:rsidR="005772CD">
              <w:rPr>
                <w:vertAlign w:val="superscript"/>
              </w:rPr>
              <w:t>3</w:t>
            </w:r>
          </w:p>
        </w:tc>
      </w:tr>
      <w:tr w:rsidR="00D035EB" w14:paraId="22B10BF3" w14:textId="77777777" w:rsidTr="00885A0E">
        <w:tc>
          <w:tcPr>
            <w:tcW w:w="2263" w:type="dxa"/>
          </w:tcPr>
          <w:p w14:paraId="52CF004F" w14:textId="0EDAC52B" w:rsidR="00D035EB" w:rsidRPr="00341083" w:rsidRDefault="00341083" w:rsidP="005772CD">
            <w:pPr>
              <w:pStyle w:val="Tabletext"/>
            </w:pPr>
            <w:r>
              <w:rPr>
                <w:vertAlign w:val="superscript"/>
              </w:rPr>
              <w:t>204</w:t>
            </w:r>
            <w:r>
              <w:t>Ti</w:t>
            </w:r>
          </w:p>
        </w:tc>
        <w:tc>
          <w:tcPr>
            <w:tcW w:w="4820" w:type="dxa"/>
          </w:tcPr>
          <w:p w14:paraId="6A4BCAB9" w14:textId="5E6634BF" w:rsidR="00D035EB" w:rsidRPr="005772CD" w:rsidRDefault="00973F13" w:rsidP="005772CD">
            <w:pPr>
              <w:pStyle w:val="Tabletext"/>
              <w:rPr>
                <w:vertAlign w:val="superscript"/>
              </w:rPr>
            </w:pPr>
            <w:r>
              <w:t>1 x 10</w:t>
            </w:r>
            <w:r w:rsidR="005772CD">
              <w:rPr>
                <w:vertAlign w:val="superscript"/>
              </w:rPr>
              <w:t>6</w:t>
            </w:r>
          </w:p>
        </w:tc>
        <w:tc>
          <w:tcPr>
            <w:tcW w:w="2835" w:type="dxa"/>
          </w:tcPr>
          <w:p w14:paraId="78AD12A4" w14:textId="048AB486" w:rsidR="00D035EB" w:rsidRPr="005772CD" w:rsidRDefault="00973F13" w:rsidP="00D035EB">
            <w:pPr>
              <w:pStyle w:val="Tablebullet2"/>
              <w:numPr>
                <w:ilvl w:val="0"/>
                <w:numId w:val="0"/>
              </w:numPr>
              <w:rPr>
                <w:vertAlign w:val="superscript"/>
              </w:rPr>
            </w:pPr>
            <w:r>
              <w:t>3 x 10</w:t>
            </w:r>
            <w:r w:rsidR="005772CD">
              <w:rPr>
                <w:vertAlign w:val="superscript"/>
              </w:rPr>
              <w:t>2</w:t>
            </w:r>
          </w:p>
        </w:tc>
      </w:tr>
      <w:tr w:rsidR="00D035EB" w14:paraId="6CAD2D6F" w14:textId="77777777" w:rsidTr="00885A0E">
        <w:tc>
          <w:tcPr>
            <w:tcW w:w="2263" w:type="dxa"/>
          </w:tcPr>
          <w:p w14:paraId="7D24322E" w14:textId="7FC241B5" w:rsidR="00D035EB" w:rsidRPr="00341083" w:rsidRDefault="00341083" w:rsidP="005772CD">
            <w:pPr>
              <w:pStyle w:val="Tabletext"/>
            </w:pPr>
            <w:r>
              <w:rPr>
                <w:vertAlign w:val="superscript"/>
              </w:rPr>
              <w:t>241</w:t>
            </w:r>
            <w:r>
              <w:t>Am</w:t>
            </w:r>
          </w:p>
        </w:tc>
        <w:tc>
          <w:tcPr>
            <w:tcW w:w="4820" w:type="dxa"/>
          </w:tcPr>
          <w:p w14:paraId="70A604CC" w14:textId="18262451" w:rsidR="00D035EB" w:rsidRPr="005772CD" w:rsidRDefault="00973F13" w:rsidP="005772CD">
            <w:pPr>
              <w:pStyle w:val="Tabletext"/>
              <w:rPr>
                <w:vertAlign w:val="superscript"/>
              </w:rPr>
            </w:pPr>
            <w:r>
              <w:t>7 x 10</w:t>
            </w:r>
            <w:r w:rsidR="005772CD">
              <w:rPr>
                <w:vertAlign w:val="superscript"/>
              </w:rPr>
              <w:t>3</w:t>
            </w:r>
          </w:p>
        </w:tc>
        <w:tc>
          <w:tcPr>
            <w:tcW w:w="2835" w:type="dxa"/>
          </w:tcPr>
          <w:p w14:paraId="2C12EA24" w14:textId="524DA193" w:rsidR="00D035EB" w:rsidRPr="005772CD" w:rsidRDefault="00973F13" w:rsidP="00D035EB">
            <w:pPr>
              <w:pStyle w:val="Tablebullet2"/>
              <w:numPr>
                <w:ilvl w:val="0"/>
                <w:numId w:val="0"/>
              </w:numPr>
              <w:rPr>
                <w:vertAlign w:val="superscript"/>
              </w:rPr>
            </w:pPr>
            <w:r>
              <w:t>3 x 10</w:t>
            </w:r>
            <w:r w:rsidR="005772CD">
              <w:rPr>
                <w:vertAlign w:val="superscript"/>
              </w:rPr>
              <w:t>-3</w:t>
            </w:r>
          </w:p>
        </w:tc>
      </w:tr>
      <w:tr w:rsidR="00D035EB" w14:paraId="04CE9799" w14:textId="77777777" w:rsidTr="00885A0E">
        <w:tc>
          <w:tcPr>
            <w:tcW w:w="2263" w:type="dxa"/>
          </w:tcPr>
          <w:p w14:paraId="619F4843" w14:textId="72C9FBD8" w:rsidR="00D035EB" w:rsidRPr="00341083" w:rsidRDefault="00341083" w:rsidP="005772CD">
            <w:pPr>
              <w:pStyle w:val="Tabletext"/>
            </w:pPr>
            <w:r>
              <w:rPr>
                <w:vertAlign w:val="superscript"/>
              </w:rPr>
              <w:t>252</w:t>
            </w:r>
            <w:r>
              <w:t>Cf</w:t>
            </w:r>
          </w:p>
        </w:tc>
        <w:tc>
          <w:tcPr>
            <w:tcW w:w="4820" w:type="dxa"/>
          </w:tcPr>
          <w:p w14:paraId="36A41C37" w14:textId="20486248" w:rsidR="00D035EB" w:rsidRPr="005772CD" w:rsidRDefault="00973F13" w:rsidP="005772CD">
            <w:pPr>
              <w:pStyle w:val="Tabletext"/>
              <w:rPr>
                <w:vertAlign w:val="superscript"/>
              </w:rPr>
            </w:pPr>
            <w:r>
              <w:t>2 x 10</w:t>
            </w:r>
            <w:r w:rsidR="005772CD">
              <w:rPr>
                <w:vertAlign w:val="superscript"/>
              </w:rPr>
              <w:t>4</w:t>
            </w:r>
          </w:p>
        </w:tc>
        <w:tc>
          <w:tcPr>
            <w:tcW w:w="2835" w:type="dxa"/>
          </w:tcPr>
          <w:p w14:paraId="50DB36B5" w14:textId="3F306E40" w:rsidR="00D035EB" w:rsidRPr="005772CD" w:rsidRDefault="00973F13" w:rsidP="00D035EB">
            <w:pPr>
              <w:pStyle w:val="Tablebullet2"/>
              <w:numPr>
                <w:ilvl w:val="0"/>
                <w:numId w:val="0"/>
              </w:numPr>
              <w:rPr>
                <w:vertAlign w:val="superscript"/>
              </w:rPr>
            </w:pPr>
            <w:r>
              <w:t>6 x 10</w:t>
            </w:r>
            <w:r w:rsidR="005772CD">
              <w:rPr>
                <w:vertAlign w:val="superscript"/>
              </w:rPr>
              <w:t>-3</w:t>
            </w:r>
          </w:p>
        </w:tc>
      </w:tr>
      <w:tr w:rsidR="00CA1140" w14:paraId="4B324C76" w14:textId="77777777" w:rsidTr="00885A0E">
        <w:trPr>
          <w:trHeight w:val="756"/>
        </w:trPr>
        <w:tc>
          <w:tcPr>
            <w:tcW w:w="2263" w:type="dxa"/>
          </w:tcPr>
          <w:p w14:paraId="4A7F1C53" w14:textId="674FAD79" w:rsidR="00CA1140" w:rsidRPr="002365B4" w:rsidRDefault="00341083" w:rsidP="005772CD">
            <w:pPr>
              <w:pStyle w:val="Tabletext6pt"/>
            </w:pPr>
            <w:r w:rsidRPr="00341083">
              <w:t>Alpha-emitting radionuclides not listed in this Table</w:t>
            </w:r>
          </w:p>
        </w:tc>
        <w:tc>
          <w:tcPr>
            <w:tcW w:w="4820" w:type="dxa"/>
          </w:tcPr>
          <w:p w14:paraId="6EB9D70B" w14:textId="36175C17" w:rsidR="00CA1140" w:rsidRPr="005772CD" w:rsidRDefault="00973F13" w:rsidP="005772CD">
            <w:pPr>
              <w:pStyle w:val="Tabletext6pt"/>
              <w:rPr>
                <w:vertAlign w:val="superscript"/>
              </w:rPr>
            </w:pPr>
            <w:r>
              <w:t xml:space="preserve">1 </w:t>
            </w:r>
            <w:r w:rsidR="005772CD">
              <w:t>x 10</w:t>
            </w:r>
            <w:r w:rsidR="005772CD">
              <w:rPr>
                <w:vertAlign w:val="superscript"/>
              </w:rPr>
              <w:t>4</w:t>
            </w:r>
          </w:p>
        </w:tc>
        <w:tc>
          <w:tcPr>
            <w:tcW w:w="2835" w:type="dxa"/>
          </w:tcPr>
          <w:p w14:paraId="294ACC4B" w14:textId="3394F9E4" w:rsidR="00CA1140" w:rsidRPr="005772CD" w:rsidRDefault="005772CD" w:rsidP="00D035EB">
            <w:pPr>
              <w:pStyle w:val="Tablebullet2"/>
              <w:numPr>
                <w:ilvl w:val="0"/>
                <w:numId w:val="0"/>
              </w:numPr>
              <w:rPr>
                <w:vertAlign w:val="superscript"/>
              </w:rPr>
            </w:pPr>
            <w:r>
              <w:t>1 x 10</w:t>
            </w:r>
            <w:r>
              <w:rPr>
                <w:vertAlign w:val="superscript"/>
              </w:rPr>
              <w:t>-2</w:t>
            </w:r>
          </w:p>
        </w:tc>
      </w:tr>
      <w:tr w:rsidR="00341083" w14:paraId="0EF86140" w14:textId="77777777" w:rsidTr="00885A0E">
        <w:trPr>
          <w:trHeight w:val="756"/>
        </w:trPr>
        <w:tc>
          <w:tcPr>
            <w:tcW w:w="2263" w:type="dxa"/>
          </w:tcPr>
          <w:p w14:paraId="676DB008" w14:textId="7A2A04AB" w:rsidR="00341083" w:rsidRPr="00341083" w:rsidRDefault="00341083" w:rsidP="005772CD">
            <w:pPr>
              <w:pStyle w:val="Tabletext6pt"/>
            </w:pPr>
            <w:r w:rsidRPr="00341083">
              <w:t>Radionuclides that are not alpha-emitting and not listed in this Table</w:t>
            </w:r>
          </w:p>
        </w:tc>
        <w:tc>
          <w:tcPr>
            <w:tcW w:w="4820" w:type="dxa"/>
          </w:tcPr>
          <w:p w14:paraId="7606FFE4" w14:textId="39E1584F" w:rsidR="00341083" w:rsidRPr="005772CD" w:rsidRDefault="005772CD" w:rsidP="005772CD">
            <w:pPr>
              <w:pStyle w:val="Tabletext6pt"/>
              <w:rPr>
                <w:vertAlign w:val="superscript"/>
              </w:rPr>
            </w:pPr>
            <w:r>
              <w:t>1 x 10</w:t>
            </w:r>
            <w:r>
              <w:rPr>
                <w:vertAlign w:val="superscript"/>
              </w:rPr>
              <w:t>5</w:t>
            </w:r>
          </w:p>
        </w:tc>
        <w:tc>
          <w:tcPr>
            <w:tcW w:w="2835" w:type="dxa"/>
          </w:tcPr>
          <w:p w14:paraId="0593B7A1" w14:textId="14E60A65" w:rsidR="00341083" w:rsidRPr="005772CD" w:rsidRDefault="005772CD" w:rsidP="00D035EB">
            <w:pPr>
              <w:pStyle w:val="Tablebullet2"/>
              <w:numPr>
                <w:ilvl w:val="0"/>
                <w:numId w:val="0"/>
              </w:numPr>
              <w:rPr>
                <w:vertAlign w:val="superscript"/>
              </w:rPr>
            </w:pPr>
            <w:r>
              <w:t>1 x 10</w:t>
            </w:r>
            <w:r>
              <w:rPr>
                <w:vertAlign w:val="superscript"/>
              </w:rPr>
              <w:t>1</w:t>
            </w:r>
          </w:p>
        </w:tc>
      </w:tr>
      <w:tr w:rsidR="00341083" w14:paraId="7DCD16B8" w14:textId="77777777" w:rsidTr="00885A0E">
        <w:trPr>
          <w:trHeight w:val="756"/>
        </w:trPr>
        <w:tc>
          <w:tcPr>
            <w:tcW w:w="2263" w:type="dxa"/>
          </w:tcPr>
          <w:p w14:paraId="7BE09683" w14:textId="7BD1649E" w:rsidR="00341083" w:rsidRPr="00341083" w:rsidRDefault="00341083" w:rsidP="005772CD">
            <w:pPr>
              <w:pStyle w:val="Tabletext6pt"/>
            </w:pPr>
            <w:r w:rsidRPr="00341083">
              <w:t>Radionuclides of natural origin</w:t>
            </w:r>
          </w:p>
        </w:tc>
        <w:tc>
          <w:tcPr>
            <w:tcW w:w="4820" w:type="dxa"/>
          </w:tcPr>
          <w:p w14:paraId="71FB18AC" w14:textId="4ABD123D" w:rsidR="00341083" w:rsidRPr="002365B4" w:rsidRDefault="005772CD" w:rsidP="005772CD">
            <w:pPr>
              <w:pStyle w:val="Tabletext6pt"/>
            </w:pPr>
            <w:r>
              <w:t>1 x 10</w:t>
            </w:r>
            <w:r>
              <w:rPr>
                <w:vertAlign w:val="superscript"/>
              </w:rPr>
              <w:t>3</w:t>
            </w:r>
            <w:r>
              <w:t xml:space="preserve"> </w:t>
            </w:r>
          </w:p>
        </w:tc>
        <w:tc>
          <w:tcPr>
            <w:tcW w:w="2835" w:type="dxa"/>
          </w:tcPr>
          <w:p w14:paraId="48EE6CB4" w14:textId="6082F23A" w:rsidR="00341083" w:rsidRPr="00924D74" w:rsidRDefault="005772CD" w:rsidP="00D035EB">
            <w:pPr>
              <w:pStyle w:val="Tablebullet2"/>
              <w:numPr>
                <w:ilvl w:val="0"/>
                <w:numId w:val="0"/>
              </w:numPr>
            </w:pPr>
            <w:r>
              <w:t>1 x 10</w:t>
            </w:r>
            <w:r w:rsidR="00884E7B">
              <w:rPr>
                <w:vertAlign w:val="superscript"/>
              </w:rPr>
              <w:t>-2</w:t>
            </w:r>
            <w:r>
              <w:t xml:space="preserve"> </w:t>
            </w:r>
          </w:p>
        </w:tc>
      </w:tr>
    </w:tbl>
    <w:p w14:paraId="02EE2D8B" w14:textId="77777777" w:rsidR="00884E7B" w:rsidRDefault="00884E7B" w:rsidP="00C51F0A">
      <w:pPr>
        <w:pStyle w:val="Body"/>
      </w:pPr>
    </w:p>
    <w:p w14:paraId="2DE79674" w14:textId="1BE45872" w:rsidR="00884E7B" w:rsidRDefault="00884E7B" w:rsidP="00C51F0A">
      <w:pPr>
        <w:pStyle w:val="Body"/>
      </w:pPr>
    </w:p>
    <w:p w14:paraId="2F9CA3FC" w14:textId="274BD7FC" w:rsidR="00E2289C" w:rsidRDefault="00E2289C" w:rsidP="00C51F0A">
      <w:pPr>
        <w:pStyle w:val="Body"/>
      </w:pPr>
    </w:p>
    <w:p w14:paraId="23A9A56E" w14:textId="77777777" w:rsidR="00E2289C" w:rsidRPr="002365B4" w:rsidRDefault="00E2289C" w:rsidP="00C51F0A">
      <w:pPr>
        <w:pStyle w:val="Body"/>
      </w:pPr>
    </w:p>
    <w:tbl>
      <w:tblPr>
        <w:tblStyle w:val="TableGrid"/>
        <w:tblW w:w="0" w:type="auto"/>
        <w:tblCellMar>
          <w:bottom w:w="108" w:type="dxa"/>
        </w:tblCellMar>
        <w:tblLook w:val="0600" w:firstRow="0" w:lastRow="0" w:firstColumn="0" w:lastColumn="0" w:noHBand="1" w:noVBand="1"/>
      </w:tblPr>
      <w:tblGrid>
        <w:gridCol w:w="10194"/>
      </w:tblGrid>
      <w:tr w:rsidR="00884E7B" w14:paraId="7D4D56BC" w14:textId="77777777" w:rsidTr="006E77E1">
        <w:tc>
          <w:tcPr>
            <w:tcW w:w="10194" w:type="dxa"/>
          </w:tcPr>
          <w:p w14:paraId="2B4AAB2A" w14:textId="151FB2DA" w:rsidR="00884E7B" w:rsidRPr="0055119B" w:rsidRDefault="00884E7B" w:rsidP="006E77E1">
            <w:pPr>
              <w:pStyle w:val="Accessibilitypara"/>
            </w:pPr>
            <w:r w:rsidRPr="0055119B">
              <w:t>To receive this document in another format</w:t>
            </w:r>
            <w:r>
              <w:t>,</w:t>
            </w:r>
            <w:r w:rsidRPr="0055119B">
              <w:t xml:space="preserve"> </w:t>
            </w:r>
            <w:hyperlink r:id="rId27" w:history="1">
              <w:r w:rsidR="003E3D9B" w:rsidRPr="00FD3BBD">
                <w:rPr>
                  <w:rStyle w:val="Hyperlink"/>
                </w:rPr>
                <w:t>email Radiation Team</w:t>
              </w:r>
            </w:hyperlink>
            <w:r w:rsidRPr="0055119B">
              <w:rPr>
                <w:color w:val="004C97"/>
              </w:rPr>
              <w:t xml:space="preserve"> </w:t>
            </w:r>
            <w:r w:rsidRPr="0055119B">
              <w:t>&lt;</w:t>
            </w:r>
            <w:r w:rsidR="00E2289C" w:rsidRPr="00E2289C">
              <w:t>Radiation.Safety@health.vic.gov.au</w:t>
            </w:r>
            <w:r w:rsidRPr="0055119B">
              <w:t>&gt;.</w:t>
            </w:r>
          </w:p>
          <w:p w14:paraId="6A9527EC" w14:textId="77777777" w:rsidR="00884E7B" w:rsidRPr="0055119B" w:rsidRDefault="00884E7B" w:rsidP="006E77E1">
            <w:pPr>
              <w:pStyle w:val="Imprint"/>
            </w:pPr>
            <w:r w:rsidRPr="0055119B">
              <w:t>Authorised and published by the Victorian Government, 1 Treasury Place, Melbourne.</w:t>
            </w:r>
          </w:p>
          <w:p w14:paraId="77297561" w14:textId="67D3A21E" w:rsidR="00884E7B" w:rsidRPr="0055119B" w:rsidRDefault="00884E7B" w:rsidP="006E77E1">
            <w:pPr>
              <w:pStyle w:val="Imprint"/>
            </w:pPr>
            <w:r w:rsidRPr="0055119B">
              <w:t xml:space="preserve">© State of Victoria, Australia, </w:t>
            </w:r>
            <w:r w:rsidRPr="001E2A36">
              <w:t>Department of Health</w:t>
            </w:r>
            <w:r w:rsidRPr="0055119B">
              <w:t xml:space="preserve">, </w:t>
            </w:r>
            <w:r w:rsidR="00E2289C">
              <w:rPr>
                <w:color w:val="004C97"/>
              </w:rPr>
              <w:t>January 2022</w:t>
            </w:r>
            <w:r w:rsidRPr="0055119B">
              <w:t>.</w:t>
            </w:r>
          </w:p>
          <w:p w14:paraId="2F3C3353" w14:textId="099937AE" w:rsidR="00E2289C" w:rsidRDefault="00884E7B" w:rsidP="006E77E1">
            <w:pPr>
              <w:pStyle w:val="Imprint"/>
            </w:pPr>
            <w:r w:rsidRPr="0055119B">
              <w:t xml:space="preserve">Available at </w:t>
            </w:r>
            <w:hyperlink r:id="rId28" w:history="1">
              <w:r w:rsidR="00E2289C" w:rsidRPr="00CA1140">
                <w:rPr>
                  <w:rStyle w:val="Hyperlink"/>
                </w:rPr>
                <w:t>Disposal o</w:t>
              </w:r>
              <w:r w:rsidR="00E2289C">
                <w:rPr>
                  <w:rStyle w:val="Hyperlink"/>
                </w:rPr>
                <w:t>f</w:t>
              </w:r>
              <w:r w:rsidR="00E2289C" w:rsidRPr="00CA1140">
                <w:rPr>
                  <w:rStyle w:val="Hyperlink"/>
                </w:rPr>
                <w:t xml:space="preserve"> radioactive material and X-ray equipment page</w:t>
              </w:r>
            </w:hyperlink>
            <w:r w:rsidR="00E2289C">
              <w:t xml:space="preserve"> on the Radiation website.</w:t>
            </w:r>
          </w:p>
          <w:p w14:paraId="658A14D0" w14:textId="650CDB20" w:rsidR="00884E7B" w:rsidRDefault="00884E7B" w:rsidP="006E77E1">
            <w:pPr>
              <w:pStyle w:val="Imprint"/>
            </w:pPr>
            <w:r w:rsidRPr="00E2289C">
              <w:rPr>
                <w:color w:val="auto"/>
              </w:rPr>
              <w:t>&lt;</w:t>
            </w:r>
            <w:r w:rsidR="00E2289C" w:rsidRPr="00E2289C">
              <w:rPr>
                <w:color w:val="auto"/>
              </w:rPr>
              <w:t>https://www.health.vic.gov.au/radiation/disposal-of-radioactive-material-and-x-ray-equipment</w:t>
            </w:r>
            <w:r w:rsidRPr="00E2289C">
              <w:rPr>
                <w:color w:val="auto"/>
              </w:rPr>
              <w:t>&gt;</w:t>
            </w:r>
          </w:p>
        </w:tc>
      </w:tr>
    </w:tbl>
    <w:p w14:paraId="4BF3B146" w14:textId="77777777" w:rsidR="00200176" w:rsidRPr="00200176" w:rsidRDefault="00200176" w:rsidP="00200176">
      <w:pPr>
        <w:pStyle w:val="Body"/>
      </w:pPr>
    </w:p>
    <w:p w14:paraId="0706EB62" w14:textId="77777777" w:rsidR="00162CA9" w:rsidRDefault="00162CA9" w:rsidP="00162CA9">
      <w:pPr>
        <w:pStyle w:val="Body"/>
      </w:pPr>
    </w:p>
    <w:sectPr w:rsidR="00162CA9" w:rsidSect="00E62622">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0EFBC" w14:textId="77777777" w:rsidR="005772CD" w:rsidRDefault="005772CD">
      <w:r>
        <w:separator/>
      </w:r>
    </w:p>
  </w:endnote>
  <w:endnote w:type="continuationSeparator" w:id="0">
    <w:p w14:paraId="0C99CE84" w14:textId="77777777" w:rsidR="005772CD" w:rsidRDefault="0057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FAF5" w14:textId="77777777" w:rsidR="005772CD" w:rsidRPr="00F65AA9" w:rsidRDefault="005772CD" w:rsidP="00F84FA0">
    <w:pPr>
      <w:pStyle w:val="Footer"/>
    </w:pPr>
    <w:r>
      <w:rPr>
        <w:noProof/>
        <w:lang w:eastAsia="en-AU"/>
      </w:rPr>
      <w:drawing>
        <wp:anchor distT="0" distB="0" distL="114300" distR="114300" simplePos="0" relativeHeight="251674112" behindDoc="1" locked="1" layoutInCell="1" allowOverlap="1" wp14:anchorId="678CEA14" wp14:editId="23FCDFE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37266434" wp14:editId="56DEF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9775D" w14:textId="77777777" w:rsidR="005772CD" w:rsidRPr="00B21F90" w:rsidRDefault="005772C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26643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B09775D" w14:textId="77777777" w:rsidR="005772CD" w:rsidRPr="00B21F90" w:rsidRDefault="005772C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1CC07" w14:textId="77777777" w:rsidR="005772CD" w:rsidRDefault="005772CD">
    <w:pPr>
      <w:pStyle w:val="Footer"/>
    </w:pPr>
    <w:r>
      <w:rPr>
        <w:noProof/>
      </w:rPr>
      <mc:AlternateContent>
        <mc:Choice Requires="wps">
          <w:drawing>
            <wp:anchor distT="0" distB="0" distL="114300" distR="114300" simplePos="1" relativeHeight="251670016" behindDoc="0" locked="0" layoutInCell="0" allowOverlap="1" wp14:anchorId="439FA81B" wp14:editId="5F00E45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B6D51" w14:textId="77777777" w:rsidR="005772CD" w:rsidRPr="00B21F90" w:rsidRDefault="005772C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9FA81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A0B6D51" w14:textId="77777777" w:rsidR="005772CD" w:rsidRPr="00B21F90" w:rsidRDefault="005772C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7BD5D" w14:textId="3A3A38A4" w:rsidR="005772CD" w:rsidRDefault="005772CD">
    <w:pPr>
      <w:pStyle w:val="Footer"/>
    </w:pPr>
    <w:r>
      <w:rPr>
        <w:noProof/>
      </w:rPr>
      <mc:AlternateContent>
        <mc:Choice Requires="wps">
          <w:drawing>
            <wp:anchor distT="0" distB="0" distL="114300" distR="114300" simplePos="0" relativeHeight="251675136" behindDoc="0" locked="0" layoutInCell="0" allowOverlap="1" wp14:anchorId="669BC0B2" wp14:editId="134E9E86">
              <wp:simplePos x="0" y="0"/>
              <wp:positionH relativeFrom="page">
                <wp:posOffset>0</wp:posOffset>
              </wp:positionH>
              <wp:positionV relativeFrom="page">
                <wp:posOffset>10189210</wp:posOffset>
              </wp:positionV>
              <wp:extent cx="7560310" cy="311785"/>
              <wp:effectExtent l="0" t="0" r="0" b="12065"/>
              <wp:wrapNone/>
              <wp:docPr id="3" name="MSIPCMece6494c833f59e5015f966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37DC7" w14:textId="1DD92983" w:rsidR="005772CD" w:rsidRPr="00885A0E" w:rsidRDefault="005772CD" w:rsidP="00885A0E">
                          <w:pPr>
                            <w:spacing w:after="0"/>
                            <w:jc w:val="center"/>
                            <w:rPr>
                              <w:rFonts w:ascii="Arial Black" w:hAnsi="Arial Black"/>
                              <w:color w:val="000000"/>
                              <w:sz w:val="20"/>
                            </w:rPr>
                          </w:pPr>
                          <w:r w:rsidRPr="00885A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9BC0B2" id="_x0000_t202" coordsize="21600,21600" o:spt="202" path="m,l,21600r21600,l21600,xe">
              <v:stroke joinstyle="miter"/>
              <v:path gradientshapeok="t" o:connecttype="rect"/>
            </v:shapetype>
            <v:shape id="MSIPCMece6494c833f59e5015f966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yaAE/K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25637DC7" w14:textId="1DD92983" w:rsidR="005772CD" w:rsidRPr="00885A0E" w:rsidRDefault="005772CD" w:rsidP="00885A0E">
                    <w:pPr>
                      <w:spacing w:after="0"/>
                      <w:jc w:val="center"/>
                      <w:rPr>
                        <w:rFonts w:ascii="Arial Black" w:hAnsi="Arial Black"/>
                        <w:color w:val="000000"/>
                        <w:sz w:val="20"/>
                      </w:rPr>
                    </w:pPr>
                    <w:r w:rsidRPr="00885A0E">
                      <w:rPr>
                        <w:rFonts w:ascii="Arial Black" w:hAnsi="Arial Black"/>
                        <w:color w:val="000000"/>
                        <w:sz w:val="20"/>
                      </w:rPr>
                      <w:t>OFFICIAL</w:t>
                    </w:r>
                  </w:p>
                </w:txbxContent>
              </v:textbox>
              <w10:wrap anchorx="page" anchory="page"/>
            </v:shape>
          </w:pict>
        </mc:Fallback>
      </mc:AlternateContent>
    </w:r>
    <w:sdt>
      <w:sdtPr>
        <w:id w:val="-186901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6967E8F" w14:textId="331C9688" w:rsidR="005772CD" w:rsidRPr="00F65AA9" w:rsidRDefault="005772CD"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4F22" w14:textId="77777777" w:rsidR="005772CD" w:rsidRDefault="005772CD" w:rsidP="002862F1">
      <w:pPr>
        <w:spacing w:before="120"/>
      </w:pPr>
      <w:r>
        <w:separator/>
      </w:r>
    </w:p>
  </w:footnote>
  <w:footnote w:type="continuationSeparator" w:id="0">
    <w:p w14:paraId="253277B4" w14:textId="77777777" w:rsidR="005772CD" w:rsidRDefault="005772CD">
      <w:r>
        <w:continuationSeparator/>
      </w:r>
    </w:p>
  </w:footnote>
  <w:footnote w:id="1">
    <w:p w14:paraId="4B6AD87E" w14:textId="77777777" w:rsidR="005F3479" w:rsidRPr="00152329" w:rsidRDefault="005F3479" w:rsidP="005F3479">
      <w:pPr>
        <w:pStyle w:val="FootnoteText"/>
      </w:pPr>
      <w:r>
        <w:rPr>
          <w:rStyle w:val="FootnoteReference"/>
        </w:rPr>
        <w:footnoteRef/>
      </w:r>
      <w:r>
        <w:t xml:space="preserve"> </w:t>
      </w:r>
      <w:r w:rsidRPr="00E2289C">
        <w:t>Where the material contains a mixture of radionuclides, the limit is determined from the sum of the weighted activities or concentrations respectively for each radionuclide in the mixture, which must not exceed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923D" w14:textId="77777777" w:rsidR="005772CD" w:rsidRDefault="005772C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22236845">
    <w:abstractNumId w:val="10"/>
  </w:num>
  <w:num w:numId="2" w16cid:durableId="228006792">
    <w:abstractNumId w:val="17"/>
  </w:num>
  <w:num w:numId="3" w16cid:durableId="1493989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076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850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06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281665">
    <w:abstractNumId w:val="21"/>
  </w:num>
  <w:num w:numId="8" w16cid:durableId="1258826864">
    <w:abstractNumId w:val="16"/>
  </w:num>
  <w:num w:numId="9" w16cid:durableId="1022777700">
    <w:abstractNumId w:val="20"/>
  </w:num>
  <w:num w:numId="10" w16cid:durableId="1047068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348519">
    <w:abstractNumId w:val="22"/>
  </w:num>
  <w:num w:numId="12" w16cid:durableId="2059744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974284">
    <w:abstractNumId w:val="18"/>
  </w:num>
  <w:num w:numId="14" w16cid:durableId="2068726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4350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205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22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913859">
    <w:abstractNumId w:val="24"/>
  </w:num>
  <w:num w:numId="19" w16cid:durableId="63079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413785">
    <w:abstractNumId w:val="14"/>
  </w:num>
  <w:num w:numId="21" w16cid:durableId="2010911577">
    <w:abstractNumId w:val="12"/>
  </w:num>
  <w:num w:numId="22" w16cid:durableId="468519328">
    <w:abstractNumId w:val="12"/>
  </w:num>
  <w:num w:numId="23" w16cid:durableId="410466590">
    <w:abstractNumId w:val="15"/>
  </w:num>
  <w:num w:numId="24" w16cid:durableId="1476532814">
    <w:abstractNumId w:val="25"/>
  </w:num>
  <w:num w:numId="25" w16cid:durableId="1773089186">
    <w:abstractNumId w:val="23"/>
  </w:num>
  <w:num w:numId="26" w16cid:durableId="930041478">
    <w:abstractNumId w:val="19"/>
  </w:num>
  <w:num w:numId="27" w16cid:durableId="2065174413">
    <w:abstractNumId w:val="11"/>
  </w:num>
  <w:num w:numId="28" w16cid:durableId="114834357">
    <w:abstractNumId w:val="26"/>
  </w:num>
  <w:num w:numId="29" w16cid:durableId="237596628">
    <w:abstractNumId w:val="9"/>
  </w:num>
  <w:num w:numId="30" w16cid:durableId="491146852">
    <w:abstractNumId w:val="7"/>
  </w:num>
  <w:num w:numId="31" w16cid:durableId="1227759867">
    <w:abstractNumId w:val="6"/>
  </w:num>
  <w:num w:numId="32" w16cid:durableId="1415007675">
    <w:abstractNumId w:val="5"/>
  </w:num>
  <w:num w:numId="33" w16cid:durableId="1966688893">
    <w:abstractNumId w:val="4"/>
  </w:num>
  <w:num w:numId="34" w16cid:durableId="278218004">
    <w:abstractNumId w:val="8"/>
  </w:num>
  <w:num w:numId="35" w16cid:durableId="1827012753">
    <w:abstractNumId w:val="3"/>
  </w:num>
  <w:num w:numId="36" w16cid:durableId="95757005">
    <w:abstractNumId w:val="2"/>
  </w:num>
  <w:num w:numId="37" w16cid:durableId="2034107238">
    <w:abstractNumId w:val="1"/>
  </w:num>
  <w:num w:numId="38" w16cid:durableId="653947510">
    <w:abstractNumId w:val="0"/>
  </w:num>
  <w:num w:numId="39" w16cid:durableId="1669940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764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F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0F1D"/>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287D"/>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FFA"/>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5A6"/>
    <w:rsid w:val="00303E53"/>
    <w:rsid w:val="00305CC1"/>
    <w:rsid w:val="00306E5F"/>
    <w:rsid w:val="00307E14"/>
    <w:rsid w:val="00314054"/>
    <w:rsid w:val="00315BD8"/>
    <w:rsid w:val="00316F27"/>
    <w:rsid w:val="003214F1"/>
    <w:rsid w:val="00322E4B"/>
    <w:rsid w:val="00327870"/>
    <w:rsid w:val="0033259D"/>
    <w:rsid w:val="003333D2"/>
    <w:rsid w:val="003406C6"/>
    <w:rsid w:val="00341083"/>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3D9B"/>
    <w:rsid w:val="003E4086"/>
    <w:rsid w:val="003E639E"/>
    <w:rsid w:val="003E71E5"/>
    <w:rsid w:val="003F0445"/>
    <w:rsid w:val="003F0CF0"/>
    <w:rsid w:val="003F14B1"/>
    <w:rsid w:val="003F2B20"/>
    <w:rsid w:val="003F3289"/>
    <w:rsid w:val="003F5CB9"/>
    <w:rsid w:val="004013C7"/>
    <w:rsid w:val="00401FCF"/>
    <w:rsid w:val="0040248F"/>
    <w:rsid w:val="00406285"/>
    <w:rsid w:val="00410CD3"/>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772CD"/>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479"/>
    <w:rsid w:val="005F5A39"/>
    <w:rsid w:val="00605908"/>
    <w:rsid w:val="00610D7C"/>
    <w:rsid w:val="00613414"/>
    <w:rsid w:val="00615FF3"/>
    <w:rsid w:val="00620154"/>
    <w:rsid w:val="0062408D"/>
    <w:rsid w:val="006240CC"/>
    <w:rsid w:val="00624940"/>
    <w:rsid w:val="006254F8"/>
    <w:rsid w:val="00627DA7"/>
    <w:rsid w:val="00630DA4"/>
    <w:rsid w:val="00632597"/>
    <w:rsid w:val="00632B26"/>
    <w:rsid w:val="006358B4"/>
    <w:rsid w:val="006419AA"/>
    <w:rsid w:val="00644B1F"/>
    <w:rsid w:val="00644B7E"/>
    <w:rsid w:val="006454E6"/>
    <w:rsid w:val="00646235"/>
    <w:rsid w:val="00646A68"/>
    <w:rsid w:val="00647579"/>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5583"/>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C7B"/>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154E"/>
    <w:rsid w:val="00884B62"/>
    <w:rsid w:val="00884E7B"/>
    <w:rsid w:val="0088529C"/>
    <w:rsid w:val="00885A0E"/>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58C"/>
    <w:rsid w:val="00951D50"/>
    <w:rsid w:val="00952236"/>
    <w:rsid w:val="009525EB"/>
    <w:rsid w:val="0095470B"/>
    <w:rsid w:val="00954874"/>
    <w:rsid w:val="0095615A"/>
    <w:rsid w:val="00961400"/>
    <w:rsid w:val="00963646"/>
    <w:rsid w:val="0096632D"/>
    <w:rsid w:val="009718C7"/>
    <w:rsid w:val="00973F13"/>
    <w:rsid w:val="0097559F"/>
    <w:rsid w:val="0097761E"/>
    <w:rsid w:val="00982454"/>
    <w:rsid w:val="00982CF0"/>
    <w:rsid w:val="009853E1"/>
    <w:rsid w:val="00986E6B"/>
    <w:rsid w:val="00990032"/>
    <w:rsid w:val="00990B19"/>
    <w:rsid w:val="00990F34"/>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140"/>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35EB"/>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289C"/>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8A"/>
    <w:rsid w:val="00EC22F6"/>
    <w:rsid w:val="00EC40D5"/>
    <w:rsid w:val="00ED2FD3"/>
    <w:rsid w:val="00ED5A5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27FE"/>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5B94"/>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E292999"/>
  <w15:docId w15:val="{C319CAE7-0A60-464A-8B57-3E10DAB8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72"/>
    <w:semiHidden/>
    <w:qFormat/>
    <w:rsid w:val="006D5583"/>
    <w:pPr>
      <w:ind w:left="720"/>
      <w:contextualSpacing/>
    </w:pPr>
  </w:style>
  <w:style w:type="character" w:customStyle="1" w:styleId="FooterChar">
    <w:name w:val="Footer Char"/>
    <w:basedOn w:val="DefaultParagraphFont"/>
    <w:link w:val="Footer"/>
    <w:uiPriority w:val="99"/>
    <w:rsid w:val="00EC228A"/>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ublications/disposal-application-form-management-licence-holder-who-is-authorised-as-a-source" TargetMode="External"/><Relationship Id="rId26" Type="http://schemas.openxmlformats.org/officeDocument/2006/relationships/hyperlink" Target="mailto:Radiation.Safety@health.vic.gov.au" TargetMode="External"/><Relationship Id="rId3" Type="http://schemas.openxmlformats.org/officeDocument/2006/relationships/customXml" Target="../customXml/item3.xml"/><Relationship Id="rId21" Type="http://schemas.openxmlformats.org/officeDocument/2006/relationships/hyperlink" Target="https://www.health.vic.gov.au/publications/disposal-application-form-management-licence-holder-who-is-authorised-to-possess-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adiation.Safety@health.vic.gov.au" TargetMode="External"/><Relationship Id="rId25" Type="http://schemas.openxmlformats.org/officeDocument/2006/relationships/hyperlink" Target="https://www.health.vic.gov.au/radiation/disposal-of-radioactive-material-and-x-ray-equipment" TargetMode="External"/><Relationship Id="rId2" Type="http://schemas.openxmlformats.org/officeDocument/2006/relationships/customXml" Target="../customXml/item2.xml"/><Relationship Id="rId16" Type="http://schemas.openxmlformats.org/officeDocument/2006/relationships/hyperlink" Target="https://www.health.vic.gov.au/publications/service-providers-authorised-to-facilitate-the-disposal-of-radioactive-material" TargetMode="External"/><Relationship Id="rId20" Type="http://schemas.openxmlformats.org/officeDocument/2006/relationships/hyperlink" Target="https://www.health.vic.gov.au/publications/disposal-application-form-management-licence-holder-who-is-authorised-as-a-sour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business.gov.au/smartforms/dhhs-vic/notification-of-acquisition-disposal-or-relocation-of-a-radiation-source/" TargetMode="External"/><Relationship Id="rId5" Type="http://schemas.openxmlformats.org/officeDocument/2006/relationships/numbering" Target="numbering.xml"/><Relationship Id="rId15" Type="http://schemas.openxmlformats.org/officeDocument/2006/relationships/hyperlink" Target="https://www.health.vic.gov.au/publications/service-providers-authorised-to-facilitate-the-disposal-of-radioactive-material" TargetMode="External"/><Relationship Id="rId23" Type="http://schemas.openxmlformats.org/officeDocument/2006/relationships/hyperlink" Target="https://www.health.vic.gov.au/publications/disposal-application-form-management-licence-holder-who-is-relocating-security" TargetMode="External"/><Relationship Id="rId28" Type="http://schemas.openxmlformats.org/officeDocument/2006/relationships/hyperlink" Target="https://www.health.vic.gov.au/radiation/disposal-of-radioactive-material-and-x-ray-equipment" TargetMode="External"/><Relationship Id="rId10" Type="http://schemas.openxmlformats.org/officeDocument/2006/relationships/endnotes" Target="endnotes.xml"/><Relationship Id="rId19" Type="http://schemas.openxmlformats.org/officeDocument/2006/relationships/hyperlink" Target="https://www.health.vic.gov.au/publications/disposal-application-form-management-licence-holder-who-is-authorised-to-possess-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ublications/disposal-application-form-management-licence-holder-who-is-transferring-ownership-of-a" TargetMode="External"/><Relationship Id="rId27" Type="http://schemas.openxmlformats.org/officeDocument/2006/relationships/hyperlink" Target="mailto:email%20Radiation%20Tea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2768</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
  <LinksUpToDate>false</LinksUpToDate>
  <CharactersWithSpaces>18634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Violette Lazanas (Health)</cp:lastModifiedBy>
  <cp:revision>2</cp:revision>
  <cp:lastPrinted>2020-03-30T03:28:00Z</cp:lastPrinted>
  <dcterms:created xsi:type="dcterms:W3CDTF">2024-12-11T09:51:00Z</dcterms:created>
  <dcterms:modified xsi:type="dcterms:W3CDTF">2024-12-11T09:51:00Z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2022-01-19T01:44:03Z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