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4A8F5" w14:textId="77777777" w:rsidR="00056EC4" w:rsidRDefault="005C6917" w:rsidP="00977D59">
      <w:pPr>
        <w:pStyle w:val="Heading1"/>
      </w:pPr>
      <w:bookmarkStart w:id="0" w:name="_Toc164694834"/>
      <w:bookmarkStart w:id="1" w:name="_Toc174439986"/>
      <w:r>
        <w:rPr>
          <w:noProof/>
        </w:rPr>
        <w:drawing>
          <wp:anchor distT="0" distB="0" distL="114300" distR="114300" simplePos="0" relativeHeight="251658240" behindDoc="1" locked="1" layoutInCell="1" allowOverlap="1" wp14:anchorId="536D0562" wp14:editId="75C4D244">
            <wp:simplePos x="0" y="0"/>
            <wp:positionH relativeFrom="page">
              <wp:align>left</wp:align>
            </wp:positionH>
            <wp:positionV relativeFrom="page">
              <wp:align>top</wp:align>
            </wp:positionV>
            <wp:extent cx="7560000" cy="10152000"/>
            <wp:effectExtent l="0" t="0" r="3175"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tbl>
      <w:tblPr>
        <w:tblW w:w="9299" w:type="dxa"/>
        <w:tblLook w:val="04A0" w:firstRow="1" w:lastRow="0" w:firstColumn="1" w:lastColumn="0" w:noHBand="0" w:noVBand="1"/>
      </w:tblPr>
      <w:tblGrid>
        <w:gridCol w:w="9299"/>
      </w:tblGrid>
      <w:tr w:rsidR="00AD784C" w14:paraId="3DCA57C6" w14:textId="77777777" w:rsidTr="004752B4">
        <w:tc>
          <w:tcPr>
            <w:tcW w:w="0" w:type="auto"/>
          </w:tcPr>
          <w:p w14:paraId="56A2C773" w14:textId="77C6FBE9" w:rsidR="007C0D8B" w:rsidRPr="00431F42" w:rsidRDefault="007C0D8B" w:rsidP="00431F42">
            <w:pPr>
              <w:pStyle w:val="Documenttitle"/>
            </w:pPr>
            <w:r>
              <w:t xml:space="preserve">Serious Transfusion Incident Report (STIR) annual report </w:t>
            </w:r>
            <w:r w:rsidR="000470B4" w:rsidRPr="000470B4">
              <w:t>2022–23</w:t>
            </w:r>
          </w:p>
        </w:tc>
      </w:tr>
      <w:tr w:rsidR="00AD784C" w14:paraId="1A7C3FD5" w14:textId="77777777" w:rsidTr="004752B4">
        <w:tc>
          <w:tcPr>
            <w:tcW w:w="0" w:type="auto"/>
          </w:tcPr>
          <w:p w14:paraId="16962E55" w14:textId="3DDB875E" w:rsidR="00386109" w:rsidRPr="00A1389F" w:rsidRDefault="007C0D8B" w:rsidP="009315BE">
            <w:pPr>
              <w:pStyle w:val="Documentsubtitle"/>
            </w:pPr>
            <w:r>
              <w:t>Blood Matters program</w:t>
            </w:r>
          </w:p>
        </w:tc>
      </w:tr>
      <w:tr w:rsidR="00430393" w14:paraId="24097C27" w14:textId="77777777" w:rsidTr="004752B4">
        <w:tc>
          <w:tcPr>
            <w:tcW w:w="0" w:type="auto"/>
          </w:tcPr>
          <w:p w14:paraId="2BA996C3" w14:textId="77777777" w:rsidR="00430393" w:rsidRDefault="00DE2CE1" w:rsidP="00430393">
            <w:pPr>
              <w:pStyle w:val="Bannermarking"/>
            </w:pPr>
            <w:r>
              <w:fldChar w:fldCharType="begin"/>
            </w:r>
            <w:r>
              <w:instrText xml:space="preserve"> FILLIN  "Type the protective marking" \d OFFICIAL \o  \* MERGEFORMAT </w:instrText>
            </w:r>
            <w:r>
              <w:fldChar w:fldCharType="separate"/>
            </w:r>
            <w:r w:rsidR="00974B72">
              <w:t>OFFICIAL</w:t>
            </w:r>
            <w:r>
              <w:fldChar w:fldCharType="end"/>
            </w:r>
          </w:p>
        </w:tc>
      </w:tr>
    </w:tbl>
    <w:p w14:paraId="1AEC9852" w14:textId="77777777" w:rsidR="00FE4081" w:rsidRDefault="00FE4081" w:rsidP="00FE4081">
      <w:pPr>
        <w:pStyle w:val="Body"/>
      </w:pPr>
    </w:p>
    <w:p w14:paraId="019C4574" w14:textId="77777777" w:rsidR="00FE4081" w:rsidRPr="00FE4081" w:rsidRDefault="00FE4081" w:rsidP="00FE4081">
      <w:pPr>
        <w:pStyle w:val="Body"/>
        <w:sectPr w:rsidR="00FE4081" w:rsidRPr="00FE4081" w:rsidSect="0015595B">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63212770" w14:textId="77777777" w:rsidR="00431F42" w:rsidRDefault="00431F42" w:rsidP="00431F42">
      <w:pPr>
        <w:pStyle w:val="Body"/>
      </w:pPr>
      <w:r>
        <w:lastRenderedPageBreak/>
        <w:br w:type="page"/>
      </w:r>
    </w:p>
    <w:tbl>
      <w:tblPr>
        <w:tblW w:w="7598" w:type="dxa"/>
        <w:tblLook w:val="04A0" w:firstRow="1" w:lastRow="0" w:firstColumn="1" w:lastColumn="0" w:noHBand="0" w:noVBand="1"/>
      </w:tblPr>
      <w:tblGrid>
        <w:gridCol w:w="7598"/>
      </w:tblGrid>
      <w:tr w:rsidR="00431F42" w14:paraId="0E37AB22" w14:textId="77777777" w:rsidTr="004752B4">
        <w:trPr>
          <w:trHeight w:val="7371"/>
        </w:trPr>
        <w:tc>
          <w:tcPr>
            <w:tcW w:w="7598" w:type="dxa"/>
          </w:tcPr>
          <w:p w14:paraId="09F2EBA7" w14:textId="4C7752A3" w:rsidR="00431F42" w:rsidRDefault="007C0D8B" w:rsidP="00431F42">
            <w:pPr>
              <w:pStyle w:val="Documenttitle"/>
            </w:pPr>
            <w:r>
              <w:lastRenderedPageBreak/>
              <w:t xml:space="preserve">Serious Transfusion Incident Report (STIR) annual report </w:t>
            </w:r>
            <w:r w:rsidR="000470B4" w:rsidRPr="000470B4">
              <w:t>2022–23</w:t>
            </w:r>
          </w:p>
          <w:p w14:paraId="47471D31" w14:textId="2460C763" w:rsidR="00431F42" w:rsidRDefault="007C0D8B" w:rsidP="00431F42">
            <w:pPr>
              <w:pStyle w:val="Documentsubtitle"/>
            </w:pPr>
            <w:r>
              <w:t>Blood Matters program</w:t>
            </w:r>
          </w:p>
        </w:tc>
      </w:tr>
      <w:tr w:rsidR="00431F42" w14:paraId="6DCD8C45" w14:textId="77777777" w:rsidTr="004752B4">
        <w:tc>
          <w:tcPr>
            <w:tcW w:w="7598" w:type="dxa"/>
          </w:tcPr>
          <w:p w14:paraId="08ACF206" w14:textId="77777777" w:rsidR="00431F42" w:rsidRDefault="00431F42" w:rsidP="00431F42">
            <w:pPr>
              <w:pStyle w:val="Body"/>
            </w:pPr>
          </w:p>
        </w:tc>
      </w:tr>
    </w:tbl>
    <w:p w14:paraId="018B26D6" w14:textId="77777777" w:rsidR="000D2ABA" w:rsidRDefault="000D2ABA" w:rsidP="00431F42">
      <w:pPr>
        <w:pStyle w:val="Body"/>
      </w:pPr>
      <w:r>
        <w:br w:type="page"/>
      </w:r>
    </w:p>
    <w:p w14:paraId="525D8548" w14:textId="77777777" w:rsidR="009F2182" w:rsidRDefault="009F2182" w:rsidP="009F2182">
      <w:pPr>
        <w:pStyle w:val="Body"/>
      </w:pPr>
    </w:p>
    <w:tbl>
      <w:tblPr>
        <w:tblW w:w="0" w:type="auto"/>
        <w:tblLook w:val="04A0" w:firstRow="1" w:lastRow="0" w:firstColumn="1" w:lastColumn="0" w:noHBand="0" w:noVBand="1"/>
      </w:tblPr>
      <w:tblGrid>
        <w:gridCol w:w="9288"/>
      </w:tblGrid>
      <w:tr w:rsidR="009F2182" w14:paraId="794C3FD3" w14:textId="77777777" w:rsidTr="004752B4">
        <w:trPr>
          <w:trHeight w:val="7088"/>
        </w:trPr>
        <w:tc>
          <w:tcPr>
            <w:tcW w:w="9288" w:type="dxa"/>
          </w:tcPr>
          <w:p w14:paraId="017B7BE2" w14:textId="40828CA5" w:rsidR="009F2182" w:rsidRPr="00BA26F6" w:rsidRDefault="009F2182" w:rsidP="00BA26F6">
            <w:pPr>
              <w:pStyle w:val="Body"/>
              <w:rPr>
                <w:rFonts w:eastAsia="Times New Roman"/>
                <w:color w:val="87189D"/>
                <w:sz w:val="24"/>
                <w:szCs w:val="24"/>
              </w:rPr>
            </w:pPr>
          </w:p>
        </w:tc>
      </w:tr>
      <w:tr w:rsidR="009F2182" w14:paraId="13FA8681" w14:textId="77777777" w:rsidTr="004752B4">
        <w:trPr>
          <w:trHeight w:val="5103"/>
        </w:trPr>
        <w:tc>
          <w:tcPr>
            <w:tcW w:w="9288" w:type="dxa"/>
          </w:tcPr>
          <w:p w14:paraId="7D3980BA" w14:textId="73619402" w:rsidR="009F2182" w:rsidRPr="0055119B" w:rsidRDefault="009F2182" w:rsidP="009F2182">
            <w:pPr>
              <w:pStyle w:val="Accessibilitypara"/>
            </w:pPr>
            <w:r w:rsidRPr="0055119B">
              <w:t>To receive this document in another format</w:t>
            </w:r>
            <w:r>
              <w:t>,</w:t>
            </w:r>
            <w:r w:rsidRPr="0055119B">
              <w:t xml:space="preserve"> phone</w:t>
            </w:r>
            <w:r w:rsidR="007C0D8B">
              <w:t xml:space="preserve"> </w:t>
            </w:r>
            <w:r w:rsidR="007C0D8B" w:rsidRPr="007C0D8B">
              <w:t>03 9694 0102</w:t>
            </w:r>
            <w:r w:rsidRPr="0055119B">
              <w:t>, using the National Relay Service 13 36 77 if required, or email</w:t>
            </w:r>
            <w:r w:rsidR="007C0D8B">
              <w:t xml:space="preserve"> </w:t>
            </w:r>
            <w:hyperlink r:id="rId15" w:history="1">
              <w:r w:rsidR="007C0D8B" w:rsidRPr="007C0D8B">
                <w:rPr>
                  <w:rStyle w:val="Hyperlink"/>
                </w:rPr>
                <w:t xml:space="preserve"> Blood Matters</w:t>
              </w:r>
            </w:hyperlink>
            <w:r w:rsidR="007C0D8B" w:rsidRPr="007C0D8B">
              <w:t xml:space="preserve"> </w:t>
            </w:r>
            <w:hyperlink r:id="rId16" w:history="1">
              <w:r w:rsidR="007C0D8B" w:rsidRPr="00483D6E">
                <w:rPr>
                  <w:rStyle w:val="Hyperlink"/>
                </w:rPr>
                <w:t>bloodmatters@redcrossblood.org.au</w:t>
              </w:r>
            </w:hyperlink>
            <w:r w:rsidR="007C0D8B">
              <w:t>.</w:t>
            </w:r>
            <w:r w:rsidRPr="0055119B">
              <w:rPr>
                <w:color w:val="004C97"/>
              </w:rPr>
              <w:t xml:space="preserve"> </w:t>
            </w:r>
          </w:p>
          <w:p w14:paraId="220C6DB6" w14:textId="77777777" w:rsidR="009F2182" w:rsidRPr="0055119B" w:rsidRDefault="009F2182" w:rsidP="009F2182">
            <w:pPr>
              <w:pStyle w:val="Imprint"/>
            </w:pPr>
            <w:r w:rsidRPr="0055119B">
              <w:t>Authorised and published by the Victorian Government, 1 Treasury Place, Melbourne.</w:t>
            </w:r>
          </w:p>
          <w:p w14:paraId="51D9A89F" w14:textId="5FDA06AD" w:rsidR="009F2182" w:rsidRPr="0055119B" w:rsidRDefault="009F2182" w:rsidP="009F2182">
            <w:pPr>
              <w:pStyle w:val="Imprint"/>
            </w:pPr>
            <w:r w:rsidRPr="0055119B">
              <w:t xml:space="preserve">© State of Victoria, Australia, Department </w:t>
            </w:r>
            <w:r w:rsidRPr="001B058F">
              <w:t xml:space="preserve">of </w:t>
            </w:r>
            <w:r w:rsidR="00D76ECC" w:rsidRPr="00ED6AA1">
              <w:t>Health</w:t>
            </w:r>
            <w:r w:rsidRPr="00ED6AA1">
              <w:t xml:space="preserve">, </w:t>
            </w:r>
            <w:r w:rsidR="00ED6AA1" w:rsidRPr="00ED6AA1">
              <w:t>September 2024</w:t>
            </w:r>
            <w:r w:rsidRPr="00ED6AA1">
              <w:t>.</w:t>
            </w:r>
          </w:p>
          <w:p w14:paraId="26DFF42F" w14:textId="6B21D28F" w:rsidR="009F2182" w:rsidRPr="0055119B" w:rsidRDefault="009F2182" w:rsidP="009F2182">
            <w:pPr>
              <w:pStyle w:val="Imprint"/>
            </w:pPr>
            <w:bookmarkStart w:id="2" w:name="_Hlk62746129"/>
            <w:r w:rsidRPr="00041DB3">
              <w:rPr>
                <w:b/>
                <w:bCs/>
              </w:rPr>
              <w:t xml:space="preserve">ISSN </w:t>
            </w:r>
            <w:r w:rsidR="001B0A63" w:rsidRPr="00041DB3">
              <w:rPr>
                <w:b/>
                <w:bCs/>
              </w:rPr>
              <w:t>2651-8872</w:t>
            </w:r>
            <w:r w:rsidRPr="00E33237">
              <w:rPr>
                <w:color w:val="004C97"/>
              </w:rPr>
              <w:t xml:space="preserve"> </w:t>
            </w:r>
            <w:r w:rsidRPr="0055119B">
              <w:t>(online/PDF/Word) or (print)</w:t>
            </w:r>
          </w:p>
          <w:p w14:paraId="78A77B46" w14:textId="18AA0225" w:rsidR="007C0D8B" w:rsidRDefault="009F2182" w:rsidP="007C0D8B">
            <w:pPr>
              <w:pStyle w:val="Imprint"/>
            </w:pPr>
            <w:r w:rsidRPr="0055119B">
              <w:t>Available at</w:t>
            </w:r>
            <w:r w:rsidR="007C0D8B">
              <w:t xml:space="preserve"> </w:t>
            </w:r>
            <w:hyperlink r:id="rId17" w:history="1">
              <w:r w:rsidR="007C0D8B" w:rsidRPr="007C0D8B">
                <w:rPr>
                  <w:rStyle w:val="Hyperlink"/>
                </w:rPr>
                <w:t>Blood Matters Serious Transfusion Incident Reporting</w:t>
              </w:r>
            </w:hyperlink>
            <w:r w:rsidR="007C0D8B" w:rsidRPr="007C0D8B">
              <w:t xml:space="preserve"> &lt;https://www.health.vic.gov.au/patient-care/serious-transfusion-incident-reporting-system&gt;</w:t>
            </w:r>
            <w:r w:rsidRPr="0055119B">
              <w:t xml:space="preserve"> </w:t>
            </w:r>
            <w:bookmarkEnd w:id="2"/>
          </w:p>
          <w:p w14:paraId="4C312237" w14:textId="4FCC5FFD" w:rsidR="009F2182" w:rsidRDefault="009F2182" w:rsidP="009F2182">
            <w:pPr>
              <w:pStyle w:val="Body"/>
            </w:pPr>
          </w:p>
        </w:tc>
      </w:tr>
      <w:tr w:rsidR="0008204A" w14:paraId="55181E94" w14:textId="77777777" w:rsidTr="004752B4">
        <w:tc>
          <w:tcPr>
            <w:tcW w:w="9288" w:type="dxa"/>
          </w:tcPr>
          <w:p w14:paraId="0D06B345" w14:textId="77777777" w:rsidR="0008204A" w:rsidRPr="0055119B" w:rsidRDefault="0008204A" w:rsidP="0008204A">
            <w:pPr>
              <w:pStyle w:val="Body"/>
            </w:pPr>
          </w:p>
        </w:tc>
      </w:tr>
    </w:tbl>
    <w:p w14:paraId="62465D63" w14:textId="77777777" w:rsidR="007F13DC" w:rsidRDefault="007F13DC" w:rsidP="0008204A">
      <w:pPr>
        <w:pStyle w:val="Body"/>
        <w:sectPr w:rsidR="007F13DC" w:rsidSect="007F13DC">
          <w:headerReference w:type="even" r:id="rId18"/>
          <w:headerReference w:type="default" r:id="rId19"/>
          <w:footerReference w:type="even" r:id="rId20"/>
          <w:footerReference w:type="default" r:id="rId21"/>
          <w:pgSz w:w="11906" w:h="16838" w:code="9"/>
          <w:pgMar w:top="1418" w:right="1304" w:bottom="1134" w:left="1304" w:header="680" w:footer="851" w:gutter="0"/>
          <w:pgNumType w:start="1"/>
          <w:cols w:space="340"/>
          <w:titlePg/>
          <w:docGrid w:linePitch="360"/>
        </w:sectPr>
      </w:pPr>
    </w:p>
    <w:p w14:paraId="2C3EEAFD" w14:textId="77777777" w:rsidR="00AD784C" w:rsidRPr="00B57329" w:rsidRDefault="00AD784C" w:rsidP="002365B4">
      <w:pPr>
        <w:pStyle w:val="TOCheadingreport"/>
      </w:pPr>
      <w:bookmarkStart w:id="3" w:name="_Hlk171873973"/>
      <w:r w:rsidRPr="00B57329">
        <w:lastRenderedPageBreak/>
        <w:t>Contents</w:t>
      </w:r>
    </w:p>
    <w:p w14:paraId="6FB8CF10" w14:textId="61790A94" w:rsidR="00A63672" w:rsidRDefault="00AD784C">
      <w:pPr>
        <w:pStyle w:val="TOC1"/>
        <w:rPr>
          <w:rFonts w:asciiTheme="minorHAnsi" w:eastAsiaTheme="minorEastAsia" w:hAnsiTheme="minorHAnsi" w:cstheme="minorBidi"/>
          <w:b w:val="0"/>
          <w:color w:val="auto"/>
          <w:kern w:val="2"/>
          <w:sz w:val="24"/>
          <w:szCs w:val="24"/>
          <w:lang w:eastAsia="en-GB"/>
          <w14:ligatures w14:val="standardContextual"/>
        </w:rPr>
      </w:pPr>
      <w:r>
        <w:fldChar w:fldCharType="begin"/>
      </w:r>
      <w:r>
        <w:instrText xml:space="preserve"> TOC \h \z \t "Heading 1,1,Heading 2,2" </w:instrText>
      </w:r>
      <w:r>
        <w:fldChar w:fldCharType="separate"/>
      </w:r>
      <w:hyperlink w:anchor="_Toc174439986" w:history="1"/>
      <w:hyperlink w:anchor="_Toc174439987" w:history="1">
        <w:r w:rsidR="00A63672" w:rsidRPr="00330130">
          <w:rPr>
            <w:rStyle w:val="Hyperlink"/>
          </w:rPr>
          <w:t>Acknowledgements</w:t>
        </w:r>
        <w:r w:rsidR="00A63672">
          <w:rPr>
            <w:webHidden/>
          </w:rPr>
          <w:tab/>
        </w:r>
        <w:r w:rsidR="00A63672">
          <w:rPr>
            <w:webHidden/>
          </w:rPr>
          <w:fldChar w:fldCharType="begin"/>
        </w:r>
        <w:r w:rsidR="00A63672">
          <w:rPr>
            <w:webHidden/>
          </w:rPr>
          <w:instrText xml:space="preserve"> PAGEREF _Toc174439987 \h </w:instrText>
        </w:r>
        <w:r w:rsidR="00A63672">
          <w:rPr>
            <w:webHidden/>
          </w:rPr>
        </w:r>
        <w:r w:rsidR="00A63672">
          <w:rPr>
            <w:webHidden/>
          </w:rPr>
          <w:fldChar w:fldCharType="separate"/>
        </w:r>
        <w:r w:rsidR="00A63672">
          <w:rPr>
            <w:webHidden/>
          </w:rPr>
          <w:t>3</w:t>
        </w:r>
        <w:r w:rsidR="00A63672">
          <w:rPr>
            <w:webHidden/>
          </w:rPr>
          <w:fldChar w:fldCharType="end"/>
        </w:r>
      </w:hyperlink>
    </w:p>
    <w:p w14:paraId="1FEC8E4D" w14:textId="18E4C151"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39988" w:history="1">
        <w:r w:rsidR="00A63672" w:rsidRPr="00330130">
          <w:rPr>
            <w:rStyle w:val="Hyperlink"/>
          </w:rPr>
          <w:t>Abbreviations and acronyms</w:t>
        </w:r>
        <w:r w:rsidR="00A63672">
          <w:rPr>
            <w:webHidden/>
          </w:rPr>
          <w:tab/>
        </w:r>
        <w:r w:rsidR="00A63672">
          <w:rPr>
            <w:webHidden/>
          </w:rPr>
          <w:fldChar w:fldCharType="begin"/>
        </w:r>
        <w:r w:rsidR="00A63672">
          <w:rPr>
            <w:webHidden/>
          </w:rPr>
          <w:instrText xml:space="preserve"> PAGEREF _Toc174439988 \h </w:instrText>
        </w:r>
        <w:r w:rsidR="00A63672">
          <w:rPr>
            <w:webHidden/>
          </w:rPr>
        </w:r>
        <w:r w:rsidR="00A63672">
          <w:rPr>
            <w:webHidden/>
          </w:rPr>
          <w:fldChar w:fldCharType="separate"/>
        </w:r>
        <w:r w:rsidR="00A63672">
          <w:rPr>
            <w:webHidden/>
          </w:rPr>
          <w:t>4</w:t>
        </w:r>
        <w:r w:rsidR="00A63672">
          <w:rPr>
            <w:webHidden/>
          </w:rPr>
          <w:fldChar w:fldCharType="end"/>
        </w:r>
      </w:hyperlink>
    </w:p>
    <w:p w14:paraId="511BF29E" w14:textId="3609C477"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39989" w:history="1">
        <w:r w:rsidR="00A63672" w:rsidRPr="00330130">
          <w:rPr>
            <w:rStyle w:val="Hyperlink"/>
          </w:rPr>
          <w:t>Executive summary</w:t>
        </w:r>
        <w:r w:rsidR="00A63672">
          <w:rPr>
            <w:webHidden/>
          </w:rPr>
          <w:tab/>
        </w:r>
        <w:r w:rsidR="00A63672">
          <w:rPr>
            <w:webHidden/>
          </w:rPr>
          <w:fldChar w:fldCharType="begin"/>
        </w:r>
        <w:r w:rsidR="00A63672">
          <w:rPr>
            <w:webHidden/>
          </w:rPr>
          <w:instrText xml:space="preserve"> PAGEREF _Toc174439989 \h </w:instrText>
        </w:r>
        <w:r w:rsidR="00A63672">
          <w:rPr>
            <w:webHidden/>
          </w:rPr>
        </w:r>
        <w:r w:rsidR="00A63672">
          <w:rPr>
            <w:webHidden/>
          </w:rPr>
          <w:fldChar w:fldCharType="separate"/>
        </w:r>
        <w:r w:rsidR="00A63672">
          <w:rPr>
            <w:webHidden/>
          </w:rPr>
          <w:t>6</w:t>
        </w:r>
        <w:r w:rsidR="00A63672">
          <w:rPr>
            <w:webHidden/>
          </w:rPr>
          <w:fldChar w:fldCharType="end"/>
        </w:r>
      </w:hyperlink>
    </w:p>
    <w:p w14:paraId="38377EA7" w14:textId="6888E00C"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39990" w:history="1">
        <w:r w:rsidR="00A63672" w:rsidRPr="00330130">
          <w:rPr>
            <w:rStyle w:val="Hyperlink"/>
          </w:rPr>
          <w:t>Key messages</w:t>
        </w:r>
        <w:r w:rsidR="00A63672">
          <w:rPr>
            <w:webHidden/>
          </w:rPr>
          <w:tab/>
        </w:r>
        <w:r w:rsidR="00A63672">
          <w:rPr>
            <w:webHidden/>
          </w:rPr>
          <w:fldChar w:fldCharType="begin"/>
        </w:r>
        <w:r w:rsidR="00A63672">
          <w:rPr>
            <w:webHidden/>
          </w:rPr>
          <w:instrText xml:space="preserve"> PAGEREF _Toc174439990 \h </w:instrText>
        </w:r>
        <w:r w:rsidR="00A63672">
          <w:rPr>
            <w:webHidden/>
          </w:rPr>
        </w:r>
        <w:r w:rsidR="00A63672">
          <w:rPr>
            <w:webHidden/>
          </w:rPr>
          <w:fldChar w:fldCharType="separate"/>
        </w:r>
        <w:r w:rsidR="00A63672">
          <w:rPr>
            <w:webHidden/>
          </w:rPr>
          <w:t>7</w:t>
        </w:r>
        <w:r w:rsidR="00A63672">
          <w:rPr>
            <w:webHidden/>
          </w:rPr>
          <w:fldChar w:fldCharType="end"/>
        </w:r>
      </w:hyperlink>
    </w:p>
    <w:p w14:paraId="44028BAF" w14:textId="71DC451A"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39991" w:history="1">
        <w:r w:rsidR="00A63672" w:rsidRPr="00330130">
          <w:rPr>
            <w:rStyle w:val="Hyperlink"/>
          </w:rPr>
          <w:t>Introduction</w:t>
        </w:r>
        <w:r w:rsidR="00A63672">
          <w:rPr>
            <w:webHidden/>
          </w:rPr>
          <w:tab/>
        </w:r>
        <w:r w:rsidR="00A63672">
          <w:rPr>
            <w:webHidden/>
          </w:rPr>
          <w:fldChar w:fldCharType="begin"/>
        </w:r>
        <w:r w:rsidR="00A63672">
          <w:rPr>
            <w:webHidden/>
          </w:rPr>
          <w:instrText xml:space="preserve"> PAGEREF _Toc174439991 \h </w:instrText>
        </w:r>
        <w:r w:rsidR="00A63672">
          <w:rPr>
            <w:webHidden/>
          </w:rPr>
        </w:r>
        <w:r w:rsidR="00A63672">
          <w:rPr>
            <w:webHidden/>
          </w:rPr>
          <w:fldChar w:fldCharType="separate"/>
        </w:r>
        <w:r w:rsidR="00A63672">
          <w:rPr>
            <w:webHidden/>
          </w:rPr>
          <w:t>9</w:t>
        </w:r>
        <w:r w:rsidR="00A63672">
          <w:rPr>
            <w:webHidden/>
          </w:rPr>
          <w:fldChar w:fldCharType="end"/>
        </w:r>
      </w:hyperlink>
    </w:p>
    <w:p w14:paraId="30B58933" w14:textId="5294A61A"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39992" w:history="1">
        <w:r w:rsidR="00A63672" w:rsidRPr="00330130">
          <w:rPr>
            <w:rStyle w:val="Hyperlink"/>
          </w:rPr>
          <w:t>Method</w:t>
        </w:r>
        <w:r w:rsidR="00A63672">
          <w:rPr>
            <w:webHidden/>
          </w:rPr>
          <w:tab/>
        </w:r>
        <w:r w:rsidR="00A63672">
          <w:rPr>
            <w:webHidden/>
          </w:rPr>
          <w:fldChar w:fldCharType="begin"/>
        </w:r>
        <w:r w:rsidR="00A63672">
          <w:rPr>
            <w:webHidden/>
          </w:rPr>
          <w:instrText xml:space="preserve"> PAGEREF _Toc174439992 \h </w:instrText>
        </w:r>
        <w:r w:rsidR="00A63672">
          <w:rPr>
            <w:webHidden/>
          </w:rPr>
        </w:r>
        <w:r w:rsidR="00A63672">
          <w:rPr>
            <w:webHidden/>
          </w:rPr>
          <w:fldChar w:fldCharType="separate"/>
        </w:r>
        <w:r w:rsidR="00A63672">
          <w:rPr>
            <w:webHidden/>
          </w:rPr>
          <w:t>10</w:t>
        </w:r>
        <w:r w:rsidR="00A63672">
          <w:rPr>
            <w:webHidden/>
          </w:rPr>
          <w:fldChar w:fldCharType="end"/>
        </w:r>
      </w:hyperlink>
    </w:p>
    <w:p w14:paraId="3F5D2E16" w14:textId="6304319A"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39993" w:history="1">
        <w:r w:rsidR="00A63672" w:rsidRPr="00330130">
          <w:rPr>
            <w:rStyle w:val="Hyperlink"/>
          </w:rPr>
          <w:t>Withdrawn reports</w:t>
        </w:r>
        <w:r w:rsidR="00A63672">
          <w:rPr>
            <w:webHidden/>
          </w:rPr>
          <w:tab/>
        </w:r>
        <w:r w:rsidR="00A63672">
          <w:rPr>
            <w:webHidden/>
          </w:rPr>
          <w:fldChar w:fldCharType="begin"/>
        </w:r>
        <w:r w:rsidR="00A63672">
          <w:rPr>
            <w:webHidden/>
          </w:rPr>
          <w:instrText xml:space="preserve"> PAGEREF _Toc174439993 \h </w:instrText>
        </w:r>
        <w:r w:rsidR="00A63672">
          <w:rPr>
            <w:webHidden/>
          </w:rPr>
        </w:r>
        <w:r w:rsidR="00A63672">
          <w:rPr>
            <w:webHidden/>
          </w:rPr>
          <w:fldChar w:fldCharType="separate"/>
        </w:r>
        <w:r w:rsidR="00A63672">
          <w:rPr>
            <w:webHidden/>
          </w:rPr>
          <w:t>10</w:t>
        </w:r>
        <w:r w:rsidR="00A63672">
          <w:rPr>
            <w:webHidden/>
          </w:rPr>
          <w:fldChar w:fldCharType="end"/>
        </w:r>
      </w:hyperlink>
    </w:p>
    <w:p w14:paraId="74BDE38C" w14:textId="6E414BAE"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39994" w:history="1">
        <w:r w:rsidR="00A63672" w:rsidRPr="00330130">
          <w:rPr>
            <w:rStyle w:val="Hyperlink"/>
          </w:rPr>
          <w:t>Validation and reconciliation</w:t>
        </w:r>
        <w:r w:rsidR="00A63672">
          <w:rPr>
            <w:webHidden/>
          </w:rPr>
          <w:tab/>
        </w:r>
        <w:r w:rsidR="00A63672">
          <w:rPr>
            <w:webHidden/>
          </w:rPr>
          <w:fldChar w:fldCharType="begin"/>
        </w:r>
        <w:r w:rsidR="00A63672">
          <w:rPr>
            <w:webHidden/>
          </w:rPr>
          <w:instrText xml:space="preserve"> PAGEREF _Toc174439994 \h </w:instrText>
        </w:r>
        <w:r w:rsidR="00A63672">
          <w:rPr>
            <w:webHidden/>
          </w:rPr>
        </w:r>
        <w:r w:rsidR="00A63672">
          <w:rPr>
            <w:webHidden/>
          </w:rPr>
          <w:fldChar w:fldCharType="separate"/>
        </w:r>
        <w:r w:rsidR="00A63672">
          <w:rPr>
            <w:webHidden/>
          </w:rPr>
          <w:t>11</w:t>
        </w:r>
        <w:r w:rsidR="00A63672">
          <w:rPr>
            <w:webHidden/>
          </w:rPr>
          <w:fldChar w:fldCharType="end"/>
        </w:r>
      </w:hyperlink>
    </w:p>
    <w:p w14:paraId="33CF5EBB" w14:textId="513230D6"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39995" w:history="1">
        <w:r w:rsidR="00A63672" w:rsidRPr="00330130">
          <w:rPr>
            <w:rStyle w:val="Hyperlink"/>
          </w:rPr>
          <w:t>Demographics</w:t>
        </w:r>
        <w:r w:rsidR="00A63672">
          <w:rPr>
            <w:webHidden/>
          </w:rPr>
          <w:tab/>
        </w:r>
        <w:r w:rsidR="00A63672">
          <w:rPr>
            <w:webHidden/>
          </w:rPr>
          <w:fldChar w:fldCharType="begin"/>
        </w:r>
        <w:r w:rsidR="00A63672">
          <w:rPr>
            <w:webHidden/>
          </w:rPr>
          <w:instrText xml:space="preserve"> PAGEREF _Toc174439995 \h </w:instrText>
        </w:r>
        <w:r w:rsidR="00A63672">
          <w:rPr>
            <w:webHidden/>
          </w:rPr>
        </w:r>
        <w:r w:rsidR="00A63672">
          <w:rPr>
            <w:webHidden/>
          </w:rPr>
          <w:fldChar w:fldCharType="separate"/>
        </w:r>
        <w:r w:rsidR="00A63672">
          <w:rPr>
            <w:webHidden/>
          </w:rPr>
          <w:t>12</w:t>
        </w:r>
        <w:r w:rsidR="00A63672">
          <w:rPr>
            <w:webHidden/>
          </w:rPr>
          <w:fldChar w:fldCharType="end"/>
        </w:r>
      </w:hyperlink>
    </w:p>
    <w:p w14:paraId="357202ED" w14:textId="7452F134"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39996" w:history="1">
        <w:r w:rsidR="00A63672" w:rsidRPr="00330130">
          <w:rPr>
            <w:rStyle w:val="Hyperlink"/>
          </w:rPr>
          <w:t>Sentinel events</w:t>
        </w:r>
        <w:r w:rsidR="00A63672">
          <w:rPr>
            <w:webHidden/>
          </w:rPr>
          <w:tab/>
        </w:r>
        <w:r w:rsidR="00A63672">
          <w:rPr>
            <w:webHidden/>
          </w:rPr>
          <w:fldChar w:fldCharType="begin"/>
        </w:r>
        <w:r w:rsidR="00A63672">
          <w:rPr>
            <w:webHidden/>
          </w:rPr>
          <w:instrText xml:space="preserve"> PAGEREF _Toc174439996 \h </w:instrText>
        </w:r>
        <w:r w:rsidR="00A63672">
          <w:rPr>
            <w:webHidden/>
          </w:rPr>
        </w:r>
        <w:r w:rsidR="00A63672">
          <w:rPr>
            <w:webHidden/>
          </w:rPr>
          <w:fldChar w:fldCharType="separate"/>
        </w:r>
        <w:r w:rsidR="00A63672">
          <w:rPr>
            <w:webHidden/>
          </w:rPr>
          <w:t>14</w:t>
        </w:r>
        <w:r w:rsidR="00A63672">
          <w:rPr>
            <w:webHidden/>
          </w:rPr>
          <w:fldChar w:fldCharType="end"/>
        </w:r>
      </w:hyperlink>
    </w:p>
    <w:p w14:paraId="71E71383" w14:textId="4E85BB62"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39997" w:history="1">
        <w:r w:rsidR="00A63672" w:rsidRPr="00330130">
          <w:rPr>
            <w:rStyle w:val="Hyperlink"/>
          </w:rPr>
          <w:t>Statutory duty of candour</w:t>
        </w:r>
        <w:r w:rsidR="00A63672">
          <w:rPr>
            <w:webHidden/>
          </w:rPr>
          <w:tab/>
        </w:r>
        <w:r w:rsidR="00A63672">
          <w:rPr>
            <w:webHidden/>
          </w:rPr>
          <w:fldChar w:fldCharType="begin"/>
        </w:r>
        <w:r w:rsidR="00A63672">
          <w:rPr>
            <w:webHidden/>
          </w:rPr>
          <w:instrText xml:space="preserve"> PAGEREF _Toc174439997 \h </w:instrText>
        </w:r>
        <w:r w:rsidR="00A63672">
          <w:rPr>
            <w:webHidden/>
          </w:rPr>
        </w:r>
        <w:r w:rsidR="00A63672">
          <w:rPr>
            <w:webHidden/>
          </w:rPr>
          <w:fldChar w:fldCharType="separate"/>
        </w:r>
        <w:r w:rsidR="00A63672">
          <w:rPr>
            <w:webHidden/>
          </w:rPr>
          <w:t>14</w:t>
        </w:r>
        <w:r w:rsidR="00A63672">
          <w:rPr>
            <w:webHidden/>
          </w:rPr>
          <w:fldChar w:fldCharType="end"/>
        </w:r>
      </w:hyperlink>
    </w:p>
    <w:p w14:paraId="48E48B7D" w14:textId="720C77EA"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39998" w:history="1">
        <w:r w:rsidR="00A63672" w:rsidRPr="00330130">
          <w:rPr>
            <w:rStyle w:val="Hyperlink"/>
          </w:rPr>
          <w:t>Clinical reports</w:t>
        </w:r>
        <w:r w:rsidR="00A63672">
          <w:rPr>
            <w:webHidden/>
          </w:rPr>
          <w:tab/>
        </w:r>
        <w:r w:rsidR="00A63672">
          <w:rPr>
            <w:webHidden/>
          </w:rPr>
          <w:fldChar w:fldCharType="begin"/>
        </w:r>
        <w:r w:rsidR="00A63672">
          <w:rPr>
            <w:webHidden/>
          </w:rPr>
          <w:instrText xml:space="preserve"> PAGEREF _Toc174439998 \h </w:instrText>
        </w:r>
        <w:r w:rsidR="00A63672">
          <w:rPr>
            <w:webHidden/>
          </w:rPr>
        </w:r>
        <w:r w:rsidR="00A63672">
          <w:rPr>
            <w:webHidden/>
          </w:rPr>
          <w:fldChar w:fldCharType="separate"/>
        </w:r>
        <w:r w:rsidR="00A63672">
          <w:rPr>
            <w:webHidden/>
          </w:rPr>
          <w:t>16</w:t>
        </w:r>
        <w:r w:rsidR="00A63672">
          <w:rPr>
            <w:webHidden/>
          </w:rPr>
          <w:fldChar w:fldCharType="end"/>
        </w:r>
      </w:hyperlink>
    </w:p>
    <w:p w14:paraId="02C820D7" w14:textId="3457808D"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39999" w:history="1">
        <w:r w:rsidR="00A63672" w:rsidRPr="00330130">
          <w:rPr>
            <w:rStyle w:val="Hyperlink"/>
          </w:rPr>
          <w:t>Febrile non-haemolytic transfusion reactions (FNHTR)</w:t>
        </w:r>
        <w:r w:rsidR="00A63672">
          <w:rPr>
            <w:webHidden/>
          </w:rPr>
          <w:tab/>
        </w:r>
        <w:r w:rsidR="00A63672">
          <w:rPr>
            <w:webHidden/>
          </w:rPr>
          <w:fldChar w:fldCharType="begin"/>
        </w:r>
        <w:r w:rsidR="00A63672">
          <w:rPr>
            <w:webHidden/>
          </w:rPr>
          <w:instrText xml:space="preserve"> PAGEREF _Toc174439999 \h </w:instrText>
        </w:r>
        <w:r w:rsidR="00A63672">
          <w:rPr>
            <w:webHidden/>
          </w:rPr>
        </w:r>
        <w:r w:rsidR="00A63672">
          <w:rPr>
            <w:webHidden/>
          </w:rPr>
          <w:fldChar w:fldCharType="separate"/>
        </w:r>
        <w:r w:rsidR="00A63672">
          <w:rPr>
            <w:webHidden/>
          </w:rPr>
          <w:t>17</w:t>
        </w:r>
        <w:r w:rsidR="00A63672">
          <w:rPr>
            <w:webHidden/>
          </w:rPr>
          <w:fldChar w:fldCharType="end"/>
        </w:r>
      </w:hyperlink>
    </w:p>
    <w:p w14:paraId="52A09732" w14:textId="3C82FC70"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0" w:history="1">
        <w:r w:rsidR="00A63672" w:rsidRPr="00330130">
          <w:rPr>
            <w:rStyle w:val="Hyperlink"/>
          </w:rPr>
          <w:t>Allergic/anaphylactic reactions</w:t>
        </w:r>
        <w:r w:rsidR="00A63672">
          <w:rPr>
            <w:webHidden/>
          </w:rPr>
          <w:tab/>
        </w:r>
        <w:r w:rsidR="00A63672">
          <w:rPr>
            <w:webHidden/>
          </w:rPr>
          <w:fldChar w:fldCharType="begin"/>
        </w:r>
        <w:r w:rsidR="00A63672">
          <w:rPr>
            <w:webHidden/>
          </w:rPr>
          <w:instrText xml:space="preserve"> PAGEREF _Toc174440000 \h </w:instrText>
        </w:r>
        <w:r w:rsidR="00A63672">
          <w:rPr>
            <w:webHidden/>
          </w:rPr>
        </w:r>
        <w:r w:rsidR="00A63672">
          <w:rPr>
            <w:webHidden/>
          </w:rPr>
          <w:fldChar w:fldCharType="separate"/>
        </w:r>
        <w:r w:rsidR="00A63672">
          <w:rPr>
            <w:webHidden/>
          </w:rPr>
          <w:t>19</w:t>
        </w:r>
        <w:r w:rsidR="00A63672">
          <w:rPr>
            <w:webHidden/>
          </w:rPr>
          <w:fldChar w:fldCharType="end"/>
        </w:r>
      </w:hyperlink>
    </w:p>
    <w:p w14:paraId="75D530C1" w14:textId="599CA2D1"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1" w:history="1">
        <w:r w:rsidR="00A63672" w:rsidRPr="00330130">
          <w:rPr>
            <w:rStyle w:val="Hyperlink"/>
          </w:rPr>
          <w:t>Acute hypotensive transfusion reaction</w:t>
        </w:r>
        <w:r w:rsidR="00A63672">
          <w:rPr>
            <w:webHidden/>
          </w:rPr>
          <w:tab/>
        </w:r>
        <w:r w:rsidR="00A63672">
          <w:rPr>
            <w:webHidden/>
          </w:rPr>
          <w:fldChar w:fldCharType="begin"/>
        </w:r>
        <w:r w:rsidR="00A63672">
          <w:rPr>
            <w:webHidden/>
          </w:rPr>
          <w:instrText xml:space="preserve"> PAGEREF _Toc174440001 \h </w:instrText>
        </w:r>
        <w:r w:rsidR="00A63672">
          <w:rPr>
            <w:webHidden/>
          </w:rPr>
        </w:r>
        <w:r w:rsidR="00A63672">
          <w:rPr>
            <w:webHidden/>
          </w:rPr>
          <w:fldChar w:fldCharType="separate"/>
        </w:r>
        <w:r w:rsidR="00A63672">
          <w:rPr>
            <w:webHidden/>
          </w:rPr>
          <w:t>22</w:t>
        </w:r>
        <w:r w:rsidR="00A63672">
          <w:rPr>
            <w:webHidden/>
          </w:rPr>
          <w:fldChar w:fldCharType="end"/>
        </w:r>
      </w:hyperlink>
    </w:p>
    <w:p w14:paraId="0EBC59EC" w14:textId="6588A97C"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2" w:history="1">
        <w:r w:rsidR="00A63672" w:rsidRPr="00330130">
          <w:rPr>
            <w:rStyle w:val="Hyperlink"/>
          </w:rPr>
          <w:t>Acute haemolytic transfusion reaction (AHTR)</w:t>
        </w:r>
        <w:r w:rsidR="00A63672">
          <w:rPr>
            <w:webHidden/>
          </w:rPr>
          <w:tab/>
        </w:r>
        <w:r w:rsidR="00A63672">
          <w:rPr>
            <w:webHidden/>
          </w:rPr>
          <w:fldChar w:fldCharType="begin"/>
        </w:r>
        <w:r w:rsidR="00A63672">
          <w:rPr>
            <w:webHidden/>
          </w:rPr>
          <w:instrText xml:space="preserve"> PAGEREF _Toc174440002 \h </w:instrText>
        </w:r>
        <w:r w:rsidR="00A63672">
          <w:rPr>
            <w:webHidden/>
          </w:rPr>
        </w:r>
        <w:r w:rsidR="00A63672">
          <w:rPr>
            <w:webHidden/>
          </w:rPr>
          <w:fldChar w:fldCharType="separate"/>
        </w:r>
        <w:r w:rsidR="00A63672">
          <w:rPr>
            <w:webHidden/>
          </w:rPr>
          <w:t>23</w:t>
        </w:r>
        <w:r w:rsidR="00A63672">
          <w:rPr>
            <w:webHidden/>
          </w:rPr>
          <w:fldChar w:fldCharType="end"/>
        </w:r>
      </w:hyperlink>
    </w:p>
    <w:p w14:paraId="6AD2654F" w14:textId="3C14CCAA"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3" w:history="1">
        <w:r w:rsidR="00A63672" w:rsidRPr="00330130">
          <w:rPr>
            <w:rStyle w:val="Hyperlink"/>
          </w:rPr>
          <w:t>Delayed haemolytic transfusion reaction (DHTR)</w:t>
        </w:r>
        <w:r w:rsidR="00A63672">
          <w:rPr>
            <w:webHidden/>
          </w:rPr>
          <w:tab/>
        </w:r>
        <w:r w:rsidR="00A63672">
          <w:rPr>
            <w:webHidden/>
          </w:rPr>
          <w:fldChar w:fldCharType="begin"/>
        </w:r>
        <w:r w:rsidR="00A63672">
          <w:rPr>
            <w:webHidden/>
          </w:rPr>
          <w:instrText xml:space="preserve"> PAGEREF _Toc174440003 \h </w:instrText>
        </w:r>
        <w:r w:rsidR="00A63672">
          <w:rPr>
            <w:webHidden/>
          </w:rPr>
        </w:r>
        <w:r w:rsidR="00A63672">
          <w:rPr>
            <w:webHidden/>
          </w:rPr>
          <w:fldChar w:fldCharType="separate"/>
        </w:r>
        <w:r w:rsidR="00A63672">
          <w:rPr>
            <w:webHidden/>
          </w:rPr>
          <w:t>24</w:t>
        </w:r>
        <w:r w:rsidR="00A63672">
          <w:rPr>
            <w:webHidden/>
          </w:rPr>
          <w:fldChar w:fldCharType="end"/>
        </w:r>
      </w:hyperlink>
    </w:p>
    <w:p w14:paraId="248578D8" w14:textId="66AB25AF"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4" w:history="1">
        <w:r w:rsidR="00A63672" w:rsidRPr="00330130">
          <w:rPr>
            <w:rStyle w:val="Hyperlink"/>
          </w:rPr>
          <w:t>Delayed serologic transfusion reaction (DSTR)</w:t>
        </w:r>
        <w:r w:rsidR="00A63672">
          <w:rPr>
            <w:webHidden/>
          </w:rPr>
          <w:tab/>
        </w:r>
        <w:r w:rsidR="00A63672">
          <w:rPr>
            <w:webHidden/>
          </w:rPr>
          <w:fldChar w:fldCharType="begin"/>
        </w:r>
        <w:r w:rsidR="00A63672">
          <w:rPr>
            <w:webHidden/>
          </w:rPr>
          <w:instrText xml:space="preserve"> PAGEREF _Toc174440004 \h </w:instrText>
        </w:r>
        <w:r w:rsidR="00A63672">
          <w:rPr>
            <w:webHidden/>
          </w:rPr>
        </w:r>
        <w:r w:rsidR="00A63672">
          <w:rPr>
            <w:webHidden/>
          </w:rPr>
          <w:fldChar w:fldCharType="separate"/>
        </w:r>
        <w:r w:rsidR="00A63672">
          <w:rPr>
            <w:webHidden/>
          </w:rPr>
          <w:t>25</w:t>
        </w:r>
        <w:r w:rsidR="00A63672">
          <w:rPr>
            <w:webHidden/>
          </w:rPr>
          <w:fldChar w:fldCharType="end"/>
        </w:r>
      </w:hyperlink>
    </w:p>
    <w:p w14:paraId="2F79B496" w14:textId="41AB5081"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5" w:history="1">
        <w:r w:rsidR="00A63672" w:rsidRPr="00330130">
          <w:rPr>
            <w:rStyle w:val="Hyperlink"/>
          </w:rPr>
          <w:t>RhD isoimmunisation</w:t>
        </w:r>
        <w:r w:rsidR="00A63672">
          <w:rPr>
            <w:webHidden/>
          </w:rPr>
          <w:tab/>
        </w:r>
        <w:r w:rsidR="00A63672">
          <w:rPr>
            <w:webHidden/>
          </w:rPr>
          <w:fldChar w:fldCharType="begin"/>
        </w:r>
        <w:r w:rsidR="00A63672">
          <w:rPr>
            <w:webHidden/>
          </w:rPr>
          <w:instrText xml:space="preserve"> PAGEREF _Toc174440005 \h </w:instrText>
        </w:r>
        <w:r w:rsidR="00A63672">
          <w:rPr>
            <w:webHidden/>
          </w:rPr>
        </w:r>
        <w:r w:rsidR="00A63672">
          <w:rPr>
            <w:webHidden/>
          </w:rPr>
          <w:fldChar w:fldCharType="separate"/>
        </w:r>
        <w:r w:rsidR="00A63672">
          <w:rPr>
            <w:webHidden/>
          </w:rPr>
          <w:t>26</w:t>
        </w:r>
        <w:r w:rsidR="00A63672">
          <w:rPr>
            <w:webHidden/>
          </w:rPr>
          <w:fldChar w:fldCharType="end"/>
        </w:r>
      </w:hyperlink>
    </w:p>
    <w:p w14:paraId="6B11A838" w14:textId="580EEB19"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6" w:history="1">
        <w:r w:rsidR="00A63672" w:rsidRPr="00330130">
          <w:rPr>
            <w:rStyle w:val="Hyperlink"/>
          </w:rPr>
          <w:t>Transfusion-associated circulatory overload (TACO)</w:t>
        </w:r>
        <w:r w:rsidR="00A63672">
          <w:rPr>
            <w:webHidden/>
          </w:rPr>
          <w:tab/>
        </w:r>
        <w:r w:rsidR="00A63672">
          <w:rPr>
            <w:webHidden/>
          </w:rPr>
          <w:fldChar w:fldCharType="begin"/>
        </w:r>
        <w:r w:rsidR="00A63672">
          <w:rPr>
            <w:webHidden/>
          </w:rPr>
          <w:instrText xml:space="preserve"> PAGEREF _Toc174440006 \h </w:instrText>
        </w:r>
        <w:r w:rsidR="00A63672">
          <w:rPr>
            <w:webHidden/>
          </w:rPr>
        </w:r>
        <w:r w:rsidR="00A63672">
          <w:rPr>
            <w:webHidden/>
          </w:rPr>
          <w:fldChar w:fldCharType="separate"/>
        </w:r>
        <w:r w:rsidR="00A63672">
          <w:rPr>
            <w:webHidden/>
          </w:rPr>
          <w:t>27</w:t>
        </w:r>
        <w:r w:rsidR="00A63672">
          <w:rPr>
            <w:webHidden/>
          </w:rPr>
          <w:fldChar w:fldCharType="end"/>
        </w:r>
      </w:hyperlink>
    </w:p>
    <w:p w14:paraId="1F6F625C" w14:textId="1588508E"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7" w:history="1">
        <w:r w:rsidR="00A63672" w:rsidRPr="00330130">
          <w:rPr>
            <w:rStyle w:val="Hyperlink"/>
          </w:rPr>
          <w:t>Transfusion related acute lung injury (TRALI)</w:t>
        </w:r>
        <w:r w:rsidR="00A63672">
          <w:rPr>
            <w:webHidden/>
          </w:rPr>
          <w:tab/>
        </w:r>
        <w:r w:rsidR="00A63672">
          <w:rPr>
            <w:webHidden/>
          </w:rPr>
          <w:fldChar w:fldCharType="begin"/>
        </w:r>
        <w:r w:rsidR="00A63672">
          <w:rPr>
            <w:webHidden/>
          </w:rPr>
          <w:instrText xml:space="preserve"> PAGEREF _Toc174440007 \h </w:instrText>
        </w:r>
        <w:r w:rsidR="00A63672">
          <w:rPr>
            <w:webHidden/>
          </w:rPr>
        </w:r>
        <w:r w:rsidR="00A63672">
          <w:rPr>
            <w:webHidden/>
          </w:rPr>
          <w:fldChar w:fldCharType="separate"/>
        </w:r>
        <w:r w:rsidR="00A63672">
          <w:rPr>
            <w:webHidden/>
          </w:rPr>
          <w:t>29</w:t>
        </w:r>
        <w:r w:rsidR="00A63672">
          <w:rPr>
            <w:webHidden/>
          </w:rPr>
          <w:fldChar w:fldCharType="end"/>
        </w:r>
      </w:hyperlink>
    </w:p>
    <w:p w14:paraId="0F1D1A33" w14:textId="448B8445"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8" w:history="1">
        <w:r w:rsidR="00A63672" w:rsidRPr="00330130">
          <w:rPr>
            <w:rStyle w:val="Hyperlink"/>
          </w:rPr>
          <w:t>Transfusion associated dyspnoea (TAD)</w:t>
        </w:r>
        <w:r w:rsidR="00A63672">
          <w:rPr>
            <w:webHidden/>
          </w:rPr>
          <w:tab/>
        </w:r>
        <w:r w:rsidR="00A63672">
          <w:rPr>
            <w:webHidden/>
          </w:rPr>
          <w:fldChar w:fldCharType="begin"/>
        </w:r>
        <w:r w:rsidR="00A63672">
          <w:rPr>
            <w:webHidden/>
          </w:rPr>
          <w:instrText xml:space="preserve"> PAGEREF _Toc174440008 \h </w:instrText>
        </w:r>
        <w:r w:rsidR="00A63672">
          <w:rPr>
            <w:webHidden/>
          </w:rPr>
        </w:r>
        <w:r w:rsidR="00A63672">
          <w:rPr>
            <w:webHidden/>
          </w:rPr>
          <w:fldChar w:fldCharType="separate"/>
        </w:r>
        <w:r w:rsidR="00A63672">
          <w:rPr>
            <w:webHidden/>
          </w:rPr>
          <w:t>29</w:t>
        </w:r>
        <w:r w:rsidR="00A63672">
          <w:rPr>
            <w:webHidden/>
          </w:rPr>
          <w:fldChar w:fldCharType="end"/>
        </w:r>
      </w:hyperlink>
    </w:p>
    <w:p w14:paraId="6A82C189" w14:textId="5D87411D"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09" w:history="1">
        <w:r w:rsidR="00A63672" w:rsidRPr="00330130">
          <w:rPr>
            <w:rStyle w:val="Hyperlink"/>
          </w:rPr>
          <w:t>Transfusion-transmitted infection, bacterial</w:t>
        </w:r>
        <w:r w:rsidR="00A63672">
          <w:rPr>
            <w:webHidden/>
          </w:rPr>
          <w:tab/>
        </w:r>
        <w:r w:rsidR="00A63672">
          <w:rPr>
            <w:webHidden/>
          </w:rPr>
          <w:fldChar w:fldCharType="begin"/>
        </w:r>
        <w:r w:rsidR="00A63672">
          <w:rPr>
            <w:webHidden/>
          </w:rPr>
          <w:instrText xml:space="preserve"> PAGEREF _Toc174440009 \h </w:instrText>
        </w:r>
        <w:r w:rsidR="00A63672">
          <w:rPr>
            <w:webHidden/>
          </w:rPr>
        </w:r>
        <w:r w:rsidR="00A63672">
          <w:rPr>
            <w:webHidden/>
          </w:rPr>
          <w:fldChar w:fldCharType="separate"/>
        </w:r>
        <w:r w:rsidR="00A63672">
          <w:rPr>
            <w:webHidden/>
          </w:rPr>
          <w:t>29</w:t>
        </w:r>
        <w:r w:rsidR="00A63672">
          <w:rPr>
            <w:webHidden/>
          </w:rPr>
          <w:fldChar w:fldCharType="end"/>
        </w:r>
      </w:hyperlink>
    </w:p>
    <w:p w14:paraId="354788A6" w14:textId="1F9DB4B0"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10" w:history="1">
        <w:r w:rsidR="00A63672" w:rsidRPr="00330130">
          <w:rPr>
            <w:rStyle w:val="Hyperlink"/>
          </w:rPr>
          <w:t>Transfusion-transmitted infection, other</w:t>
        </w:r>
        <w:r w:rsidR="00A63672">
          <w:rPr>
            <w:webHidden/>
          </w:rPr>
          <w:tab/>
        </w:r>
        <w:r w:rsidR="00A63672">
          <w:rPr>
            <w:webHidden/>
          </w:rPr>
          <w:fldChar w:fldCharType="begin"/>
        </w:r>
        <w:r w:rsidR="00A63672">
          <w:rPr>
            <w:webHidden/>
          </w:rPr>
          <w:instrText xml:space="preserve"> PAGEREF _Toc174440010 \h </w:instrText>
        </w:r>
        <w:r w:rsidR="00A63672">
          <w:rPr>
            <w:webHidden/>
          </w:rPr>
        </w:r>
        <w:r w:rsidR="00A63672">
          <w:rPr>
            <w:webHidden/>
          </w:rPr>
          <w:fldChar w:fldCharType="separate"/>
        </w:r>
        <w:r w:rsidR="00A63672">
          <w:rPr>
            <w:webHidden/>
          </w:rPr>
          <w:t>30</w:t>
        </w:r>
        <w:r w:rsidR="00A63672">
          <w:rPr>
            <w:webHidden/>
          </w:rPr>
          <w:fldChar w:fldCharType="end"/>
        </w:r>
      </w:hyperlink>
    </w:p>
    <w:p w14:paraId="14522704" w14:textId="62BE672B"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11" w:history="1">
        <w:r w:rsidR="00A63672" w:rsidRPr="00330130">
          <w:rPr>
            <w:rStyle w:val="Hyperlink"/>
          </w:rPr>
          <w:t>Transfusion associated graft vs host disease (TA-GVHD)</w:t>
        </w:r>
        <w:r w:rsidR="00A63672">
          <w:rPr>
            <w:webHidden/>
          </w:rPr>
          <w:tab/>
        </w:r>
        <w:r w:rsidR="00A63672">
          <w:rPr>
            <w:webHidden/>
          </w:rPr>
          <w:fldChar w:fldCharType="begin"/>
        </w:r>
        <w:r w:rsidR="00A63672">
          <w:rPr>
            <w:webHidden/>
          </w:rPr>
          <w:instrText xml:space="preserve"> PAGEREF _Toc174440011 \h </w:instrText>
        </w:r>
        <w:r w:rsidR="00A63672">
          <w:rPr>
            <w:webHidden/>
          </w:rPr>
        </w:r>
        <w:r w:rsidR="00A63672">
          <w:rPr>
            <w:webHidden/>
          </w:rPr>
          <w:fldChar w:fldCharType="separate"/>
        </w:r>
        <w:r w:rsidR="00A63672">
          <w:rPr>
            <w:webHidden/>
          </w:rPr>
          <w:t>30</w:t>
        </w:r>
        <w:r w:rsidR="00A63672">
          <w:rPr>
            <w:webHidden/>
          </w:rPr>
          <w:fldChar w:fldCharType="end"/>
        </w:r>
      </w:hyperlink>
    </w:p>
    <w:p w14:paraId="2EAF8EB5" w14:textId="21CFA1CE"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12" w:history="1">
        <w:r w:rsidR="00A63672" w:rsidRPr="00330130">
          <w:rPr>
            <w:rStyle w:val="Hyperlink"/>
          </w:rPr>
          <w:t>Post-transfusion purpura (PTP)</w:t>
        </w:r>
        <w:r w:rsidR="00A63672">
          <w:rPr>
            <w:webHidden/>
          </w:rPr>
          <w:tab/>
        </w:r>
        <w:r w:rsidR="00A63672">
          <w:rPr>
            <w:webHidden/>
          </w:rPr>
          <w:fldChar w:fldCharType="begin"/>
        </w:r>
        <w:r w:rsidR="00A63672">
          <w:rPr>
            <w:webHidden/>
          </w:rPr>
          <w:instrText xml:space="preserve"> PAGEREF _Toc174440012 \h </w:instrText>
        </w:r>
        <w:r w:rsidR="00A63672">
          <w:rPr>
            <w:webHidden/>
          </w:rPr>
        </w:r>
        <w:r w:rsidR="00A63672">
          <w:rPr>
            <w:webHidden/>
          </w:rPr>
          <w:fldChar w:fldCharType="separate"/>
        </w:r>
        <w:r w:rsidR="00A63672">
          <w:rPr>
            <w:webHidden/>
          </w:rPr>
          <w:t>30</w:t>
        </w:r>
        <w:r w:rsidR="00A63672">
          <w:rPr>
            <w:webHidden/>
          </w:rPr>
          <w:fldChar w:fldCharType="end"/>
        </w:r>
      </w:hyperlink>
    </w:p>
    <w:p w14:paraId="20028FD2" w14:textId="46EFB2F8"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40013" w:history="1">
        <w:r w:rsidR="00A63672" w:rsidRPr="00330130">
          <w:rPr>
            <w:rStyle w:val="Hyperlink"/>
          </w:rPr>
          <w:t>Procedural reports</w:t>
        </w:r>
        <w:r w:rsidR="00A63672">
          <w:rPr>
            <w:webHidden/>
          </w:rPr>
          <w:tab/>
        </w:r>
        <w:r w:rsidR="00A63672">
          <w:rPr>
            <w:webHidden/>
          </w:rPr>
          <w:fldChar w:fldCharType="begin"/>
        </w:r>
        <w:r w:rsidR="00A63672">
          <w:rPr>
            <w:webHidden/>
          </w:rPr>
          <w:instrText xml:space="preserve"> PAGEREF _Toc174440013 \h </w:instrText>
        </w:r>
        <w:r w:rsidR="00A63672">
          <w:rPr>
            <w:webHidden/>
          </w:rPr>
        </w:r>
        <w:r w:rsidR="00A63672">
          <w:rPr>
            <w:webHidden/>
          </w:rPr>
          <w:fldChar w:fldCharType="separate"/>
        </w:r>
        <w:r w:rsidR="00A63672">
          <w:rPr>
            <w:webHidden/>
          </w:rPr>
          <w:t>31</w:t>
        </w:r>
        <w:r w:rsidR="00A63672">
          <w:rPr>
            <w:webHidden/>
          </w:rPr>
          <w:fldChar w:fldCharType="end"/>
        </w:r>
      </w:hyperlink>
    </w:p>
    <w:p w14:paraId="1D542B81" w14:textId="0930C4F7"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14" w:history="1">
        <w:r w:rsidR="00A63672" w:rsidRPr="00330130">
          <w:rPr>
            <w:rStyle w:val="Hyperlink"/>
          </w:rPr>
          <w:t>Incorrect blood component transfused (IBCT)</w:t>
        </w:r>
        <w:r w:rsidR="00A63672">
          <w:rPr>
            <w:webHidden/>
          </w:rPr>
          <w:tab/>
        </w:r>
        <w:r w:rsidR="00A63672">
          <w:rPr>
            <w:webHidden/>
          </w:rPr>
          <w:fldChar w:fldCharType="begin"/>
        </w:r>
        <w:r w:rsidR="00A63672">
          <w:rPr>
            <w:webHidden/>
          </w:rPr>
          <w:instrText xml:space="preserve"> PAGEREF _Toc174440014 \h </w:instrText>
        </w:r>
        <w:r w:rsidR="00A63672">
          <w:rPr>
            <w:webHidden/>
          </w:rPr>
        </w:r>
        <w:r w:rsidR="00A63672">
          <w:rPr>
            <w:webHidden/>
          </w:rPr>
          <w:fldChar w:fldCharType="separate"/>
        </w:r>
        <w:r w:rsidR="00A63672">
          <w:rPr>
            <w:webHidden/>
          </w:rPr>
          <w:t>31</w:t>
        </w:r>
        <w:r w:rsidR="00A63672">
          <w:rPr>
            <w:webHidden/>
          </w:rPr>
          <w:fldChar w:fldCharType="end"/>
        </w:r>
      </w:hyperlink>
    </w:p>
    <w:p w14:paraId="4115C0E4" w14:textId="0A51BB12"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15" w:history="1">
        <w:r w:rsidR="00A63672" w:rsidRPr="00330130">
          <w:rPr>
            <w:rStyle w:val="Hyperlink"/>
          </w:rPr>
          <w:t>Procedural – other</w:t>
        </w:r>
        <w:r w:rsidR="00A63672">
          <w:rPr>
            <w:webHidden/>
          </w:rPr>
          <w:tab/>
        </w:r>
        <w:r w:rsidR="00A63672">
          <w:rPr>
            <w:webHidden/>
          </w:rPr>
          <w:fldChar w:fldCharType="begin"/>
        </w:r>
        <w:r w:rsidR="00A63672">
          <w:rPr>
            <w:webHidden/>
          </w:rPr>
          <w:instrText xml:space="preserve"> PAGEREF _Toc174440015 \h </w:instrText>
        </w:r>
        <w:r w:rsidR="00A63672">
          <w:rPr>
            <w:webHidden/>
          </w:rPr>
        </w:r>
        <w:r w:rsidR="00A63672">
          <w:rPr>
            <w:webHidden/>
          </w:rPr>
          <w:fldChar w:fldCharType="separate"/>
        </w:r>
        <w:r w:rsidR="00A63672">
          <w:rPr>
            <w:webHidden/>
          </w:rPr>
          <w:t>34</w:t>
        </w:r>
        <w:r w:rsidR="00A63672">
          <w:rPr>
            <w:webHidden/>
          </w:rPr>
          <w:fldChar w:fldCharType="end"/>
        </w:r>
      </w:hyperlink>
    </w:p>
    <w:p w14:paraId="7A95BA2D" w14:textId="0E2806DC"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16" w:history="1">
        <w:r w:rsidR="00A63672" w:rsidRPr="00330130">
          <w:rPr>
            <w:rStyle w:val="Hyperlink"/>
          </w:rPr>
          <w:t>Near miss</w:t>
        </w:r>
        <w:r w:rsidR="00A63672">
          <w:rPr>
            <w:webHidden/>
          </w:rPr>
          <w:tab/>
        </w:r>
        <w:r w:rsidR="00A63672">
          <w:rPr>
            <w:webHidden/>
          </w:rPr>
          <w:fldChar w:fldCharType="begin"/>
        </w:r>
        <w:r w:rsidR="00A63672">
          <w:rPr>
            <w:webHidden/>
          </w:rPr>
          <w:instrText xml:space="preserve"> PAGEREF _Toc174440016 \h </w:instrText>
        </w:r>
        <w:r w:rsidR="00A63672">
          <w:rPr>
            <w:webHidden/>
          </w:rPr>
        </w:r>
        <w:r w:rsidR="00A63672">
          <w:rPr>
            <w:webHidden/>
          </w:rPr>
          <w:fldChar w:fldCharType="separate"/>
        </w:r>
        <w:r w:rsidR="00A63672">
          <w:rPr>
            <w:webHidden/>
          </w:rPr>
          <w:t>36</w:t>
        </w:r>
        <w:r w:rsidR="00A63672">
          <w:rPr>
            <w:webHidden/>
          </w:rPr>
          <w:fldChar w:fldCharType="end"/>
        </w:r>
      </w:hyperlink>
    </w:p>
    <w:p w14:paraId="5D1437E6" w14:textId="31381421"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17" w:history="1">
        <w:r w:rsidR="00A63672" w:rsidRPr="00330130">
          <w:rPr>
            <w:rStyle w:val="Hyperlink"/>
          </w:rPr>
          <w:t>Wrong blood in tube (WBIT)</w:t>
        </w:r>
        <w:r w:rsidR="00A63672">
          <w:rPr>
            <w:webHidden/>
          </w:rPr>
          <w:tab/>
        </w:r>
        <w:r w:rsidR="00A63672">
          <w:rPr>
            <w:webHidden/>
          </w:rPr>
          <w:fldChar w:fldCharType="begin"/>
        </w:r>
        <w:r w:rsidR="00A63672">
          <w:rPr>
            <w:webHidden/>
          </w:rPr>
          <w:instrText xml:space="preserve"> PAGEREF _Toc174440017 \h </w:instrText>
        </w:r>
        <w:r w:rsidR="00A63672">
          <w:rPr>
            <w:webHidden/>
          </w:rPr>
        </w:r>
        <w:r w:rsidR="00A63672">
          <w:rPr>
            <w:webHidden/>
          </w:rPr>
          <w:fldChar w:fldCharType="separate"/>
        </w:r>
        <w:r w:rsidR="00A63672">
          <w:rPr>
            <w:webHidden/>
          </w:rPr>
          <w:t>38</w:t>
        </w:r>
        <w:r w:rsidR="00A63672">
          <w:rPr>
            <w:webHidden/>
          </w:rPr>
          <w:fldChar w:fldCharType="end"/>
        </w:r>
      </w:hyperlink>
    </w:p>
    <w:p w14:paraId="6BB14D71" w14:textId="2D78D223"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18" w:history="1">
        <w:r w:rsidR="00A63672" w:rsidRPr="00330130">
          <w:rPr>
            <w:rStyle w:val="Hyperlink"/>
          </w:rPr>
          <w:t>RhD immunoglobulin (RhD Ig) errors</w:t>
        </w:r>
        <w:r w:rsidR="00A63672">
          <w:rPr>
            <w:webHidden/>
          </w:rPr>
          <w:tab/>
        </w:r>
        <w:r w:rsidR="00A63672">
          <w:rPr>
            <w:webHidden/>
          </w:rPr>
          <w:fldChar w:fldCharType="begin"/>
        </w:r>
        <w:r w:rsidR="00A63672">
          <w:rPr>
            <w:webHidden/>
          </w:rPr>
          <w:instrText xml:space="preserve"> PAGEREF _Toc174440018 \h </w:instrText>
        </w:r>
        <w:r w:rsidR="00A63672">
          <w:rPr>
            <w:webHidden/>
          </w:rPr>
        </w:r>
        <w:r w:rsidR="00A63672">
          <w:rPr>
            <w:webHidden/>
          </w:rPr>
          <w:fldChar w:fldCharType="separate"/>
        </w:r>
        <w:r w:rsidR="00A63672">
          <w:rPr>
            <w:webHidden/>
          </w:rPr>
          <w:t>42</w:t>
        </w:r>
        <w:r w:rsidR="00A63672">
          <w:rPr>
            <w:webHidden/>
          </w:rPr>
          <w:fldChar w:fldCharType="end"/>
        </w:r>
      </w:hyperlink>
    </w:p>
    <w:p w14:paraId="0BF4CE8E" w14:textId="14331261" w:rsidR="00A63672" w:rsidRDefault="00DE2CE1">
      <w:pPr>
        <w:pStyle w:val="TOC2"/>
        <w:rPr>
          <w:rFonts w:asciiTheme="minorHAnsi" w:eastAsiaTheme="minorEastAsia" w:hAnsiTheme="minorHAnsi" w:cstheme="minorBidi"/>
          <w:color w:val="auto"/>
          <w:kern w:val="2"/>
          <w:sz w:val="24"/>
          <w:szCs w:val="24"/>
          <w:lang w:eastAsia="en-GB"/>
          <w14:ligatures w14:val="standardContextual"/>
        </w:rPr>
      </w:pPr>
      <w:hyperlink w:anchor="_Toc174440019" w:history="1">
        <w:r w:rsidR="00A63672" w:rsidRPr="00330130">
          <w:rPr>
            <w:rStyle w:val="Hyperlink"/>
          </w:rPr>
          <w:t>Cell salvage</w:t>
        </w:r>
        <w:r w:rsidR="00A63672">
          <w:rPr>
            <w:webHidden/>
          </w:rPr>
          <w:tab/>
        </w:r>
        <w:r w:rsidR="00A63672">
          <w:rPr>
            <w:webHidden/>
          </w:rPr>
          <w:fldChar w:fldCharType="begin"/>
        </w:r>
        <w:r w:rsidR="00A63672">
          <w:rPr>
            <w:webHidden/>
          </w:rPr>
          <w:instrText xml:space="preserve"> PAGEREF _Toc174440019 \h </w:instrText>
        </w:r>
        <w:r w:rsidR="00A63672">
          <w:rPr>
            <w:webHidden/>
          </w:rPr>
        </w:r>
        <w:r w:rsidR="00A63672">
          <w:rPr>
            <w:webHidden/>
          </w:rPr>
          <w:fldChar w:fldCharType="separate"/>
        </w:r>
        <w:r w:rsidR="00A63672">
          <w:rPr>
            <w:webHidden/>
          </w:rPr>
          <w:t>44</w:t>
        </w:r>
        <w:r w:rsidR="00A63672">
          <w:rPr>
            <w:webHidden/>
          </w:rPr>
          <w:fldChar w:fldCharType="end"/>
        </w:r>
      </w:hyperlink>
    </w:p>
    <w:p w14:paraId="49A4E3A5" w14:textId="69FBA696"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40020" w:history="1">
        <w:r w:rsidR="00A63672" w:rsidRPr="00330130">
          <w:rPr>
            <w:rStyle w:val="Hyperlink"/>
          </w:rPr>
          <w:t>References</w:t>
        </w:r>
        <w:r w:rsidR="00A63672">
          <w:rPr>
            <w:webHidden/>
          </w:rPr>
          <w:tab/>
        </w:r>
        <w:r w:rsidR="00A63672">
          <w:rPr>
            <w:webHidden/>
          </w:rPr>
          <w:fldChar w:fldCharType="begin"/>
        </w:r>
        <w:r w:rsidR="00A63672">
          <w:rPr>
            <w:webHidden/>
          </w:rPr>
          <w:instrText xml:space="preserve"> PAGEREF _Toc174440020 \h </w:instrText>
        </w:r>
        <w:r w:rsidR="00A63672">
          <w:rPr>
            <w:webHidden/>
          </w:rPr>
        </w:r>
        <w:r w:rsidR="00A63672">
          <w:rPr>
            <w:webHidden/>
          </w:rPr>
          <w:fldChar w:fldCharType="separate"/>
        </w:r>
        <w:r w:rsidR="00A63672">
          <w:rPr>
            <w:webHidden/>
          </w:rPr>
          <w:t>45</w:t>
        </w:r>
        <w:r w:rsidR="00A63672">
          <w:rPr>
            <w:webHidden/>
          </w:rPr>
          <w:fldChar w:fldCharType="end"/>
        </w:r>
      </w:hyperlink>
    </w:p>
    <w:p w14:paraId="55BE0469" w14:textId="6F0EB49D"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40021" w:history="1">
        <w:r w:rsidR="00A63672" w:rsidRPr="00330130">
          <w:rPr>
            <w:rStyle w:val="Hyperlink"/>
          </w:rPr>
          <w:t>Appendix 1: STIR Expert Group members</w:t>
        </w:r>
        <w:r w:rsidR="00A63672">
          <w:rPr>
            <w:webHidden/>
          </w:rPr>
          <w:tab/>
        </w:r>
        <w:r w:rsidR="00A63672">
          <w:rPr>
            <w:webHidden/>
          </w:rPr>
          <w:fldChar w:fldCharType="begin"/>
        </w:r>
        <w:r w:rsidR="00A63672">
          <w:rPr>
            <w:webHidden/>
          </w:rPr>
          <w:instrText xml:space="preserve"> PAGEREF _Toc174440021 \h </w:instrText>
        </w:r>
        <w:r w:rsidR="00A63672">
          <w:rPr>
            <w:webHidden/>
          </w:rPr>
        </w:r>
        <w:r w:rsidR="00A63672">
          <w:rPr>
            <w:webHidden/>
          </w:rPr>
          <w:fldChar w:fldCharType="separate"/>
        </w:r>
        <w:r w:rsidR="00A63672">
          <w:rPr>
            <w:webHidden/>
          </w:rPr>
          <w:t>46</w:t>
        </w:r>
        <w:r w:rsidR="00A63672">
          <w:rPr>
            <w:webHidden/>
          </w:rPr>
          <w:fldChar w:fldCharType="end"/>
        </w:r>
      </w:hyperlink>
    </w:p>
    <w:p w14:paraId="75BC1751" w14:textId="175A1DB9"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40022" w:history="1">
        <w:r w:rsidR="00A63672" w:rsidRPr="00330130">
          <w:rPr>
            <w:rStyle w:val="Hyperlink"/>
          </w:rPr>
          <w:t>Appendix 2: STIR publications and promotions</w:t>
        </w:r>
        <w:r w:rsidR="00A63672">
          <w:rPr>
            <w:webHidden/>
          </w:rPr>
          <w:tab/>
        </w:r>
        <w:r w:rsidR="00A63672">
          <w:rPr>
            <w:webHidden/>
          </w:rPr>
          <w:fldChar w:fldCharType="begin"/>
        </w:r>
        <w:r w:rsidR="00A63672">
          <w:rPr>
            <w:webHidden/>
          </w:rPr>
          <w:instrText xml:space="preserve"> PAGEREF _Toc174440022 \h </w:instrText>
        </w:r>
        <w:r w:rsidR="00A63672">
          <w:rPr>
            <w:webHidden/>
          </w:rPr>
        </w:r>
        <w:r w:rsidR="00A63672">
          <w:rPr>
            <w:webHidden/>
          </w:rPr>
          <w:fldChar w:fldCharType="separate"/>
        </w:r>
        <w:r w:rsidR="00A63672">
          <w:rPr>
            <w:webHidden/>
          </w:rPr>
          <w:t>47</w:t>
        </w:r>
        <w:r w:rsidR="00A63672">
          <w:rPr>
            <w:webHidden/>
          </w:rPr>
          <w:fldChar w:fldCharType="end"/>
        </w:r>
      </w:hyperlink>
    </w:p>
    <w:p w14:paraId="606A119D" w14:textId="682F7981"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40025" w:history="1">
        <w:r w:rsidR="00A63672" w:rsidRPr="00330130">
          <w:rPr>
            <w:rStyle w:val="Hyperlink"/>
          </w:rPr>
          <w:t>Appendix 3: Imputability and severity scores</w:t>
        </w:r>
        <w:r w:rsidR="00A63672">
          <w:rPr>
            <w:webHidden/>
          </w:rPr>
          <w:tab/>
        </w:r>
        <w:r w:rsidR="00A63672">
          <w:rPr>
            <w:webHidden/>
          </w:rPr>
          <w:fldChar w:fldCharType="begin"/>
        </w:r>
        <w:r w:rsidR="00A63672">
          <w:rPr>
            <w:webHidden/>
          </w:rPr>
          <w:instrText xml:space="preserve"> PAGEREF _Toc174440025 \h </w:instrText>
        </w:r>
        <w:r w:rsidR="00A63672">
          <w:rPr>
            <w:webHidden/>
          </w:rPr>
        </w:r>
        <w:r w:rsidR="00A63672">
          <w:rPr>
            <w:webHidden/>
          </w:rPr>
          <w:fldChar w:fldCharType="separate"/>
        </w:r>
        <w:r w:rsidR="00A63672">
          <w:rPr>
            <w:webHidden/>
          </w:rPr>
          <w:t>48</w:t>
        </w:r>
        <w:r w:rsidR="00A63672">
          <w:rPr>
            <w:webHidden/>
          </w:rPr>
          <w:fldChar w:fldCharType="end"/>
        </w:r>
      </w:hyperlink>
    </w:p>
    <w:p w14:paraId="07A65D5A" w14:textId="04FCF855"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40028" w:history="1">
        <w:r w:rsidR="00A63672" w:rsidRPr="00330130">
          <w:rPr>
            <w:rStyle w:val="Hyperlink"/>
          </w:rPr>
          <w:t>Appendix 4: Case studies</w:t>
        </w:r>
        <w:r w:rsidR="00A63672">
          <w:rPr>
            <w:webHidden/>
          </w:rPr>
          <w:tab/>
        </w:r>
        <w:r w:rsidR="00A63672">
          <w:rPr>
            <w:webHidden/>
          </w:rPr>
          <w:fldChar w:fldCharType="begin"/>
        </w:r>
        <w:r w:rsidR="00A63672">
          <w:rPr>
            <w:webHidden/>
          </w:rPr>
          <w:instrText xml:space="preserve"> PAGEREF _Toc174440028 \h </w:instrText>
        </w:r>
        <w:r w:rsidR="00A63672">
          <w:rPr>
            <w:webHidden/>
          </w:rPr>
        </w:r>
        <w:r w:rsidR="00A63672">
          <w:rPr>
            <w:webHidden/>
          </w:rPr>
          <w:fldChar w:fldCharType="separate"/>
        </w:r>
        <w:r w:rsidR="00A63672">
          <w:rPr>
            <w:webHidden/>
          </w:rPr>
          <w:t>49</w:t>
        </w:r>
        <w:r w:rsidR="00A63672">
          <w:rPr>
            <w:webHidden/>
          </w:rPr>
          <w:fldChar w:fldCharType="end"/>
        </w:r>
      </w:hyperlink>
    </w:p>
    <w:p w14:paraId="1457FF65" w14:textId="41FC2F6A" w:rsidR="00A63672" w:rsidRDefault="00DE2CE1">
      <w:pPr>
        <w:pStyle w:val="TOC1"/>
        <w:rPr>
          <w:rFonts w:asciiTheme="minorHAnsi" w:eastAsiaTheme="minorEastAsia" w:hAnsiTheme="minorHAnsi" w:cstheme="minorBidi"/>
          <w:b w:val="0"/>
          <w:color w:val="auto"/>
          <w:kern w:val="2"/>
          <w:sz w:val="24"/>
          <w:szCs w:val="24"/>
          <w:lang w:eastAsia="en-GB"/>
          <w14:ligatures w14:val="standardContextual"/>
        </w:rPr>
      </w:pPr>
      <w:hyperlink w:anchor="_Toc174440029" w:history="1">
        <w:r w:rsidR="00A63672" w:rsidRPr="00330130">
          <w:rPr>
            <w:rStyle w:val="Hyperlink"/>
          </w:rPr>
          <w:t>Appendix 5: STIR timeline</w:t>
        </w:r>
        <w:r w:rsidR="00A63672">
          <w:rPr>
            <w:webHidden/>
          </w:rPr>
          <w:tab/>
        </w:r>
        <w:r w:rsidR="00A63672">
          <w:rPr>
            <w:webHidden/>
          </w:rPr>
          <w:fldChar w:fldCharType="begin"/>
        </w:r>
        <w:r w:rsidR="00A63672">
          <w:rPr>
            <w:webHidden/>
          </w:rPr>
          <w:instrText xml:space="preserve"> PAGEREF _Toc174440029 \h </w:instrText>
        </w:r>
        <w:r w:rsidR="00A63672">
          <w:rPr>
            <w:webHidden/>
          </w:rPr>
        </w:r>
        <w:r w:rsidR="00A63672">
          <w:rPr>
            <w:webHidden/>
          </w:rPr>
          <w:fldChar w:fldCharType="separate"/>
        </w:r>
        <w:r w:rsidR="00A63672">
          <w:rPr>
            <w:webHidden/>
          </w:rPr>
          <w:t>50</w:t>
        </w:r>
        <w:r w:rsidR="00A63672">
          <w:rPr>
            <w:webHidden/>
          </w:rPr>
          <w:fldChar w:fldCharType="end"/>
        </w:r>
      </w:hyperlink>
    </w:p>
    <w:p w14:paraId="40E76845" w14:textId="7AE6957A" w:rsidR="00FB1F6E" w:rsidRDefault="00AD784C" w:rsidP="00CE55B3">
      <w:pPr>
        <w:pStyle w:val="Body"/>
      </w:pPr>
      <w:r>
        <w:fldChar w:fldCharType="end"/>
      </w:r>
      <w:r w:rsidR="00FB1F6E">
        <w:br w:type="page"/>
      </w:r>
    </w:p>
    <w:p w14:paraId="4768C2A5" w14:textId="6AC9D0F4" w:rsidR="00EE29AD" w:rsidRDefault="007C0D8B" w:rsidP="00562811">
      <w:pPr>
        <w:pStyle w:val="Heading1"/>
        <w:spacing w:before="0"/>
      </w:pPr>
      <w:bookmarkStart w:id="4" w:name="_Toc174439987"/>
      <w:bookmarkEnd w:id="3"/>
      <w:r>
        <w:lastRenderedPageBreak/>
        <w:t>Acknowledgements</w:t>
      </w:r>
      <w:bookmarkEnd w:id="4"/>
    </w:p>
    <w:p w14:paraId="1A9F33B3" w14:textId="1DEA39C6" w:rsidR="007C0D8B" w:rsidRPr="007C0D8B" w:rsidRDefault="007C0D8B" w:rsidP="007C0D8B">
      <w:pPr>
        <w:pStyle w:val="Body"/>
      </w:pPr>
      <w:r w:rsidRPr="007C0D8B">
        <w:t xml:space="preserve">The Serious Transfusion Incident Reporting (STIR) </w:t>
      </w:r>
      <w:r w:rsidR="003B3212">
        <w:t>system</w:t>
      </w:r>
      <w:r w:rsidR="003B3212" w:rsidRPr="007C0D8B">
        <w:t xml:space="preserve"> </w:t>
      </w:r>
      <w:r w:rsidRPr="007C0D8B">
        <w:t>is part of the work of the Blood Matters program</w:t>
      </w:r>
      <w:r w:rsidR="00F00550">
        <w:t>. Blood Matters is</w:t>
      </w:r>
      <w:r w:rsidR="00F00550" w:rsidRPr="007C0D8B">
        <w:t xml:space="preserve"> </w:t>
      </w:r>
      <w:r w:rsidRPr="007C0D8B">
        <w:t xml:space="preserve">a collaboration between the Victorian Department of Health and Australian Red Cross Lifeblood (Lifeblood). </w:t>
      </w:r>
      <w:r w:rsidR="00F00550">
        <w:t>STIR provides</w:t>
      </w:r>
      <w:r w:rsidRPr="007C0D8B">
        <w:t xml:space="preserve"> </w:t>
      </w:r>
      <w:proofErr w:type="spellStart"/>
      <w:r w:rsidRPr="007C0D8B">
        <w:t>haemovigilance</w:t>
      </w:r>
      <w:proofErr w:type="spellEnd"/>
      <w:r w:rsidRPr="007C0D8B">
        <w:t xml:space="preserve"> information </w:t>
      </w:r>
      <w:r w:rsidR="00F00550">
        <w:t xml:space="preserve">to </w:t>
      </w:r>
      <w:r w:rsidRPr="007C0D8B">
        <w:t xml:space="preserve">support </w:t>
      </w:r>
      <w:r w:rsidR="003B3212">
        <w:t>safer</w:t>
      </w:r>
      <w:r w:rsidR="003B3212" w:rsidRPr="007C0D8B">
        <w:t xml:space="preserve"> </w:t>
      </w:r>
      <w:r w:rsidRPr="007C0D8B">
        <w:t>transfusion practice.</w:t>
      </w:r>
    </w:p>
    <w:p w14:paraId="688F2747" w14:textId="37C9BB16" w:rsidR="007C0D8B" w:rsidRPr="007C0D8B" w:rsidRDefault="007C0D8B" w:rsidP="007C0D8B">
      <w:pPr>
        <w:pStyle w:val="Body"/>
      </w:pPr>
      <w:r w:rsidRPr="007C0D8B">
        <w:t xml:space="preserve">Public and private health services in Victoria, Tasmania, Australian Capital Territory and Northern Territory contribute to the </w:t>
      </w:r>
      <w:r w:rsidR="003B3212">
        <w:t>system</w:t>
      </w:r>
      <w:r w:rsidRPr="007C0D8B">
        <w:t xml:space="preserve">. This </w:t>
      </w:r>
      <w:r w:rsidR="00F00550">
        <w:t>allows us to keep providing information</w:t>
      </w:r>
      <w:r w:rsidRPr="007C0D8B">
        <w:t xml:space="preserve"> and recommendations for best practice. </w:t>
      </w:r>
    </w:p>
    <w:p w14:paraId="5A658053" w14:textId="511B0DA3" w:rsidR="007C0D8B" w:rsidRPr="007C0D8B" w:rsidRDefault="007C0D8B" w:rsidP="007C0D8B">
      <w:pPr>
        <w:pStyle w:val="Body"/>
      </w:pPr>
      <w:r w:rsidRPr="007C0D8B">
        <w:t xml:space="preserve">Blood Matters recognises and appreciates the generous in-kind support of the STIR </w:t>
      </w:r>
      <w:r w:rsidR="00F324E7">
        <w:t>E</w:t>
      </w:r>
      <w:r w:rsidR="00F324E7" w:rsidRPr="007C0D8B">
        <w:t xml:space="preserve">xpert </w:t>
      </w:r>
      <w:r w:rsidR="00F324E7">
        <w:t>G</w:t>
      </w:r>
      <w:r w:rsidR="00F324E7" w:rsidRPr="007C0D8B">
        <w:t>roup</w:t>
      </w:r>
      <w:r w:rsidRPr="007C0D8B">
        <w:t>, whose input is invaluable in reviewing the incidents and providing recommendations and direction for the work.</w:t>
      </w:r>
    </w:p>
    <w:p w14:paraId="3AEDF6EB" w14:textId="77777777" w:rsidR="00F00550" w:rsidRDefault="00F00550">
      <w:pPr>
        <w:spacing w:after="0" w:line="240" w:lineRule="auto"/>
        <w:rPr>
          <w:rFonts w:eastAsia="MS Gothic" w:cs="Arial"/>
          <w:bCs/>
          <w:color w:val="AF272F"/>
          <w:kern w:val="32"/>
          <w:sz w:val="44"/>
          <w:szCs w:val="44"/>
        </w:rPr>
      </w:pPr>
      <w:bookmarkStart w:id="5" w:name="_Toc136329752"/>
      <w:bookmarkStart w:id="6" w:name="_Hlk63948051"/>
      <w:r>
        <w:br w:type="page"/>
      </w:r>
    </w:p>
    <w:p w14:paraId="429DF2C1" w14:textId="68FFDDD4" w:rsidR="00ED7762" w:rsidRDefault="007C0D8B" w:rsidP="00B94C5E">
      <w:pPr>
        <w:pStyle w:val="Heading1"/>
      </w:pPr>
      <w:bookmarkStart w:id="7" w:name="_Toc174439988"/>
      <w:r w:rsidRPr="007C0D8B">
        <w:lastRenderedPageBreak/>
        <w:t>Abbreviations and acronyms</w:t>
      </w:r>
      <w:bookmarkEnd w:id="5"/>
      <w:bookmarkEnd w:id="7"/>
      <w:r w:rsidRPr="007C0D8B">
        <w:t xml:space="preserve"> </w:t>
      </w:r>
    </w:p>
    <w:tbl>
      <w:tblPr>
        <w:tblStyle w:val="GridTable2-Accent2"/>
        <w:tblW w:w="0" w:type="auto"/>
        <w:tblLook w:val="04A0" w:firstRow="1" w:lastRow="0" w:firstColumn="1" w:lastColumn="0" w:noHBand="0" w:noVBand="1"/>
      </w:tblPr>
      <w:tblGrid>
        <w:gridCol w:w="3397"/>
        <w:gridCol w:w="5891"/>
      </w:tblGrid>
      <w:tr w:rsidR="003A16F9" w14:paraId="53AA3ECC"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960FB39" w14:textId="7EC844C6" w:rsidR="003A16F9" w:rsidRPr="008009ED" w:rsidRDefault="003A16F9" w:rsidP="000565F7">
            <w:pPr>
              <w:pStyle w:val="Tablecolhead"/>
              <w:rPr>
                <w:b/>
                <w:bCs w:val="0"/>
              </w:rPr>
            </w:pPr>
            <w:r w:rsidRPr="008009ED">
              <w:rPr>
                <w:b/>
                <w:bCs w:val="0"/>
              </w:rPr>
              <w:t>Abbreviation/acronym</w:t>
            </w:r>
          </w:p>
        </w:tc>
        <w:tc>
          <w:tcPr>
            <w:tcW w:w="0" w:type="dxa"/>
          </w:tcPr>
          <w:p w14:paraId="689267F0" w14:textId="380EAA1E" w:rsidR="003A16F9" w:rsidRPr="008009ED" w:rsidRDefault="003A16F9" w:rsidP="000565F7">
            <w:pPr>
              <w:pStyle w:val="Tablecolhead"/>
              <w:cnfStyle w:val="100000000000" w:firstRow="1" w:lastRow="0" w:firstColumn="0" w:lastColumn="0" w:oddVBand="0" w:evenVBand="0" w:oddHBand="0" w:evenHBand="0" w:firstRowFirstColumn="0" w:firstRowLastColumn="0" w:lastRowFirstColumn="0" w:lastRowLastColumn="0"/>
              <w:rPr>
                <w:b/>
                <w:bCs w:val="0"/>
              </w:rPr>
            </w:pPr>
            <w:r w:rsidRPr="008009ED">
              <w:rPr>
                <w:b/>
                <w:bCs w:val="0"/>
              </w:rPr>
              <w:t>Definition</w:t>
            </w:r>
          </w:p>
        </w:tc>
      </w:tr>
      <w:tr w:rsidR="0059792B" w14:paraId="11F484B1"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1BCAC78" w14:textId="7C3FD32A" w:rsidR="0059792B" w:rsidRDefault="0059792B" w:rsidP="0059792B">
            <w:pPr>
              <w:pStyle w:val="Body"/>
            </w:pPr>
            <w:r w:rsidRPr="00186D2B">
              <w:t>AHTR</w:t>
            </w:r>
          </w:p>
        </w:tc>
        <w:tc>
          <w:tcPr>
            <w:tcW w:w="5891" w:type="dxa"/>
          </w:tcPr>
          <w:p w14:paraId="0E313CC2" w14:textId="3794F1C9" w:rsidR="0059792B" w:rsidRDefault="0059792B" w:rsidP="0059792B">
            <w:pPr>
              <w:pStyle w:val="Body"/>
              <w:cnfStyle w:val="000000100000" w:firstRow="0" w:lastRow="0" w:firstColumn="0" w:lastColumn="0" w:oddVBand="0" w:evenVBand="0" w:oddHBand="1" w:evenHBand="0" w:firstRowFirstColumn="0" w:firstRowLastColumn="0" w:lastRowFirstColumn="0" w:lastRowLastColumn="0"/>
            </w:pPr>
            <w:r w:rsidRPr="00311CD6">
              <w:t>acute haemolytic transfusion reaction</w:t>
            </w:r>
          </w:p>
        </w:tc>
      </w:tr>
      <w:tr w:rsidR="0059792B" w14:paraId="782C68D3"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67A229DC" w14:textId="3CDA2E8D" w:rsidR="00FB2BCF" w:rsidRPr="00311CD6" w:rsidRDefault="00FD52F3" w:rsidP="0059792B">
            <w:pPr>
              <w:pStyle w:val="Body"/>
            </w:pPr>
            <w:r w:rsidRPr="00186D2B">
              <w:t>ANZSBT</w:t>
            </w:r>
          </w:p>
        </w:tc>
        <w:tc>
          <w:tcPr>
            <w:tcW w:w="5891" w:type="dxa"/>
          </w:tcPr>
          <w:p w14:paraId="532CC91E" w14:textId="7F95EFFF" w:rsidR="0059792B" w:rsidRPr="00311CD6" w:rsidRDefault="00FB2BCF" w:rsidP="0059792B">
            <w:pPr>
              <w:pStyle w:val="Body"/>
              <w:cnfStyle w:val="000000000000" w:firstRow="0" w:lastRow="0" w:firstColumn="0" w:lastColumn="0" w:oddVBand="0" w:evenVBand="0" w:oddHBand="0" w:evenHBand="0" w:firstRowFirstColumn="0" w:firstRowLastColumn="0" w:lastRowFirstColumn="0" w:lastRowLastColumn="0"/>
            </w:pPr>
            <w:r>
              <w:t>Australian and New Zealand Society of Blood Transfusion</w:t>
            </w:r>
          </w:p>
        </w:tc>
      </w:tr>
      <w:tr w:rsidR="0059792B" w14:paraId="27588660"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C2A9EF9" w14:textId="11CCC4A0" w:rsidR="0059792B" w:rsidRPr="00414547" w:rsidRDefault="0059792B" w:rsidP="0059792B">
            <w:pPr>
              <w:pStyle w:val="Body"/>
            </w:pPr>
            <w:r w:rsidRPr="00186D2B">
              <w:t>ATR</w:t>
            </w:r>
          </w:p>
        </w:tc>
        <w:tc>
          <w:tcPr>
            <w:tcW w:w="5891" w:type="dxa"/>
          </w:tcPr>
          <w:p w14:paraId="6A21A234" w14:textId="1DBE6993" w:rsidR="0059792B" w:rsidRPr="00414547" w:rsidRDefault="003B3212" w:rsidP="0059792B">
            <w:pPr>
              <w:pStyle w:val="Body"/>
              <w:cnfStyle w:val="000000100000" w:firstRow="0" w:lastRow="0" w:firstColumn="0" w:lastColumn="0" w:oddVBand="0" w:evenVBand="0" w:oddHBand="1" w:evenHBand="0" w:firstRowFirstColumn="0" w:firstRowLastColumn="0" w:lastRowFirstColumn="0" w:lastRowLastColumn="0"/>
            </w:pPr>
            <w:r>
              <w:t>a</w:t>
            </w:r>
            <w:r w:rsidRPr="000101EC">
              <w:t xml:space="preserve">cute </w:t>
            </w:r>
            <w:r w:rsidR="0059792B" w:rsidRPr="000101EC">
              <w:t>transfusion reaction</w:t>
            </w:r>
          </w:p>
        </w:tc>
      </w:tr>
      <w:tr w:rsidR="00FD52F3" w14:paraId="42C1A270"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002D07D8" w14:textId="54C0E718" w:rsidR="00FD52F3" w:rsidRPr="000101EC" w:rsidRDefault="00FD52F3" w:rsidP="0059792B">
            <w:pPr>
              <w:pStyle w:val="Body"/>
            </w:pPr>
            <w:r>
              <w:t>BP</w:t>
            </w:r>
          </w:p>
        </w:tc>
        <w:tc>
          <w:tcPr>
            <w:tcW w:w="5891" w:type="dxa"/>
          </w:tcPr>
          <w:p w14:paraId="5A9289E9" w14:textId="19726FF5" w:rsidR="00FD52F3" w:rsidRPr="000101EC" w:rsidRDefault="003B3212" w:rsidP="0059792B">
            <w:pPr>
              <w:pStyle w:val="Body"/>
              <w:cnfStyle w:val="000000000000" w:firstRow="0" w:lastRow="0" w:firstColumn="0" w:lastColumn="0" w:oddVBand="0" w:evenVBand="0" w:oddHBand="0" w:evenHBand="0" w:firstRowFirstColumn="0" w:firstRowLastColumn="0" w:lastRowFirstColumn="0" w:lastRowLastColumn="0"/>
            </w:pPr>
            <w:r>
              <w:t xml:space="preserve">blood </w:t>
            </w:r>
            <w:r w:rsidR="00FD52F3">
              <w:t>pressure</w:t>
            </w:r>
          </w:p>
        </w:tc>
      </w:tr>
      <w:tr w:rsidR="007A753B" w14:paraId="45E9B492"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28236CB" w14:textId="75018DF9" w:rsidR="007A753B" w:rsidRDefault="007A753B" w:rsidP="0059792B">
            <w:pPr>
              <w:pStyle w:val="Body"/>
            </w:pPr>
            <w:r>
              <w:t>BPM</w:t>
            </w:r>
          </w:p>
        </w:tc>
        <w:tc>
          <w:tcPr>
            <w:tcW w:w="5891" w:type="dxa"/>
          </w:tcPr>
          <w:p w14:paraId="587CC6F6" w14:textId="69DC7E0D" w:rsidR="007A753B" w:rsidRDefault="007A753B" w:rsidP="0059792B">
            <w:pPr>
              <w:pStyle w:val="Body"/>
              <w:cnfStyle w:val="000000100000" w:firstRow="0" w:lastRow="0" w:firstColumn="0" w:lastColumn="0" w:oddVBand="0" w:evenVBand="0" w:oddHBand="1" w:evenHBand="0" w:firstRowFirstColumn="0" w:firstRowLastColumn="0" w:lastRowFirstColumn="0" w:lastRowLastColumn="0"/>
            </w:pPr>
            <w:r>
              <w:t>beats per minute</w:t>
            </w:r>
          </w:p>
        </w:tc>
      </w:tr>
      <w:tr w:rsidR="0059792B" w14:paraId="3F32773D"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4538056E" w14:textId="44115BF2" w:rsidR="0059792B" w:rsidRDefault="0059792B" w:rsidP="0059792B">
            <w:pPr>
              <w:pStyle w:val="Body"/>
            </w:pPr>
            <w:r w:rsidRPr="005A7B9B">
              <w:t>DHTR</w:t>
            </w:r>
          </w:p>
        </w:tc>
        <w:tc>
          <w:tcPr>
            <w:tcW w:w="5891" w:type="dxa"/>
          </w:tcPr>
          <w:p w14:paraId="11352754" w14:textId="7D712A21" w:rsidR="0059792B" w:rsidRDefault="003B3212" w:rsidP="0059792B">
            <w:pPr>
              <w:pStyle w:val="Body"/>
              <w:cnfStyle w:val="000000000000" w:firstRow="0" w:lastRow="0" w:firstColumn="0" w:lastColumn="0" w:oddVBand="0" w:evenVBand="0" w:oddHBand="0" w:evenHBand="0" w:firstRowFirstColumn="0" w:firstRowLastColumn="0" w:lastRowFirstColumn="0" w:lastRowLastColumn="0"/>
            </w:pPr>
            <w:r>
              <w:t>d</w:t>
            </w:r>
            <w:r w:rsidRPr="005A7B9B">
              <w:t xml:space="preserve">elayed </w:t>
            </w:r>
            <w:r w:rsidR="0059792B" w:rsidRPr="005A7B9B">
              <w:t>haemolytic transfusion reaction</w:t>
            </w:r>
          </w:p>
        </w:tc>
      </w:tr>
      <w:tr w:rsidR="0059792B" w14:paraId="592D4CFB"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7F2B0DD" w14:textId="6CD6DD04" w:rsidR="0059792B" w:rsidRDefault="0059792B" w:rsidP="0059792B">
            <w:pPr>
              <w:pStyle w:val="Body"/>
            </w:pPr>
            <w:r w:rsidRPr="00186D2B">
              <w:t>DSTR</w:t>
            </w:r>
          </w:p>
        </w:tc>
        <w:tc>
          <w:tcPr>
            <w:tcW w:w="5891" w:type="dxa"/>
          </w:tcPr>
          <w:p w14:paraId="1477F637" w14:textId="534F634F" w:rsidR="0059792B" w:rsidRDefault="003B3212" w:rsidP="0059792B">
            <w:pPr>
              <w:pStyle w:val="Body"/>
              <w:cnfStyle w:val="000000100000" w:firstRow="0" w:lastRow="0" w:firstColumn="0" w:lastColumn="0" w:oddVBand="0" w:evenVBand="0" w:oddHBand="1" w:evenHBand="0" w:firstRowFirstColumn="0" w:firstRowLastColumn="0" w:lastRowFirstColumn="0" w:lastRowLastColumn="0"/>
            </w:pPr>
            <w:r>
              <w:t>d</w:t>
            </w:r>
            <w:r w:rsidRPr="005A7B9B">
              <w:t xml:space="preserve">elayed </w:t>
            </w:r>
            <w:r w:rsidR="0059792B" w:rsidRPr="005A7B9B">
              <w:t>serologic transfusion reaction</w:t>
            </w:r>
          </w:p>
        </w:tc>
      </w:tr>
      <w:tr w:rsidR="004B1672" w14:paraId="1E1569CD"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2D3B284E" w14:textId="30B785BE" w:rsidR="004B1672" w:rsidRPr="00186D2B" w:rsidRDefault="004B1672" w:rsidP="0059792B">
            <w:pPr>
              <w:pStyle w:val="Body"/>
            </w:pPr>
            <w:r>
              <w:t>ED</w:t>
            </w:r>
          </w:p>
        </w:tc>
        <w:tc>
          <w:tcPr>
            <w:tcW w:w="5891" w:type="dxa"/>
          </w:tcPr>
          <w:p w14:paraId="51860908" w14:textId="6341C419" w:rsidR="004B1672" w:rsidRPr="005A7B9B" w:rsidRDefault="003B3212" w:rsidP="0059792B">
            <w:pPr>
              <w:pStyle w:val="Body"/>
              <w:cnfStyle w:val="000000000000" w:firstRow="0" w:lastRow="0" w:firstColumn="0" w:lastColumn="0" w:oddVBand="0" w:evenVBand="0" w:oddHBand="0" w:evenHBand="0" w:firstRowFirstColumn="0" w:firstRowLastColumn="0" w:lastRowFirstColumn="0" w:lastRowLastColumn="0"/>
            </w:pPr>
            <w:r>
              <w:t xml:space="preserve">emergency </w:t>
            </w:r>
            <w:r w:rsidR="004B1672">
              <w:t>department</w:t>
            </w:r>
          </w:p>
        </w:tc>
      </w:tr>
      <w:tr w:rsidR="006C4B77" w14:paraId="79C9E98F"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31FA731" w14:textId="7986076C" w:rsidR="006C4B77" w:rsidRPr="00186D2B" w:rsidRDefault="006C4B77" w:rsidP="0059792B">
            <w:pPr>
              <w:pStyle w:val="Body"/>
            </w:pPr>
            <w:r>
              <w:t>EMR</w:t>
            </w:r>
          </w:p>
        </w:tc>
        <w:tc>
          <w:tcPr>
            <w:tcW w:w="5891" w:type="dxa"/>
          </w:tcPr>
          <w:p w14:paraId="105DCE8E" w14:textId="6D431C8A" w:rsidR="006C4B77" w:rsidRPr="005A7B9B" w:rsidRDefault="003B3212" w:rsidP="0059792B">
            <w:pPr>
              <w:pStyle w:val="Body"/>
              <w:cnfStyle w:val="000000100000" w:firstRow="0" w:lastRow="0" w:firstColumn="0" w:lastColumn="0" w:oddVBand="0" w:evenVBand="0" w:oddHBand="1" w:evenHBand="0" w:firstRowFirstColumn="0" w:firstRowLastColumn="0" w:lastRowFirstColumn="0" w:lastRowLastColumn="0"/>
            </w:pPr>
            <w:r>
              <w:t xml:space="preserve">electronic </w:t>
            </w:r>
            <w:r w:rsidR="006C4B77">
              <w:t>medical records</w:t>
            </w:r>
          </w:p>
        </w:tc>
      </w:tr>
      <w:tr w:rsidR="0050062F" w14:paraId="68930CFB"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036E5E23" w14:textId="3956E5F0" w:rsidR="0050062F" w:rsidRDefault="0050062F" w:rsidP="0059792B">
            <w:pPr>
              <w:pStyle w:val="Body"/>
            </w:pPr>
            <w:r>
              <w:t>FBE</w:t>
            </w:r>
          </w:p>
        </w:tc>
        <w:tc>
          <w:tcPr>
            <w:tcW w:w="5891" w:type="dxa"/>
          </w:tcPr>
          <w:p w14:paraId="3C1E1186" w14:textId="7FE2263A" w:rsidR="0050062F" w:rsidRDefault="003B3212" w:rsidP="0059792B">
            <w:pPr>
              <w:pStyle w:val="Body"/>
              <w:cnfStyle w:val="000000000000" w:firstRow="0" w:lastRow="0" w:firstColumn="0" w:lastColumn="0" w:oddVBand="0" w:evenVBand="0" w:oddHBand="0" w:evenHBand="0" w:firstRowFirstColumn="0" w:firstRowLastColumn="0" w:lastRowFirstColumn="0" w:lastRowLastColumn="0"/>
            </w:pPr>
            <w:r>
              <w:t xml:space="preserve">full </w:t>
            </w:r>
            <w:r w:rsidR="0050062F">
              <w:t>blood examination</w:t>
            </w:r>
          </w:p>
        </w:tc>
      </w:tr>
      <w:tr w:rsidR="0059792B" w14:paraId="35DB5AA5"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E154212" w14:textId="4FD62DD6" w:rsidR="0059792B" w:rsidRDefault="0059792B" w:rsidP="0059792B">
            <w:pPr>
              <w:pStyle w:val="Body"/>
            </w:pPr>
            <w:r w:rsidRPr="004F470C">
              <w:t>FFP</w:t>
            </w:r>
          </w:p>
        </w:tc>
        <w:tc>
          <w:tcPr>
            <w:tcW w:w="5891" w:type="dxa"/>
          </w:tcPr>
          <w:p w14:paraId="60945706" w14:textId="66A94B79" w:rsidR="0059792B" w:rsidRDefault="0059792B" w:rsidP="0059792B">
            <w:pPr>
              <w:pStyle w:val="Body"/>
              <w:cnfStyle w:val="000000100000" w:firstRow="0" w:lastRow="0" w:firstColumn="0" w:lastColumn="0" w:oddVBand="0" w:evenVBand="0" w:oddHBand="1" w:evenHBand="0" w:firstRowFirstColumn="0" w:firstRowLastColumn="0" w:lastRowFirstColumn="0" w:lastRowLastColumn="0"/>
            </w:pPr>
            <w:r w:rsidRPr="004F470C">
              <w:t>fresh frozen plasma</w:t>
            </w:r>
          </w:p>
        </w:tc>
      </w:tr>
      <w:tr w:rsidR="0059792B" w14:paraId="255D58F2"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4A81972B" w14:textId="64A4BDED" w:rsidR="0059792B" w:rsidRPr="00186D2B" w:rsidRDefault="0059792B" w:rsidP="0059792B">
            <w:pPr>
              <w:pStyle w:val="Body"/>
            </w:pPr>
            <w:r w:rsidRPr="00186D2B">
              <w:t>FNHTR</w:t>
            </w:r>
          </w:p>
        </w:tc>
        <w:tc>
          <w:tcPr>
            <w:tcW w:w="5891" w:type="dxa"/>
          </w:tcPr>
          <w:p w14:paraId="689132F9" w14:textId="1F1718FF" w:rsidR="0059792B" w:rsidRPr="004F470C" w:rsidRDefault="0059792B" w:rsidP="0059792B">
            <w:pPr>
              <w:pStyle w:val="Body"/>
              <w:cnfStyle w:val="000000000000" w:firstRow="0" w:lastRow="0" w:firstColumn="0" w:lastColumn="0" w:oddVBand="0" w:evenVBand="0" w:oddHBand="0" w:evenHBand="0" w:firstRowFirstColumn="0" w:firstRowLastColumn="0" w:lastRowFirstColumn="0" w:lastRowLastColumn="0"/>
            </w:pPr>
            <w:r w:rsidRPr="006B238C">
              <w:t>febrile non-haemolytic transfusion reaction</w:t>
            </w:r>
          </w:p>
        </w:tc>
      </w:tr>
      <w:tr w:rsidR="0059792B" w14:paraId="733359AE"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B314123" w14:textId="07C14DE8" w:rsidR="0059792B" w:rsidRPr="00186D2B" w:rsidRDefault="0059792B" w:rsidP="0059792B">
            <w:pPr>
              <w:pStyle w:val="Body"/>
            </w:pPr>
            <w:r w:rsidRPr="00186D2B">
              <w:t>FY23</w:t>
            </w:r>
          </w:p>
        </w:tc>
        <w:tc>
          <w:tcPr>
            <w:tcW w:w="5891" w:type="dxa"/>
          </w:tcPr>
          <w:p w14:paraId="6B9CA358" w14:textId="1DD674CE" w:rsidR="0059792B" w:rsidRDefault="0059792B" w:rsidP="0059792B">
            <w:pPr>
              <w:pStyle w:val="Body"/>
              <w:cnfStyle w:val="000000100000" w:firstRow="0" w:lastRow="0" w:firstColumn="0" w:lastColumn="0" w:oddVBand="0" w:evenVBand="0" w:oddHBand="1" w:evenHBand="0" w:firstRowFirstColumn="0" w:firstRowLastColumn="0" w:lastRowFirstColumn="0" w:lastRowLastColumn="0"/>
            </w:pPr>
            <w:r w:rsidRPr="004F470C">
              <w:t>financial year 23, 1 July 2022 – 30 June 2023</w:t>
            </w:r>
          </w:p>
        </w:tc>
      </w:tr>
      <w:tr w:rsidR="00FD52F3" w14:paraId="247ABED7"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25509195" w14:textId="2AF2E7AE" w:rsidR="00FD52F3" w:rsidRPr="004F470C" w:rsidRDefault="00FD52F3" w:rsidP="0059792B">
            <w:pPr>
              <w:pStyle w:val="Body"/>
            </w:pPr>
            <w:r>
              <w:t>Hb</w:t>
            </w:r>
          </w:p>
        </w:tc>
        <w:tc>
          <w:tcPr>
            <w:tcW w:w="5891" w:type="dxa"/>
          </w:tcPr>
          <w:p w14:paraId="1EEDD114" w14:textId="4C8B1563" w:rsidR="00FD52F3" w:rsidRPr="004F470C" w:rsidRDefault="00FD52F3" w:rsidP="0059792B">
            <w:pPr>
              <w:pStyle w:val="Body"/>
              <w:cnfStyle w:val="000000000000" w:firstRow="0" w:lastRow="0" w:firstColumn="0" w:lastColumn="0" w:oddVBand="0" w:evenVBand="0" w:oddHBand="0" w:evenHBand="0" w:firstRowFirstColumn="0" w:firstRowLastColumn="0" w:lastRowFirstColumn="0" w:lastRowLastColumn="0"/>
            </w:pPr>
            <w:r>
              <w:t>haemoglobin</w:t>
            </w:r>
          </w:p>
        </w:tc>
      </w:tr>
      <w:tr w:rsidR="0056661F" w14:paraId="0E6EBFA7"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5F6108E" w14:textId="7F3D1422" w:rsidR="0056661F" w:rsidRDefault="0056661F" w:rsidP="0059792B">
            <w:pPr>
              <w:pStyle w:val="Body"/>
            </w:pPr>
            <w:r>
              <w:t>HDFN</w:t>
            </w:r>
          </w:p>
        </w:tc>
        <w:tc>
          <w:tcPr>
            <w:tcW w:w="5891" w:type="dxa"/>
          </w:tcPr>
          <w:p w14:paraId="0BE5EAD6" w14:textId="68225CED" w:rsidR="0056661F" w:rsidRDefault="0056661F" w:rsidP="0059792B">
            <w:pPr>
              <w:pStyle w:val="Body"/>
              <w:cnfStyle w:val="000000100000" w:firstRow="0" w:lastRow="0" w:firstColumn="0" w:lastColumn="0" w:oddVBand="0" w:evenVBand="0" w:oddHBand="1" w:evenHBand="0" w:firstRowFirstColumn="0" w:firstRowLastColumn="0" w:lastRowFirstColumn="0" w:lastRowLastColumn="0"/>
            </w:pPr>
            <w:r>
              <w:t xml:space="preserve">haemolytic disease of the </w:t>
            </w:r>
            <w:r w:rsidR="000565F7">
              <w:t>foetus</w:t>
            </w:r>
            <w:r>
              <w:t xml:space="preserve"> and newborn</w:t>
            </w:r>
          </w:p>
        </w:tc>
      </w:tr>
      <w:tr w:rsidR="0059792B" w14:paraId="74AD84B8"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14046C03" w14:textId="54032DA4" w:rsidR="0059792B" w:rsidRDefault="0059792B" w:rsidP="0059792B">
            <w:pPr>
              <w:pStyle w:val="Body"/>
            </w:pPr>
            <w:r w:rsidRPr="00B4232A">
              <w:t>IBCT</w:t>
            </w:r>
          </w:p>
        </w:tc>
        <w:tc>
          <w:tcPr>
            <w:tcW w:w="5891" w:type="dxa"/>
          </w:tcPr>
          <w:p w14:paraId="08B0760D" w14:textId="27C35895" w:rsidR="0059792B" w:rsidRDefault="003B3212" w:rsidP="0059792B">
            <w:pPr>
              <w:pStyle w:val="Body"/>
              <w:cnfStyle w:val="000000000000" w:firstRow="0" w:lastRow="0" w:firstColumn="0" w:lastColumn="0" w:oddVBand="0" w:evenVBand="0" w:oddHBand="0" w:evenHBand="0" w:firstRowFirstColumn="0" w:firstRowLastColumn="0" w:lastRowFirstColumn="0" w:lastRowLastColumn="0"/>
            </w:pPr>
            <w:r>
              <w:t>i</w:t>
            </w:r>
            <w:r w:rsidRPr="00B4232A">
              <w:t xml:space="preserve">ncorrect </w:t>
            </w:r>
            <w:r w:rsidR="0059792B" w:rsidRPr="00B4232A">
              <w:t>blood component transfused</w:t>
            </w:r>
          </w:p>
        </w:tc>
      </w:tr>
      <w:tr w:rsidR="00FD52F3" w14:paraId="55CEB585"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C765BA1" w14:textId="1A1CACE1" w:rsidR="00FD52F3" w:rsidRPr="00B4232A" w:rsidRDefault="00FD52F3" w:rsidP="0059792B">
            <w:pPr>
              <w:pStyle w:val="Body"/>
            </w:pPr>
            <w:r>
              <w:t>ICU</w:t>
            </w:r>
          </w:p>
        </w:tc>
        <w:tc>
          <w:tcPr>
            <w:tcW w:w="5891" w:type="dxa"/>
          </w:tcPr>
          <w:p w14:paraId="43A6170A" w14:textId="5CD0D899" w:rsidR="00FD52F3" w:rsidRPr="00B4232A" w:rsidRDefault="003B3212" w:rsidP="0059792B">
            <w:pPr>
              <w:pStyle w:val="Body"/>
              <w:cnfStyle w:val="000000100000" w:firstRow="0" w:lastRow="0" w:firstColumn="0" w:lastColumn="0" w:oddVBand="0" w:evenVBand="0" w:oddHBand="1" w:evenHBand="0" w:firstRowFirstColumn="0" w:firstRowLastColumn="0" w:lastRowFirstColumn="0" w:lastRowLastColumn="0"/>
            </w:pPr>
            <w:r>
              <w:t>i</w:t>
            </w:r>
            <w:r w:rsidR="00FD52F3">
              <w:t>ntensive care unit</w:t>
            </w:r>
          </w:p>
        </w:tc>
      </w:tr>
      <w:tr w:rsidR="000A185C" w14:paraId="7637C13D"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3AB5C431" w14:textId="6565B565" w:rsidR="000A185C" w:rsidRPr="00B4232A" w:rsidRDefault="000A185C" w:rsidP="0059792B">
            <w:pPr>
              <w:pStyle w:val="Body"/>
            </w:pPr>
            <w:r>
              <w:t>IM</w:t>
            </w:r>
          </w:p>
        </w:tc>
        <w:tc>
          <w:tcPr>
            <w:tcW w:w="5891" w:type="dxa"/>
          </w:tcPr>
          <w:p w14:paraId="6A345F45" w14:textId="700830E6" w:rsidR="000A185C" w:rsidRPr="00B4232A" w:rsidRDefault="006C4B77" w:rsidP="0059792B">
            <w:pPr>
              <w:pStyle w:val="Body"/>
              <w:cnfStyle w:val="000000000000" w:firstRow="0" w:lastRow="0" w:firstColumn="0" w:lastColumn="0" w:oddVBand="0" w:evenVBand="0" w:oddHBand="0" w:evenHBand="0" w:firstRowFirstColumn="0" w:firstRowLastColumn="0" w:lastRowFirstColumn="0" w:lastRowLastColumn="0"/>
            </w:pPr>
            <w:r>
              <w:t>intramuscular</w:t>
            </w:r>
          </w:p>
        </w:tc>
      </w:tr>
      <w:tr w:rsidR="000A185C" w14:paraId="327288F6"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7856129" w14:textId="1C3D7317" w:rsidR="000A185C" w:rsidRPr="00B4232A" w:rsidRDefault="000A185C" w:rsidP="0059792B">
            <w:pPr>
              <w:pStyle w:val="Body"/>
            </w:pPr>
            <w:r>
              <w:t>INR</w:t>
            </w:r>
          </w:p>
        </w:tc>
        <w:tc>
          <w:tcPr>
            <w:tcW w:w="5891" w:type="dxa"/>
          </w:tcPr>
          <w:p w14:paraId="12ED3E0F" w14:textId="6AA05B32" w:rsidR="000A185C" w:rsidRPr="00B4232A" w:rsidRDefault="003B3212" w:rsidP="0059792B">
            <w:pPr>
              <w:pStyle w:val="Body"/>
              <w:cnfStyle w:val="000000100000" w:firstRow="0" w:lastRow="0" w:firstColumn="0" w:lastColumn="0" w:oddVBand="0" w:evenVBand="0" w:oddHBand="1" w:evenHBand="0" w:firstRowFirstColumn="0" w:firstRowLastColumn="0" w:lastRowFirstColumn="0" w:lastRowLastColumn="0"/>
            </w:pPr>
            <w:r>
              <w:t>i</w:t>
            </w:r>
            <w:r w:rsidR="000A185C">
              <w:t>nternational normalised ratio</w:t>
            </w:r>
          </w:p>
        </w:tc>
      </w:tr>
      <w:tr w:rsidR="00FD52F3" w14:paraId="4392B903"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4FCB1029" w14:textId="511AED5D" w:rsidR="00FD52F3" w:rsidRDefault="00FD52F3" w:rsidP="0059792B">
            <w:pPr>
              <w:pStyle w:val="Body"/>
            </w:pPr>
            <w:r>
              <w:t>IT</w:t>
            </w:r>
          </w:p>
        </w:tc>
        <w:tc>
          <w:tcPr>
            <w:tcW w:w="5891" w:type="dxa"/>
          </w:tcPr>
          <w:p w14:paraId="3C37CBD0" w14:textId="03A0DBD3" w:rsidR="00FD52F3" w:rsidRDefault="003B3212" w:rsidP="0059792B">
            <w:pPr>
              <w:pStyle w:val="Body"/>
              <w:cnfStyle w:val="000000000000" w:firstRow="0" w:lastRow="0" w:firstColumn="0" w:lastColumn="0" w:oddVBand="0" w:evenVBand="0" w:oddHBand="0" w:evenHBand="0" w:firstRowFirstColumn="0" w:firstRowLastColumn="0" w:lastRowFirstColumn="0" w:lastRowLastColumn="0"/>
            </w:pPr>
            <w:r>
              <w:t>i</w:t>
            </w:r>
            <w:r w:rsidR="006C4B77">
              <w:t>nformation technology</w:t>
            </w:r>
          </w:p>
        </w:tc>
      </w:tr>
      <w:tr w:rsidR="00062C83" w14:paraId="184080B3"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BD82BA0" w14:textId="7C5C1DBB" w:rsidR="00062C83" w:rsidRDefault="00062C83" w:rsidP="0059792B">
            <w:pPr>
              <w:pStyle w:val="Body"/>
            </w:pPr>
            <w:r>
              <w:t>IV</w:t>
            </w:r>
          </w:p>
        </w:tc>
        <w:tc>
          <w:tcPr>
            <w:tcW w:w="5891" w:type="dxa"/>
          </w:tcPr>
          <w:p w14:paraId="6F0E7236" w14:textId="5871C7B1" w:rsidR="00062C83" w:rsidRDefault="00062C83" w:rsidP="0059792B">
            <w:pPr>
              <w:pStyle w:val="Body"/>
              <w:cnfStyle w:val="000000100000" w:firstRow="0" w:lastRow="0" w:firstColumn="0" w:lastColumn="0" w:oddVBand="0" w:evenVBand="0" w:oddHBand="1" w:evenHBand="0" w:firstRowFirstColumn="0" w:firstRowLastColumn="0" w:lastRowFirstColumn="0" w:lastRowLastColumn="0"/>
            </w:pPr>
            <w:r>
              <w:t>intravenous</w:t>
            </w:r>
          </w:p>
        </w:tc>
      </w:tr>
      <w:tr w:rsidR="0059792B" w14:paraId="1DFAB9E4"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3FC9894B" w14:textId="44F9D35C" w:rsidR="0059792B" w:rsidRDefault="0059792B" w:rsidP="0059792B">
            <w:pPr>
              <w:pStyle w:val="Body"/>
            </w:pPr>
            <w:r w:rsidRPr="00A90D20">
              <w:t>Lifeblood</w:t>
            </w:r>
          </w:p>
        </w:tc>
        <w:tc>
          <w:tcPr>
            <w:tcW w:w="5891" w:type="dxa"/>
          </w:tcPr>
          <w:p w14:paraId="31A4E53A" w14:textId="3F2E5BF2" w:rsidR="0059792B" w:rsidRDefault="0059792B" w:rsidP="0059792B">
            <w:pPr>
              <w:pStyle w:val="Body"/>
              <w:cnfStyle w:val="000000000000" w:firstRow="0" w:lastRow="0" w:firstColumn="0" w:lastColumn="0" w:oddVBand="0" w:evenVBand="0" w:oddHBand="0" w:evenHBand="0" w:firstRowFirstColumn="0" w:firstRowLastColumn="0" w:lastRowFirstColumn="0" w:lastRowLastColumn="0"/>
            </w:pPr>
            <w:r w:rsidRPr="00A90D20">
              <w:t>Australian Red Cross Lifeblood</w:t>
            </w:r>
          </w:p>
        </w:tc>
      </w:tr>
      <w:tr w:rsidR="006C4B77" w14:paraId="36C15990"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10D42B8" w14:textId="2F1BA9F9" w:rsidR="006C4B77" w:rsidRPr="00A90D20" w:rsidRDefault="006C4B77" w:rsidP="0059792B">
            <w:pPr>
              <w:pStyle w:val="Body"/>
            </w:pPr>
            <w:r>
              <w:t>LIS</w:t>
            </w:r>
          </w:p>
        </w:tc>
        <w:tc>
          <w:tcPr>
            <w:tcW w:w="5891" w:type="dxa"/>
          </w:tcPr>
          <w:p w14:paraId="54C5790A" w14:textId="3AEF0C6B" w:rsidR="006C4B77" w:rsidRPr="00A90D20" w:rsidRDefault="006C4B77" w:rsidP="0059792B">
            <w:pPr>
              <w:pStyle w:val="Body"/>
              <w:cnfStyle w:val="000000100000" w:firstRow="0" w:lastRow="0" w:firstColumn="0" w:lastColumn="0" w:oddVBand="0" w:evenVBand="0" w:oddHBand="1" w:evenHBand="0" w:firstRowFirstColumn="0" w:firstRowLastColumn="0" w:lastRowFirstColumn="0" w:lastRowLastColumn="0"/>
            </w:pPr>
            <w:r>
              <w:t>laboratory information system</w:t>
            </w:r>
          </w:p>
        </w:tc>
      </w:tr>
      <w:tr w:rsidR="00F53189" w14:paraId="5783ACDD"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239128E2" w14:textId="181E40F4" w:rsidR="00F53189" w:rsidRDefault="00F53189" w:rsidP="0059792B">
            <w:pPr>
              <w:pStyle w:val="Body"/>
            </w:pPr>
            <w:r>
              <w:t>MCV</w:t>
            </w:r>
          </w:p>
        </w:tc>
        <w:tc>
          <w:tcPr>
            <w:tcW w:w="5891" w:type="dxa"/>
          </w:tcPr>
          <w:p w14:paraId="12DA3082" w14:textId="00D5A39B" w:rsidR="00F53189" w:rsidRDefault="00F53189" w:rsidP="0059792B">
            <w:pPr>
              <w:pStyle w:val="Body"/>
              <w:cnfStyle w:val="000000000000" w:firstRow="0" w:lastRow="0" w:firstColumn="0" w:lastColumn="0" w:oddVBand="0" w:evenVBand="0" w:oddHBand="0" w:evenHBand="0" w:firstRowFirstColumn="0" w:firstRowLastColumn="0" w:lastRowFirstColumn="0" w:lastRowLastColumn="0"/>
            </w:pPr>
            <w:r>
              <w:t>mean corpuscular volume</w:t>
            </w:r>
          </w:p>
        </w:tc>
      </w:tr>
      <w:tr w:rsidR="000A185C" w14:paraId="3DB866F7"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A4DF733" w14:textId="6D649B67" w:rsidR="000A185C" w:rsidRPr="00A90D20" w:rsidRDefault="000A185C" w:rsidP="0059792B">
            <w:pPr>
              <w:pStyle w:val="Body"/>
            </w:pPr>
            <w:r w:rsidRPr="008B5CD7">
              <w:t>MET</w:t>
            </w:r>
          </w:p>
        </w:tc>
        <w:tc>
          <w:tcPr>
            <w:tcW w:w="5891" w:type="dxa"/>
          </w:tcPr>
          <w:p w14:paraId="7C114607" w14:textId="01870D67" w:rsidR="000A185C" w:rsidRPr="00A90D20" w:rsidRDefault="003B3212" w:rsidP="0059792B">
            <w:pPr>
              <w:pStyle w:val="Body"/>
              <w:cnfStyle w:val="000000100000" w:firstRow="0" w:lastRow="0" w:firstColumn="0" w:lastColumn="0" w:oddVBand="0" w:evenVBand="0" w:oddHBand="1" w:evenHBand="0" w:firstRowFirstColumn="0" w:firstRowLastColumn="0" w:lastRowFirstColumn="0" w:lastRowLastColumn="0"/>
            </w:pPr>
            <w:r>
              <w:t xml:space="preserve">medical </w:t>
            </w:r>
            <w:r w:rsidR="000A185C">
              <w:t>emergency team</w:t>
            </w:r>
          </w:p>
        </w:tc>
      </w:tr>
      <w:tr w:rsidR="00020704" w14:paraId="67B6A22A"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68F05551" w14:textId="7A827C1E" w:rsidR="00020704" w:rsidRPr="008B5CD7" w:rsidRDefault="00797491" w:rsidP="0059792B">
            <w:pPr>
              <w:pStyle w:val="Body"/>
            </w:pPr>
            <w:r>
              <w:t>NBA</w:t>
            </w:r>
          </w:p>
        </w:tc>
        <w:tc>
          <w:tcPr>
            <w:tcW w:w="5891" w:type="dxa"/>
          </w:tcPr>
          <w:p w14:paraId="6705E1DC" w14:textId="1036E232" w:rsidR="00020704" w:rsidDel="003B3212" w:rsidRDefault="00797491" w:rsidP="0059792B">
            <w:pPr>
              <w:pStyle w:val="Body"/>
              <w:cnfStyle w:val="000000000000" w:firstRow="0" w:lastRow="0" w:firstColumn="0" w:lastColumn="0" w:oddVBand="0" w:evenVBand="0" w:oddHBand="0" w:evenHBand="0" w:firstRowFirstColumn="0" w:firstRowLastColumn="0" w:lastRowFirstColumn="0" w:lastRowLastColumn="0"/>
            </w:pPr>
            <w:r>
              <w:t>National Blood Authority</w:t>
            </w:r>
          </w:p>
        </w:tc>
      </w:tr>
      <w:tr w:rsidR="0059792B" w14:paraId="42DF79AD"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6BA0ECF" w14:textId="7F3B92D7" w:rsidR="0059792B" w:rsidRDefault="0059792B" w:rsidP="0059792B">
            <w:pPr>
              <w:pStyle w:val="Body"/>
            </w:pPr>
            <w:r w:rsidRPr="00E078F1">
              <w:t>NIPA</w:t>
            </w:r>
          </w:p>
        </w:tc>
        <w:tc>
          <w:tcPr>
            <w:tcW w:w="5891" w:type="dxa"/>
          </w:tcPr>
          <w:p w14:paraId="1AD6F0C5" w14:textId="7D7AD284" w:rsidR="0059792B" w:rsidRDefault="003B3212" w:rsidP="0059792B">
            <w:pPr>
              <w:pStyle w:val="Body"/>
              <w:cnfStyle w:val="000000100000" w:firstRow="0" w:lastRow="0" w:firstColumn="0" w:lastColumn="0" w:oddVBand="0" w:evenVBand="0" w:oddHBand="1" w:evenHBand="0" w:firstRowFirstColumn="0" w:firstRowLastColumn="0" w:lastRowFirstColumn="0" w:lastRowLastColumn="0"/>
            </w:pPr>
            <w:r>
              <w:t>n</w:t>
            </w:r>
            <w:r w:rsidRPr="00E078F1">
              <w:t>on</w:t>
            </w:r>
            <w:r w:rsidR="0059792B" w:rsidRPr="00E078F1">
              <w:t>-invasive pre-natal analysis</w:t>
            </w:r>
          </w:p>
        </w:tc>
      </w:tr>
      <w:tr w:rsidR="0056661F" w14:paraId="1B1A4BC0"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76768622" w14:textId="0796586F" w:rsidR="0056661F" w:rsidRPr="00E078F1" w:rsidRDefault="0056661F" w:rsidP="0059792B">
            <w:pPr>
              <w:pStyle w:val="Body"/>
            </w:pPr>
            <w:r>
              <w:t>NIPT</w:t>
            </w:r>
          </w:p>
        </w:tc>
        <w:tc>
          <w:tcPr>
            <w:tcW w:w="5891" w:type="dxa"/>
          </w:tcPr>
          <w:p w14:paraId="3C04B180" w14:textId="76563E06" w:rsidR="0056661F" w:rsidRPr="00E078F1" w:rsidDel="003B3212" w:rsidRDefault="0056661F" w:rsidP="0059792B">
            <w:pPr>
              <w:pStyle w:val="Body"/>
              <w:cnfStyle w:val="000000000000" w:firstRow="0" w:lastRow="0" w:firstColumn="0" w:lastColumn="0" w:oddVBand="0" w:evenVBand="0" w:oddHBand="0" w:evenHBand="0" w:firstRowFirstColumn="0" w:firstRowLastColumn="0" w:lastRowFirstColumn="0" w:lastRowLastColumn="0"/>
            </w:pPr>
            <w:r>
              <w:t>non-invasive pre-natal testing</w:t>
            </w:r>
          </w:p>
        </w:tc>
      </w:tr>
      <w:tr w:rsidR="00AD6888" w14:paraId="6A02A809"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EB77873" w14:textId="339B685D" w:rsidR="00AD6888" w:rsidRPr="00E078F1" w:rsidRDefault="00AD6888" w:rsidP="0059792B">
            <w:pPr>
              <w:pStyle w:val="Body"/>
            </w:pPr>
            <w:r>
              <w:t>PTP</w:t>
            </w:r>
          </w:p>
        </w:tc>
        <w:tc>
          <w:tcPr>
            <w:tcW w:w="5891" w:type="dxa"/>
          </w:tcPr>
          <w:p w14:paraId="5F94C97D" w14:textId="4987F29C" w:rsidR="00AD6888" w:rsidRPr="00E078F1" w:rsidRDefault="003B3212" w:rsidP="00AD6888">
            <w:pPr>
              <w:pStyle w:val="Body"/>
              <w:tabs>
                <w:tab w:val="left" w:pos="1747"/>
              </w:tabs>
              <w:cnfStyle w:val="000000100000" w:firstRow="0" w:lastRow="0" w:firstColumn="0" w:lastColumn="0" w:oddVBand="0" w:evenVBand="0" w:oddHBand="1" w:evenHBand="0" w:firstRowFirstColumn="0" w:firstRowLastColumn="0" w:lastRowFirstColumn="0" w:lastRowLastColumn="0"/>
            </w:pPr>
            <w:r>
              <w:t xml:space="preserve">post </w:t>
            </w:r>
            <w:r w:rsidR="00AD6888">
              <w:t>transfusion purpura</w:t>
            </w:r>
          </w:p>
        </w:tc>
      </w:tr>
      <w:tr w:rsidR="00FD52F3" w14:paraId="26D6FE00"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0BB12EE0" w14:textId="10DEB4C6" w:rsidR="00FD52F3" w:rsidRDefault="00FD52F3" w:rsidP="0059792B">
            <w:pPr>
              <w:pStyle w:val="Body"/>
            </w:pPr>
            <w:r w:rsidRPr="000C67BC">
              <w:t>RACP</w:t>
            </w:r>
          </w:p>
        </w:tc>
        <w:tc>
          <w:tcPr>
            <w:tcW w:w="5891" w:type="dxa"/>
          </w:tcPr>
          <w:p w14:paraId="275FF216" w14:textId="4D3C50E8" w:rsidR="00FD52F3" w:rsidRDefault="000C67BC" w:rsidP="0059792B">
            <w:pPr>
              <w:pStyle w:val="Body"/>
              <w:cnfStyle w:val="000000000000" w:firstRow="0" w:lastRow="0" w:firstColumn="0" w:lastColumn="0" w:oddVBand="0" w:evenVBand="0" w:oddHBand="0" w:evenHBand="0" w:firstRowFirstColumn="0" w:firstRowLastColumn="0" w:lastRowFirstColumn="0" w:lastRowLastColumn="0"/>
            </w:pPr>
            <w:r>
              <w:t>Royal Australasian College of Physicians</w:t>
            </w:r>
          </w:p>
        </w:tc>
      </w:tr>
      <w:tr w:rsidR="00062C83" w14:paraId="60AE2EB3"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FB1B8B4" w14:textId="3E68157C" w:rsidR="00062C83" w:rsidRPr="00E078F1" w:rsidRDefault="00062C83" w:rsidP="0059792B">
            <w:pPr>
              <w:pStyle w:val="Body"/>
            </w:pPr>
            <w:r>
              <w:t>RBC</w:t>
            </w:r>
          </w:p>
        </w:tc>
        <w:tc>
          <w:tcPr>
            <w:tcW w:w="5891" w:type="dxa"/>
          </w:tcPr>
          <w:p w14:paraId="2007A769" w14:textId="1F37653F" w:rsidR="00062C83" w:rsidRPr="00E078F1" w:rsidRDefault="003B3212" w:rsidP="0059792B">
            <w:pPr>
              <w:pStyle w:val="Body"/>
              <w:cnfStyle w:val="000000100000" w:firstRow="0" w:lastRow="0" w:firstColumn="0" w:lastColumn="0" w:oddVBand="0" w:evenVBand="0" w:oddHBand="1" w:evenHBand="0" w:firstRowFirstColumn="0" w:firstRowLastColumn="0" w:lastRowFirstColumn="0" w:lastRowLastColumn="0"/>
            </w:pPr>
            <w:r>
              <w:t xml:space="preserve">red </w:t>
            </w:r>
            <w:r w:rsidR="00062C83">
              <w:t>blood cells</w:t>
            </w:r>
          </w:p>
        </w:tc>
      </w:tr>
      <w:tr w:rsidR="00FD52F3" w14:paraId="214F177C"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1B27B896" w14:textId="41F28E77" w:rsidR="00FD52F3" w:rsidRDefault="00FD52F3" w:rsidP="0059792B">
            <w:pPr>
              <w:pStyle w:val="Body"/>
            </w:pPr>
            <w:proofErr w:type="spellStart"/>
            <w:r>
              <w:lastRenderedPageBreak/>
              <w:t>RhD</w:t>
            </w:r>
            <w:proofErr w:type="spellEnd"/>
            <w:r>
              <w:t xml:space="preserve"> Ig</w:t>
            </w:r>
          </w:p>
        </w:tc>
        <w:tc>
          <w:tcPr>
            <w:tcW w:w="5891" w:type="dxa"/>
          </w:tcPr>
          <w:p w14:paraId="5DE124D6" w14:textId="70EDAD25" w:rsidR="00FD52F3" w:rsidRDefault="00FD52F3" w:rsidP="0059792B">
            <w:pPr>
              <w:pStyle w:val="Body"/>
              <w:cnfStyle w:val="000000000000" w:firstRow="0" w:lastRow="0" w:firstColumn="0" w:lastColumn="0" w:oddVBand="0" w:evenVBand="0" w:oddHBand="0" w:evenHBand="0" w:firstRowFirstColumn="0" w:firstRowLastColumn="0" w:lastRowFirstColumn="0" w:lastRowLastColumn="0"/>
            </w:pPr>
            <w:proofErr w:type="spellStart"/>
            <w:r w:rsidRPr="00FD52F3">
              <w:t>RhD</w:t>
            </w:r>
            <w:proofErr w:type="spellEnd"/>
            <w:r w:rsidRPr="00FD52F3">
              <w:t xml:space="preserve"> immunoglobulin </w:t>
            </w:r>
          </w:p>
        </w:tc>
      </w:tr>
      <w:tr w:rsidR="0059792B" w14:paraId="22D96DD5"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24BBFF6" w14:textId="44C64D1E" w:rsidR="0059792B" w:rsidRDefault="0059792B" w:rsidP="0059792B">
            <w:pPr>
              <w:pStyle w:val="Body"/>
            </w:pPr>
            <w:r w:rsidRPr="00A170C0">
              <w:t>SAPSE</w:t>
            </w:r>
          </w:p>
        </w:tc>
        <w:tc>
          <w:tcPr>
            <w:tcW w:w="5891" w:type="dxa"/>
          </w:tcPr>
          <w:p w14:paraId="7F0FF93C" w14:textId="004CE968" w:rsidR="0059792B" w:rsidRDefault="003B3212" w:rsidP="0059792B">
            <w:pPr>
              <w:pStyle w:val="Body"/>
              <w:cnfStyle w:val="000000100000" w:firstRow="0" w:lastRow="0" w:firstColumn="0" w:lastColumn="0" w:oddVBand="0" w:evenVBand="0" w:oddHBand="1" w:evenHBand="0" w:firstRowFirstColumn="0" w:firstRowLastColumn="0" w:lastRowFirstColumn="0" w:lastRowLastColumn="0"/>
            </w:pPr>
            <w:r>
              <w:t>s</w:t>
            </w:r>
            <w:r w:rsidRPr="00A170C0">
              <w:t xml:space="preserve">erious </w:t>
            </w:r>
            <w:r w:rsidR="0059792B" w:rsidRPr="00A170C0">
              <w:t xml:space="preserve">adverse patient safety event </w:t>
            </w:r>
          </w:p>
        </w:tc>
      </w:tr>
      <w:tr w:rsidR="0059792B" w14:paraId="5992613C"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3EB87B50" w14:textId="5FC0926C" w:rsidR="0059792B" w:rsidRDefault="0059792B" w:rsidP="0059792B">
            <w:pPr>
              <w:pStyle w:val="Body"/>
            </w:pPr>
            <w:r w:rsidRPr="00A170C0">
              <w:t>SDC</w:t>
            </w:r>
          </w:p>
        </w:tc>
        <w:tc>
          <w:tcPr>
            <w:tcW w:w="5891" w:type="dxa"/>
          </w:tcPr>
          <w:p w14:paraId="465F8587" w14:textId="79BE1F22" w:rsidR="0059792B" w:rsidRDefault="0059792B" w:rsidP="0059792B">
            <w:pPr>
              <w:pStyle w:val="Body"/>
              <w:cnfStyle w:val="000000000000" w:firstRow="0" w:lastRow="0" w:firstColumn="0" w:lastColumn="0" w:oddVBand="0" w:evenVBand="0" w:oddHBand="0" w:evenHBand="0" w:firstRowFirstColumn="0" w:firstRowLastColumn="0" w:lastRowFirstColumn="0" w:lastRowLastColumn="0"/>
            </w:pPr>
            <w:r w:rsidRPr="00A170C0">
              <w:t>Statutory Duty of Candour</w:t>
            </w:r>
          </w:p>
        </w:tc>
      </w:tr>
      <w:tr w:rsidR="00AD6888" w14:paraId="4FF70B07"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E2BF11F" w14:textId="28ECF51D" w:rsidR="00AD6888" w:rsidRPr="00A170C0" w:rsidRDefault="00AD6888" w:rsidP="0059792B">
            <w:pPr>
              <w:pStyle w:val="Body"/>
            </w:pPr>
            <w:r>
              <w:t>SHOT</w:t>
            </w:r>
          </w:p>
        </w:tc>
        <w:tc>
          <w:tcPr>
            <w:tcW w:w="5891" w:type="dxa"/>
          </w:tcPr>
          <w:p w14:paraId="26CE35EA" w14:textId="7EAE6E70" w:rsidR="00AD6888" w:rsidRPr="00A170C0" w:rsidRDefault="00AD6888" w:rsidP="0059792B">
            <w:pPr>
              <w:pStyle w:val="Body"/>
              <w:cnfStyle w:val="000000100000" w:firstRow="0" w:lastRow="0" w:firstColumn="0" w:lastColumn="0" w:oddVBand="0" w:evenVBand="0" w:oddHBand="1" w:evenHBand="0" w:firstRowFirstColumn="0" w:firstRowLastColumn="0" w:lastRowFirstColumn="0" w:lastRowLastColumn="0"/>
            </w:pPr>
            <w:r>
              <w:t>Serious Hazards of Transfusion</w:t>
            </w:r>
          </w:p>
        </w:tc>
      </w:tr>
      <w:tr w:rsidR="0059792B" w14:paraId="6593CAC5"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3A6C5C72" w14:textId="0DBD5CC2" w:rsidR="0059792B" w:rsidRDefault="0059792B" w:rsidP="0059792B">
            <w:pPr>
              <w:pStyle w:val="Body"/>
            </w:pPr>
            <w:r w:rsidRPr="00706546">
              <w:t>SR</w:t>
            </w:r>
          </w:p>
        </w:tc>
        <w:tc>
          <w:tcPr>
            <w:tcW w:w="5891" w:type="dxa"/>
          </w:tcPr>
          <w:p w14:paraId="6A23417A" w14:textId="40F0ACF4" w:rsidR="0059792B" w:rsidRDefault="003B3212" w:rsidP="0059792B">
            <w:pPr>
              <w:pStyle w:val="Body"/>
              <w:cnfStyle w:val="000000000000" w:firstRow="0" w:lastRow="0" w:firstColumn="0" w:lastColumn="0" w:oddVBand="0" w:evenVBand="0" w:oddHBand="0" w:evenHBand="0" w:firstRowFirstColumn="0" w:firstRowLastColumn="0" w:lastRowFirstColumn="0" w:lastRowLastColumn="0"/>
            </w:pPr>
            <w:r>
              <w:t>s</w:t>
            </w:r>
            <w:r w:rsidRPr="00A170C0">
              <w:t xml:space="preserve">everity </w:t>
            </w:r>
            <w:r w:rsidR="0059792B" w:rsidRPr="00A170C0">
              <w:t>rating</w:t>
            </w:r>
          </w:p>
        </w:tc>
      </w:tr>
      <w:tr w:rsidR="0059792B" w14:paraId="144E8C77"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9678ED5" w14:textId="6574C37C" w:rsidR="0059792B" w:rsidRDefault="0059792B" w:rsidP="0059792B">
            <w:pPr>
              <w:pStyle w:val="Body"/>
            </w:pPr>
            <w:r w:rsidRPr="00A170C0">
              <w:t>STIR</w:t>
            </w:r>
          </w:p>
        </w:tc>
        <w:tc>
          <w:tcPr>
            <w:tcW w:w="5891" w:type="dxa"/>
          </w:tcPr>
          <w:p w14:paraId="54DF445D" w14:textId="3FF21786" w:rsidR="0059792B" w:rsidRDefault="0059792B" w:rsidP="0059792B">
            <w:pPr>
              <w:pStyle w:val="Body"/>
              <w:cnfStyle w:val="000000100000" w:firstRow="0" w:lastRow="0" w:firstColumn="0" w:lastColumn="0" w:oddVBand="0" w:evenVBand="0" w:oddHBand="1" w:evenHBand="0" w:firstRowFirstColumn="0" w:firstRowLastColumn="0" w:lastRowFirstColumn="0" w:lastRowLastColumn="0"/>
            </w:pPr>
            <w:r w:rsidRPr="00A170C0">
              <w:t xml:space="preserve">Serious Transfusion Incident </w:t>
            </w:r>
            <w:r w:rsidR="003B3212">
              <w:t>R</w:t>
            </w:r>
            <w:r w:rsidR="003B3212" w:rsidRPr="00A170C0">
              <w:t>eporting</w:t>
            </w:r>
            <w:r w:rsidR="003B3212">
              <w:t xml:space="preserve"> system</w:t>
            </w:r>
          </w:p>
        </w:tc>
      </w:tr>
      <w:tr w:rsidR="0059792B" w14:paraId="7ACA88AD"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51E08205" w14:textId="25EEAA28" w:rsidR="0059792B" w:rsidRDefault="0059792B" w:rsidP="0059792B">
            <w:pPr>
              <w:pStyle w:val="Body"/>
            </w:pPr>
            <w:r w:rsidRPr="008B5CD7">
              <w:t>TACO</w:t>
            </w:r>
          </w:p>
        </w:tc>
        <w:tc>
          <w:tcPr>
            <w:tcW w:w="5891" w:type="dxa"/>
          </w:tcPr>
          <w:p w14:paraId="2CE8D1EF" w14:textId="75B4BB45" w:rsidR="0059792B" w:rsidRDefault="003B3212" w:rsidP="0059792B">
            <w:pPr>
              <w:pStyle w:val="Body"/>
              <w:cnfStyle w:val="000000000000" w:firstRow="0" w:lastRow="0" w:firstColumn="0" w:lastColumn="0" w:oddVBand="0" w:evenVBand="0" w:oddHBand="0" w:evenHBand="0" w:firstRowFirstColumn="0" w:firstRowLastColumn="0" w:lastRowFirstColumn="0" w:lastRowLastColumn="0"/>
            </w:pPr>
            <w:r>
              <w:t>t</w:t>
            </w:r>
            <w:r w:rsidRPr="0088321E">
              <w:t>ransfusion</w:t>
            </w:r>
            <w:r w:rsidR="0059792B" w:rsidRPr="0088321E">
              <w:t>-associated circulatory overload</w:t>
            </w:r>
          </w:p>
        </w:tc>
      </w:tr>
      <w:tr w:rsidR="0059792B" w14:paraId="088B9082"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824191B" w14:textId="0BCCC403" w:rsidR="0059792B" w:rsidRDefault="0059792B" w:rsidP="0059792B">
            <w:pPr>
              <w:pStyle w:val="Body"/>
            </w:pPr>
            <w:r w:rsidRPr="0088321E">
              <w:t>TAD</w:t>
            </w:r>
          </w:p>
        </w:tc>
        <w:tc>
          <w:tcPr>
            <w:tcW w:w="5891" w:type="dxa"/>
          </w:tcPr>
          <w:p w14:paraId="4BE41878" w14:textId="45562B31" w:rsidR="0059792B" w:rsidRDefault="003B3212" w:rsidP="0059792B">
            <w:pPr>
              <w:pStyle w:val="Body"/>
              <w:cnfStyle w:val="000000100000" w:firstRow="0" w:lastRow="0" w:firstColumn="0" w:lastColumn="0" w:oddVBand="0" w:evenVBand="0" w:oddHBand="1" w:evenHBand="0" w:firstRowFirstColumn="0" w:firstRowLastColumn="0" w:lastRowFirstColumn="0" w:lastRowLastColumn="0"/>
            </w:pPr>
            <w:r>
              <w:t>t</w:t>
            </w:r>
            <w:r w:rsidRPr="0088321E">
              <w:t>ransfusion</w:t>
            </w:r>
            <w:r w:rsidR="0059792B" w:rsidRPr="0088321E">
              <w:t>-associated dyspnoea</w:t>
            </w:r>
          </w:p>
        </w:tc>
      </w:tr>
      <w:tr w:rsidR="00402F79" w14:paraId="792D82A1"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577964A5" w14:textId="5AE49509" w:rsidR="00402F79" w:rsidRPr="0088321E" w:rsidRDefault="00402F79" w:rsidP="0059792B">
            <w:pPr>
              <w:pStyle w:val="Body"/>
            </w:pPr>
            <w:r>
              <w:t>TA-GVHD</w:t>
            </w:r>
          </w:p>
        </w:tc>
        <w:tc>
          <w:tcPr>
            <w:tcW w:w="5891" w:type="dxa"/>
          </w:tcPr>
          <w:p w14:paraId="67170526" w14:textId="3E85B8BB" w:rsidR="00402F79" w:rsidRPr="0088321E" w:rsidRDefault="003B3212" w:rsidP="0059792B">
            <w:pPr>
              <w:pStyle w:val="Body"/>
              <w:cnfStyle w:val="000000000000" w:firstRow="0" w:lastRow="0" w:firstColumn="0" w:lastColumn="0" w:oddVBand="0" w:evenVBand="0" w:oddHBand="0" w:evenHBand="0" w:firstRowFirstColumn="0" w:firstRowLastColumn="0" w:lastRowFirstColumn="0" w:lastRowLastColumn="0"/>
            </w:pPr>
            <w:r>
              <w:t>transfusion</w:t>
            </w:r>
            <w:r w:rsidR="00402F79">
              <w:t>-associated graft versus host disease</w:t>
            </w:r>
          </w:p>
        </w:tc>
      </w:tr>
      <w:tr w:rsidR="00402F79" w14:paraId="48C20B1D"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5B688D4" w14:textId="0DADA764" w:rsidR="00402F79" w:rsidRDefault="00402F79" w:rsidP="0059792B">
            <w:pPr>
              <w:pStyle w:val="Body"/>
            </w:pPr>
            <w:r>
              <w:t>TRALI</w:t>
            </w:r>
          </w:p>
        </w:tc>
        <w:tc>
          <w:tcPr>
            <w:tcW w:w="5891" w:type="dxa"/>
          </w:tcPr>
          <w:p w14:paraId="46ABD2C8" w14:textId="4E44F279" w:rsidR="00402F79" w:rsidRDefault="003B3212" w:rsidP="0059792B">
            <w:pPr>
              <w:pStyle w:val="Body"/>
              <w:cnfStyle w:val="000000100000" w:firstRow="0" w:lastRow="0" w:firstColumn="0" w:lastColumn="0" w:oddVBand="0" w:evenVBand="0" w:oddHBand="1" w:evenHBand="0" w:firstRowFirstColumn="0" w:firstRowLastColumn="0" w:lastRowFirstColumn="0" w:lastRowLastColumn="0"/>
            </w:pPr>
            <w:r>
              <w:t>transfusion</w:t>
            </w:r>
            <w:r w:rsidR="00402F79">
              <w:t>-related acute lung injury</w:t>
            </w:r>
          </w:p>
        </w:tc>
      </w:tr>
      <w:tr w:rsidR="0059792B" w14:paraId="5E59F3D7" w14:textId="77777777" w:rsidTr="008009ED">
        <w:tc>
          <w:tcPr>
            <w:cnfStyle w:val="001000000000" w:firstRow="0" w:lastRow="0" w:firstColumn="1" w:lastColumn="0" w:oddVBand="0" w:evenVBand="0" w:oddHBand="0" w:evenHBand="0" w:firstRowFirstColumn="0" w:firstRowLastColumn="0" w:lastRowFirstColumn="0" w:lastRowLastColumn="0"/>
            <w:tcW w:w="3397" w:type="dxa"/>
          </w:tcPr>
          <w:p w14:paraId="0BB9851D" w14:textId="62FCF965" w:rsidR="0059792B" w:rsidRDefault="0059792B" w:rsidP="0059792B">
            <w:pPr>
              <w:pStyle w:val="Body"/>
            </w:pPr>
            <w:r w:rsidRPr="00726F71">
              <w:t>WBIT</w:t>
            </w:r>
          </w:p>
        </w:tc>
        <w:tc>
          <w:tcPr>
            <w:tcW w:w="5891" w:type="dxa"/>
          </w:tcPr>
          <w:p w14:paraId="6734597D" w14:textId="55B27289" w:rsidR="0059792B" w:rsidRDefault="003B3212" w:rsidP="0059792B">
            <w:pPr>
              <w:pStyle w:val="Body"/>
              <w:cnfStyle w:val="000000000000" w:firstRow="0" w:lastRow="0" w:firstColumn="0" w:lastColumn="0" w:oddVBand="0" w:evenVBand="0" w:oddHBand="0" w:evenHBand="0" w:firstRowFirstColumn="0" w:firstRowLastColumn="0" w:lastRowFirstColumn="0" w:lastRowLastColumn="0"/>
            </w:pPr>
            <w:r>
              <w:t>w</w:t>
            </w:r>
            <w:r w:rsidRPr="00726F71">
              <w:t xml:space="preserve">rong </w:t>
            </w:r>
            <w:r w:rsidR="0059792B" w:rsidRPr="00726F71">
              <w:t>blood in tube</w:t>
            </w:r>
          </w:p>
        </w:tc>
      </w:tr>
    </w:tbl>
    <w:p w14:paraId="08973ACA" w14:textId="77777777" w:rsidR="00F00550" w:rsidRDefault="00F00550">
      <w:pPr>
        <w:spacing w:after="0" w:line="240" w:lineRule="auto"/>
        <w:rPr>
          <w:rFonts w:eastAsia="MS Gothic" w:cs="Arial"/>
          <w:bCs/>
          <w:color w:val="AF272F"/>
          <w:kern w:val="32"/>
          <w:sz w:val="44"/>
          <w:szCs w:val="44"/>
        </w:rPr>
      </w:pPr>
      <w:bookmarkStart w:id="8" w:name="_Toc136329753"/>
      <w:r>
        <w:br w:type="page"/>
      </w:r>
    </w:p>
    <w:p w14:paraId="598B6447" w14:textId="3BC82744" w:rsidR="00C33E49" w:rsidRDefault="00C33E49" w:rsidP="00C33E49">
      <w:pPr>
        <w:pStyle w:val="Heading1"/>
      </w:pPr>
      <w:bookmarkStart w:id="9" w:name="_Toc174439989"/>
      <w:r>
        <w:lastRenderedPageBreak/>
        <w:t>Executive summary</w:t>
      </w:r>
      <w:bookmarkEnd w:id="8"/>
      <w:bookmarkEnd w:id="9"/>
    </w:p>
    <w:p w14:paraId="4948C951" w14:textId="77777777" w:rsidR="004B705E" w:rsidRPr="004B705E" w:rsidRDefault="004B705E" w:rsidP="004B705E">
      <w:pPr>
        <w:pStyle w:val="Body"/>
      </w:pPr>
      <w:r w:rsidRPr="004B705E">
        <w:t xml:space="preserve">This year’s report includes 209 validated investigations, 68 procedural events and 141 clinical reactions. </w:t>
      </w:r>
    </w:p>
    <w:p w14:paraId="5D36A499" w14:textId="77777777" w:rsidR="00A63672" w:rsidRDefault="004B705E" w:rsidP="004B705E">
      <w:pPr>
        <w:pStyle w:val="Body"/>
      </w:pPr>
      <w:r w:rsidRPr="004B705E">
        <w:t xml:space="preserve">Wrong blood in tube events (WBIT) (27), followed by </w:t>
      </w:r>
      <w:proofErr w:type="spellStart"/>
      <w:r w:rsidRPr="004B705E">
        <w:t>RhD</w:t>
      </w:r>
      <w:proofErr w:type="spellEnd"/>
      <w:r w:rsidRPr="004B705E">
        <w:t xml:space="preserve"> Ig administration errors (15) and incorrect blood component transfused (IBCT) (10), are the most-reported procedural events. </w:t>
      </w:r>
    </w:p>
    <w:p w14:paraId="550BC5F4" w14:textId="3DA1402B" w:rsidR="004B705E" w:rsidRDefault="004B705E" w:rsidP="004B705E">
      <w:pPr>
        <w:pStyle w:val="Body"/>
      </w:pPr>
      <w:r w:rsidRPr="004B705E">
        <w:t xml:space="preserve">Positive patient identification can largely prevent both </w:t>
      </w:r>
      <w:r>
        <w:t>IBCT and WBIT</w:t>
      </w:r>
      <w:r w:rsidRPr="004B705E">
        <w:t xml:space="preserve"> events. Health services should </w:t>
      </w:r>
      <w:r w:rsidR="00F00550">
        <w:t xml:space="preserve">train all staff </w:t>
      </w:r>
      <w:r w:rsidRPr="004B705E">
        <w:t xml:space="preserve">on positive patient identification and the two-person, </w:t>
      </w:r>
      <w:r w:rsidR="00F00550" w:rsidRPr="004B705E">
        <w:t>double</w:t>
      </w:r>
      <w:r w:rsidR="00F00550">
        <w:t>-</w:t>
      </w:r>
      <w:r w:rsidRPr="004B705E">
        <w:t xml:space="preserve">independent checking process. </w:t>
      </w:r>
    </w:p>
    <w:p w14:paraId="085FFAED" w14:textId="33ECA62A" w:rsidR="004B705E" w:rsidRPr="004B705E" w:rsidRDefault="004B705E" w:rsidP="004B705E">
      <w:pPr>
        <w:pStyle w:val="Body"/>
      </w:pPr>
      <w:r w:rsidRPr="004B705E">
        <w:t>In setting</w:t>
      </w:r>
      <w:r w:rsidR="00F00550">
        <w:t>s</w:t>
      </w:r>
      <w:r w:rsidRPr="004B705E">
        <w:t xml:space="preserve"> </w:t>
      </w:r>
      <w:r w:rsidR="00F00550">
        <w:t>with</w:t>
      </w:r>
      <w:r w:rsidR="00F00550" w:rsidRPr="004B705E">
        <w:t xml:space="preserve"> transfusion</w:t>
      </w:r>
      <w:r w:rsidR="00F00550">
        <w:t>-</w:t>
      </w:r>
      <w:r w:rsidRPr="004B705E">
        <w:t xml:space="preserve">specific electronic solutions </w:t>
      </w:r>
      <w:r w:rsidR="00F00550">
        <w:t>for</w:t>
      </w:r>
      <w:r w:rsidRPr="004B705E">
        <w:t xml:space="preserve"> patient identification, health services must ensure that staff are trained and use the system </w:t>
      </w:r>
      <w:r w:rsidR="00485F6E">
        <w:t>as</w:t>
      </w:r>
      <w:r w:rsidRPr="004B705E">
        <w:t xml:space="preserve"> intended.</w:t>
      </w:r>
      <w:r w:rsidR="00F00550">
        <w:t xml:space="preserve"> The</w:t>
      </w:r>
      <w:r w:rsidRPr="004B705E">
        <w:t xml:space="preserve"> ANZSBT guideline</w:t>
      </w:r>
      <w:r w:rsidR="00F00550">
        <w:t>s</w:t>
      </w:r>
      <w:r w:rsidRPr="004B705E">
        <w:t xml:space="preserve"> </w:t>
      </w:r>
      <w:r w:rsidR="00F00550">
        <w:t>include information on how to</w:t>
      </w:r>
      <w:r w:rsidR="008009ED">
        <w:t xml:space="preserve"> </w:t>
      </w:r>
      <w:r w:rsidRPr="004B705E">
        <w:t xml:space="preserve">implement and use electronic medical records </w:t>
      </w:r>
      <w:r w:rsidR="00F00550">
        <w:t>in</w:t>
      </w:r>
      <w:r w:rsidR="00F00550" w:rsidRPr="004B705E">
        <w:t xml:space="preserve"> </w:t>
      </w:r>
      <w:r w:rsidRPr="004B705E">
        <w:t>transfusion</w:t>
      </w:r>
      <w:r w:rsidR="00F00550">
        <w:t xml:space="preserve"> practice</w:t>
      </w:r>
      <w:r w:rsidRPr="004B705E">
        <w:t xml:space="preserve">. </w:t>
      </w:r>
    </w:p>
    <w:p w14:paraId="652A090C" w14:textId="0DD90D6C" w:rsidR="004B705E" w:rsidRPr="004B705E" w:rsidRDefault="004B705E" w:rsidP="004B705E">
      <w:pPr>
        <w:pStyle w:val="Body"/>
      </w:pPr>
      <w:r w:rsidRPr="004B705E">
        <w:t xml:space="preserve">Clinical reactions to blood components may not always be </w:t>
      </w:r>
      <w:r w:rsidR="00485F6E">
        <w:t>preventable</w:t>
      </w:r>
      <w:r w:rsidRPr="004B705E">
        <w:t xml:space="preserve">. However, </w:t>
      </w:r>
      <w:r w:rsidR="00F00550">
        <w:t xml:space="preserve">health services can reduce risks to patients by </w:t>
      </w:r>
      <w:r w:rsidRPr="004B705E">
        <w:t xml:space="preserve">ensuring transfusions occur </w:t>
      </w:r>
      <w:r>
        <w:t xml:space="preserve">only </w:t>
      </w:r>
      <w:r w:rsidR="007F1568">
        <w:t>if</w:t>
      </w:r>
      <w:r w:rsidR="007F1568" w:rsidRPr="004B705E">
        <w:t xml:space="preserve"> </w:t>
      </w:r>
      <w:r w:rsidRPr="004B705E">
        <w:t>there is demonstrated clinical need</w:t>
      </w:r>
      <w:r w:rsidR="007F1568">
        <w:t>.</w:t>
      </w:r>
      <w:r w:rsidR="007F1568" w:rsidRPr="004B705E">
        <w:t xml:space="preserve"> </w:t>
      </w:r>
      <w:r w:rsidR="007F1568">
        <w:t>When transfusion is necessary, health services should use</w:t>
      </w:r>
      <w:r w:rsidRPr="004B705E">
        <w:t xml:space="preserve"> the smallest dose to achieve the desired aim.</w:t>
      </w:r>
    </w:p>
    <w:p w14:paraId="18A9FEFB" w14:textId="7821F63A" w:rsidR="004B705E" w:rsidRPr="004B705E" w:rsidRDefault="00F00550" w:rsidP="004B705E">
      <w:pPr>
        <w:pStyle w:val="Body"/>
      </w:pPr>
      <w:r>
        <w:t xml:space="preserve">Health services that </w:t>
      </w:r>
      <w:r w:rsidR="006511FA">
        <w:t>manually transcribe</w:t>
      </w:r>
      <w:r w:rsidR="004B705E" w:rsidRPr="004B705E">
        <w:t xml:space="preserve"> results should </w:t>
      </w:r>
      <w:r w:rsidR="006511FA">
        <w:t>consider using</w:t>
      </w:r>
      <w:r w:rsidR="006511FA" w:rsidRPr="004B705E">
        <w:t xml:space="preserve"> </w:t>
      </w:r>
      <w:r w:rsidR="004B705E" w:rsidRPr="004B705E">
        <w:t>electronic systems</w:t>
      </w:r>
      <w:r w:rsidR="006511FA">
        <w:t xml:space="preserve">. Alternatively, </w:t>
      </w:r>
      <w:r w:rsidR="004B705E" w:rsidRPr="004B705E">
        <w:t xml:space="preserve">staff should </w:t>
      </w:r>
      <w:r w:rsidR="006511FA">
        <w:t xml:space="preserve">use results that are </w:t>
      </w:r>
      <w:r w:rsidR="004B705E" w:rsidRPr="004B705E">
        <w:t xml:space="preserve">electronic or printed (on letterhead). </w:t>
      </w:r>
      <w:r w:rsidR="00485F6E">
        <w:t>As pathology providers</w:t>
      </w:r>
      <w:r w:rsidR="004B705E" w:rsidRPr="004B705E">
        <w:t xml:space="preserve"> </w:t>
      </w:r>
      <w:r w:rsidR="006511FA">
        <w:t>increasingly adopt</w:t>
      </w:r>
      <w:r w:rsidR="00485F6E">
        <w:t xml:space="preserve"> </w:t>
      </w:r>
      <w:r w:rsidR="004B705E" w:rsidRPr="004B705E">
        <w:t>ISBT</w:t>
      </w:r>
      <w:r w:rsidR="006511FA">
        <w:t xml:space="preserve"> </w:t>
      </w:r>
      <w:r w:rsidR="004B705E" w:rsidRPr="004B705E">
        <w:t>128</w:t>
      </w:r>
      <w:r w:rsidR="00553A2D">
        <w:t xml:space="preserve"> labelling, </w:t>
      </w:r>
      <w:r w:rsidR="006511FA">
        <w:t xml:space="preserve">donation identification numbers on blood components are becoming longer and more complex. </w:t>
      </w:r>
      <w:r w:rsidR="004B705E" w:rsidRPr="004B705E">
        <w:t xml:space="preserve">Health services </w:t>
      </w:r>
      <w:r w:rsidR="006511FA">
        <w:t>should</w:t>
      </w:r>
      <w:r w:rsidR="004B705E" w:rsidRPr="004B705E">
        <w:t xml:space="preserve"> consider </w:t>
      </w:r>
      <w:r w:rsidR="006511FA">
        <w:t>using more reliable</w:t>
      </w:r>
      <w:r w:rsidR="006511FA" w:rsidRPr="004B705E">
        <w:t xml:space="preserve"> </w:t>
      </w:r>
      <w:r w:rsidR="004B705E" w:rsidRPr="004B705E">
        <w:t xml:space="preserve">methods </w:t>
      </w:r>
      <w:r w:rsidR="006511FA">
        <w:t>than manual transcription. This will help to</w:t>
      </w:r>
      <w:r w:rsidR="006511FA" w:rsidRPr="004B705E">
        <w:t xml:space="preserve"> </w:t>
      </w:r>
      <w:r w:rsidR="004B705E" w:rsidRPr="004B705E">
        <w:t>guarantee correct documentation for traceability.</w:t>
      </w:r>
    </w:p>
    <w:p w14:paraId="4CA7B30F" w14:textId="77777777" w:rsidR="004B705E" w:rsidRPr="004B705E" w:rsidRDefault="004B705E" w:rsidP="004B705E">
      <w:pPr>
        <w:pStyle w:val="Body"/>
      </w:pPr>
      <w:r w:rsidRPr="004B705E">
        <w:t>The next section sets out key messages from received and validated STIR investigations.</w:t>
      </w:r>
    </w:p>
    <w:p w14:paraId="588D120D" w14:textId="77777777" w:rsidR="004B705E" w:rsidRPr="004B705E" w:rsidRDefault="004B705E" w:rsidP="00A63672">
      <w:pPr>
        <w:pStyle w:val="Body"/>
      </w:pPr>
      <w:r w:rsidRPr="004B705E">
        <w:t>We thank all health services that report to STIR for their ongoing support.</w:t>
      </w:r>
    </w:p>
    <w:p w14:paraId="5F81B7A5" w14:textId="612A5BC3" w:rsidR="00FB68CA" w:rsidRDefault="00FB68CA" w:rsidP="00CE55B3">
      <w:pPr>
        <w:pStyle w:val="Body"/>
      </w:pPr>
      <w:r>
        <w:br w:type="page"/>
      </w:r>
    </w:p>
    <w:p w14:paraId="05A2C4FE" w14:textId="77777777" w:rsidR="00C33E49" w:rsidRDefault="00C33E49" w:rsidP="00C33E49">
      <w:pPr>
        <w:pStyle w:val="Heading1"/>
      </w:pPr>
      <w:bookmarkStart w:id="10" w:name="_Toc136329754"/>
      <w:bookmarkStart w:id="11" w:name="_Toc174439990"/>
      <w:r>
        <w:lastRenderedPageBreak/>
        <w:t>Key messages</w:t>
      </w:r>
      <w:bookmarkEnd w:id="10"/>
      <w:bookmarkEnd w:id="11"/>
    </w:p>
    <w:tbl>
      <w:tblPr>
        <w:tblStyle w:val="GridTable4-Accent2"/>
        <w:tblW w:w="0" w:type="auto"/>
        <w:tblLook w:val="04A0" w:firstRow="1" w:lastRow="0" w:firstColumn="1" w:lastColumn="0" w:noHBand="0" w:noVBand="1"/>
      </w:tblPr>
      <w:tblGrid>
        <w:gridCol w:w="4644"/>
        <w:gridCol w:w="4644"/>
      </w:tblGrid>
      <w:tr w:rsidR="00034F2E" w14:paraId="499CCFB8" w14:textId="77777777" w:rsidTr="00FB68C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44" w:type="dxa"/>
          </w:tcPr>
          <w:p w14:paraId="4160E54D" w14:textId="4BC64618" w:rsidR="00034F2E" w:rsidRPr="00494F60" w:rsidRDefault="00034F2E" w:rsidP="000565F7">
            <w:pPr>
              <w:pStyle w:val="Tablecolhead"/>
              <w:rPr>
                <w:b/>
                <w:bCs w:val="0"/>
                <w:color w:val="FFFFFF" w:themeColor="background1"/>
              </w:rPr>
            </w:pPr>
            <w:bookmarkStart w:id="12" w:name="_Hlk170300726"/>
            <w:r w:rsidRPr="00494F60">
              <w:rPr>
                <w:b/>
                <w:bCs w:val="0"/>
                <w:color w:val="FFFFFF" w:themeColor="background1"/>
              </w:rPr>
              <w:t>Area</w:t>
            </w:r>
          </w:p>
        </w:tc>
        <w:tc>
          <w:tcPr>
            <w:tcW w:w="4644" w:type="dxa"/>
          </w:tcPr>
          <w:p w14:paraId="3D498C6C" w14:textId="4936980B" w:rsidR="00034F2E" w:rsidRPr="00494F60" w:rsidRDefault="00034F2E" w:rsidP="000565F7">
            <w:pPr>
              <w:pStyle w:val="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494F60">
              <w:rPr>
                <w:b/>
                <w:bCs w:val="0"/>
                <w:color w:val="FFFFFF" w:themeColor="background1"/>
              </w:rPr>
              <w:t>Message</w:t>
            </w:r>
          </w:p>
        </w:tc>
      </w:tr>
      <w:tr w:rsidR="00034F2E" w14:paraId="5FE8432E"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FD9A06F" w14:textId="12E63BB6" w:rsidR="00034F2E" w:rsidRDefault="00034F2E" w:rsidP="00C33E49">
            <w:pPr>
              <w:pStyle w:val="Body"/>
            </w:pPr>
            <w:r>
              <w:t>Clinical management of reactions</w:t>
            </w:r>
          </w:p>
        </w:tc>
        <w:tc>
          <w:tcPr>
            <w:tcW w:w="4644" w:type="dxa"/>
          </w:tcPr>
          <w:p w14:paraId="3D484B1A" w14:textId="49EFFC17" w:rsidR="00034F2E" w:rsidRDefault="00034F2E" w:rsidP="00C33E49">
            <w:pPr>
              <w:pStyle w:val="Body"/>
              <w:cnfStyle w:val="000000100000" w:firstRow="0" w:lastRow="0" w:firstColumn="0" w:lastColumn="0" w:oddVBand="0" w:evenVBand="0" w:oddHBand="1" w:evenHBand="0" w:firstRowFirstColumn="0" w:firstRowLastColumn="0" w:lastRowFirstColumn="0" w:lastRowLastColumn="0"/>
            </w:pPr>
            <w:r>
              <w:t xml:space="preserve">Treatment should be based on the </w:t>
            </w:r>
            <w:r w:rsidR="0057636C">
              <w:t xml:space="preserve">symptoms and </w:t>
            </w:r>
            <w:r>
              <w:t xml:space="preserve">signs that occur at the time of the reaction. Diagnosis of type of reaction may require further investigations, blood tests and/or </w:t>
            </w:r>
            <w:r w:rsidR="006511FA">
              <w:t>X</w:t>
            </w:r>
            <w:r>
              <w:t>-rays, to determine the actual or most likely cause of the reaction.</w:t>
            </w:r>
          </w:p>
          <w:p w14:paraId="7AEC8CF3" w14:textId="16A6E349" w:rsidR="00034F2E" w:rsidRDefault="00034F2E" w:rsidP="00C33E49">
            <w:pPr>
              <w:pStyle w:val="Body"/>
              <w:cnfStyle w:val="000000100000" w:firstRow="0" w:lastRow="0" w:firstColumn="0" w:lastColumn="0" w:oddVBand="0" w:evenVBand="0" w:oddHBand="1" w:evenHBand="0" w:firstRowFirstColumn="0" w:firstRowLastColumn="0" w:lastRowFirstColumn="0" w:lastRowLastColumn="0"/>
            </w:pPr>
            <w:r>
              <w:t>Case study 1</w:t>
            </w:r>
          </w:p>
        </w:tc>
      </w:tr>
      <w:tr w:rsidR="00034F2E" w14:paraId="6550551F" w14:textId="77777777" w:rsidTr="008009ED">
        <w:tc>
          <w:tcPr>
            <w:cnfStyle w:val="001000000000" w:firstRow="0" w:lastRow="0" w:firstColumn="1" w:lastColumn="0" w:oddVBand="0" w:evenVBand="0" w:oddHBand="0" w:evenHBand="0" w:firstRowFirstColumn="0" w:firstRowLastColumn="0" w:lastRowFirstColumn="0" w:lastRowLastColumn="0"/>
            <w:tcW w:w="4644" w:type="dxa"/>
          </w:tcPr>
          <w:p w14:paraId="6C66341E" w14:textId="54746DF3" w:rsidR="00034F2E" w:rsidRDefault="000A185C" w:rsidP="00C33E49">
            <w:pPr>
              <w:pStyle w:val="Body"/>
            </w:pPr>
            <w:r>
              <w:t>Clinical management</w:t>
            </w:r>
            <w:r w:rsidR="00AD472E">
              <w:t xml:space="preserve"> </w:t>
            </w:r>
            <w:r w:rsidR="002D0871">
              <w:t xml:space="preserve">– </w:t>
            </w:r>
            <w:r w:rsidR="00AD472E">
              <w:t>determining the need for transfusion</w:t>
            </w:r>
          </w:p>
        </w:tc>
        <w:tc>
          <w:tcPr>
            <w:tcW w:w="4644" w:type="dxa"/>
          </w:tcPr>
          <w:p w14:paraId="2ABF5760" w14:textId="63C37021" w:rsidR="00034F2E" w:rsidRDefault="000A185C" w:rsidP="00C33E49">
            <w:pPr>
              <w:pStyle w:val="Body"/>
              <w:cnfStyle w:val="000000000000" w:firstRow="0" w:lastRow="0" w:firstColumn="0" w:lastColumn="0" w:oddVBand="0" w:evenVBand="0" w:oddHBand="0" w:evenHBand="0" w:firstRowFirstColumn="0" w:firstRowLastColumn="0" w:lastRowFirstColumn="0" w:lastRowLastColumn="0"/>
            </w:pPr>
            <w:r>
              <w:t xml:space="preserve">Only use blood components where there is an indication of need. Do not use to treat a number (Hb, INR). Each transfusion should be an independent decision </w:t>
            </w:r>
            <w:r w:rsidR="0057636C">
              <w:t>based</w:t>
            </w:r>
            <w:r>
              <w:t xml:space="preserve"> on the patient</w:t>
            </w:r>
            <w:r w:rsidR="00E954B1">
              <w:t>’s</w:t>
            </w:r>
            <w:r w:rsidR="0057636C">
              <w:t xml:space="preserve"> current</w:t>
            </w:r>
            <w:r>
              <w:t xml:space="preserve"> clinical condition.</w:t>
            </w:r>
          </w:p>
          <w:p w14:paraId="27EA5F22" w14:textId="5BB18172" w:rsidR="000A185C" w:rsidRDefault="000A185C" w:rsidP="00C33E49">
            <w:pPr>
              <w:pStyle w:val="Body"/>
              <w:cnfStyle w:val="000000000000" w:firstRow="0" w:lastRow="0" w:firstColumn="0" w:lastColumn="0" w:oddVBand="0" w:evenVBand="0" w:oddHBand="0" w:evenHBand="0" w:firstRowFirstColumn="0" w:firstRowLastColumn="0" w:lastRowFirstColumn="0" w:lastRowLastColumn="0"/>
            </w:pPr>
            <w:r>
              <w:t>Case study 2</w:t>
            </w:r>
          </w:p>
        </w:tc>
      </w:tr>
      <w:tr w:rsidR="00B06E49" w14:paraId="76A5B133"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19902CD" w14:textId="32675021" w:rsidR="00B06E49" w:rsidRDefault="00B06E49" w:rsidP="00B06E49">
            <w:pPr>
              <w:pStyle w:val="Body"/>
            </w:pPr>
            <w:r>
              <w:t>Clinical management</w:t>
            </w:r>
            <w:r w:rsidR="002D0871">
              <w:t xml:space="preserve"> – large-</w:t>
            </w:r>
            <w:r>
              <w:t>volume FMH and product/route selection</w:t>
            </w:r>
          </w:p>
        </w:tc>
        <w:tc>
          <w:tcPr>
            <w:tcW w:w="4644" w:type="dxa"/>
          </w:tcPr>
          <w:p w14:paraId="54B920EB" w14:textId="3BCE92D9" w:rsidR="00B06E49" w:rsidRPr="00AD472E" w:rsidRDefault="00B06E49" w:rsidP="00B06E49">
            <w:pPr>
              <w:pStyle w:val="Body"/>
              <w:cnfStyle w:val="000000100000" w:firstRow="0" w:lastRow="0" w:firstColumn="0" w:lastColumn="0" w:oddVBand="0" w:evenVBand="0" w:oddHBand="1" w:evenHBand="0" w:firstRowFirstColumn="0" w:firstRowLastColumn="0" w:lastRowFirstColumn="0" w:lastRowLastColumn="0"/>
            </w:pPr>
            <w:r w:rsidRPr="00AD472E">
              <w:t xml:space="preserve">Health services </w:t>
            </w:r>
            <w:r>
              <w:t>providing</w:t>
            </w:r>
            <w:r w:rsidRPr="00AD472E">
              <w:t xml:space="preserve"> maternity and obstetric care </w:t>
            </w:r>
            <w:r>
              <w:t>should</w:t>
            </w:r>
            <w:r w:rsidRPr="00AD472E">
              <w:t xml:space="preserve"> have clear guidelines </w:t>
            </w:r>
            <w:r>
              <w:t>regarding</w:t>
            </w:r>
            <w:r w:rsidR="002D0871">
              <w:t xml:space="preserve"> the suitability of</w:t>
            </w:r>
            <w:r w:rsidRPr="00AD472E">
              <w:t xml:space="preserve"> </w:t>
            </w:r>
            <w:proofErr w:type="spellStart"/>
            <w:r>
              <w:t>RhD</w:t>
            </w:r>
            <w:proofErr w:type="spellEnd"/>
            <w:r>
              <w:t xml:space="preserve"> Ig </w:t>
            </w:r>
            <w:r w:rsidRPr="00AD472E">
              <w:t xml:space="preserve">products </w:t>
            </w:r>
            <w:r>
              <w:t>and</w:t>
            </w:r>
            <w:r w:rsidRPr="00AD472E">
              <w:t xml:space="preserve"> administration</w:t>
            </w:r>
            <w:r>
              <w:t xml:space="preserve"> route for the different products. </w:t>
            </w:r>
            <w:r w:rsidR="002D0871">
              <w:t xml:space="preserve">It </w:t>
            </w:r>
            <w:r>
              <w:t xml:space="preserve">should </w:t>
            </w:r>
            <w:r w:rsidR="002D0871">
              <w:t xml:space="preserve">also </w:t>
            </w:r>
            <w:r>
              <w:t>be clear</w:t>
            </w:r>
            <w:r w:rsidRPr="00AD472E">
              <w:t xml:space="preserve"> when to </w:t>
            </w:r>
            <w:r>
              <w:t xml:space="preserve">use </w:t>
            </w:r>
            <w:r w:rsidRPr="00AD472E">
              <w:t xml:space="preserve">the IV </w:t>
            </w:r>
            <w:r>
              <w:t>product</w:t>
            </w:r>
            <w:r w:rsidRPr="00AD472E">
              <w:t xml:space="preserve">, either due to patient </w:t>
            </w:r>
            <w:r w:rsidR="002D0871" w:rsidRPr="00AD472E">
              <w:t>factors</w:t>
            </w:r>
            <w:r w:rsidR="002D0871">
              <w:t>, for example</w:t>
            </w:r>
            <w:r w:rsidRPr="00AD472E">
              <w:t xml:space="preserve"> thrombocytopeni</w:t>
            </w:r>
            <w:r>
              <w:t>a</w:t>
            </w:r>
            <w:r w:rsidRPr="00AD472E">
              <w:t xml:space="preserve">, or </w:t>
            </w:r>
            <w:r>
              <w:t xml:space="preserve">due to the </w:t>
            </w:r>
            <w:r w:rsidRPr="00AD472E">
              <w:t xml:space="preserve">dose </w:t>
            </w:r>
            <w:r>
              <w:t>required</w:t>
            </w:r>
            <w:r w:rsidRPr="00AD472E">
              <w:t>.</w:t>
            </w:r>
          </w:p>
          <w:p w14:paraId="760D4890" w14:textId="7EE472A2" w:rsidR="00B06E49" w:rsidRDefault="00B06E49" w:rsidP="00B06E49">
            <w:pPr>
              <w:pStyle w:val="Body"/>
              <w:cnfStyle w:val="000000100000" w:firstRow="0" w:lastRow="0" w:firstColumn="0" w:lastColumn="0" w:oddVBand="0" w:evenVBand="0" w:oddHBand="1" w:evenHBand="0" w:firstRowFirstColumn="0" w:firstRowLastColumn="0" w:lastRowFirstColumn="0" w:lastRowLastColumn="0"/>
            </w:pPr>
            <w:r>
              <w:t>Case study 16</w:t>
            </w:r>
          </w:p>
        </w:tc>
      </w:tr>
      <w:tr w:rsidR="00B06E49" w14:paraId="580295BE" w14:textId="77777777" w:rsidTr="008009ED">
        <w:tc>
          <w:tcPr>
            <w:cnfStyle w:val="001000000000" w:firstRow="0" w:lastRow="0" w:firstColumn="1" w:lastColumn="0" w:oddVBand="0" w:evenVBand="0" w:oddHBand="0" w:evenHBand="0" w:firstRowFirstColumn="0" w:firstRowLastColumn="0" w:lastRowFirstColumn="0" w:lastRowLastColumn="0"/>
            <w:tcW w:w="4644" w:type="dxa"/>
          </w:tcPr>
          <w:p w14:paraId="4387A415" w14:textId="575ABB74" w:rsidR="00B06E49" w:rsidRDefault="00B06E49" w:rsidP="00B06E49">
            <w:pPr>
              <w:pStyle w:val="Body"/>
            </w:pPr>
            <w:r>
              <w:t>Patient/product identification and matching</w:t>
            </w:r>
          </w:p>
        </w:tc>
        <w:tc>
          <w:tcPr>
            <w:tcW w:w="4644" w:type="dxa"/>
          </w:tcPr>
          <w:p w14:paraId="67513D65" w14:textId="0EF1ACF5" w:rsidR="00B06E49" w:rsidRDefault="00B06E49" w:rsidP="00B06E49">
            <w:pPr>
              <w:pStyle w:val="Body"/>
              <w:cnfStyle w:val="000000000000" w:firstRow="0" w:lastRow="0" w:firstColumn="0" w:lastColumn="0" w:oddVBand="0" w:evenVBand="0" w:oddHBand="0" w:evenHBand="0" w:firstRowFirstColumn="0" w:firstRowLastColumn="0" w:lastRowFirstColumn="0" w:lastRowLastColumn="0"/>
            </w:pPr>
            <w:r w:rsidRPr="007224CC">
              <w:t xml:space="preserve">The </w:t>
            </w:r>
            <w:r w:rsidR="002D0871" w:rsidRPr="007224CC">
              <w:t>t</w:t>
            </w:r>
            <w:r w:rsidR="002D0871">
              <w:t>wo-</w:t>
            </w:r>
            <w:r>
              <w:t>person (double)</w:t>
            </w:r>
            <w:r w:rsidRPr="007224CC">
              <w:t xml:space="preserve"> independent check is still not routinely performed or</w:t>
            </w:r>
            <w:r>
              <w:t xml:space="preserve"> completely</w:t>
            </w:r>
            <w:r w:rsidRPr="007224CC">
              <w:t xml:space="preserve"> understood. </w:t>
            </w:r>
            <w:r w:rsidR="00F072AF">
              <w:t>Health services need to provide training on this topic</w:t>
            </w:r>
            <w:r w:rsidRPr="007224CC">
              <w:t xml:space="preserve"> to ensure</w:t>
            </w:r>
            <w:r w:rsidR="002D0871">
              <w:t xml:space="preserve"> the</w:t>
            </w:r>
            <w:r w:rsidRPr="007224CC">
              <w:t xml:space="preserve"> </w:t>
            </w:r>
            <w:r>
              <w:t>right</w:t>
            </w:r>
            <w:r w:rsidRPr="007224CC">
              <w:t xml:space="preserve"> product</w:t>
            </w:r>
            <w:r w:rsidR="002D0871">
              <w:t xml:space="preserve"> is given</w:t>
            </w:r>
            <w:r w:rsidRPr="007224CC">
              <w:t xml:space="preserve"> to </w:t>
            </w:r>
            <w:r w:rsidR="002D0871">
              <w:t xml:space="preserve">the </w:t>
            </w:r>
            <w:r>
              <w:t xml:space="preserve">right </w:t>
            </w:r>
            <w:r w:rsidRPr="007224CC">
              <w:t>patient.</w:t>
            </w:r>
          </w:p>
          <w:p w14:paraId="45AEA527" w14:textId="6884F131" w:rsidR="00B06E49" w:rsidRPr="00AD472E" w:rsidRDefault="00B06E49" w:rsidP="00B06E49">
            <w:pPr>
              <w:pStyle w:val="Body"/>
              <w:cnfStyle w:val="000000000000" w:firstRow="0" w:lastRow="0" w:firstColumn="0" w:lastColumn="0" w:oddVBand="0" w:evenVBand="0" w:oddHBand="0" w:evenHBand="0" w:firstRowFirstColumn="0" w:firstRowLastColumn="0" w:lastRowFirstColumn="0" w:lastRowLastColumn="0"/>
            </w:pPr>
            <w:r>
              <w:t>Case studies 6 and 9</w:t>
            </w:r>
          </w:p>
        </w:tc>
      </w:tr>
      <w:tr w:rsidR="00B06E49" w14:paraId="0CEC6A90" w14:textId="77777777" w:rsidTr="00800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4EB303F" w14:textId="4F25DBDC" w:rsidR="00B06E49" w:rsidRDefault="00B06E49" w:rsidP="00B06E49">
            <w:pPr>
              <w:pStyle w:val="Body"/>
            </w:pPr>
            <w:r>
              <w:t xml:space="preserve">Documentation </w:t>
            </w:r>
            <w:r w:rsidR="002D0871">
              <w:t xml:space="preserve">– </w:t>
            </w:r>
            <w:r>
              <w:t>recording and sharing of information</w:t>
            </w:r>
          </w:p>
        </w:tc>
        <w:tc>
          <w:tcPr>
            <w:tcW w:w="4644" w:type="dxa"/>
          </w:tcPr>
          <w:p w14:paraId="5435257C" w14:textId="47D7A0FF" w:rsidR="00B06E49" w:rsidRDefault="00B06E49" w:rsidP="00B06E49">
            <w:pPr>
              <w:pStyle w:val="Body"/>
              <w:cnfStyle w:val="000000100000" w:firstRow="0" w:lastRow="0" w:firstColumn="0" w:lastColumn="0" w:oddVBand="0" w:evenVBand="0" w:oddHBand="1" w:evenHBand="0" w:firstRowFirstColumn="0" w:firstRowLastColumn="0" w:lastRowFirstColumn="0" w:lastRowLastColumn="0"/>
            </w:pPr>
            <w:r>
              <w:t>STIR has repeatedly advocated for the development of a national antibody registry. While this is currently available in Western Australia, this is not a nation-wide system. Patients move between health services</w:t>
            </w:r>
            <w:r w:rsidR="00F072AF">
              <w:t>,</w:t>
            </w:r>
            <w:r>
              <w:t xml:space="preserve"> and the information regarding known antibodies is not always available to each health service providing care</w:t>
            </w:r>
            <w:r w:rsidR="00F072AF">
              <w:t xml:space="preserve">. This puts </w:t>
            </w:r>
            <w:r>
              <w:t xml:space="preserve">patients at risk of receiving an incompatible blood component. </w:t>
            </w:r>
          </w:p>
          <w:p w14:paraId="4DA6A3F2" w14:textId="364843F5" w:rsidR="00B06E49" w:rsidRDefault="00B06E49" w:rsidP="00B06E49">
            <w:pPr>
              <w:pStyle w:val="Body"/>
              <w:cnfStyle w:val="000000100000" w:firstRow="0" w:lastRow="0" w:firstColumn="0" w:lastColumn="0" w:oddVBand="0" w:evenVBand="0" w:oddHBand="1" w:evenHBand="0" w:firstRowFirstColumn="0" w:firstRowLastColumn="0" w:lastRowFirstColumn="0" w:lastRowLastColumn="0"/>
            </w:pPr>
            <w:r>
              <w:t>Case study 4</w:t>
            </w:r>
          </w:p>
        </w:tc>
      </w:tr>
      <w:tr w:rsidR="00B06E49" w14:paraId="0C1AB6C7" w14:textId="77777777" w:rsidTr="00FB68CA">
        <w:trPr>
          <w:cantSplit/>
        </w:trPr>
        <w:tc>
          <w:tcPr>
            <w:cnfStyle w:val="001000000000" w:firstRow="0" w:lastRow="0" w:firstColumn="1" w:lastColumn="0" w:oddVBand="0" w:evenVBand="0" w:oddHBand="0" w:evenHBand="0" w:firstRowFirstColumn="0" w:firstRowLastColumn="0" w:lastRowFirstColumn="0" w:lastRowLastColumn="0"/>
            <w:tcW w:w="4644" w:type="dxa"/>
          </w:tcPr>
          <w:p w14:paraId="55DE61D3" w14:textId="0D63E85F" w:rsidR="00B06E49" w:rsidRDefault="00B06E49" w:rsidP="00B06E49">
            <w:pPr>
              <w:pStyle w:val="Body"/>
            </w:pPr>
            <w:r>
              <w:lastRenderedPageBreak/>
              <w:t>Documentation-transcription errors</w:t>
            </w:r>
          </w:p>
        </w:tc>
        <w:tc>
          <w:tcPr>
            <w:tcW w:w="4644" w:type="dxa"/>
          </w:tcPr>
          <w:p w14:paraId="7B459FCF" w14:textId="169261A1" w:rsidR="00B06E49" w:rsidRDefault="00606065" w:rsidP="00B06E49">
            <w:pPr>
              <w:pStyle w:val="Body"/>
              <w:cnfStyle w:val="000000000000" w:firstRow="0" w:lastRow="0" w:firstColumn="0" w:lastColumn="0" w:oddVBand="0" w:evenVBand="0" w:oddHBand="0" w:evenHBand="0" w:firstRowFirstColumn="0" w:firstRowLastColumn="0" w:lastRowFirstColumn="0" w:lastRowLastColumn="0"/>
            </w:pPr>
            <w:r>
              <w:t>Do not m</w:t>
            </w:r>
            <w:r w:rsidR="00B06E49">
              <w:t>anual</w:t>
            </w:r>
            <w:r>
              <w:t>ly</w:t>
            </w:r>
            <w:r w:rsidR="00B06E49">
              <w:t xml:space="preserve"> </w:t>
            </w:r>
            <w:r>
              <w:t>transcribe</w:t>
            </w:r>
            <w:r w:rsidR="00B06E49">
              <w:t xml:space="preserve"> results from one system to another. STIR receives multiple reports of errors associated with this process each year. </w:t>
            </w:r>
          </w:p>
          <w:p w14:paraId="31F65937" w14:textId="17C32D2A" w:rsidR="00B06E49" w:rsidRDefault="00606065" w:rsidP="00B06E49">
            <w:pPr>
              <w:pStyle w:val="Body"/>
              <w:cnfStyle w:val="000000000000" w:firstRow="0" w:lastRow="0" w:firstColumn="0" w:lastColumn="0" w:oddVBand="0" w:evenVBand="0" w:oddHBand="0" w:evenHBand="0" w:firstRowFirstColumn="0" w:firstRowLastColumn="0" w:lastRowFirstColumn="0" w:lastRowLastColumn="0"/>
            </w:pPr>
            <w:r>
              <w:t xml:space="preserve">Incorrectly transcribing a </w:t>
            </w:r>
            <w:r w:rsidR="00B06E49">
              <w:t xml:space="preserve">blood group can lead to incorrect or missed blood components or products (such as </w:t>
            </w:r>
            <w:proofErr w:type="spellStart"/>
            <w:r w:rsidR="00B06E49">
              <w:t>RhD</w:t>
            </w:r>
            <w:proofErr w:type="spellEnd"/>
            <w:r w:rsidR="00B06E49">
              <w:t xml:space="preserve"> immunoglobulin).</w:t>
            </w:r>
          </w:p>
          <w:p w14:paraId="0517BE6D" w14:textId="35A8685E" w:rsidR="00B06E49" w:rsidRDefault="00B06E49" w:rsidP="00B06E49">
            <w:pPr>
              <w:pStyle w:val="Body"/>
              <w:cnfStyle w:val="000000000000" w:firstRow="0" w:lastRow="0" w:firstColumn="0" w:lastColumn="0" w:oddVBand="0" w:evenVBand="0" w:oddHBand="0" w:evenHBand="0" w:firstRowFirstColumn="0" w:firstRowLastColumn="0" w:lastRowFirstColumn="0" w:lastRowLastColumn="0"/>
            </w:pPr>
            <w:r>
              <w:t xml:space="preserve">Health services should consider electronic transfer of results, or easy access to systems containing those results when clinical staff </w:t>
            </w:r>
            <w:r w:rsidR="00606065">
              <w:t>work</w:t>
            </w:r>
            <w:r>
              <w:t xml:space="preserve"> in a separate system.</w:t>
            </w:r>
          </w:p>
          <w:p w14:paraId="4F5BB424" w14:textId="18B8BC43" w:rsidR="00B06E49" w:rsidRDefault="00B06E49" w:rsidP="00B06E49">
            <w:pPr>
              <w:pStyle w:val="Body"/>
              <w:cnfStyle w:val="000000000000" w:firstRow="0" w:lastRow="0" w:firstColumn="0" w:lastColumn="0" w:oddVBand="0" w:evenVBand="0" w:oddHBand="0" w:evenHBand="0" w:firstRowFirstColumn="0" w:firstRowLastColumn="0" w:lastRowFirstColumn="0" w:lastRowLastColumn="0"/>
            </w:pPr>
            <w:r>
              <w:t>Case study 15</w:t>
            </w:r>
          </w:p>
        </w:tc>
      </w:tr>
      <w:bookmarkEnd w:id="12"/>
    </w:tbl>
    <w:p w14:paraId="268CEACA" w14:textId="77777777" w:rsidR="00FB68CA" w:rsidRDefault="00FB68CA" w:rsidP="00CE55B3">
      <w:pPr>
        <w:pStyle w:val="Body"/>
      </w:pPr>
      <w:r>
        <w:br w:type="page"/>
      </w:r>
    </w:p>
    <w:p w14:paraId="6015D97A" w14:textId="77777777" w:rsidR="00C33E49" w:rsidRDefault="00C33E49" w:rsidP="00C33E49">
      <w:pPr>
        <w:pStyle w:val="Heading1"/>
      </w:pPr>
      <w:bookmarkStart w:id="13" w:name="_Toc136329755"/>
      <w:bookmarkStart w:id="14" w:name="_Toc174439991"/>
      <w:r>
        <w:lastRenderedPageBreak/>
        <w:t>Introduction</w:t>
      </w:r>
      <w:bookmarkEnd w:id="13"/>
      <w:bookmarkEnd w:id="14"/>
    </w:p>
    <w:p w14:paraId="04121A2C" w14:textId="51195A49" w:rsidR="00A63672" w:rsidRDefault="001E317A" w:rsidP="001E317A">
      <w:pPr>
        <w:pStyle w:val="Body"/>
      </w:pPr>
      <w:r w:rsidRPr="001E317A">
        <w:t xml:space="preserve">STIR received </w:t>
      </w:r>
      <w:r w:rsidR="00744F29" w:rsidRPr="005355A4">
        <w:t>2</w:t>
      </w:r>
      <w:r w:rsidR="00744F29">
        <w:t xml:space="preserve">45 </w:t>
      </w:r>
      <w:r w:rsidR="003060E6">
        <w:t>notification</w:t>
      </w:r>
      <w:r w:rsidR="00D36185">
        <w:t>s of adverse events</w:t>
      </w:r>
      <w:r w:rsidR="00D36185" w:rsidRPr="001E317A">
        <w:t xml:space="preserve"> </w:t>
      </w:r>
      <w:r w:rsidRPr="001E317A">
        <w:t xml:space="preserve">from </w:t>
      </w:r>
      <w:r w:rsidR="00AC671F">
        <w:t>50</w:t>
      </w:r>
      <w:r w:rsidR="00AC671F" w:rsidRPr="001E317A">
        <w:t xml:space="preserve"> </w:t>
      </w:r>
      <w:r w:rsidRPr="001E317A">
        <w:t>health services for the period 1 July 202</w:t>
      </w:r>
      <w:r>
        <w:t>2</w:t>
      </w:r>
      <w:r w:rsidRPr="001E317A">
        <w:t xml:space="preserve"> to 30 June 202</w:t>
      </w:r>
      <w:r>
        <w:t>3</w:t>
      </w:r>
      <w:r w:rsidR="00950521">
        <w:t>.</w:t>
      </w:r>
    </w:p>
    <w:p w14:paraId="6910D8D0" w14:textId="76C02695" w:rsidR="00A9310D" w:rsidRDefault="004C16B6" w:rsidP="001E317A">
      <w:pPr>
        <w:pStyle w:val="Body"/>
      </w:pPr>
      <w:r>
        <w:t>O</w:t>
      </w:r>
      <w:r w:rsidR="00B762AE">
        <w:t>f these reports</w:t>
      </w:r>
      <w:r>
        <w:t>, 17</w:t>
      </w:r>
      <w:r w:rsidR="00B762AE">
        <w:t xml:space="preserve"> were withdrawn by the health service or not completed</w:t>
      </w:r>
      <w:r>
        <w:t xml:space="preserve">. Another </w:t>
      </w:r>
      <w:r w:rsidR="006C1EF7">
        <w:t xml:space="preserve">19 </w:t>
      </w:r>
      <w:r w:rsidR="00B762AE">
        <w:t>were excluded after expert review.</w:t>
      </w:r>
    </w:p>
    <w:p w14:paraId="5F5F2498" w14:textId="1676440D" w:rsidR="001E317A" w:rsidRDefault="005B1BAF" w:rsidP="001E317A">
      <w:pPr>
        <w:pStyle w:val="Body"/>
      </w:pPr>
      <w:r>
        <w:t>This resulted in</w:t>
      </w:r>
      <w:r w:rsidR="00B762AE">
        <w:t xml:space="preserve"> </w:t>
      </w:r>
      <w:r w:rsidR="00744F29">
        <w:t xml:space="preserve">209 </w:t>
      </w:r>
      <w:r w:rsidR="00B762AE">
        <w:t>validated</w:t>
      </w:r>
      <w:r w:rsidR="001E317A" w:rsidRPr="001E317A">
        <w:t xml:space="preserve"> </w:t>
      </w:r>
      <w:r w:rsidR="00E65AD0">
        <w:t>investiga</w:t>
      </w:r>
      <w:r w:rsidR="001E317A" w:rsidRPr="001E317A">
        <w:t>tions</w:t>
      </w:r>
      <w:r w:rsidR="004C16B6">
        <w:t>. Of these,</w:t>
      </w:r>
      <w:r>
        <w:t xml:space="preserve"> </w:t>
      </w:r>
      <w:r w:rsidR="00B762AE">
        <w:t xml:space="preserve">there </w:t>
      </w:r>
      <w:r w:rsidR="00B762AE" w:rsidRPr="005355A4">
        <w:t xml:space="preserve">were </w:t>
      </w:r>
      <w:r w:rsidR="00A3122F" w:rsidRPr="005355A4">
        <w:t>14</w:t>
      </w:r>
      <w:r w:rsidR="00744F29" w:rsidRPr="005355A4">
        <w:t>1</w:t>
      </w:r>
      <w:r w:rsidR="00A3122F" w:rsidRPr="001E317A">
        <w:t xml:space="preserve"> </w:t>
      </w:r>
      <w:r w:rsidR="001E317A" w:rsidRPr="001E317A">
        <w:t xml:space="preserve">clinical </w:t>
      </w:r>
      <w:r w:rsidR="00D72648" w:rsidRPr="001E317A">
        <w:t>reactions</w:t>
      </w:r>
      <w:r w:rsidR="001E317A" w:rsidRPr="001E317A">
        <w:t xml:space="preserve"> and </w:t>
      </w:r>
      <w:r w:rsidR="00E65AD0" w:rsidRPr="005355A4">
        <w:t>68</w:t>
      </w:r>
      <w:r w:rsidR="001E317A" w:rsidRPr="001E317A">
        <w:t xml:space="preserve"> procedural errors</w:t>
      </w:r>
      <w:r w:rsidR="00D72648">
        <w:t>.</w:t>
      </w:r>
      <w:r w:rsidR="00D36185">
        <w:t xml:space="preserve"> </w:t>
      </w:r>
      <w:r w:rsidR="001E317A" w:rsidRPr="001E317A">
        <w:t xml:space="preserve">Figure 1 shows the number of validated reports from </w:t>
      </w:r>
      <w:r w:rsidR="004C16B6">
        <w:t>2009–10</w:t>
      </w:r>
      <w:r w:rsidR="00E65AD0">
        <w:t xml:space="preserve"> to current</w:t>
      </w:r>
      <w:r w:rsidR="001E317A" w:rsidRPr="001E317A">
        <w:t>.</w:t>
      </w:r>
    </w:p>
    <w:p w14:paraId="3AE58F58" w14:textId="4ACC8BB1" w:rsidR="00A63672" w:rsidRDefault="001E317A" w:rsidP="001E317A">
      <w:pPr>
        <w:pStyle w:val="Body"/>
      </w:pPr>
      <w:r w:rsidRPr="00EF2846">
        <w:t xml:space="preserve">Of </w:t>
      </w:r>
      <w:r w:rsidR="00AD0997">
        <w:t xml:space="preserve">the </w:t>
      </w:r>
      <w:r w:rsidRPr="00EF2846">
        <w:t>114 health services registered with STIR, 50 (44</w:t>
      </w:r>
      <w:r w:rsidR="004C16B6">
        <w:t>%</w:t>
      </w:r>
      <w:r>
        <w:t>) submitted reports this year.</w:t>
      </w:r>
    </w:p>
    <w:p w14:paraId="3BDC5E90" w14:textId="5099E4A6" w:rsidR="001E317A" w:rsidRPr="001E317A" w:rsidRDefault="00182975" w:rsidP="001E317A">
      <w:pPr>
        <w:pStyle w:val="Body"/>
      </w:pPr>
      <w:r>
        <w:t xml:space="preserve">This is the largest number of health services to report to STIR since </w:t>
      </w:r>
      <w:r w:rsidR="00E65AD0">
        <w:t>its</w:t>
      </w:r>
      <w:r>
        <w:t xml:space="preserve"> inception.</w:t>
      </w:r>
    </w:p>
    <w:p w14:paraId="57EA98D5" w14:textId="6E7EC05F" w:rsidR="00A63672" w:rsidRDefault="001E317A" w:rsidP="00495C75">
      <w:pPr>
        <w:pStyle w:val="Body"/>
      </w:pPr>
      <w:r w:rsidRPr="001E317A">
        <w:t xml:space="preserve">In this </w:t>
      </w:r>
      <w:r>
        <w:t>period</w:t>
      </w:r>
      <w:r w:rsidR="004C16B6">
        <w:t>,</w:t>
      </w:r>
      <w:r>
        <w:t xml:space="preserve"> there </w:t>
      </w:r>
      <w:r w:rsidRPr="005355A4">
        <w:t>w</w:t>
      </w:r>
      <w:r w:rsidR="00E65AD0" w:rsidRPr="005355A4">
        <w:t>as</w:t>
      </w:r>
      <w:r w:rsidRPr="005355A4">
        <w:t xml:space="preserve"> </w:t>
      </w:r>
      <w:r w:rsidR="004C16B6">
        <w:t>1</w:t>
      </w:r>
      <w:r w:rsidR="004C16B6" w:rsidRPr="005355A4">
        <w:t xml:space="preserve"> </w:t>
      </w:r>
      <w:r w:rsidRPr="005355A4">
        <w:t>severity</w:t>
      </w:r>
      <w:r>
        <w:t xml:space="preserve"> rating</w:t>
      </w:r>
      <w:r w:rsidR="003060E6">
        <w:t xml:space="preserve"> (SR)</w:t>
      </w:r>
      <w:r>
        <w:t xml:space="preserve"> 1 </w:t>
      </w:r>
      <w:r w:rsidR="00AD0997">
        <w:t>event</w:t>
      </w:r>
      <w:r w:rsidR="004C16B6">
        <w:t>.</w:t>
      </w:r>
    </w:p>
    <w:p w14:paraId="5E633286" w14:textId="12B77CCE" w:rsidR="00A63672" w:rsidRDefault="004C16B6" w:rsidP="00495C75">
      <w:pPr>
        <w:pStyle w:val="Body"/>
      </w:pPr>
      <w:r>
        <w:t xml:space="preserve">This is </w:t>
      </w:r>
      <w:r w:rsidR="00AD0997">
        <w:t>defined as</w:t>
      </w:r>
      <w:r>
        <w:t xml:space="preserve"> an event that has</w:t>
      </w:r>
      <w:r w:rsidR="001E317A" w:rsidRPr="001E317A">
        <w:t xml:space="preserve"> the realistic potential to result in an unexpected death or a permanent and disabling injury o</w:t>
      </w:r>
      <w:r w:rsidR="0056284A">
        <w:t>r</w:t>
      </w:r>
      <w:r w:rsidR="001E317A" w:rsidRPr="001E317A">
        <w:t xml:space="preserve"> psychological harm to a person</w:t>
      </w:r>
      <w:r>
        <w:t>.</w:t>
      </w:r>
    </w:p>
    <w:p w14:paraId="64FAEE46" w14:textId="5BCD198E" w:rsidR="001E317A" w:rsidRDefault="004C16B6" w:rsidP="00495C75">
      <w:pPr>
        <w:pStyle w:val="Body"/>
      </w:pPr>
      <w:r>
        <w:t>N</w:t>
      </w:r>
      <w:r w:rsidR="00E65AD0">
        <w:t>o</w:t>
      </w:r>
      <w:r w:rsidR="001E317A">
        <w:t xml:space="preserve"> sentinel events </w:t>
      </w:r>
      <w:r>
        <w:t xml:space="preserve">were </w:t>
      </w:r>
      <w:r w:rsidR="001E317A">
        <w:t>reported.</w:t>
      </w:r>
    </w:p>
    <w:p w14:paraId="4EEF94A2" w14:textId="0C1B847F" w:rsidR="00495C75" w:rsidRDefault="00495C75" w:rsidP="00CE55B3">
      <w:pPr>
        <w:pStyle w:val="Figurecaption"/>
      </w:pPr>
      <w:r w:rsidRPr="00495C75">
        <w:t xml:space="preserve">Figure 1: Number of validated clinical and procedural reports and health services reporting each financial year, </w:t>
      </w:r>
      <w:r w:rsidR="004C16B6">
        <w:t>from 2009–</w:t>
      </w:r>
      <w:r w:rsidR="001E317A">
        <w:t>10</w:t>
      </w:r>
      <w:r w:rsidR="004C16B6">
        <w:t xml:space="preserve"> to 2022–</w:t>
      </w:r>
      <w:r w:rsidR="004C16B6" w:rsidRPr="00495C75">
        <w:t>2</w:t>
      </w:r>
      <w:r w:rsidR="004C16B6">
        <w:t>3</w:t>
      </w:r>
    </w:p>
    <w:p w14:paraId="0211B7EE" w14:textId="16B6C0EC" w:rsidR="00BD2F87" w:rsidRDefault="00A9310D" w:rsidP="00495C75">
      <w:pPr>
        <w:pStyle w:val="Body"/>
        <w:rPr>
          <w:b/>
          <w:bCs/>
        </w:rPr>
      </w:pPr>
      <w:r>
        <w:rPr>
          <w:noProof/>
        </w:rPr>
        <w:drawing>
          <wp:inline distT="0" distB="0" distL="0" distR="0" wp14:anchorId="08AEB45A" wp14:editId="5E779760">
            <wp:extent cx="5904230" cy="3280410"/>
            <wp:effectExtent l="0" t="0" r="1270" b="0"/>
            <wp:docPr id="2081691990" name="Picture 19" descr="This figure shows that the number of validated reports, as well as the number of reporting health services, has increased since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91990" name="Picture 19" descr="This figure shows that the number of validated reports, as well as the number of reporting health services, has increased since 2015. "/>
                    <pic:cNvPicPr/>
                  </pic:nvPicPr>
                  <pic:blipFill>
                    <a:blip r:embed="rId22"/>
                    <a:stretch>
                      <a:fillRect/>
                    </a:stretch>
                  </pic:blipFill>
                  <pic:spPr>
                    <a:xfrm>
                      <a:off x="0" y="0"/>
                      <a:ext cx="5904230" cy="3280410"/>
                    </a:xfrm>
                    <a:prstGeom prst="rect">
                      <a:avLst/>
                    </a:prstGeom>
                  </pic:spPr>
                </pic:pic>
              </a:graphicData>
            </a:graphic>
          </wp:inline>
        </w:drawing>
      </w:r>
      <w:r w:rsidR="00A3122F">
        <w:rPr>
          <w:noProof/>
        </w:rPr>
        <w:t xml:space="preserve"> </w:t>
      </w:r>
    </w:p>
    <w:p w14:paraId="61DAE2A7" w14:textId="7C13EDD4" w:rsidR="00A9310D" w:rsidRDefault="008C1179" w:rsidP="00A9310D">
      <w:pPr>
        <w:pStyle w:val="Bodyaftertablefigure"/>
      </w:pPr>
      <w:r>
        <w:t xml:space="preserve">The National Blood Authority </w:t>
      </w:r>
      <w:r w:rsidR="00020704">
        <w:t xml:space="preserve">(NBA) </w:t>
      </w:r>
      <w:r>
        <w:t xml:space="preserve">provides information on the number of </w:t>
      </w:r>
      <w:r w:rsidR="0057636C">
        <w:t xml:space="preserve">blood </w:t>
      </w:r>
      <w:r>
        <w:t>components sent to the jurisdictions reporting to STIR each year</w:t>
      </w:r>
      <w:r w:rsidR="00A9310D">
        <w:t xml:space="preserve"> (</w:t>
      </w:r>
      <w:r>
        <w:t>Table 1</w:t>
      </w:r>
      <w:r w:rsidR="00A9310D">
        <w:t>)</w:t>
      </w:r>
      <w:r>
        <w:t xml:space="preserve">. </w:t>
      </w:r>
    </w:p>
    <w:p w14:paraId="71F82123" w14:textId="1534B082" w:rsidR="0068170B" w:rsidRPr="0068170B" w:rsidRDefault="008C1179" w:rsidP="00CE55B3">
      <w:pPr>
        <w:pStyle w:val="Body"/>
      </w:pPr>
      <w:r>
        <w:t xml:space="preserve">Table 2 shows the estimated frequency of clinical reactions for </w:t>
      </w:r>
      <w:r w:rsidRPr="00A9310D">
        <w:t>Victoria</w:t>
      </w:r>
      <w:r w:rsidR="007A753B">
        <w:t xml:space="preserve">, noting reporting is voluntary and </w:t>
      </w:r>
      <w:r w:rsidR="007A753B" w:rsidRPr="00A9310D">
        <w:t>only</w:t>
      </w:r>
      <w:r w:rsidR="007A753B">
        <w:t xml:space="preserve"> </w:t>
      </w:r>
      <w:r>
        <w:t>the more serious adverse reactions a</w:t>
      </w:r>
      <w:r w:rsidR="007A753B">
        <w:t>re</w:t>
      </w:r>
      <w:r>
        <w:t xml:space="preserve"> reported to STIR.</w:t>
      </w:r>
    </w:p>
    <w:p w14:paraId="1B4F6C20" w14:textId="45C31186" w:rsidR="00495C75" w:rsidRDefault="00495C75" w:rsidP="00CE55B3">
      <w:pPr>
        <w:pStyle w:val="Tablecaption"/>
        <w:spacing w:line="240" w:lineRule="auto"/>
        <w:rPr>
          <w:lang w:val="en-US"/>
        </w:rPr>
      </w:pPr>
      <w:r w:rsidRPr="00495C75">
        <w:lastRenderedPageBreak/>
        <w:t xml:space="preserve">Table </w:t>
      </w:r>
      <w:r w:rsidR="003A16F9">
        <w:t>1</w:t>
      </w:r>
      <w:r w:rsidRPr="00495C75">
        <w:t xml:space="preserve">: Total blood issues per jurisdiction </w:t>
      </w:r>
      <w:r w:rsidRPr="00495C75">
        <w:rPr>
          <w:lang w:val="en-US"/>
        </w:rPr>
        <w:t>202</w:t>
      </w:r>
      <w:r w:rsidR="00182975">
        <w:rPr>
          <w:lang w:val="en-US"/>
        </w:rPr>
        <w:t>2</w:t>
      </w:r>
      <w:r w:rsidR="004C16B6">
        <w:rPr>
          <w:lang w:val="en-US"/>
        </w:rPr>
        <w:t>–</w:t>
      </w:r>
      <w:r w:rsidRPr="00495C75">
        <w:rPr>
          <w:lang w:val="en-US"/>
        </w:rPr>
        <w:t>2</w:t>
      </w:r>
      <w:r w:rsidR="00182975">
        <w:rPr>
          <w:lang w:val="en-US"/>
        </w:rPr>
        <w:t>3</w:t>
      </w:r>
      <w:r>
        <w:rPr>
          <w:lang w:val="en-US"/>
        </w:rPr>
        <w:t xml:space="preserve"> </w:t>
      </w:r>
    </w:p>
    <w:tbl>
      <w:tblPr>
        <w:tblStyle w:val="GridTable6Colorful-Accent2"/>
        <w:tblW w:w="9351" w:type="dxa"/>
        <w:tblLayout w:type="fixed"/>
        <w:tblLook w:val="04A0" w:firstRow="1" w:lastRow="0" w:firstColumn="1" w:lastColumn="0" w:noHBand="0" w:noVBand="1"/>
      </w:tblPr>
      <w:tblGrid>
        <w:gridCol w:w="1870"/>
        <w:gridCol w:w="1870"/>
        <w:gridCol w:w="1870"/>
        <w:gridCol w:w="1870"/>
        <w:gridCol w:w="1871"/>
      </w:tblGrid>
      <w:tr w:rsidR="003A16F9" w:rsidRPr="003A16F9" w14:paraId="01BE5695" w14:textId="77777777" w:rsidTr="00CE55B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70" w:type="dxa"/>
            <w:noWrap/>
            <w:hideMark/>
          </w:tcPr>
          <w:p w14:paraId="1E4ABC21" w14:textId="4F6BCE28" w:rsidR="003A16F9" w:rsidRPr="00CE55B3" w:rsidRDefault="003A16F9" w:rsidP="00CE55B3">
            <w:pPr>
              <w:pStyle w:val="Tablecolhead"/>
              <w:keepNext/>
              <w:keepLines/>
              <w:rPr>
                <w:b/>
                <w:bCs w:val="0"/>
              </w:rPr>
            </w:pPr>
            <w:r w:rsidRPr="00A9310D">
              <w:t xml:space="preserve">Components </w:t>
            </w:r>
            <w:r w:rsidR="004C16B6" w:rsidRPr="00A9310D">
              <w:t>i</w:t>
            </w:r>
            <w:r w:rsidRPr="00A9310D">
              <w:t>ssued 2022</w:t>
            </w:r>
            <w:r w:rsidR="004C16B6" w:rsidRPr="00A9310D">
              <w:t>–</w:t>
            </w:r>
            <w:r w:rsidRPr="00A9310D">
              <w:t>23</w:t>
            </w:r>
          </w:p>
        </w:tc>
        <w:tc>
          <w:tcPr>
            <w:tcW w:w="1870" w:type="dxa"/>
            <w:noWrap/>
            <w:hideMark/>
          </w:tcPr>
          <w:p w14:paraId="341FFE34" w14:textId="7C78EF00" w:rsidR="003A16F9" w:rsidRPr="00CE55B3" w:rsidRDefault="003A16F9"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A9310D">
              <w:t>Victoria</w:t>
            </w:r>
          </w:p>
        </w:tc>
        <w:tc>
          <w:tcPr>
            <w:tcW w:w="1870" w:type="dxa"/>
            <w:noWrap/>
            <w:hideMark/>
          </w:tcPr>
          <w:p w14:paraId="4A67DDEB" w14:textId="3F85DD05" w:rsidR="003A16F9" w:rsidRPr="00CE55B3" w:rsidRDefault="003A16F9"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A9310D">
              <w:t>Australian Capital Territory</w:t>
            </w:r>
          </w:p>
        </w:tc>
        <w:tc>
          <w:tcPr>
            <w:tcW w:w="1870" w:type="dxa"/>
            <w:noWrap/>
            <w:hideMark/>
          </w:tcPr>
          <w:p w14:paraId="0DB94FB9" w14:textId="2C939644" w:rsidR="003A16F9" w:rsidRPr="00CE55B3" w:rsidRDefault="003A16F9"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A9310D">
              <w:t>Tasmania</w:t>
            </w:r>
          </w:p>
        </w:tc>
        <w:tc>
          <w:tcPr>
            <w:tcW w:w="1871" w:type="dxa"/>
            <w:noWrap/>
            <w:hideMark/>
          </w:tcPr>
          <w:p w14:paraId="19342D66" w14:textId="1B1897C9" w:rsidR="003A16F9" w:rsidRPr="00CE55B3" w:rsidRDefault="003A16F9"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A9310D">
              <w:t>Northern Territory</w:t>
            </w:r>
          </w:p>
        </w:tc>
      </w:tr>
      <w:tr w:rsidR="003A16F9" w:rsidRPr="003A16F9" w14:paraId="7C3692EF" w14:textId="77777777" w:rsidTr="00CE55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70" w:type="dxa"/>
            <w:noWrap/>
            <w:hideMark/>
          </w:tcPr>
          <w:p w14:paraId="7E0C5244" w14:textId="75D0A9A6" w:rsidR="003A16F9" w:rsidRPr="00CE55B3" w:rsidRDefault="003A16F9" w:rsidP="00CE55B3">
            <w:pPr>
              <w:pStyle w:val="Tabletext"/>
              <w:keepNext/>
              <w:keepLines/>
              <w:rPr>
                <w:b w:val="0"/>
                <w:bCs w:val="0"/>
                <w:color w:val="000000" w:themeColor="text1"/>
              </w:rPr>
            </w:pPr>
            <w:bookmarkStart w:id="15" w:name="_Hlk153873407"/>
            <w:r w:rsidRPr="00CE55B3">
              <w:rPr>
                <w:color w:val="000000" w:themeColor="text1"/>
              </w:rPr>
              <w:t xml:space="preserve">Red </w:t>
            </w:r>
            <w:r w:rsidR="004C16B6" w:rsidRPr="00CE55B3">
              <w:rPr>
                <w:color w:val="000000" w:themeColor="text1"/>
              </w:rPr>
              <w:t>blood c</w:t>
            </w:r>
            <w:r w:rsidRPr="00CE55B3">
              <w:rPr>
                <w:color w:val="000000" w:themeColor="text1"/>
              </w:rPr>
              <w:t>ells</w:t>
            </w:r>
            <w:r w:rsidR="000565F7" w:rsidRPr="00CE55B3">
              <w:rPr>
                <w:color w:val="000000" w:themeColor="text1"/>
              </w:rPr>
              <w:t xml:space="preserve"> (</w:t>
            </w:r>
            <w:r w:rsidR="0056661F" w:rsidRPr="00CE55B3">
              <w:rPr>
                <w:color w:val="000000" w:themeColor="text1"/>
              </w:rPr>
              <w:t>RBC</w:t>
            </w:r>
            <w:r w:rsidR="000565F7" w:rsidRPr="00CE55B3">
              <w:rPr>
                <w:color w:val="000000" w:themeColor="text1"/>
              </w:rPr>
              <w:t>)</w:t>
            </w:r>
          </w:p>
        </w:tc>
        <w:tc>
          <w:tcPr>
            <w:tcW w:w="1870" w:type="dxa"/>
            <w:noWrap/>
            <w:hideMark/>
          </w:tcPr>
          <w:p w14:paraId="39BCE721"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187,059</w:t>
            </w:r>
          </w:p>
        </w:tc>
        <w:tc>
          <w:tcPr>
            <w:tcW w:w="1870" w:type="dxa"/>
            <w:noWrap/>
            <w:hideMark/>
          </w:tcPr>
          <w:p w14:paraId="1EFBA11A"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10,497</w:t>
            </w:r>
          </w:p>
        </w:tc>
        <w:tc>
          <w:tcPr>
            <w:tcW w:w="1870" w:type="dxa"/>
            <w:noWrap/>
            <w:hideMark/>
          </w:tcPr>
          <w:p w14:paraId="36601A31"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14,439</w:t>
            </w:r>
          </w:p>
        </w:tc>
        <w:tc>
          <w:tcPr>
            <w:tcW w:w="1871" w:type="dxa"/>
            <w:noWrap/>
            <w:hideMark/>
          </w:tcPr>
          <w:p w14:paraId="1FD9A909"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5,158</w:t>
            </w:r>
          </w:p>
        </w:tc>
      </w:tr>
      <w:tr w:rsidR="003A16F9" w:rsidRPr="003A16F9" w14:paraId="5953AFB1" w14:textId="77777777" w:rsidTr="00CE55B3">
        <w:trPr>
          <w:trHeight w:val="290"/>
        </w:trPr>
        <w:tc>
          <w:tcPr>
            <w:cnfStyle w:val="001000000000" w:firstRow="0" w:lastRow="0" w:firstColumn="1" w:lastColumn="0" w:oddVBand="0" w:evenVBand="0" w:oddHBand="0" w:evenHBand="0" w:firstRowFirstColumn="0" w:firstRowLastColumn="0" w:lastRowFirstColumn="0" w:lastRowLastColumn="0"/>
            <w:tcW w:w="1870" w:type="dxa"/>
            <w:noWrap/>
            <w:hideMark/>
          </w:tcPr>
          <w:p w14:paraId="54AFE4C4" w14:textId="4F627BB2" w:rsidR="003A16F9" w:rsidRPr="00CE55B3" w:rsidRDefault="003A16F9" w:rsidP="00CE55B3">
            <w:pPr>
              <w:pStyle w:val="Tabletext"/>
              <w:keepNext/>
              <w:keepLines/>
              <w:rPr>
                <w:b w:val="0"/>
                <w:bCs w:val="0"/>
                <w:color w:val="000000" w:themeColor="text1"/>
              </w:rPr>
            </w:pPr>
            <w:r w:rsidRPr="00CE55B3">
              <w:rPr>
                <w:color w:val="000000" w:themeColor="text1"/>
              </w:rPr>
              <w:t>Platelets</w:t>
            </w:r>
          </w:p>
        </w:tc>
        <w:tc>
          <w:tcPr>
            <w:tcW w:w="1870" w:type="dxa"/>
            <w:noWrap/>
            <w:hideMark/>
          </w:tcPr>
          <w:p w14:paraId="7AE81C79" w14:textId="77777777" w:rsidR="003A16F9" w:rsidRPr="00CE55B3" w:rsidRDefault="003A16F9" w:rsidP="00CE55B3">
            <w:pPr>
              <w:pStyle w:val="Tabletext"/>
              <w:keepNext/>
              <w:keepLines/>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38,927</w:t>
            </w:r>
          </w:p>
        </w:tc>
        <w:tc>
          <w:tcPr>
            <w:tcW w:w="1870" w:type="dxa"/>
            <w:noWrap/>
            <w:hideMark/>
          </w:tcPr>
          <w:p w14:paraId="35995607" w14:textId="77777777" w:rsidR="003A16F9" w:rsidRPr="00CE55B3" w:rsidRDefault="003A16F9" w:rsidP="00CE55B3">
            <w:pPr>
              <w:pStyle w:val="Tabletext"/>
              <w:keepNext/>
              <w:keepLines/>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1,450</w:t>
            </w:r>
          </w:p>
        </w:tc>
        <w:tc>
          <w:tcPr>
            <w:tcW w:w="1870" w:type="dxa"/>
            <w:noWrap/>
            <w:hideMark/>
          </w:tcPr>
          <w:p w14:paraId="56861EFC" w14:textId="77777777" w:rsidR="003A16F9" w:rsidRPr="00CE55B3" w:rsidRDefault="003A16F9" w:rsidP="00CE55B3">
            <w:pPr>
              <w:pStyle w:val="Tabletext"/>
              <w:keepNext/>
              <w:keepLines/>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3,052</w:t>
            </w:r>
          </w:p>
        </w:tc>
        <w:tc>
          <w:tcPr>
            <w:tcW w:w="1871" w:type="dxa"/>
            <w:noWrap/>
            <w:hideMark/>
          </w:tcPr>
          <w:p w14:paraId="725F9E95" w14:textId="77777777" w:rsidR="003A16F9" w:rsidRPr="00CE55B3" w:rsidRDefault="003A16F9" w:rsidP="00CE55B3">
            <w:pPr>
              <w:pStyle w:val="Tabletext"/>
              <w:keepNext/>
              <w:keepLines/>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979</w:t>
            </w:r>
          </w:p>
        </w:tc>
      </w:tr>
      <w:tr w:rsidR="003A16F9" w:rsidRPr="003A16F9" w14:paraId="7971F785" w14:textId="77777777" w:rsidTr="00CE55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70" w:type="dxa"/>
            <w:noWrap/>
            <w:hideMark/>
          </w:tcPr>
          <w:p w14:paraId="7A87F2FD" w14:textId="1D3B2250" w:rsidR="003A16F9" w:rsidRPr="00CE55B3" w:rsidRDefault="003A16F9" w:rsidP="00CE55B3">
            <w:pPr>
              <w:pStyle w:val="Tabletext"/>
              <w:keepNext/>
              <w:keepLines/>
              <w:rPr>
                <w:b w:val="0"/>
                <w:bCs w:val="0"/>
                <w:color w:val="000000" w:themeColor="text1"/>
              </w:rPr>
            </w:pPr>
            <w:r w:rsidRPr="00CE55B3">
              <w:rPr>
                <w:color w:val="000000" w:themeColor="text1"/>
              </w:rPr>
              <w:t>Fresh frozen plasma (FFP)</w:t>
            </w:r>
          </w:p>
        </w:tc>
        <w:tc>
          <w:tcPr>
            <w:tcW w:w="1870" w:type="dxa"/>
            <w:noWrap/>
            <w:hideMark/>
          </w:tcPr>
          <w:p w14:paraId="4C81BE02"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27,267</w:t>
            </w:r>
          </w:p>
        </w:tc>
        <w:tc>
          <w:tcPr>
            <w:tcW w:w="1870" w:type="dxa"/>
            <w:noWrap/>
            <w:hideMark/>
          </w:tcPr>
          <w:p w14:paraId="2863345C"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878</w:t>
            </w:r>
          </w:p>
        </w:tc>
        <w:tc>
          <w:tcPr>
            <w:tcW w:w="1870" w:type="dxa"/>
            <w:noWrap/>
            <w:hideMark/>
          </w:tcPr>
          <w:p w14:paraId="00DC7AE7"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1,450</w:t>
            </w:r>
          </w:p>
        </w:tc>
        <w:tc>
          <w:tcPr>
            <w:tcW w:w="1871" w:type="dxa"/>
            <w:noWrap/>
            <w:hideMark/>
          </w:tcPr>
          <w:p w14:paraId="25639C5A"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334</w:t>
            </w:r>
          </w:p>
        </w:tc>
      </w:tr>
      <w:tr w:rsidR="00982AA7" w:rsidRPr="00982AA7" w14:paraId="6D89A21C" w14:textId="77777777" w:rsidTr="00CE55B3">
        <w:trPr>
          <w:trHeight w:val="290"/>
        </w:trPr>
        <w:tc>
          <w:tcPr>
            <w:cnfStyle w:val="001000000000" w:firstRow="0" w:lastRow="0" w:firstColumn="1" w:lastColumn="0" w:oddVBand="0" w:evenVBand="0" w:oddHBand="0" w:evenHBand="0" w:firstRowFirstColumn="0" w:firstRowLastColumn="0" w:lastRowFirstColumn="0" w:lastRowLastColumn="0"/>
            <w:tcW w:w="1870" w:type="dxa"/>
            <w:noWrap/>
            <w:hideMark/>
          </w:tcPr>
          <w:p w14:paraId="243191F5" w14:textId="13E2A355" w:rsidR="003A16F9" w:rsidRPr="00CE55B3" w:rsidRDefault="003A16F9" w:rsidP="00CE55B3">
            <w:pPr>
              <w:pStyle w:val="Tabletext"/>
              <w:keepNext/>
              <w:keepLines/>
              <w:rPr>
                <w:b w:val="0"/>
                <w:bCs w:val="0"/>
                <w:color w:val="000000" w:themeColor="text1"/>
              </w:rPr>
            </w:pPr>
            <w:r w:rsidRPr="00CE55B3">
              <w:rPr>
                <w:color w:val="000000" w:themeColor="text1"/>
              </w:rPr>
              <w:t>Cryoprecipitate</w:t>
            </w:r>
          </w:p>
        </w:tc>
        <w:tc>
          <w:tcPr>
            <w:tcW w:w="1870" w:type="dxa"/>
            <w:noWrap/>
            <w:hideMark/>
          </w:tcPr>
          <w:p w14:paraId="1CB91DC7" w14:textId="77777777" w:rsidR="003A16F9" w:rsidRPr="00CE55B3" w:rsidRDefault="003A16F9" w:rsidP="00CE55B3">
            <w:pPr>
              <w:pStyle w:val="Tabletext"/>
              <w:keepNext/>
              <w:keepLines/>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34,629</w:t>
            </w:r>
          </w:p>
        </w:tc>
        <w:tc>
          <w:tcPr>
            <w:tcW w:w="1870" w:type="dxa"/>
            <w:noWrap/>
            <w:hideMark/>
          </w:tcPr>
          <w:p w14:paraId="04B8107F" w14:textId="77777777" w:rsidR="003A16F9" w:rsidRPr="00CE55B3" w:rsidRDefault="003A16F9" w:rsidP="00CE55B3">
            <w:pPr>
              <w:pStyle w:val="Tabletext"/>
              <w:keepNext/>
              <w:keepLines/>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3,074</w:t>
            </w:r>
          </w:p>
        </w:tc>
        <w:tc>
          <w:tcPr>
            <w:tcW w:w="1870" w:type="dxa"/>
            <w:noWrap/>
            <w:hideMark/>
          </w:tcPr>
          <w:p w14:paraId="245D8A44" w14:textId="77777777" w:rsidR="003A16F9" w:rsidRPr="00CE55B3" w:rsidRDefault="003A16F9" w:rsidP="00CE55B3">
            <w:pPr>
              <w:pStyle w:val="Tabletext"/>
              <w:keepNext/>
              <w:keepLines/>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2,207</w:t>
            </w:r>
          </w:p>
        </w:tc>
        <w:tc>
          <w:tcPr>
            <w:tcW w:w="1871" w:type="dxa"/>
            <w:noWrap/>
            <w:hideMark/>
          </w:tcPr>
          <w:p w14:paraId="338E1A09" w14:textId="77777777" w:rsidR="003A16F9" w:rsidRPr="00CE55B3" w:rsidRDefault="003A16F9" w:rsidP="00CE55B3">
            <w:pPr>
              <w:pStyle w:val="Tabletext"/>
              <w:keepNext/>
              <w:keepLines/>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1,014</w:t>
            </w:r>
          </w:p>
        </w:tc>
      </w:tr>
      <w:bookmarkEnd w:id="15"/>
      <w:tr w:rsidR="003A16F9" w:rsidRPr="003A16F9" w14:paraId="7A876451" w14:textId="77777777" w:rsidTr="00CE55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70" w:type="dxa"/>
            <w:noWrap/>
            <w:hideMark/>
          </w:tcPr>
          <w:p w14:paraId="541CFA04" w14:textId="77777777" w:rsidR="003A16F9" w:rsidRPr="00CE55B3" w:rsidRDefault="003A16F9" w:rsidP="00CE55B3">
            <w:pPr>
              <w:pStyle w:val="Tabletext"/>
              <w:keepNext/>
              <w:keepLines/>
              <w:rPr>
                <w:color w:val="000000" w:themeColor="text1"/>
              </w:rPr>
            </w:pPr>
            <w:r w:rsidRPr="00CE55B3">
              <w:rPr>
                <w:color w:val="000000" w:themeColor="text1"/>
              </w:rPr>
              <w:t>Total</w:t>
            </w:r>
          </w:p>
        </w:tc>
        <w:tc>
          <w:tcPr>
            <w:tcW w:w="1870" w:type="dxa"/>
            <w:noWrap/>
            <w:hideMark/>
          </w:tcPr>
          <w:p w14:paraId="76B05061"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CE55B3">
              <w:rPr>
                <w:b/>
                <w:bCs/>
                <w:color w:val="000000" w:themeColor="text1"/>
              </w:rPr>
              <w:t>287,882</w:t>
            </w:r>
          </w:p>
        </w:tc>
        <w:tc>
          <w:tcPr>
            <w:tcW w:w="1870" w:type="dxa"/>
            <w:noWrap/>
            <w:hideMark/>
          </w:tcPr>
          <w:p w14:paraId="65088CC7" w14:textId="426BC114"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CE55B3">
              <w:rPr>
                <w:b/>
                <w:bCs/>
                <w:color w:val="000000" w:themeColor="text1"/>
              </w:rPr>
              <w:t>15,89</w:t>
            </w:r>
            <w:r w:rsidR="00D01946" w:rsidRPr="00CE55B3">
              <w:rPr>
                <w:b/>
                <w:bCs/>
                <w:color w:val="000000" w:themeColor="text1"/>
              </w:rPr>
              <w:t>9</w:t>
            </w:r>
          </w:p>
        </w:tc>
        <w:tc>
          <w:tcPr>
            <w:tcW w:w="1870" w:type="dxa"/>
            <w:noWrap/>
            <w:hideMark/>
          </w:tcPr>
          <w:p w14:paraId="140D8BBB"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CE55B3">
              <w:rPr>
                <w:b/>
                <w:bCs/>
                <w:color w:val="000000" w:themeColor="text1"/>
              </w:rPr>
              <w:t>21,148</w:t>
            </w:r>
          </w:p>
        </w:tc>
        <w:tc>
          <w:tcPr>
            <w:tcW w:w="1871" w:type="dxa"/>
            <w:noWrap/>
            <w:hideMark/>
          </w:tcPr>
          <w:p w14:paraId="66B64BD0" w14:textId="77777777" w:rsidR="003A16F9" w:rsidRPr="00CE55B3" w:rsidRDefault="003A16F9" w:rsidP="00CE55B3">
            <w:pPr>
              <w:pStyle w:val="Tabletext"/>
              <w:keepNext/>
              <w:keepLines/>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CE55B3">
              <w:rPr>
                <w:b/>
                <w:bCs/>
                <w:color w:val="000000" w:themeColor="text1"/>
              </w:rPr>
              <w:t>7,485</w:t>
            </w:r>
          </w:p>
        </w:tc>
      </w:tr>
    </w:tbl>
    <w:p w14:paraId="18296554" w14:textId="356775C5" w:rsidR="00495C75" w:rsidRPr="00495C75" w:rsidRDefault="00495C75" w:rsidP="00CE55B3">
      <w:pPr>
        <w:pStyle w:val="Tablecaption"/>
      </w:pPr>
      <w:bookmarkStart w:id="16" w:name="_Hlk153875198"/>
      <w:r w:rsidRPr="00495C75">
        <w:t xml:space="preserve">Table </w:t>
      </w:r>
      <w:r w:rsidR="00007632">
        <w:t>2</w:t>
      </w:r>
      <w:r w:rsidRPr="00495C75">
        <w:t xml:space="preserve">: Estimated </w:t>
      </w:r>
      <w:r w:rsidRPr="004C16B6">
        <w:t>frequency</w:t>
      </w:r>
      <w:r w:rsidRPr="00495C75">
        <w:t xml:space="preserve"> of clinical reactions per component in Victoria (n = </w:t>
      </w:r>
      <w:r w:rsidR="0083170A">
        <w:t>130</w:t>
      </w:r>
      <w:r w:rsidRPr="00495C75">
        <w:t>)</w:t>
      </w:r>
    </w:p>
    <w:tbl>
      <w:tblPr>
        <w:tblStyle w:val="GridTable6Colorful-Accent2"/>
        <w:tblW w:w="0" w:type="auto"/>
        <w:tblLook w:val="04A0" w:firstRow="1" w:lastRow="0" w:firstColumn="1" w:lastColumn="0" w:noHBand="0" w:noVBand="1"/>
      </w:tblPr>
      <w:tblGrid>
        <w:gridCol w:w="2322"/>
        <w:gridCol w:w="2322"/>
        <w:gridCol w:w="2322"/>
        <w:gridCol w:w="2322"/>
      </w:tblGrid>
      <w:tr w:rsidR="003A16F9" w14:paraId="2AF5BD96"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bookmarkEnd w:id="16"/>
          <w:p w14:paraId="499CCE4A" w14:textId="1E170060" w:rsidR="003A16F9" w:rsidRPr="00CE55B3" w:rsidRDefault="003A16F9" w:rsidP="004C16B6">
            <w:pPr>
              <w:pStyle w:val="Tablecolhead"/>
              <w:rPr>
                <w:b/>
                <w:bCs w:val="0"/>
              </w:rPr>
            </w:pPr>
            <w:r w:rsidRPr="00CE55B3">
              <w:t>Component</w:t>
            </w:r>
          </w:p>
        </w:tc>
        <w:tc>
          <w:tcPr>
            <w:tcW w:w="0" w:type="dxa"/>
          </w:tcPr>
          <w:p w14:paraId="1FA2DB8E" w14:textId="50C477ED" w:rsidR="003A16F9" w:rsidRPr="00CE55B3" w:rsidRDefault="003A16F9"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Blood issued (Vic</w:t>
            </w:r>
            <w:r w:rsidR="004C16B6" w:rsidRPr="00A9310D">
              <w:rPr>
                <w:b/>
                <w:bCs w:val="0"/>
              </w:rPr>
              <w:t>.</w:t>
            </w:r>
            <w:r w:rsidRPr="00CE55B3">
              <w:t>)</w:t>
            </w:r>
          </w:p>
        </w:tc>
        <w:tc>
          <w:tcPr>
            <w:tcW w:w="0" w:type="dxa"/>
          </w:tcPr>
          <w:p w14:paraId="45CD94ED" w14:textId="61092C54" w:rsidR="003A16F9" w:rsidRPr="00CE55B3" w:rsidRDefault="003A16F9"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Validated clinical events</w:t>
            </w:r>
            <w:r w:rsidR="004C16B6" w:rsidRPr="00A9310D">
              <w:rPr>
                <w:rStyle w:val="FootnoteReference"/>
                <w:b/>
                <w:bCs w:val="0"/>
              </w:rPr>
              <w:footnoteReference w:id="1"/>
            </w:r>
          </w:p>
        </w:tc>
        <w:tc>
          <w:tcPr>
            <w:tcW w:w="0" w:type="dxa"/>
          </w:tcPr>
          <w:p w14:paraId="7AD726BB" w14:textId="782B1402" w:rsidR="003A16F9" w:rsidRPr="00CE55B3" w:rsidRDefault="003A16F9"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Frequency</w:t>
            </w:r>
          </w:p>
        </w:tc>
      </w:tr>
      <w:tr w:rsidR="001B0A63" w14:paraId="2A8A114F"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3076DB77" w14:textId="0646EAC5" w:rsidR="001B0A63" w:rsidRPr="00CE55B3" w:rsidRDefault="0056661F" w:rsidP="00CE55B3">
            <w:pPr>
              <w:pStyle w:val="Tabletext"/>
              <w:rPr>
                <w:b w:val="0"/>
                <w:bCs w:val="0"/>
                <w:color w:val="000000" w:themeColor="text1"/>
              </w:rPr>
            </w:pPr>
            <w:r w:rsidRPr="00CE55B3">
              <w:rPr>
                <w:color w:val="000000" w:themeColor="text1"/>
              </w:rPr>
              <w:t>RBC</w:t>
            </w:r>
          </w:p>
        </w:tc>
        <w:tc>
          <w:tcPr>
            <w:tcW w:w="2322" w:type="dxa"/>
          </w:tcPr>
          <w:p w14:paraId="5ACE3201" w14:textId="33D41ED5" w:rsidR="001B0A63" w:rsidRPr="00CE55B3" w:rsidRDefault="001B0A63" w:rsidP="00CE55B3">
            <w:pPr>
              <w:pStyle w:val="Tabletext"/>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187,059</w:t>
            </w:r>
          </w:p>
        </w:tc>
        <w:tc>
          <w:tcPr>
            <w:tcW w:w="2322" w:type="dxa"/>
          </w:tcPr>
          <w:p w14:paraId="33613F09" w14:textId="320335CF" w:rsidR="001B0A63" w:rsidRPr="00CE55B3" w:rsidRDefault="0083170A" w:rsidP="00CE55B3">
            <w:pPr>
              <w:pStyle w:val="Tabletext"/>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96</w:t>
            </w:r>
          </w:p>
        </w:tc>
        <w:tc>
          <w:tcPr>
            <w:tcW w:w="2322" w:type="dxa"/>
          </w:tcPr>
          <w:p w14:paraId="34BBFA9C" w14:textId="6480673A" w:rsidR="001B0A63" w:rsidRPr="00CE55B3" w:rsidRDefault="00C266C0" w:rsidP="00CE55B3">
            <w:pPr>
              <w:pStyle w:val="Tabletext"/>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1:194</w:t>
            </w:r>
          </w:p>
        </w:tc>
      </w:tr>
      <w:tr w:rsidR="001B0A63" w14:paraId="7DF4784A" w14:textId="77777777" w:rsidTr="00982AA7">
        <w:tc>
          <w:tcPr>
            <w:cnfStyle w:val="001000000000" w:firstRow="0" w:lastRow="0" w:firstColumn="1" w:lastColumn="0" w:oddVBand="0" w:evenVBand="0" w:oddHBand="0" w:evenHBand="0" w:firstRowFirstColumn="0" w:firstRowLastColumn="0" w:lastRowFirstColumn="0" w:lastRowLastColumn="0"/>
            <w:tcW w:w="2322" w:type="dxa"/>
          </w:tcPr>
          <w:p w14:paraId="0DC6C6FD" w14:textId="493C3CC8" w:rsidR="001B0A63" w:rsidRPr="00CE55B3" w:rsidRDefault="001B0A63" w:rsidP="00CE55B3">
            <w:pPr>
              <w:pStyle w:val="Tabletext"/>
              <w:rPr>
                <w:b w:val="0"/>
                <w:bCs w:val="0"/>
                <w:color w:val="000000" w:themeColor="text1"/>
              </w:rPr>
            </w:pPr>
            <w:r w:rsidRPr="00CE55B3">
              <w:rPr>
                <w:color w:val="000000" w:themeColor="text1"/>
              </w:rPr>
              <w:t>Platelets</w:t>
            </w:r>
          </w:p>
        </w:tc>
        <w:tc>
          <w:tcPr>
            <w:tcW w:w="2322" w:type="dxa"/>
          </w:tcPr>
          <w:p w14:paraId="1DCC8FBC" w14:textId="6BAFA5BF" w:rsidR="001B0A63" w:rsidRPr="00CE55B3" w:rsidRDefault="001B0A63" w:rsidP="00CE55B3">
            <w:pPr>
              <w:pStyle w:val="Tabletext"/>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38,927</w:t>
            </w:r>
          </w:p>
        </w:tc>
        <w:tc>
          <w:tcPr>
            <w:tcW w:w="2322" w:type="dxa"/>
          </w:tcPr>
          <w:p w14:paraId="4BB2DF23" w14:textId="30262114" w:rsidR="001B0A63" w:rsidRPr="00CE55B3" w:rsidRDefault="0083170A" w:rsidP="00CE55B3">
            <w:pPr>
              <w:pStyle w:val="Tabletext"/>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29</w:t>
            </w:r>
          </w:p>
        </w:tc>
        <w:tc>
          <w:tcPr>
            <w:tcW w:w="2322" w:type="dxa"/>
          </w:tcPr>
          <w:p w14:paraId="28271244" w14:textId="07E95A70" w:rsidR="001B0A63" w:rsidRPr="00CE55B3" w:rsidRDefault="00C266C0" w:rsidP="00CE55B3">
            <w:pPr>
              <w:pStyle w:val="Tabletext"/>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1:1342</w:t>
            </w:r>
          </w:p>
        </w:tc>
      </w:tr>
      <w:tr w:rsidR="001B0A63" w14:paraId="3C0D563D"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2" w:type="dxa"/>
          </w:tcPr>
          <w:p w14:paraId="26B7BAED" w14:textId="51C909FE" w:rsidR="001B0A63" w:rsidRPr="00CE55B3" w:rsidRDefault="001B0A63" w:rsidP="00CE55B3">
            <w:pPr>
              <w:pStyle w:val="Tabletext"/>
              <w:rPr>
                <w:b w:val="0"/>
                <w:bCs w:val="0"/>
                <w:color w:val="000000" w:themeColor="text1"/>
              </w:rPr>
            </w:pPr>
            <w:r w:rsidRPr="00CE55B3">
              <w:rPr>
                <w:color w:val="000000" w:themeColor="text1"/>
              </w:rPr>
              <w:t>FFP</w:t>
            </w:r>
          </w:p>
        </w:tc>
        <w:tc>
          <w:tcPr>
            <w:tcW w:w="2322" w:type="dxa"/>
          </w:tcPr>
          <w:p w14:paraId="718ADC4E" w14:textId="4C767E75" w:rsidR="001B0A63" w:rsidRPr="00CE55B3" w:rsidRDefault="001B0A63" w:rsidP="00CE55B3">
            <w:pPr>
              <w:pStyle w:val="Tabletext"/>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27,267</w:t>
            </w:r>
          </w:p>
        </w:tc>
        <w:tc>
          <w:tcPr>
            <w:tcW w:w="2322" w:type="dxa"/>
          </w:tcPr>
          <w:p w14:paraId="77327DBD" w14:textId="1B0EC603" w:rsidR="001B0A63" w:rsidRPr="00CE55B3" w:rsidRDefault="0083170A" w:rsidP="00CE55B3">
            <w:pPr>
              <w:pStyle w:val="Tabletext"/>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15</w:t>
            </w:r>
          </w:p>
        </w:tc>
        <w:tc>
          <w:tcPr>
            <w:tcW w:w="2322" w:type="dxa"/>
          </w:tcPr>
          <w:p w14:paraId="670EC0F5" w14:textId="635CA373" w:rsidR="001B0A63" w:rsidRPr="00CE55B3" w:rsidRDefault="00C266C0" w:rsidP="00CE55B3">
            <w:pPr>
              <w:pStyle w:val="Tabletext"/>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CE55B3">
              <w:rPr>
                <w:color w:val="000000" w:themeColor="text1"/>
              </w:rPr>
              <w:t>1:1818</w:t>
            </w:r>
          </w:p>
        </w:tc>
      </w:tr>
      <w:tr w:rsidR="001B0A63" w14:paraId="64A13E3C" w14:textId="77777777" w:rsidTr="00982AA7">
        <w:tc>
          <w:tcPr>
            <w:cnfStyle w:val="001000000000" w:firstRow="0" w:lastRow="0" w:firstColumn="1" w:lastColumn="0" w:oddVBand="0" w:evenVBand="0" w:oddHBand="0" w:evenHBand="0" w:firstRowFirstColumn="0" w:firstRowLastColumn="0" w:lastRowFirstColumn="0" w:lastRowLastColumn="0"/>
            <w:tcW w:w="2322" w:type="dxa"/>
          </w:tcPr>
          <w:p w14:paraId="66B236D4" w14:textId="03538A7C" w:rsidR="001B0A63" w:rsidRPr="00CE55B3" w:rsidRDefault="001B0A63" w:rsidP="00CE55B3">
            <w:pPr>
              <w:pStyle w:val="Tabletext"/>
              <w:rPr>
                <w:b w:val="0"/>
                <w:bCs w:val="0"/>
                <w:color w:val="000000" w:themeColor="text1"/>
              </w:rPr>
            </w:pPr>
            <w:r w:rsidRPr="00CE55B3">
              <w:rPr>
                <w:color w:val="000000" w:themeColor="text1"/>
              </w:rPr>
              <w:t>Cryoprecipitate</w:t>
            </w:r>
          </w:p>
        </w:tc>
        <w:tc>
          <w:tcPr>
            <w:tcW w:w="2322" w:type="dxa"/>
          </w:tcPr>
          <w:p w14:paraId="5DEE4698" w14:textId="78DE21E5" w:rsidR="001B0A63" w:rsidRPr="00CE55B3" w:rsidRDefault="001B0A63" w:rsidP="00CE55B3">
            <w:pPr>
              <w:pStyle w:val="Tabletext"/>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34,629</w:t>
            </w:r>
          </w:p>
        </w:tc>
        <w:tc>
          <w:tcPr>
            <w:tcW w:w="2322" w:type="dxa"/>
          </w:tcPr>
          <w:p w14:paraId="19171E6C" w14:textId="3EE80809" w:rsidR="001B0A63" w:rsidRPr="00CE55B3" w:rsidRDefault="0083170A" w:rsidP="00CE55B3">
            <w:pPr>
              <w:pStyle w:val="Tabletext"/>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2</w:t>
            </w:r>
          </w:p>
        </w:tc>
        <w:tc>
          <w:tcPr>
            <w:tcW w:w="2322" w:type="dxa"/>
          </w:tcPr>
          <w:p w14:paraId="26F6C99C" w14:textId="4E66DCCE" w:rsidR="001B0A63" w:rsidRPr="00CE55B3" w:rsidRDefault="00C266C0" w:rsidP="00CE55B3">
            <w:pPr>
              <w:pStyle w:val="Tabletext"/>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CE55B3">
              <w:rPr>
                <w:color w:val="000000" w:themeColor="text1"/>
              </w:rPr>
              <w:t>1:17,314</w:t>
            </w:r>
          </w:p>
        </w:tc>
      </w:tr>
    </w:tbl>
    <w:p w14:paraId="2670DC7C" w14:textId="1AE18F0C" w:rsidR="00ED7762" w:rsidRDefault="00C33E49" w:rsidP="00B94C5E">
      <w:pPr>
        <w:pStyle w:val="Heading2"/>
      </w:pPr>
      <w:bookmarkStart w:id="17" w:name="_Toc174439992"/>
      <w:bookmarkEnd w:id="6"/>
      <w:r>
        <w:t>Method</w:t>
      </w:r>
      <w:bookmarkEnd w:id="17"/>
    </w:p>
    <w:p w14:paraId="1D22C251" w14:textId="2C7BCAD8" w:rsidR="00495C75" w:rsidRDefault="00A9310D" w:rsidP="00A9310D">
      <w:pPr>
        <w:pStyle w:val="Tablecaption"/>
      </w:pPr>
      <w:r>
        <w:t>Table</w:t>
      </w:r>
      <w:r w:rsidRPr="00495C75">
        <w:t xml:space="preserve"> </w:t>
      </w:r>
      <w:r>
        <w:t>3</w:t>
      </w:r>
      <w:r w:rsidR="00495C75" w:rsidRPr="00495C75">
        <w:t xml:space="preserve">: Steps in the </w:t>
      </w:r>
      <w:r w:rsidR="00495C75" w:rsidRPr="00A9310D">
        <w:t>reporting</w:t>
      </w:r>
      <w:r w:rsidR="00495C75" w:rsidRPr="00495C75">
        <w:t xml:space="preserve"> and validation of health service notifications</w:t>
      </w:r>
    </w:p>
    <w:tbl>
      <w:tblPr>
        <w:tblStyle w:val="GridTable6Colorful-Accent2"/>
        <w:tblW w:w="9351" w:type="dxa"/>
        <w:tblLook w:val="04A0" w:firstRow="1" w:lastRow="0" w:firstColumn="1" w:lastColumn="0" w:noHBand="0" w:noVBand="1"/>
      </w:tblPr>
      <w:tblGrid>
        <w:gridCol w:w="2547"/>
        <w:gridCol w:w="6804"/>
      </w:tblGrid>
      <w:tr w:rsidR="00A9310D" w14:paraId="2FEB0AA3"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0DF273F9" w14:textId="2108C8BA" w:rsidR="00A9310D" w:rsidRPr="009839B3" w:rsidRDefault="00A9310D" w:rsidP="009839B3">
            <w:pPr>
              <w:pStyle w:val="Tablecolhead"/>
              <w:rPr>
                <w:b/>
                <w:bCs w:val="0"/>
              </w:rPr>
            </w:pPr>
            <w:r>
              <w:rPr>
                <w:b/>
                <w:bCs w:val="0"/>
              </w:rPr>
              <w:t>Step</w:t>
            </w:r>
          </w:p>
        </w:tc>
        <w:tc>
          <w:tcPr>
            <w:tcW w:w="6804" w:type="dxa"/>
          </w:tcPr>
          <w:p w14:paraId="2957BF3F" w14:textId="64737D9C" w:rsidR="00A9310D" w:rsidRPr="009839B3" w:rsidRDefault="00A9310D" w:rsidP="009839B3">
            <w:pPr>
              <w:pStyle w:val="Tablecolhead"/>
              <w:cnfStyle w:val="100000000000" w:firstRow="1" w:lastRow="0" w:firstColumn="0" w:lastColumn="0" w:oddVBand="0" w:evenVBand="0" w:oddHBand="0" w:evenHBand="0" w:firstRowFirstColumn="0" w:firstRowLastColumn="0" w:lastRowFirstColumn="0" w:lastRowLastColumn="0"/>
              <w:rPr>
                <w:b/>
                <w:bCs w:val="0"/>
              </w:rPr>
            </w:pPr>
            <w:r>
              <w:rPr>
                <w:b/>
                <w:bCs w:val="0"/>
              </w:rPr>
              <w:t>Number of notifications</w:t>
            </w:r>
            <w:r w:rsidR="00A63672">
              <w:rPr>
                <w:b/>
                <w:bCs w:val="0"/>
              </w:rPr>
              <w:t>/investigations/reports</w:t>
            </w:r>
          </w:p>
        </w:tc>
      </w:tr>
      <w:tr w:rsidR="00A9310D" w14:paraId="26F60446" w14:textId="77777777" w:rsidTr="00CE5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703E741" w14:textId="3011A1B8" w:rsidR="00A9310D" w:rsidRPr="009839B3" w:rsidRDefault="00A9310D" w:rsidP="009839B3">
            <w:pPr>
              <w:pStyle w:val="Tabletext"/>
              <w:rPr>
                <w:b w:val="0"/>
                <w:bCs w:val="0"/>
                <w:color w:val="000000" w:themeColor="text1"/>
              </w:rPr>
            </w:pPr>
            <w:r>
              <w:rPr>
                <w:b w:val="0"/>
                <w:bCs w:val="0"/>
                <w:color w:val="000000" w:themeColor="text1"/>
              </w:rPr>
              <w:t>STIR notification</w:t>
            </w:r>
          </w:p>
        </w:tc>
        <w:tc>
          <w:tcPr>
            <w:tcW w:w="6804" w:type="dxa"/>
          </w:tcPr>
          <w:p w14:paraId="1BCB92DD" w14:textId="69568727" w:rsidR="00A9310D" w:rsidRPr="009839B3" w:rsidRDefault="00A9310D" w:rsidP="00CE55B3">
            <w:pPr>
              <w:pStyle w:val="Tabletext"/>
              <w:numPr>
                <w:ilvl w:val="0"/>
                <w:numId w:val="15"/>
              </w:numPr>
              <w:ind w:left="259" w:hanging="28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245 notifications from health services</w:t>
            </w:r>
          </w:p>
        </w:tc>
      </w:tr>
      <w:tr w:rsidR="00A9310D" w14:paraId="5CE6451A" w14:textId="77777777" w:rsidTr="00CE55B3">
        <w:tc>
          <w:tcPr>
            <w:cnfStyle w:val="001000000000" w:firstRow="0" w:lastRow="0" w:firstColumn="1" w:lastColumn="0" w:oddVBand="0" w:evenVBand="0" w:oddHBand="0" w:evenHBand="0" w:firstRowFirstColumn="0" w:firstRowLastColumn="0" w:lastRowFirstColumn="0" w:lastRowLastColumn="0"/>
            <w:tcW w:w="2547" w:type="dxa"/>
          </w:tcPr>
          <w:p w14:paraId="470EB936" w14:textId="3E066126" w:rsidR="00A9310D" w:rsidRPr="009839B3" w:rsidRDefault="00A9310D" w:rsidP="009839B3">
            <w:pPr>
              <w:pStyle w:val="Tabletext"/>
              <w:rPr>
                <w:b w:val="0"/>
                <w:bCs w:val="0"/>
                <w:color w:val="000000" w:themeColor="text1"/>
              </w:rPr>
            </w:pPr>
            <w:r>
              <w:rPr>
                <w:b w:val="0"/>
                <w:bCs w:val="0"/>
                <w:color w:val="000000" w:themeColor="text1"/>
              </w:rPr>
              <w:t>Notification withdrawal</w:t>
            </w:r>
          </w:p>
        </w:tc>
        <w:tc>
          <w:tcPr>
            <w:tcW w:w="6804" w:type="dxa"/>
          </w:tcPr>
          <w:p w14:paraId="1AE426E9" w14:textId="56922B82" w:rsidR="00A9310D" w:rsidRPr="009839B3" w:rsidRDefault="00A9310D" w:rsidP="00CE55B3">
            <w:pPr>
              <w:pStyle w:val="Tabletext"/>
              <w:numPr>
                <w:ilvl w:val="0"/>
                <w:numId w:val="15"/>
              </w:numPr>
              <w:ind w:left="259" w:hanging="283"/>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17 notifications withdrawn before investigation returned</w:t>
            </w:r>
          </w:p>
        </w:tc>
      </w:tr>
      <w:tr w:rsidR="00A9310D" w14:paraId="73D40ECA" w14:textId="77777777" w:rsidTr="00CE5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8F5D36F" w14:textId="6816551F" w:rsidR="00A9310D" w:rsidRPr="009839B3" w:rsidRDefault="00A9310D" w:rsidP="009839B3">
            <w:pPr>
              <w:pStyle w:val="Tabletext"/>
              <w:rPr>
                <w:b w:val="0"/>
                <w:bCs w:val="0"/>
                <w:color w:val="000000" w:themeColor="text1"/>
              </w:rPr>
            </w:pPr>
            <w:r>
              <w:rPr>
                <w:b w:val="0"/>
                <w:bCs w:val="0"/>
                <w:color w:val="000000" w:themeColor="text1"/>
              </w:rPr>
              <w:t>Primary investigation</w:t>
            </w:r>
          </w:p>
        </w:tc>
        <w:tc>
          <w:tcPr>
            <w:tcW w:w="6804" w:type="dxa"/>
          </w:tcPr>
          <w:p w14:paraId="59BD0CC2" w14:textId="18970FE0" w:rsidR="00A9310D" w:rsidRPr="009839B3" w:rsidRDefault="00A9310D" w:rsidP="00CE55B3">
            <w:pPr>
              <w:pStyle w:val="Tabletext"/>
              <w:numPr>
                <w:ilvl w:val="0"/>
                <w:numId w:val="15"/>
              </w:numPr>
              <w:ind w:left="259" w:hanging="28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228 investigation forms sent to STIR expert group for review</w:t>
            </w:r>
          </w:p>
        </w:tc>
      </w:tr>
      <w:tr w:rsidR="00A9310D" w14:paraId="4EC2EC49" w14:textId="77777777" w:rsidTr="00CE55B3">
        <w:tc>
          <w:tcPr>
            <w:cnfStyle w:val="001000000000" w:firstRow="0" w:lastRow="0" w:firstColumn="1" w:lastColumn="0" w:oddVBand="0" w:evenVBand="0" w:oddHBand="0" w:evenHBand="0" w:firstRowFirstColumn="0" w:firstRowLastColumn="0" w:lastRowFirstColumn="0" w:lastRowLastColumn="0"/>
            <w:tcW w:w="2547" w:type="dxa"/>
          </w:tcPr>
          <w:p w14:paraId="29485EA9" w14:textId="0B184E94" w:rsidR="00A9310D" w:rsidRPr="009839B3" w:rsidRDefault="00A9310D" w:rsidP="009839B3">
            <w:pPr>
              <w:pStyle w:val="Tabletext"/>
              <w:rPr>
                <w:b w:val="0"/>
                <w:bCs w:val="0"/>
                <w:color w:val="000000" w:themeColor="text1"/>
              </w:rPr>
            </w:pPr>
            <w:r>
              <w:rPr>
                <w:b w:val="0"/>
                <w:bCs w:val="0"/>
                <w:color w:val="000000" w:themeColor="text1"/>
              </w:rPr>
              <w:t>Second review</w:t>
            </w:r>
          </w:p>
        </w:tc>
        <w:tc>
          <w:tcPr>
            <w:tcW w:w="6804" w:type="dxa"/>
          </w:tcPr>
          <w:p w14:paraId="586435DC" w14:textId="3889D82C" w:rsidR="00A9310D" w:rsidRPr="009839B3" w:rsidRDefault="00A9310D" w:rsidP="00CE55B3">
            <w:pPr>
              <w:pStyle w:val="Tabletext"/>
              <w:numPr>
                <w:ilvl w:val="0"/>
                <w:numId w:val="15"/>
              </w:numPr>
              <w:ind w:left="259" w:hanging="283"/>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31 investigation forms required second review</w:t>
            </w:r>
          </w:p>
        </w:tc>
      </w:tr>
      <w:tr w:rsidR="00A9310D" w14:paraId="0422C64D" w14:textId="77777777" w:rsidTr="00CE55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06F3C03" w14:textId="0276EA5A" w:rsidR="00A9310D" w:rsidRDefault="00A9310D" w:rsidP="009839B3">
            <w:pPr>
              <w:pStyle w:val="Tabletext"/>
              <w:rPr>
                <w:b w:val="0"/>
                <w:bCs w:val="0"/>
                <w:color w:val="000000" w:themeColor="text1"/>
              </w:rPr>
            </w:pPr>
            <w:r>
              <w:rPr>
                <w:b w:val="0"/>
                <w:bCs w:val="0"/>
                <w:color w:val="000000" w:themeColor="text1"/>
              </w:rPr>
              <w:t>Expert Group exclusion</w:t>
            </w:r>
          </w:p>
        </w:tc>
        <w:tc>
          <w:tcPr>
            <w:tcW w:w="6804" w:type="dxa"/>
          </w:tcPr>
          <w:p w14:paraId="265E20F3" w14:textId="2DFDCC8E" w:rsidR="00A9310D" w:rsidRDefault="00A9310D" w:rsidP="00CE55B3">
            <w:pPr>
              <w:pStyle w:val="Tabletext"/>
              <w:numPr>
                <w:ilvl w:val="0"/>
                <w:numId w:val="15"/>
              </w:numPr>
              <w:ind w:left="259" w:hanging="28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19 investigations excluded by Expert Group review</w:t>
            </w:r>
          </w:p>
        </w:tc>
      </w:tr>
      <w:tr w:rsidR="00A9310D" w14:paraId="74B1E14B" w14:textId="77777777" w:rsidTr="00CE55B3">
        <w:tc>
          <w:tcPr>
            <w:cnfStyle w:val="001000000000" w:firstRow="0" w:lastRow="0" w:firstColumn="1" w:lastColumn="0" w:oddVBand="0" w:evenVBand="0" w:oddHBand="0" w:evenHBand="0" w:firstRowFirstColumn="0" w:firstRowLastColumn="0" w:lastRowFirstColumn="0" w:lastRowLastColumn="0"/>
            <w:tcW w:w="2547" w:type="dxa"/>
          </w:tcPr>
          <w:p w14:paraId="39932D1E" w14:textId="4F9AA400" w:rsidR="00A9310D" w:rsidRDefault="00A9310D" w:rsidP="009839B3">
            <w:pPr>
              <w:pStyle w:val="Tabletext"/>
              <w:rPr>
                <w:b w:val="0"/>
                <w:bCs w:val="0"/>
                <w:color w:val="000000" w:themeColor="text1"/>
              </w:rPr>
            </w:pPr>
            <w:r>
              <w:rPr>
                <w:b w:val="0"/>
                <w:bCs w:val="0"/>
                <w:color w:val="000000" w:themeColor="text1"/>
              </w:rPr>
              <w:t xml:space="preserve">Validation </w:t>
            </w:r>
          </w:p>
        </w:tc>
        <w:tc>
          <w:tcPr>
            <w:tcW w:w="6804" w:type="dxa"/>
          </w:tcPr>
          <w:p w14:paraId="5E36BB07" w14:textId="3CDEB4F5" w:rsidR="00A9310D" w:rsidRDefault="00A9310D" w:rsidP="00CE55B3">
            <w:pPr>
              <w:pStyle w:val="Tabletext"/>
              <w:numPr>
                <w:ilvl w:val="0"/>
                <w:numId w:val="15"/>
              </w:numPr>
              <w:ind w:left="259" w:hanging="283"/>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209 validated reports included for analysis</w:t>
            </w:r>
          </w:p>
        </w:tc>
      </w:tr>
    </w:tbl>
    <w:p w14:paraId="74791D23" w14:textId="77777777" w:rsidR="00495C75" w:rsidRDefault="00495C75" w:rsidP="00A9310D">
      <w:pPr>
        <w:pStyle w:val="Heading2"/>
      </w:pPr>
      <w:bookmarkStart w:id="18" w:name="_Toc136329757"/>
      <w:bookmarkStart w:id="19" w:name="_Toc174439993"/>
      <w:r>
        <w:t xml:space="preserve">Withdrawn </w:t>
      </w:r>
      <w:r w:rsidRPr="00A9310D">
        <w:t>reports</w:t>
      </w:r>
      <w:bookmarkEnd w:id="18"/>
      <w:bookmarkEnd w:id="19"/>
    </w:p>
    <w:p w14:paraId="3B49FC77" w14:textId="57B15C78" w:rsidR="00B762AE" w:rsidRDefault="00B762AE" w:rsidP="00B762AE">
      <w:pPr>
        <w:pStyle w:val="Body"/>
      </w:pPr>
      <w:r>
        <w:t>The percentage of withdrawn reports has remained relatively constant over the last three years</w:t>
      </w:r>
      <w:r w:rsidR="005355A4">
        <w:t xml:space="preserve"> (Table </w:t>
      </w:r>
      <w:r w:rsidR="00A9310D">
        <w:t>4</w:t>
      </w:r>
      <w:r w:rsidR="005355A4">
        <w:t>)</w:t>
      </w:r>
      <w:r>
        <w:t>.</w:t>
      </w:r>
    </w:p>
    <w:p w14:paraId="7F16E39F" w14:textId="77777777" w:rsidR="00A63672" w:rsidRDefault="00B762AE" w:rsidP="00B762AE">
      <w:pPr>
        <w:pStyle w:val="Body"/>
      </w:pPr>
      <w:r>
        <w:t xml:space="preserve">Health services withdraw reports for several reasons, most often due to being </w:t>
      </w:r>
      <w:r w:rsidR="00AD0997">
        <w:t xml:space="preserve">outside </w:t>
      </w:r>
      <w:r>
        <w:t>STIR</w:t>
      </w:r>
      <w:r w:rsidR="00AD0997">
        <w:t>’s</w:t>
      </w:r>
      <w:r>
        <w:t xml:space="preserve"> scope. </w:t>
      </w:r>
    </w:p>
    <w:p w14:paraId="01DA044E" w14:textId="79D1C246" w:rsidR="005355A4" w:rsidRDefault="00B762AE" w:rsidP="00B762AE">
      <w:pPr>
        <w:pStyle w:val="Body"/>
      </w:pPr>
      <w:r>
        <w:t xml:space="preserve">Although a </w:t>
      </w:r>
      <w:r w:rsidR="00730898">
        <w:t xml:space="preserve">transfusion </w:t>
      </w:r>
      <w:r>
        <w:t xml:space="preserve">reaction may occur, only the more serious reactions are reportable to STIR. Continued education </w:t>
      </w:r>
      <w:r w:rsidR="008644C1">
        <w:t xml:space="preserve">on appropriate reporting is required. </w:t>
      </w:r>
    </w:p>
    <w:p w14:paraId="6814C618" w14:textId="19699085" w:rsidR="00B762AE" w:rsidRDefault="00B36EDB" w:rsidP="00B762AE">
      <w:pPr>
        <w:pStyle w:val="Body"/>
      </w:pPr>
      <w:r>
        <w:lastRenderedPageBreak/>
        <w:t>Duplicate notifications occur when usual communications at the health service level have failed to note a previously reported event, particularly when there are several staff reporting to STIR.</w:t>
      </w:r>
    </w:p>
    <w:p w14:paraId="17930E75" w14:textId="3188F77C" w:rsidR="00B36EDB" w:rsidRPr="00B762AE" w:rsidRDefault="008644C1" w:rsidP="00B9778F">
      <w:pPr>
        <w:pStyle w:val="Body"/>
      </w:pPr>
      <w:r>
        <w:t>The investigation is excluded, and the reporter notified w</w:t>
      </w:r>
      <w:r w:rsidR="00B36EDB">
        <w:t>here the expert review finds there is evidence that the patient</w:t>
      </w:r>
      <w:r>
        <w:t>’s</w:t>
      </w:r>
      <w:r w:rsidR="00B36EDB">
        <w:t xml:space="preserve"> underlying condition or other medications is likely </w:t>
      </w:r>
      <w:r>
        <w:t xml:space="preserve">to be </w:t>
      </w:r>
      <w:r w:rsidR="00B36EDB">
        <w:t>the cause of the reaction, or there is not enough information to determine cause</w:t>
      </w:r>
      <w:r>
        <w:t xml:space="preserve">. </w:t>
      </w:r>
    </w:p>
    <w:p w14:paraId="71A486D4" w14:textId="4A3557E9" w:rsidR="00495C75" w:rsidRPr="00B6694D" w:rsidRDefault="00495C75" w:rsidP="00CE55B3">
      <w:pPr>
        <w:pStyle w:val="Tablecaption"/>
      </w:pPr>
      <w:r w:rsidRPr="00B6694D">
        <w:t xml:space="preserve">Table </w:t>
      </w:r>
      <w:r w:rsidR="00A9310D">
        <w:t>4</w:t>
      </w:r>
      <w:r w:rsidRPr="00B6694D">
        <w:t xml:space="preserve">: Reasons for withdrawal of </w:t>
      </w:r>
      <w:r w:rsidRPr="00A63672">
        <w:t>notifications</w:t>
      </w:r>
      <w:r w:rsidRPr="00B6694D">
        <w:t xml:space="preserve"> to STIR</w:t>
      </w:r>
    </w:p>
    <w:tbl>
      <w:tblPr>
        <w:tblStyle w:val="GridTable6Colorful-Accent2"/>
        <w:tblW w:w="9795" w:type="dxa"/>
        <w:tblLook w:val="04A0" w:firstRow="1" w:lastRow="0" w:firstColumn="1" w:lastColumn="0" w:noHBand="0" w:noVBand="1"/>
      </w:tblPr>
      <w:tblGrid>
        <w:gridCol w:w="1127"/>
        <w:gridCol w:w="1348"/>
        <w:gridCol w:w="823"/>
        <w:gridCol w:w="1360"/>
        <w:gridCol w:w="1267"/>
        <w:gridCol w:w="1150"/>
        <w:gridCol w:w="1465"/>
        <w:gridCol w:w="1255"/>
      </w:tblGrid>
      <w:tr w:rsidR="00182975" w:rsidRPr="00182975" w14:paraId="6957AD14"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BB8F800" w14:textId="77777777" w:rsidR="00182975" w:rsidRPr="00CE55B3" w:rsidRDefault="00182975" w:rsidP="00A9310D">
            <w:pPr>
              <w:pStyle w:val="Tablecolhead"/>
              <w:rPr>
                <w:b/>
                <w:bCs w:val="0"/>
              </w:rPr>
            </w:pPr>
            <w:r w:rsidRPr="00CE55B3">
              <w:t>Financial year</w:t>
            </w:r>
          </w:p>
        </w:tc>
        <w:tc>
          <w:tcPr>
            <w:tcW w:w="0" w:type="dxa"/>
          </w:tcPr>
          <w:p w14:paraId="520EDA50" w14:textId="77777777" w:rsidR="00182975" w:rsidRPr="00CE55B3" w:rsidRDefault="00182975" w:rsidP="00A9310D">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Duplicate notification</w:t>
            </w:r>
          </w:p>
        </w:tc>
        <w:tc>
          <w:tcPr>
            <w:tcW w:w="0" w:type="dxa"/>
          </w:tcPr>
          <w:p w14:paraId="1ED9FF63" w14:textId="77777777" w:rsidR="00182975" w:rsidRPr="00CE55B3" w:rsidRDefault="00182975" w:rsidP="00A9310D">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Not in scope</w:t>
            </w:r>
          </w:p>
        </w:tc>
        <w:tc>
          <w:tcPr>
            <w:tcW w:w="0" w:type="dxa"/>
          </w:tcPr>
          <w:p w14:paraId="2C274804" w14:textId="77777777" w:rsidR="00182975" w:rsidRPr="00CE55B3" w:rsidRDefault="00182975" w:rsidP="00A9310D">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Deemed not transfusion related by health service</w:t>
            </w:r>
          </w:p>
        </w:tc>
        <w:tc>
          <w:tcPr>
            <w:tcW w:w="0" w:type="dxa"/>
          </w:tcPr>
          <w:p w14:paraId="7A028D21" w14:textId="77777777" w:rsidR="00182975" w:rsidRPr="00CE55B3" w:rsidRDefault="00182975" w:rsidP="00A9310D">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Not completed</w:t>
            </w:r>
          </w:p>
        </w:tc>
        <w:tc>
          <w:tcPr>
            <w:tcW w:w="0" w:type="dxa"/>
          </w:tcPr>
          <w:p w14:paraId="4EED165C" w14:textId="77777777" w:rsidR="00182975" w:rsidRPr="00CE55B3" w:rsidRDefault="00182975" w:rsidP="00A9310D">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Excluded after expert review</w:t>
            </w:r>
          </w:p>
        </w:tc>
        <w:tc>
          <w:tcPr>
            <w:tcW w:w="0" w:type="dxa"/>
          </w:tcPr>
          <w:p w14:paraId="787FAC7F" w14:textId="77777777" w:rsidR="00182975" w:rsidRPr="00CE55B3" w:rsidRDefault="00182975" w:rsidP="00A9310D">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Total STIR notifications</w:t>
            </w:r>
          </w:p>
        </w:tc>
        <w:tc>
          <w:tcPr>
            <w:tcW w:w="0" w:type="dxa"/>
          </w:tcPr>
          <w:p w14:paraId="5509859D" w14:textId="77777777" w:rsidR="00182975" w:rsidRPr="00CE55B3" w:rsidRDefault="00182975" w:rsidP="00A9310D">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Total withdrawn n (%)</w:t>
            </w:r>
          </w:p>
        </w:tc>
      </w:tr>
      <w:tr w:rsidR="00182975" w:rsidRPr="00182975" w14:paraId="0723ADDD"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345A2D99" w14:textId="77777777" w:rsidR="00182975" w:rsidRPr="00982AA7" w:rsidRDefault="00182975" w:rsidP="00182975">
            <w:pPr>
              <w:pStyle w:val="Body"/>
              <w:rPr>
                <w:b w:val="0"/>
                <w:bCs w:val="0"/>
                <w:color w:val="000000" w:themeColor="text1"/>
              </w:rPr>
            </w:pPr>
            <w:r w:rsidRPr="00982AA7">
              <w:rPr>
                <w:b w:val="0"/>
                <w:bCs w:val="0"/>
                <w:color w:val="000000" w:themeColor="text1"/>
              </w:rPr>
              <w:t>FY15</w:t>
            </w:r>
          </w:p>
        </w:tc>
        <w:tc>
          <w:tcPr>
            <w:tcW w:w="1348" w:type="dxa"/>
          </w:tcPr>
          <w:p w14:paraId="02942632"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9</w:t>
            </w:r>
          </w:p>
        </w:tc>
        <w:tc>
          <w:tcPr>
            <w:tcW w:w="823" w:type="dxa"/>
          </w:tcPr>
          <w:p w14:paraId="0889F6F4"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11</w:t>
            </w:r>
          </w:p>
        </w:tc>
        <w:tc>
          <w:tcPr>
            <w:tcW w:w="1360" w:type="dxa"/>
          </w:tcPr>
          <w:p w14:paraId="2FD39741"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6</w:t>
            </w:r>
          </w:p>
        </w:tc>
        <w:tc>
          <w:tcPr>
            <w:tcW w:w="1267" w:type="dxa"/>
          </w:tcPr>
          <w:p w14:paraId="635E7450"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8</w:t>
            </w:r>
          </w:p>
        </w:tc>
        <w:tc>
          <w:tcPr>
            <w:tcW w:w="1150" w:type="dxa"/>
          </w:tcPr>
          <w:p w14:paraId="39A11E9B"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4</w:t>
            </w:r>
          </w:p>
        </w:tc>
        <w:tc>
          <w:tcPr>
            <w:tcW w:w="1465" w:type="dxa"/>
          </w:tcPr>
          <w:p w14:paraId="751FF3ED"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175</w:t>
            </w:r>
          </w:p>
        </w:tc>
        <w:tc>
          <w:tcPr>
            <w:tcW w:w="1255" w:type="dxa"/>
          </w:tcPr>
          <w:p w14:paraId="65DDC035"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38 (22)</w:t>
            </w:r>
          </w:p>
        </w:tc>
      </w:tr>
      <w:tr w:rsidR="00182975" w:rsidRPr="00182975" w14:paraId="65DB2C57" w14:textId="77777777" w:rsidTr="00982AA7">
        <w:tc>
          <w:tcPr>
            <w:cnfStyle w:val="001000000000" w:firstRow="0" w:lastRow="0" w:firstColumn="1" w:lastColumn="0" w:oddVBand="0" w:evenVBand="0" w:oddHBand="0" w:evenHBand="0" w:firstRowFirstColumn="0" w:firstRowLastColumn="0" w:lastRowFirstColumn="0" w:lastRowLastColumn="0"/>
            <w:tcW w:w="1127" w:type="dxa"/>
          </w:tcPr>
          <w:p w14:paraId="7ED1AD61" w14:textId="77777777" w:rsidR="00182975" w:rsidRPr="00982AA7" w:rsidRDefault="00182975" w:rsidP="00182975">
            <w:pPr>
              <w:pStyle w:val="Body"/>
              <w:rPr>
                <w:b w:val="0"/>
                <w:bCs w:val="0"/>
                <w:color w:val="000000" w:themeColor="text1"/>
              </w:rPr>
            </w:pPr>
            <w:r w:rsidRPr="00982AA7">
              <w:rPr>
                <w:b w:val="0"/>
                <w:bCs w:val="0"/>
                <w:color w:val="000000" w:themeColor="text1"/>
              </w:rPr>
              <w:t>FY16</w:t>
            </w:r>
          </w:p>
        </w:tc>
        <w:tc>
          <w:tcPr>
            <w:tcW w:w="1348" w:type="dxa"/>
          </w:tcPr>
          <w:p w14:paraId="4CF567FC"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6</w:t>
            </w:r>
          </w:p>
        </w:tc>
        <w:tc>
          <w:tcPr>
            <w:tcW w:w="823" w:type="dxa"/>
          </w:tcPr>
          <w:p w14:paraId="7DA31139"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11</w:t>
            </w:r>
          </w:p>
        </w:tc>
        <w:tc>
          <w:tcPr>
            <w:tcW w:w="1360" w:type="dxa"/>
          </w:tcPr>
          <w:p w14:paraId="73D8C060"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5</w:t>
            </w:r>
          </w:p>
        </w:tc>
        <w:tc>
          <w:tcPr>
            <w:tcW w:w="1267" w:type="dxa"/>
          </w:tcPr>
          <w:p w14:paraId="5D5908B3"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5</w:t>
            </w:r>
          </w:p>
        </w:tc>
        <w:tc>
          <w:tcPr>
            <w:tcW w:w="1150" w:type="dxa"/>
          </w:tcPr>
          <w:p w14:paraId="3BAFB589"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4</w:t>
            </w:r>
          </w:p>
        </w:tc>
        <w:tc>
          <w:tcPr>
            <w:tcW w:w="1465" w:type="dxa"/>
          </w:tcPr>
          <w:p w14:paraId="5ED421EF"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152</w:t>
            </w:r>
          </w:p>
        </w:tc>
        <w:tc>
          <w:tcPr>
            <w:tcW w:w="1255" w:type="dxa"/>
          </w:tcPr>
          <w:p w14:paraId="0B26AD83"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31 (20)</w:t>
            </w:r>
          </w:p>
        </w:tc>
      </w:tr>
      <w:tr w:rsidR="00182975" w:rsidRPr="00182975" w14:paraId="6D9FCEF2"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2440F6D3" w14:textId="77777777" w:rsidR="00182975" w:rsidRPr="00982AA7" w:rsidRDefault="00182975" w:rsidP="00182975">
            <w:pPr>
              <w:pStyle w:val="Body"/>
              <w:rPr>
                <w:b w:val="0"/>
                <w:bCs w:val="0"/>
                <w:color w:val="000000" w:themeColor="text1"/>
              </w:rPr>
            </w:pPr>
            <w:r w:rsidRPr="00982AA7">
              <w:rPr>
                <w:b w:val="0"/>
                <w:bCs w:val="0"/>
                <w:color w:val="000000" w:themeColor="text1"/>
              </w:rPr>
              <w:t>FY17</w:t>
            </w:r>
          </w:p>
        </w:tc>
        <w:tc>
          <w:tcPr>
            <w:tcW w:w="1348" w:type="dxa"/>
          </w:tcPr>
          <w:p w14:paraId="6B49C1BC"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5</w:t>
            </w:r>
          </w:p>
        </w:tc>
        <w:tc>
          <w:tcPr>
            <w:tcW w:w="823" w:type="dxa"/>
          </w:tcPr>
          <w:p w14:paraId="079A3546"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4</w:t>
            </w:r>
          </w:p>
        </w:tc>
        <w:tc>
          <w:tcPr>
            <w:tcW w:w="1360" w:type="dxa"/>
          </w:tcPr>
          <w:p w14:paraId="41FA682A"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w:t>
            </w:r>
          </w:p>
        </w:tc>
        <w:tc>
          <w:tcPr>
            <w:tcW w:w="1267" w:type="dxa"/>
          </w:tcPr>
          <w:p w14:paraId="3E7AF3C4"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w:t>
            </w:r>
          </w:p>
        </w:tc>
        <w:tc>
          <w:tcPr>
            <w:tcW w:w="1150" w:type="dxa"/>
          </w:tcPr>
          <w:p w14:paraId="0DE67E3F"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5</w:t>
            </w:r>
          </w:p>
        </w:tc>
        <w:tc>
          <w:tcPr>
            <w:tcW w:w="1465" w:type="dxa"/>
          </w:tcPr>
          <w:p w14:paraId="5E85FAC5"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155</w:t>
            </w:r>
          </w:p>
        </w:tc>
        <w:tc>
          <w:tcPr>
            <w:tcW w:w="1255" w:type="dxa"/>
          </w:tcPr>
          <w:p w14:paraId="54F24722"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17 (11)</w:t>
            </w:r>
          </w:p>
        </w:tc>
      </w:tr>
      <w:tr w:rsidR="00182975" w:rsidRPr="00182975" w14:paraId="79DF86EF" w14:textId="77777777" w:rsidTr="00982AA7">
        <w:tc>
          <w:tcPr>
            <w:cnfStyle w:val="001000000000" w:firstRow="0" w:lastRow="0" w:firstColumn="1" w:lastColumn="0" w:oddVBand="0" w:evenVBand="0" w:oddHBand="0" w:evenHBand="0" w:firstRowFirstColumn="0" w:firstRowLastColumn="0" w:lastRowFirstColumn="0" w:lastRowLastColumn="0"/>
            <w:tcW w:w="1127" w:type="dxa"/>
          </w:tcPr>
          <w:p w14:paraId="26D313D3" w14:textId="77777777" w:rsidR="00182975" w:rsidRPr="00982AA7" w:rsidRDefault="00182975" w:rsidP="00182975">
            <w:pPr>
              <w:pStyle w:val="Body"/>
              <w:rPr>
                <w:b w:val="0"/>
                <w:bCs w:val="0"/>
                <w:color w:val="000000" w:themeColor="text1"/>
              </w:rPr>
            </w:pPr>
            <w:r w:rsidRPr="00982AA7">
              <w:rPr>
                <w:b w:val="0"/>
                <w:bCs w:val="0"/>
                <w:color w:val="000000" w:themeColor="text1"/>
              </w:rPr>
              <w:t>FY18</w:t>
            </w:r>
          </w:p>
        </w:tc>
        <w:tc>
          <w:tcPr>
            <w:tcW w:w="1348" w:type="dxa"/>
          </w:tcPr>
          <w:p w14:paraId="0AAC4D83"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3</w:t>
            </w:r>
          </w:p>
        </w:tc>
        <w:tc>
          <w:tcPr>
            <w:tcW w:w="823" w:type="dxa"/>
          </w:tcPr>
          <w:p w14:paraId="0F26557D"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5</w:t>
            </w:r>
          </w:p>
        </w:tc>
        <w:tc>
          <w:tcPr>
            <w:tcW w:w="1360" w:type="dxa"/>
          </w:tcPr>
          <w:p w14:paraId="4CAA470B"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267" w:type="dxa"/>
          </w:tcPr>
          <w:p w14:paraId="3B745866"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w:t>
            </w:r>
          </w:p>
        </w:tc>
        <w:tc>
          <w:tcPr>
            <w:tcW w:w="1150" w:type="dxa"/>
          </w:tcPr>
          <w:p w14:paraId="79700E01"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15</w:t>
            </w:r>
          </w:p>
        </w:tc>
        <w:tc>
          <w:tcPr>
            <w:tcW w:w="1465" w:type="dxa"/>
          </w:tcPr>
          <w:p w14:paraId="5AD62B1B"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158</w:t>
            </w:r>
          </w:p>
        </w:tc>
        <w:tc>
          <w:tcPr>
            <w:tcW w:w="1255" w:type="dxa"/>
          </w:tcPr>
          <w:p w14:paraId="654096A1"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25 (16)</w:t>
            </w:r>
          </w:p>
        </w:tc>
      </w:tr>
      <w:tr w:rsidR="00182975" w:rsidRPr="00182975" w14:paraId="20673AB1"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0F4886F9" w14:textId="77777777" w:rsidR="00182975" w:rsidRPr="00982AA7" w:rsidRDefault="00182975" w:rsidP="00182975">
            <w:pPr>
              <w:pStyle w:val="Body"/>
              <w:rPr>
                <w:b w:val="0"/>
                <w:bCs w:val="0"/>
                <w:color w:val="000000" w:themeColor="text1"/>
              </w:rPr>
            </w:pPr>
            <w:r w:rsidRPr="00982AA7">
              <w:rPr>
                <w:b w:val="0"/>
                <w:bCs w:val="0"/>
                <w:color w:val="000000" w:themeColor="text1"/>
              </w:rPr>
              <w:t>FY19</w:t>
            </w:r>
          </w:p>
        </w:tc>
        <w:tc>
          <w:tcPr>
            <w:tcW w:w="1348" w:type="dxa"/>
          </w:tcPr>
          <w:p w14:paraId="6C6EB394"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5</w:t>
            </w:r>
          </w:p>
        </w:tc>
        <w:tc>
          <w:tcPr>
            <w:tcW w:w="823" w:type="dxa"/>
          </w:tcPr>
          <w:p w14:paraId="6DEC2CA6"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16</w:t>
            </w:r>
          </w:p>
        </w:tc>
        <w:tc>
          <w:tcPr>
            <w:tcW w:w="1360" w:type="dxa"/>
          </w:tcPr>
          <w:p w14:paraId="1879CE20"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3</w:t>
            </w:r>
          </w:p>
        </w:tc>
        <w:tc>
          <w:tcPr>
            <w:tcW w:w="1267" w:type="dxa"/>
          </w:tcPr>
          <w:p w14:paraId="13E551CF"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w:t>
            </w:r>
          </w:p>
        </w:tc>
        <w:tc>
          <w:tcPr>
            <w:tcW w:w="1150" w:type="dxa"/>
          </w:tcPr>
          <w:p w14:paraId="5F801DCE"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14</w:t>
            </w:r>
          </w:p>
        </w:tc>
        <w:tc>
          <w:tcPr>
            <w:tcW w:w="1465" w:type="dxa"/>
          </w:tcPr>
          <w:p w14:paraId="51045D19"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171</w:t>
            </w:r>
          </w:p>
        </w:tc>
        <w:tc>
          <w:tcPr>
            <w:tcW w:w="1255" w:type="dxa"/>
          </w:tcPr>
          <w:p w14:paraId="2F746C30"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39 (23)</w:t>
            </w:r>
          </w:p>
        </w:tc>
      </w:tr>
      <w:tr w:rsidR="00182975" w:rsidRPr="00182975" w14:paraId="2585BAE2" w14:textId="77777777" w:rsidTr="00982AA7">
        <w:tc>
          <w:tcPr>
            <w:cnfStyle w:val="001000000000" w:firstRow="0" w:lastRow="0" w:firstColumn="1" w:lastColumn="0" w:oddVBand="0" w:evenVBand="0" w:oddHBand="0" w:evenHBand="0" w:firstRowFirstColumn="0" w:firstRowLastColumn="0" w:lastRowFirstColumn="0" w:lastRowLastColumn="0"/>
            <w:tcW w:w="1127" w:type="dxa"/>
          </w:tcPr>
          <w:p w14:paraId="33435631" w14:textId="77777777" w:rsidR="00182975" w:rsidRPr="00982AA7" w:rsidRDefault="00182975" w:rsidP="00182975">
            <w:pPr>
              <w:pStyle w:val="Body"/>
              <w:rPr>
                <w:b w:val="0"/>
                <w:bCs w:val="0"/>
                <w:color w:val="000000" w:themeColor="text1"/>
              </w:rPr>
            </w:pPr>
            <w:r w:rsidRPr="00982AA7">
              <w:rPr>
                <w:b w:val="0"/>
                <w:bCs w:val="0"/>
                <w:color w:val="000000" w:themeColor="text1"/>
              </w:rPr>
              <w:t>FY20</w:t>
            </w:r>
          </w:p>
        </w:tc>
        <w:tc>
          <w:tcPr>
            <w:tcW w:w="1348" w:type="dxa"/>
          </w:tcPr>
          <w:p w14:paraId="394E70FD"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9</w:t>
            </w:r>
          </w:p>
        </w:tc>
        <w:tc>
          <w:tcPr>
            <w:tcW w:w="823" w:type="dxa"/>
          </w:tcPr>
          <w:p w14:paraId="115175ED"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11</w:t>
            </w:r>
          </w:p>
        </w:tc>
        <w:tc>
          <w:tcPr>
            <w:tcW w:w="1360" w:type="dxa"/>
          </w:tcPr>
          <w:p w14:paraId="7D25BAAB"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4</w:t>
            </w:r>
          </w:p>
        </w:tc>
        <w:tc>
          <w:tcPr>
            <w:tcW w:w="1267" w:type="dxa"/>
          </w:tcPr>
          <w:p w14:paraId="2B772D74"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w:t>
            </w:r>
          </w:p>
        </w:tc>
        <w:tc>
          <w:tcPr>
            <w:tcW w:w="1150" w:type="dxa"/>
          </w:tcPr>
          <w:p w14:paraId="16179462"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22</w:t>
            </w:r>
          </w:p>
        </w:tc>
        <w:tc>
          <w:tcPr>
            <w:tcW w:w="1465" w:type="dxa"/>
          </w:tcPr>
          <w:p w14:paraId="21A433E4"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214</w:t>
            </w:r>
          </w:p>
        </w:tc>
        <w:tc>
          <w:tcPr>
            <w:tcW w:w="1255" w:type="dxa"/>
          </w:tcPr>
          <w:p w14:paraId="336785D3"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48 (22)</w:t>
            </w:r>
          </w:p>
        </w:tc>
      </w:tr>
      <w:tr w:rsidR="00182975" w:rsidRPr="00182975" w14:paraId="7491C67E"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165F31AB" w14:textId="77777777" w:rsidR="00182975" w:rsidRPr="00982AA7" w:rsidRDefault="00182975" w:rsidP="00182975">
            <w:pPr>
              <w:pStyle w:val="Body"/>
              <w:rPr>
                <w:b w:val="0"/>
                <w:bCs w:val="0"/>
                <w:color w:val="000000" w:themeColor="text1"/>
              </w:rPr>
            </w:pPr>
            <w:r w:rsidRPr="00982AA7">
              <w:rPr>
                <w:b w:val="0"/>
                <w:bCs w:val="0"/>
                <w:color w:val="000000" w:themeColor="text1"/>
              </w:rPr>
              <w:t>FY21</w:t>
            </w:r>
          </w:p>
        </w:tc>
        <w:tc>
          <w:tcPr>
            <w:tcW w:w="1348" w:type="dxa"/>
          </w:tcPr>
          <w:p w14:paraId="5D011E1F"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w:t>
            </w:r>
          </w:p>
        </w:tc>
        <w:tc>
          <w:tcPr>
            <w:tcW w:w="823" w:type="dxa"/>
          </w:tcPr>
          <w:p w14:paraId="0EED8386"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3</w:t>
            </w:r>
          </w:p>
        </w:tc>
        <w:tc>
          <w:tcPr>
            <w:tcW w:w="1360" w:type="dxa"/>
          </w:tcPr>
          <w:p w14:paraId="48DB739C"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w:t>
            </w:r>
          </w:p>
        </w:tc>
        <w:tc>
          <w:tcPr>
            <w:tcW w:w="1267" w:type="dxa"/>
          </w:tcPr>
          <w:p w14:paraId="25EF0FE6"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w:t>
            </w:r>
          </w:p>
        </w:tc>
        <w:tc>
          <w:tcPr>
            <w:tcW w:w="1150" w:type="dxa"/>
          </w:tcPr>
          <w:p w14:paraId="5F41B76E"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14</w:t>
            </w:r>
          </w:p>
        </w:tc>
        <w:tc>
          <w:tcPr>
            <w:tcW w:w="1465" w:type="dxa"/>
          </w:tcPr>
          <w:p w14:paraId="7726DEBC"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180</w:t>
            </w:r>
          </w:p>
        </w:tc>
        <w:tc>
          <w:tcPr>
            <w:tcW w:w="1255" w:type="dxa"/>
          </w:tcPr>
          <w:p w14:paraId="293BC217" w14:textId="77777777" w:rsidR="00182975" w:rsidRPr="00982AA7" w:rsidRDefault="00182975"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23 (13)</w:t>
            </w:r>
          </w:p>
        </w:tc>
      </w:tr>
      <w:tr w:rsidR="00182975" w:rsidRPr="00182975" w14:paraId="182E56D7" w14:textId="77777777" w:rsidTr="00982AA7">
        <w:tc>
          <w:tcPr>
            <w:cnfStyle w:val="001000000000" w:firstRow="0" w:lastRow="0" w:firstColumn="1" w:lastColumn="0" w:oddVBand="0" w:evenVBand="0" w:oddHBand="0" w:evenHBand="0" w:firstRowFirstColumn="0" w:firstRowLastColumn="0" w:lastRowFirstColumn="0" w:lastRowLastColumn="0"/>
            <w:tcW w:w="1127" w:type="dxa"/>
          </w:tcPr>
          <w:p w14:paraId="1778BD52" w14:textId="77777777" w:rsidR="00182975" w:rsidRPr="00982AA7" w:rsidRDefault="00182975" w:rsidP="00182975">
            <w:pPr>
              <w:pStyle w:val="Body"/>
              <w:rPr>
                <w:b w:val="0"/>
                <w:bCs w:val="0"/>
                <w:color w:val="000000" w:themeColor="text1"/>
              </w:rPr>
            </w:pPr>
            <w:r w:rsidRPr="00982AA7">
              <w:rPr>
                <w:b w:val="0"/>
                <w:bCs w:val="0"/>
                <w:color w:val="000000" w:themeColor="text1"/>
              </w:rPr>
              <w:t>FY22</w:t>
            </w:r>
          </w:p>
        </w:tc>
        <w:tc>
          <w:tcPr>
            <w:tcW w:w="1348" w:type="dxa"/>
          </w:tcPr>
          <w:p w14:paraId="0E03BBD9"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5</w:t>
            </w:r>
          </w:p>
        </w:tc>
        <w:tc>
          <w:tcPr>
            <w:tcW w:w="823" w:type="dxa"/>
          </w:tcPr>
          <w:p w14:paraId="404A2B21"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6</w:t>
            </w:r>
          </w:p>
        </w:tc>
        <w:tc>
          <w:tcPr>
            <w:tcW w:w="1360" w:type="dxa"/>
          </w:tcPr>
          <w:p w14:paraId="78656CC6"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4</w:t>
            </w:r>
          </w:p>
        </w:tc>
        <w:tc>
          <w:tcPr>
            <w:tcW w:w="1267" w:type="dxa"/>
          </w:tcPr>
          <w:p w14:paraId="660AD553"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c>
          <w:tcPr>
            <w:tcW w:w="1150" w:type="dxa"/>
          </w:tcPr>
          <w:p w14:paraId="48A6B27C"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14</w:t>
            </w:r>
          </w:p>
        </w:tc>
        <w:tc>
          <w:tcPr>
            <w:tcW w:w="1465" w:type="dxa"/>
          </w:tcPr>
          <w:p w14:paraId="3E1A1703"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216</w:t>
            </w:r>
          </w:p>
        </w:tc>
        <w:tc>
          <w:tcPr>
            <w:tcW w:w="1255" w:type="dxa"/>
          </w:tcPr>
          <w:p w14:paraId="09F1B160" w14:textId="77777777" w:rsidR="00182975" w:rsidRPr="00982AA7" w:rsidRDefault="00182975"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30 (14)</w:t>
            </w:r>
          </w:p>
        </w:tc>
      </w:tr>
      <w:tr w:rsidR="00182975" w:rsidRPr="00182975" w14:paraId="77C2F5F4"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12E9F36E" w14:textId="0A97B755" w:rsidR="00182975" w:rsidRPr="00982AA7" w:rsidRDefault="00182975" w:rsidP="00182975">
            <w:pPr>
              <w:pStyle w:val="Body"/>
              <w:rPr>
                <w:b w:val="0"/>
                <w:bCs w:val="0"/>
                <w:color w:val="000000" w:themeColor="text1"/>
              </w:rPr>
            </w:pPr>
            <w:r w:rsidRPr="00982AA7">
              <w:rPr>
                <w:b w:val="0"/>
                <w:bCs w:val="0"/>
                <w:color w:val="000000" w:themeColor="text1"/>
              </w:rPr>
              <w:t>FY23</w:t>
            </w:r>
          </w:p>
        </w:tc>
        <w:tc>
          <w:tcPr>
            <w:tcW w:w="1348" w:type="dxa"/>
          </w:tcPr>
          <w:p w14:paraId="342C8905" w14:textId="62ADB04A" w:rsidR="00182975" w:rsidRPr="00982AA7" w:rsidRDefault="008C1179"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4</w:t>
            </w:r>
          </w:p>
        </w:tc>
        <w:tc>
          <w:tcPr>
            <w:tcW w:w="823" w:type="dxa"/>
          </w:tcPr>
          <w:p w14:paraId="2B91584A" w14:textId="3C510211" w:rsidR="00182975" w:rsidRPr="00982AA7" w:rsidRDefault="008C1179"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8</w:t>
            </w:r>
          </w:p>
        </w:tc>
        <w:tc>
          <w:tcPr>
            <w:tcW w:w="1360" w:type="dxa"/>
          </w:tcPr>
          <w:p w14:paraId="01F4CFB3" w14:textId="0AC91155" w:rsidR="00182975" w:rsidRPr="00982AA7" w:rsidRDefault="008C1179"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3</w:t>
            </w:r>
          </w:p>
        </w:tc>
        <w:tc>
          <w:tcPr>
            <w:tcW w:w="1267" w:type="dxa"/>
          </w:tcPr>
          <w:p w14:paraId="27D0BE13" w14:textId="5EAAA479" w:rsidR="00182975" w:rsidRPr="00982AA7" w:rsidRDefault="008C1179"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w:t>
            </w:r>
          </w:p>
        </w:tc>
        <w:tc>
          <w:tcPr>
            <w:tcW w:w="1150" w:type="dxa"/>
          </w:tcPr>
          <w:p w14:paraId="0E18B3A7" w14:textId="64619706" w:rsidR="00182975" w:rsidRPr="00982AA7" w:rsidRDefault="00B9778F"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19</w:t>
            </w:r>
          </w:p>
        </w:tc>
        <w:tc>
          <w:tcPr>
            <w:tcW w:w="1465" w:type="dxa"/>
          </w:tcPr>
          <w:p w14:paraId="64B0C27E" w14:textId="75E7B871" w:rsidR="00182975" w:rsidRPr="00982AA7" w:rsidRDefault="003C2391"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245</w:t>
            </w:r>
          </w:p>
        </w:tc>
        <w:tc>
          <w:tcPr>
            <w:tcW w:w="1255" w:type="dxa"/>
          </w:tcPr>
          <w:p w14:paraId="6C2237C8" w14:textId="3C1DCE31" w:rsidR="00182975" w:rsidRPr="00982AA7" w:rsidRDefault="00B9778F"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 xml:space="preserve">36 </w:t>
            </w:r>
            <w:r w:rsidR="008C1179" w:rsidRPr="00982AA7">
              <w:rPr>
                <w:color w:val="000000" w:themeColor="text1"/>
              </w:rPr>
              <w:t>(</w:t>
            </w:r>
            <w:r w:rsidRPr="00982AA7">
              <w:rPr>
                <w:color w:val="000000" w:themeColor="text1"/>
              </w:rPr>
              <w:t>15</w:t>
            </w:r>
            <w:r w:rsidR="008C1179" w:rsidRPr="00982AA7">
              <w:rPr>
                <w:color w:val="000000" w:themeColor="text1"/>
              </w:rPr>
              <w:t>)</w:t>
            </w:r>
          </w:p>
        </w:tc>
      </w:tr>
    </w:tbl>
    <w:p w14:paraId="003999EB" w14:textId="77777777" w:rsidR="00495C75" w:rsidRDefault="00495C75" w:rsidP="00495C75">
      <w:pPr>
        <w:pStyle w:val="Heading2"/>
      </w:pPr>
      <w:bookmarkStart w:id="20" w:name="_Toc136329758"/>
      <w:bookmarkStart w:id="21" w:name="_Toc174439994"/>
      <w:r w:rsidRPr="00B6694D">
        <w:t>Validation and reconciliation</w:t>
      </w:r>
      <w:bookmarkEnd w:id="20"/>
      <w:bookmarkEnd w:id="21"/>
    </w:p>
    <w:p w14:paraId="4B6D717D" w14:textId="603E48A6" w:rsidR="00A9310D" w:rsidRDefault="00A9310D" w:rsidP="00182975">
      <w:pPr>
        <w:pStyle w:val="Body"/>
      </w:pPr>
      <w:r>
        <w:t>A member of the Expert Group reviews all</w:t>
      </w:r>
      <w:r w:rsidRPr="00182975">
        <w:t xml:space="preserve"> </w:t>
      </w:r>
      <w:r w:rsidR="00182975" w:rsidRPr="00182975">
        <w:t xml:space="preserve">investigations returned to STIR. </w:t>
      </w:r>
      <w:r>
        <w:t>For each event, t</w:t>
      </w:r>
      <w:r w:rsidRPr="00182975">
        <w:t xml:space="preserve">he </w:t>
      </w:r>
      <w:r w:rsidR="00182975" w:rsidRPr="00182975">
        <w:t xml:space="preserve">member assigns </w:t>
      </w:r>
      <w:r>
        <w:t xml:space="preserve">a </w:t>
      </w:r>
      <w:r w:rsidR="00182975" w:rsidRPr="00182975">
        <w:t xml:space="preserve">reaction or event type, severity </w:t>
      </w:r>
      <w:r w:rsidR="002272CB">
        <w:t xml:space="preserve">rating </w:t>
      </w:r>
      <w:r w:rsidR="00182975" w:rsidRPr="00182975">
        <w:t xml:space="preserve">and </w:t>
      </w:r>
      <w:proofErr w:type="spellStart"/>
      <w:r w:rsidR="00182975" w:rsidRPr="00182975">
        <w:t>imputability</w:t>
      </w:r>
      <w:proofErr w:type="spellEnd"/>
      <w:r w:rsidR="00182975" w:rsidRPr="00182975">
        <w:t>.</w:t>
      </w:r>
    </w:p>
    <w:p w14:paraId="2C5BD9AC" w14:textId="49149091" w:rsidR="00182975" w:rsidRPr="00182975" w:rsidRDefault="00182975" w:rsidP="00182975">
      <w:pPr>
        <w:pStyle w:val="Body"/>
      </w:pPr>
      <w:r w:rsidRPr="00182975">
        <w:t>For more severe reactions</w:t>
      </w:r>
      <w:r w:rsidR="00A9310D">
        <w:t>,</w:t>
      </w:r>
      <w:r w:rsidRPr="00182975">
        <w:t xml:space="preserve"> where the health service or the reviewer assigned SR 1 or SR 2, the entire Expert Group reviews the investigation to ensure consistency in reporting.</w:t>
      </w:r>
    </w:p>
    <w:p w14:paraId="286C89BC" w14:textId="77777777" w:rsidR="00A9310D" w:rsidRDefault="00182975" w:rsidP="00182975">
      <w:pPr>
        <w:pStyle w:val="Body"/>
      </w:pPr>
      <w:r w:rsidRPr="00182975">
        <w:t xml:space="preserve">Expert review of the information provided may lead to a change in the incident </w:t>
      </w:r>
      <w:r w:rsidR="008644C1">
        <w:t xml:space="preserve">type </w:t>
      </w:r>
      <w:r w:rsidRPr="00182975">
        <w:t xml:space="preserve">or severity rating assigned. </w:t>
      </w:r>
    </w:p>
    <w:p w14:paraId="6C8055B0" w14:textId="56FDCB1B" w:rsidR="00A9310D" w:rsidRDefault="00182975" w:rsidP="00182975">
      <w:pPr>
        <w:pStyle w:val="Body"/>
      </w:pPr>
      <w:r w:rsidRPr="00182975">
        <w:t>This is shown in Table</w:t>
      </w:r>
      <w:r w:rsidR="0057636C">
        <w:t>s</w:t>
      </w:r>
      <w:r w:rsidRPr="00182975">
        <w:t xml:space="preserve"> </w:t>
      </w:r>
      <w:r w:rsidR="00A9310D">
        <w:t>5</w:t>
      </w:r>
      <w:r w:rsidR="00A9310D" w:rsidRPr="00182975">
        <w:t xml:space="preserve"> </w:t>
      </w:r>
      <w:r w:rsidRPr="00182975">
        <w:t xml:space="preserve">and </w:t>
      </w:r>
      <w:r w:rsidR="00A9310D">
        <w:t>6</w:t>
      </w:r>
      <w:r w:rsidRPr="00182975">
        <w:t>.</w:t>
      </w:r>
      <w:r>
        <w:t xml:space="preserve"> </w:t>
      </w:r>
      <w:r w:rsidR="00FC518C" w:rsidRPr="00FC518C">
        <w:t xml:space="preserve">Severity ratings are assigned for each investigation, except </w:t>
      </w:r>
      <w:proofErr w:type="spellStart"/>
      <w:r w:rsidR="00FC518C" w:rsidRPr="00FC518C">
        <w:t>RhD</w:t>
      </w:r>
      <w:proofErr w:type="spellEnd"/>
      <w:r w:rsidR="008B5CD7">
        <w:t xml:space="preserve"> immunoglobulin (</w:t>
      </w:r>
      <w:proofErr w:type="spellStart"/>
      <w:r w:rsidR="008B5CD7">
        <w:t>RhD</w:t>
      </w:r>
      <w:proofErr w:type="spellEnd"/>
      <w:r w:rsidR="008B5CD7">
        <w:t xml:space="preserve"> Ig)</w:t>
      </w:r>
      <w:r w:rsidR="00FC518C" w:rsidRPr="00FC518C">
        <w:t xml:space="preserve"> administration errors, near-miss and wrong blood in tube (WBIT) incidents. </w:t>
      </w:r>
    </w:p>
    <w:p w14:paraId="121CEE15" w14:textId="75558082" w:rsidR="00FC518C" w:rsidRDefault="00FC518C" w:rsidP="00182975">
      <w:pPr>
        <w:pStyle w:val="Body"/>
      </w:pPr>
      <w:r w:rsidRPr="00FC518C">
        <w:t>In these events</w:t>
      </w:r>
      <w:r w:rsidR="00A9310D">
        <w:t>,</w:t>
      </w:r>
      <w:r w:rsidRPr="00FC518C">
        <w:t xml:space="preserve"> there is the potential for severe </w:t>
      </w:r>
      <w:r w:rsidR="0057636C">
        <w:t xml:space="preserve">adverse </w:t>
      </w:r>
      <w:r w:rsidRPr="00FC518C">
        <w:t xml:space="preserve">outcomes, but they have either been avoided by finding the error before the blood </w:t>
      </w:r>
      <w:r w:rsidR="0057636C">
        <w:t xml:space="preserve">component </w:t>
      </w:r>
      <w:r w:rsidRPr="00FC518C">
        <w:t>or product reached the patient</w:t>
      </w:r>
      <w:r w:rsidR="00A9310D">
        <w:t>,</w:t>
      </w:r>
      <w:r w:rsidRPr="00FC518C">
        <w:t xml:space="preserve"> or the potential future impact is unknown</w:t>
      </w:r>
      <w:r>
        <w:t>.</w:t>
      </w:r>
    </w:p>
    <w:p w14:paraId="29E47487" w14:textId="52F58B08" w:rsidR="00494F60" w:rsidRDefault="00A9310D" w:rsidP="00182975">
      <w:pPr>
        <w:pStyle w:val="Body"/>
      </w:pPr>
      <w:r>
        <w:t xml:space="preserve">We notify the </w:t>
      </w:r>
      <w:r w:rsidR="00182975">
        <w:t xml:space="preserve">reporter </w:t>
      </w:r>
      <w:r w:rsidR="003C2391">
        <w:t>when changes occur</w:t>
      </w:r>
      <w:r w:rsidR="0068170B">
        <w:t>.</w:t>
      </w:r>
    </w:p>
    <w:p w14:paraId="4063BF98" w14:textId="30E39ACF" w:rsidR="00495C75" w:rsidRDefault="00495C75" w:rsidP="00CE55B3">
      <w:pPr>
        <w:pStyle w:val="Tablecaption"/>
      </w:pPr>
      <w:r w:rsidRPr="00B6694D">
        <w:lastRenderedPageBreak/>
        <w:t xml:space="preserve">Table </w:t>
      </w:r>
      <w:r w:rsidR="00A9310D">
        <w:t>5</w:t>
      </w:r>
      <w:r w:rsidRPr="00B6694D">
        <w:t xml:space="preserve">: Changes to </w:t>
      </w:r>
      <w:r>
        <w:t xml:space="preserve">clinical </w:t>
      </w:r>
      <w:r w:rsidRPr="00B6694D">
        <w:t xml:space="preserve">incident type </w:t>
      </w:r>
      <w:r w:rsidRPr="00A9310D">
        <w:t>following</w:t>
      </w:r>
      <w:r w:rsidRPr="00B6694D">
        <w:t xml:space="preserve"> STIR Expert Group review</w:t>
      </w:r>
    </w:p>
    <w:tbl>
      <w:tblPr>
        <w:tblStyle w:val="GridTable6Colorful-Accent2"/>
        <w:tblW w:w="9234" w:type="dxa"/>
        <w:tblLayout w:type="fixed"/>
        <w:tblLook w:val="04A0" w:firstRow="1" w:lastRow="0" w:firstColumn="1" w:lastColumn="0" w:noHBand="0" w:noVBand="1"/>
      </w:tblPr>
      <w:tblGrid>
        <w:gridCol w:w="2480"/>
        <w:gridCol w:w="2251"/>
        <w:gridCol w:w="2251"/>
        <w:gridCol w:w="2252"/>
      </w:tblGrid>
      <w:tr w:rsidR="007D362C" w:rsidRPr="00182975" w14:paraId="0CF8ECE3" w14:textId="1909B099"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AFBDE73" w14:textId="77777777" w:rsidR="007D362C" w:rsidRPr="00982AA7" w:rsidRDefault="007D362C" w:rsidP="00CE55B3">
            <w:pPr>
              <w:pStyle w:val="Tablecolhead"/>
              <w:keepNext/>
              <w:keepLines/>
              <w:rPr>
                <w:b/>
                <w:bCs w:val="0"/>
              </w:rPr>
            </w:pPr>
            <w:r w:rsidRPr="00982AA7">
              <w:rPr>
                <w:b/>
                <w:bCs w:val="0"/>
              </w:rPr>
              <w:t>Original incident type</w:t>
            </w:r>
          </w:p>
        </w:tc>
        <w:tc>
          <w:tcPr>
            <w:tcW w:w="0" w:type="dxa"/>
          </w:tcPr>
          <w:p w14:paraId="0B91DA7E" w14:textId="70F11FC1" w:rsidR="007D362C" w:rsidRPr="00982AA7" w:rsidRDefault="007D362C"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982AA7">
              <w:rPr>
                <w:b/>
                <w:bCs w:val="0"/>
              </w:rPr>
              <w:t>Validated as:</w:t>
            </w:r>
            <w:r w:rsidRPr="00982AA7">
              <w:rPr>
                <w:b/>
                <w:bCs w:val="0"/>
              </w:rPr>
              <w:br/>
              <w:t>TACO</w:t>
            </w:r>
          </w:p>
        </w:tc>
        <w:tc>
          <w:tcPr>
            <w:tcW w:w="0" w:type="dxa"/>
          </w:tcPr>
          <w:p w14:paraId="7577B8C9" w14:textId="085881FF" w:rsidR="007D362C" w:rsidRPr="00982AA7" w:rsidRDefault="007D362C"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982AA7">
              <w:rPr>
                <w:b/>
                <w:bCs w:val="0"/>
              </w:rPr>
              <w:t>Validated as:</w:t>
            </w:r>
            <w:r w:rsidRPr="00982AA7">
              <w:rPr>
                <w:b/>
                <w:bCs w:val="0"/>
              </w:rPr>
              <w:br/>
              <w:t>DSTR</w:t>
            </w:r>
          </w:p>
        </w:tc>
        <w:tc>
          <w:tcPr>
            <w:tcW w:w="0" w:type="dxa"/>
          </w:tcPr>
          <w:p w14:paraId="23C8A704" w14:textId="3F1EFD2B" w:rsidR="007D362C" w:rsidRPr="00982AA7" w:rsidRDefault="007D362C"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982AA7">
              <w:rPr>
                <w:b/>
                <w:bCs w:val="0"/>
              </w:rPr>
              <w:t>Validated as:</w:t>
            </w:r>
            <w:r w:rsidRPr="00982AA7">
              <w:rPr>
                <w:b/>
                <w:bCs w:val="0"/>
              </w:rPr>
              <w:br/>
              <w:t>FNHTR</w:t>
            </w:r>
          </w:p>
        </w:tc>
      </w:tr>
      <w:tr w:rsidR="007D362C" w:rsidRPr="00182975" w14:paraId="2F464A97" w14:textId="63BBF83A"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44A4694D" w14:textId="75A56771" w:rsidR="007D362C" w:rsidRPr="00982AA7" w:rsidRDefault="007D362C" w:rsidP="00CE55B3">
            <w:pPr>
              <w:pStyle w:val="Body"/>
              <w:keepNext/>
              <w:keepLines/>
              <w:spacing w:line="240" w:lineRule="auto"/>
              <w:rPr>
                <w:b w:val="0"/>
                <w:bCs w:val="0"/>
                <w:color w:val="auto"/>
              </w:rPr>
            </w:pPr>
            <w:r w:rsidRPr="00982AA7">
              <w:rPr>
                <w:b w:val="0"/>
                <w:bCs w:val="0"/>
                <w:color w:val="auto"/>
              </w:rPr>
              <w:t>ATR</w:t>
            </w:r>
          </w:p>
        </w:tc>
        <w:tc>
          <w:tcPr>
            <w:tcW w:w="2251" w:type="dxa"/>
          </w:tcPr>
          <w:p w14:paraId="72688896" w14:textId="3228CCA6" w:rsidR="007D362C" w:rsidRPr="00494F60" w:rsidRDefault="007D362C"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1</w:t>
            </w:r>
          </w:p>
        </w:tc>
        <w:tc>
          <w:tcPr>
            <w:tcW w:w="2251" w:type="dxa"/>
          </w:tcPr>
          <w:p w14:paraId="2F4CC5A0" w14:textId="6B39F306" w:rsidR="007D362C" w:rsidRPr="00494F60" w:rsidRDefault="003C2391"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w:t>
            </w:r>
          </w:p>
        </w:tc>
        <w:tc>
          <w:tcPr>
            <w:tcW w:w="2252" w:type="dxa"/>
          </w:tcPr>
          <w:p w14:paraId="3D2EB69E" w14:textId="75CCC1E8" w:rsidR="007D362C" w:rsidRPr="00494F60" w:rsidRDefault="003C2391"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w:t>
            </w:r>
          </w:p>
        </w:tc>
      </w:tr>
      <w:tr w:rsidR="007D362C" w:rsidRPr="00182975" w14:paraId="30A3FB77" w14:textId="4420944E" w:rsidTr="00494F60">
        <w:tc>
          <w:tcPr>
            <w:cnfStyle w:val="001000000000" w:firstRow="0" w:lastRow="0" w:firstColumn="1" w:lastColumn="0" w:oddVBand="0" w:evenVBand="0" w:oddHBand="0" w:evenHBand="0" w:firstRowFirstColumn="0" w:firstRowLastColumn="0" w:lastRowFirstColumn="0" w:lastRowLastColumn="0"/>
            <w:tcW w:w="2480" w:type="dxa"/>
          </w:tcPr>
          <w:p w14:paraId="36A856ED" w14:textId="2387EA2A" w:rsidR="007D362C" w:rsidRPr="00982AA7" w:rsidRDefault="007D362C" w:rsidP="00CE55B3">
            <w:pPr>
              <w:pStyle w:val="Body"/>
              <w:keepNext/>
              <w:keepLines/>
              <w:spacing w:line="240" w:lineRule="auto"/>
              <w:rPr>
                <w:b w:val="0"/>
                <w:bCs w:val="0"/>
                <w:color w:val="auto"/>
              </w:rPr>
            </w:pPr>
            <w:r w:rsidRPr="00982AA7">
              <w:rPr>
                <w:b w:val="0"/>
                <w:bCs w:val="0"/>
                <w:color w:val="auto"/>
              </w:rPr>
              <w:t>ATR, TACO, TAD</w:t>
            </w:r>
          </w:p>
        </w:tc>
        <w:tc>
          <w:tcPr>
            <w:tcW w:w="2251" w:type="dxa"/>
          </w:tcPr>
          <w:p w14:paraId="731B944B" w14:textId="0FB3E049" w:rsidR="007D362C" w:rsidRPr="00494F60" w:rsidRDefault="007D362C"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3</w:t>
            </w:r>
          </w:p>
        </w:tc>
        <w:tc>
          <w:tcPr>
            <w:tcW w:w="2251" w:type="dxa"/>
          </w:tcPr>
          <w:p w14:paraId="0414E50E" w14:textId="6CE25DE8" w:rsidR="007D362C" w:rsidRPr="00494F60" w:rsidRDefault="003C2391"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w:t>
            </w:r>
          </w:p>
        </w:tc>
        <w:tc>
          <w:tcPr>
            <w:tcW w:w="2252" w:type="dxa"/>
          </w:tcPr>
          <w:p w14:paraId="30E64410" w14:textId="10610193" w:rsidR="007D362C" w:rsidRPr="00494F60" w:rsidRDefault="003C2391"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w:t>
            </w:r>
          </w:p>
        </w:tc>
      </w:tr>
      <w:tr w:rsidR="007D362C" w:rsidRPr="00182975" w14:paraId="11A3B2EE" w14:textId="0CCDD77B"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1DF2D29C" w14:textId="78649E93" w:rsidR="007D362C" w:rsidRPr="00982AA7" w:rsidRDefault="007D362C" w:rsidP="00CE55B3">
            <w:pPr>
              <w:pStyle w:val="Body"/>
              <w:keepNext/>
              <w:keepLines/>
              <w:spacing w:line="240" w:lineRule="auto"/>
              <w:rPr>
                <w:b w:val="0"/>
                <w:bCs w:val="0"/>
                <w:color w:val="auto"/>
              </w:rPr>
            </w:pPr>
            <w:r w:rsidRPr="00982AA7">
              <w:rPr>
                <w:b w:val="0"/>
                <w:bCs w:val="0"/>
                <w:color w:val="auto"/>
              </w:rPr>
              <w:t>TRALI</w:t>
            </w:r>
          </w:p>
        </w:tc>
        <w:tc>
          <w:tcPr>
            <w:tcW w:w="2251" w:type="dxa"/>
          </w:tcPr>
          <w:p w14:paraId="07865E00" w14:textId="6C11477A" w:rsidR="007D362C" w:rsidRPr="00494F60" w:rsidRDefault="00BD52E7"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5</w:t>
            </w:r>
          </w:p>
        </w:tc>
        <w:tc>
          <w:tcPr>
            <w:tcW w:w="2251" w:type="dxa"/>
          </w:tcPr>
          <w:p w14:paraId="48D0E9BC" w14:textId="72FEC654" w:rsidR="007D362C" w:rsidRPr="00494F60" w:rsidRDefault="003C2391"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w:t>
            </w:r>
          </w:p>
        </w:tc>
        <w:tc>
          <w:tcPr>
            <w:tcW w:w="2252" w:type="dxa"/>
          </w:tcPr>
          <w:p w14:paraId="4FD04FF7" w14:textId="19BA971C" w:rsidR="007D362C" w:rsidRPr="00494F60" w:rsidRDefault="003C2391"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w:t>
            </w:r>
          </w:p>
        </w:tc>
      </w:tr>
      <w:tr w:rsidR="007D362C" w:rsidRPr="00182975" w14:paraId="500599A6" w14:textId="05989F1C" w:rsidTr="00494F60">
        <w:tc>
          <w:tcPr>
            <w:cnfStyle w:val="001000000000" w:firstRow="0" w:lastRow="0" w:firstColumn="1" w:lastColumn="0" w:oddVBand="0" w:evenVBand="0" w:oddHBand="0" w:evenHBand="0" w:firstRowFirstColumn="0" w:firstRowLastColumn="0" w:lastRowFirstColumn="0" w:lastRowLastColumn="0"/>
            <w:tcW w:w="2480" w:type="dxa"/>
          </w:tcPr>
          <w:p w14:paraId="501421F0" w14:textId="32D83668" w:rsidR="007D362C" w:rsidRPr="00982AA7" w:rsidRDefault="007D362C" w:rsidP="00CE55B3">
            <w:pPr>
              <w:pStyle w:val="Body"/>
              <w:keepNext/>
              <w:keepLines/>
              <w:spacing w:line="240" w:lineRule="auto"/>
              <w:rPr>
                <w:b w:val="0"/>
                <w:bCs w:val="0"/>
                <w:color w:val="auto"/>
              </w:rPr>
            </w:pPr>
            <w:r w:rsidRPr="00982AA7">
              <w:rPr>
                <w:b w:val="0"/>
                <w:bCs w:val="0"/>
                <w:color w:val="auto"/>
              </w:rPr>
              <w:t>DHTR</w:t>
            </w:r>
          </w:p>
        </w:tc>
        <w:tc>
          <w:tcPr>
            <w:tcW w:w="2251" w:type="dxa"/>
          </w:tcPr>
          <w:p w14:paraId="2F66C6FC" w14:textId="687F7413" w:rsidR="007D362C" w:rsidRPr="00494F60" w:rsidRDefault="003C2391"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w:t>
            </w:r>
          </w:p>
        </w:tc>
        <w:tc>
          <w:tcPr>
            <w:tcW w:w="2251" w:type="dxa"/>
          </w:tcPr>
          <w:p w14:paraId="14EC8060" w14:textId="6FA207C9" w:rsidR="007D362C" w:rsidRPr="00494F60" w:rsidRDefault="00CE686F"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1</w:t>
            </w:r>
          </w:p>
        </w:tc>
        <w:tc>
          <w:tcPr>
            <w:tcW w:w="2252" w:type="dxa"/>
          </w:tcPr>
          <w:p w14:paraId="4B1CA99F" w14:textId="4F14911C" w:rsidR="007D362C" w:rsidRPr="00494F60" w:rsidRDefault="003C2391"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w:t>
            </w:r>
          </w:p>
        </w:tc>
      </w:tr>
      <w:tr w:rsidR="007D362C" w:rsidRPr="00182975" w14:paraId="15CFEC20" w14:textId="25A4184C"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14:paraId="2D4D4486" w14:textId="08DD5019" w:rsidR="007D362C" w:rsidRPr="00982AA7" w:rsidRDefault="007D362C" w:rsidP="00CE55B3">
            <w:pPr>
              <w:pStyle w:val="Body"/>
              <w:keepNext/>
              <w:keepLines/>
              <w:spacing w:line="240" w:lineRule="auto"/>
              <w:rPr>
                <w:b w:val="0"/>
                <w:bCs w:val="0"/>
                <w:color w:val="auto"/>
              </w:rPr>
            </w:pPr>
            <w:r w:rsidRPr="00982AA7">
              <w:rPr>
                <w:b w:val="0"/>
                <w:bCs w:val="0"/>
                <w:color w:val="auto"/>
              </w:rPr>
              <w:t>DSTR, TACO</w:t>
            </w:r>
          </w:p>
        </w:tc>
        <w:tc>
          <w:tcPr>
            <w:tcW w:w="2251" w:type="dxa"/>
          </w:tcPr>
          <w:p w14:paraId="084A964F" w14:textId="753FFF34" w:rsidR="007D362C" w:rsidRPr="00494F60" w:rsidRDefault="003C2391"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w:t>
            </w:r>
          </w:p>
        </w:tc>
        <w:tc>
          <w:tcPr>
            <w:tcW w:w="2251" w:type="dxa"/>
          </w:tcPr>
          <w:p w14:paraId="30750F12" w14:textId="26061E6D" w:rsidR="007D362C" w:rsidRPr="00494F60" w:rsidRDefault="007D362C"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1</w:t>
            </w:r>
          </w:p>
        </w:tc>
        <w:tc>
          <w:tcPr>
            <w:tcW w:w="2252" w:type="dxa"/>
          </w:tcPr>
          <w:p w14:paraId="2344E5CA" w14:textId="07C6F6C8" w:rsidR="007D362C" w:rsidRPr="00494F60" w:rsidRDefault="003C2391"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w:t>
            </w:r>
          </w:p>
        </w:tc>
      </w:tr>
      <w:tr w:rsidR="007D362C" w:rsidRPr="00182975" w14:paraId="515EBACA" w14:textId="2530497B" w:rsidTr="00494F60">
        <w:tc>
          <w:tcPr>
            <w:cnfStyle w:val="001000000000" w:firstRow="0" w:lastRow="0" w:firstColumn="1" w:lastColumn="0" w:oddVBand="0" w:evenVBand="0" w:oddHBand="0" w:evenHBand="0" w:firstRowFirstColumn="0" w:firstRowLastColumn="0" w:lastRowFirstColumn="0" w:lastRowLastColumn="0"/>
            <w:tcW w:w="2480" w:type="dxa"/>
          </w:tcPr>
          <w:p w14:paraId="61288F5D" w14:textId="7BD42D92" w:rsidR="007D362C" w:rsidRPr="00982AA7" w:rsidRDefault="007D362C" w:rsidP="00CE55B3">
            <w:pPr>
              <w:pStyle w:val="Body"/>
              <w:keepNext/>
              <w:keepLines/>
              <w:spacing w:line="240" w:lineRule="auto"/>
              <w:rPr>
                <w:b w:val="0"/>
                <w:bCs w:val="0"/>
                <w:color w:val="auto"/>
              </w:rPr>
            </w:pPr>
            <w:r w:rsidRPr="00982AA7">
              <w:rPr>
                <w:b w:val="0"/>
                <w:bCs w:val="0"/>
                <w:color w:val="auto"/>
              </w:rPr>
              <w:t>ATR other</w:t>
            </w:r>
          </w:p>
        </w:tc>
        <w:tc>
          <w:tcPr>
            <w:tcW w:w="2251" w:type="dxa"/>
          </w:tcPr>
          <w:p w14:paraId="6C10D25A" w14:textId="629C3D79" w:rsidR="007D362C" w:rsidRPr="00494F60" w:rsidRDefault="003C2391"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w:t>
            </w:r>
          </w:p>
        </w:tc>
        <w:tc>
          <w:tcPr>
            <w:tcW w:w="2251" w:type="dxa"/>
          </w:tcPr>
          <w:p w14:paraId="5C62B24A" w14:textId="770F25E1" w:rsidR="007D362C" w:rsidRPr="00494F60" w:rsidRDefault="003C2391"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w:t>
            </w:r>
          </w:p>
        </w:tc>
        <w:tc>
          <w:tcPr>
            <w:tcW w:w="2252" w:type="dxa"/>
          </w:tcPr>
          <w:p w14:paraId="487FB805" w14:textId="450B99C2" w:rsidR="007D362C" w:rsidRPr="00494F60" w:rsidRDefault="007D362C"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2</w:t>
            </w:r>
          </w:p>
        </w:tc>
      </w:tr>
    </w:tbl>
    <w:p w14:paraId="3BB294AC" w14:textId="26B6B611" w:rsidR="00495C75" w:rsidRDefault="00495C75" w:rsidP="00CE55B3">
      <w:pPr>
        <w:pStyle w:val="Tablecaption"/>
      </w:pPr>
      <w:r w:rsidRPr="009951AB">
        <w:t>Table</w:t>
      </w:r>
      <w:r>
        <w:t xml:space="preserve"> </w:t>
      </w:r>
      <w:r w:rsidR="00A9310D">
        <w:t>6</w:t>
      </w:r>
      <w:r w:rsidRPr="009951AB">
        <w:t xml:space="preserve">: </w:t>
      </w:r>
      <w:r w:rsidRPr="00A9310D">
        <w:t>Changes</w:t>
      </w:r>
      <w:r w:rsidRPr="009951AB">
        <w:t xml:space="preserve"> to the severity rating following </w:t>
      </w:r>
      <w:r w:rsidR="007F0EB5">
        <w:t>STIR E</w:t>
      </w:r>
      <w:r w:rsidRPr="009951AB">
        <w:t>xpert</w:t>
      </w:r>
      <w:r w:rsidR="007F0EB5">
        <w:t xml:space="preserve"> Group</w:t>
      </w:r>
      <w:r w:rsidRPr="009951AB">
        <w:t xml:space="preserve"> review</w:t>
      </w:r>
    </w:p>
    <w:tbl>
      <w:tblPr>
        <w:tblStyle w:val="GridTable6Colorful-Accent2"/>
        <w:tblW w:w="0" w:type="auto"/>
        <w:tblLook w:val="04A0" w:firstRow="1" w:lastRow="0" w:firstColumn="1" w:lastColumn="0" w:noHBand="0" w:noVBand="1"/>
      </w:tblPr>
      <w:tblGrid>
        <w:gridCol w:w="3485"/>
        <w:gridCol w:w="2906"/>
        <w:gridCol w:w="2897"/>
      </w:tblGrid>
      <w:tr w:rsidR="00182975" w:rsidRPr="00182975" w14:paraId="417F022D"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A7EAE1C" w14:textId="77777777" w:rsidR="00182975" w:rsidRPr="00982AA7" w:rsidRDefault="00182975" w:rsidP="000565F7">
            <w:pPr>
              <w:pStyle w:val="Tablecolhead"/>
              <w:rPr>
                <w:b/>
                <w:bCs w:val="0"/>
              </w:rPr>
            </w:pPr>
            <w:r w:rsidRPr="00982AA7">
              <w:rPr>
                <w:b/>
                <w:bCs w:val="0"/>
              </w:rPr>
              <w:t>Incident type (number)</w:t>
            </w:r>
          </w:p>
        </w:tc>
        <w:tc>
          <w:tcPr>
            <w:tcW w:w="0" w:type="dxa"/>
          </w:tcPr>
          <w:p w14:paraId="08EA319B" w14:textId="77777777" w:rsidR="00182975" w:rsidRPr="00982AA7" w:rsidRDefault="00182975" w:rsidP="000565F7">
            <w:pPr>
              <w:pStyle w:val="Tablecolhead"/>
              <w:cnfStyle w:val="100000000000" w:firstRow="1" w:lastRow="0" w:firstColumn="0" w:lastColumn="0" w:oddVBand="0" w:evenVBand="0" w:oddHBand="0" w:evenHBand="0" w:firstRowFirstColumn="0" w:firstRowLastColumn="0" w:lastRowFirstColumn="0" w:lastRowLastColumn="0"/>
              <w:rPr>
                <w:b/>
                <w:bCs w:val="0"/>
              </w:rPr>
            </w:pPr>
            <w:r w:rsidRPr="00982AA7">
              <w:rPr>
                <w:b/>
                <w:bCs w:val="0"/>
              </w:rPr>
              <w:t>Incident severity rating submitted as</w:t>
            </w:r>
          </w:p>
        </w:tc>
        <w:tc>
          <w:tcPr>
            <w:tcW w:w="0" w:type="dxa"/>
          </w:tcPr>
          <w:p w14:paraId="1B7DBB16" w14:textId="77777777" w:rsidR="00182975" w:rsidRPr="00982AA7" w:rsidRDefault="00182975" w:rsidP="000565F7">
            <w:pPr>
              <w:pStyle w:val="Tablecolhead"/>
              <w:cnfStyle w:val="100000000000" w:firstRow="1" w:lastRow="0" w:firstColumn="0" w:lastColumn="0" w:oddVBand="0" w:evenVBand="0" w:oddHBand="0" w:evenHBand="0" w:firstRowFirstColumn="0" w:firstRowLastColumn="0" w:lastRowFirstColumn="0" w:lastRowLastColumn="0"/>
              <w:rPr>
                <w:b/>
                <w:bCs w:val="0"/>
              </w:rPr>
            </w:pPr>
            <w:r w:rsidRPr="00982AA7">
              <w:rPr>
                <w:b/>
                <w:bCs w:val="0"/>
              </w:rPr>
              <w:t>Incident severity rating validated as</w:t>
            </w:r>
          </w:p>
        </w:tc>
      </w:tr>
      <w:tr w:rsidR="00182975" w:rsidRPr="00182975" w14:paraId="452488B6"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0834141" w14:textId="0878204C" w:rsidR="00182975" w:rsidRPr="00982AA7" w:rsidRDefault="007C7A7F" w:rsidP="00182975">
            <w:pPr>
              <w:pStyle w:val="Body"/>
              <w:rPr>
                <w:b w:val="0"/>
                <w:bCs w:val="0"/>
                <w:color w:val="auto"/>
              </w:rPr>
            </w:pPr>
            <w:r w:rsidRPr="00982AA7">
              <w:rPr>
                <w:b w:val="0"/>
                <w:bCs w:val="0"/>
                <w:color w:val="auto"/>
              </w:rPr>
              <w:t>Acute haemolytic transfusion reaction (2)</w:t>
            </w:r>
          </w:p>
        </w:tc>
        <w:tc>
          <w:tcPr>
            <w:tcW w:w="2906" w:type="dxa"/>
          </w:tcPr>
          <w:p w14:paraId="066B2A57" w14:textId="464C9F80" w:rsidR="00182975" w:rsidRPr="00494F60" w:rsidRDefault="007C7A7F"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SR4</w:t>
            </w:r>
          </w:p>
        </w:tc>
        <w:tc>
          <w:tcPr>
            <w:tcW w:w="2897" w:type="dxa"/>
          </w:tcPr>
          <w:p w14:paraId="58440945" w14:textId="4F1EC35B" w:rsidR="00182975" w:rsidRPr="00494F60" w:rsidRDefault="007C7A7F"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SR3</w:t>
            </w:r>
          </w:p>
        </w:tc>
      </w:tr>
      <w:tr w:rsidR="007C7A7F" w:rsidRPr="00182975" w14:paraId="3501DB16" w14:textId="77777777" w:rsidTr="00494F60">
        <w:tc>
          <w:tcPr>
            <w:cnfStyle w:val="001000000000" w:firstRow="0" w:lastRow="0" w:firstColumn="1" w:lastColumn="0" w:oddVBand="0" w:evenVBand="0" w:oddHBand="0" w:evenHBand="0" w:firstRowFirstColumn="0" w:firstRowLastColumn="0" w:lastRowFirstColumn="0" w:lastRowLastColumn="0"/>
            <w:tcW w:w="3485" w:type="dxa"/>
          </w:tcPr>
          <w:p w14:paraId="300430E9" w14:textId="6C43C3BC" w:rsidR="007C7A7F" w:rsidRPr="00982AA7" w:rsidRDefault="007C7A7F" w:rsidP="00182975">
            <w:pPr>
              <w:pStyle w:val="Body"/>
              <w:rPr>
                <w:b w:val="0"/>
                <w:bCs w:val="0"/>
                <w:color w:val="auto"/>
              </w:rPr>
            </w:pPr>
            <w:r w:rsidRPr="00982AA7">
              <w:rPr>
                <w:b w:val="0"/>
                <w:bCs w:val="0"/>
                <w:color w:val="auto"/>
              </w:rPr>
              <w:t>Allergic/anaphylactic/anaphylactoid transfusion reaction</w:t>
            </w:r>
            <w:r w:rsidR="00E100F2" w:rsidRPr="00982AA7">
              <w:rPr>
                <w:b w:val="0"/>
                <w:bCs w:val="0"/>
                <w:color w:val="auto"/>
              </w:rPr>
              <w:t xml:space="preserve"> (6)</w:t>
            </w:r>
          </w:p>
        </w:tc>
        <w:tc>
          <w:tcPr>
            <w:tcW w:w="2906" w:type="dxa"/>
          </w:tcPr>
          <w:p w14:paraId="2BD524D3" w14:textId="75C043E1" w:rsidR="007C7A7F" w:rsidRPr="00494F60" w:rsidRDefault="00E100F2" w:rsidP="00E940DA">
            <w:pPr>
              <w:pStyle w:val="Body"/>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SR4</w:t>
            </w:r>
          </w:p>
        </w:tc>
        <w:tc>
          <w:tcPr>
            <w:tcW w:w="2897" w:type="dxa"/>
          </w:tcPr>
          <w:p w14:paraId="2AF285C0" w14:textId="66B85C00" w:rsidR="007C7A7F" w:rsidRPr="00494F60" w:rsidRDefault="00E100F2" w:rsidP="00E940DA">
            <w:pPr>
              <w:pStyle w:val="Body"/>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SR3</w:t>
            </w:r>
          </w:p>
        </w:tc>
      </w:tr>
      <w:tr w:rsidR="007C7A7F" w:rsidRPr="00182975" w14:paraId="7D408106"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0BD4A43" w14:textId="3B564556" w:rsidR="007C7A7F" w:rsidRPr="00982AA7" w:rsidRDefault="007C7A7F" w:rsidP="00182975">
            <w:pPr>
              <w:pStyle w:val="Body"/>
              <w:rPr>
                <w:b w:val="0"/>
                <w:bCs w:val="0"/>
                <w:color w:val="auto"/>
              </w:rPr>
            </w:pPr>
            <w:r w:rsidRPr="00982AA7">
              <w:rPr>
                <w:b w:val="0"/>
                <w:bCs w:val="0"/>
                <w:color w:val="auto"/>
              </w:rPr>
              <w:t>Febrile non-haemolytic transfusion reaction</w:t>
            </w:r>
            <w:r w:rsidR="00E100F2" w:rsidRPr="00982AA7">
              <w:rPr>
                <w:b w:val="0"/>
                <w:bCs w:val="0"/>
                <w:color w:val="auto"/>
              </w:rPr>
              <w:t xml:space="preserve"> (3)</w:t>
            </w:r>
          </w:p>
        </w:tc>
        <w:tc>
          <w:tcPr>
            <w:tcW w:w="2906" w:type="dxa"/>
          </w:tcPr>
          <w:p w14:paraId="08D6D11F" w14:textId="4990FBE6" w:rsidR="007C7A7F" w:rsidRPr="00494F60" w:rsidRDefault="00E100F2"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SR4</w:t>
            </w:r>
          </w:p>
        </w:tc>
        <w:tc>
          <w:tcPr>
            <w:tcW w:w="2897" w:type="dxa"/>
          </w:tcPr>
          <w:p w14:paraId="34215181" w14:textId="3E31E24B" w:rsidR="007C7A7F" w:rsidRPr="00494F60" w:rsidRDefault="00E100F2"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SR2</w:t>
            </w:r>
          </w:p>
        </w:tc>
      </w:tr>
      <w:tr w:rsidR="00E100F2" w:rsidRPr="00182975" w14:paraId="776792C2" w14:textId="77777777" w:rsidTr="00494F60">
        <w:tc>
          <w:tcPr>
            <w:cnfStyle w:val="001000000000" w:firstRow="0" w:lastRow="0" w:firstColumn="1" w:lastColumn="0" w:oddVBand="0" w:evenVBand="0" w:oddHBand="0" w:evenHBand="0" w:firstRowFirstColumn="0" w:firstRowLastColumn="0" w:lastRowFirstColumn="0" w:lastRowLastColumn="0"/>
            <w:tcW w:w="3485" w:type="dxa"/>
          </w:tcPr>
          <w:p w14:paraId="6829F2A5" w14:textId="77777777" w:rsidR="00E100F2" w:rsidRPr="00982AA7" w:rsidRDefault="00E100F2" w:rsidP="00517EB5">
            <w:pPr>
              <w:pStyle w:val="Body"/>
              <w:rPr>
                <w:b w:val="0"/>
                <w:bCs w:val="0"/>
                <w:color w:val="auto"/>
              </w:rPr>
            </w:pPr>
            <w:r w:rsidRPr="00982AA7">
              <w:rPr>
                <w:b w:val="0"/>
                <w:bCs w:val="0"/>
                <w:color w:val="auto"/>
              </w:rPr>
              <w:t>Febrile non-haemolytic transfusion reaction (3)</w:t>
            </w:r>
          </w:p>
        </w:tc>
        <w:tc>
          <w:tcPr>
            <w:tcW w:w="2906" w:type="dxa"/>
          </w:tcPr>
          <w:p w14:paraId="2C4E93D0" w14:textId="51D1B427" w:rsidR="00E100F2" w:rsidRPr="00494F60" w:rsidRDefault="00E100F2" w:rsidP="00E940DA">
            <w:pPr>
              <w:pStyle w:val="Body"/>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SR4</w:t>
            </w:r>
          </w:p>
        </w:tc>
        <w:tc>
          <w:tcPr>
            <w:tcW w:w="2897" w:type="dxa"/>
          </w:tcPr>
          <w:p w14:paraId="5D894D4E" w14:textId="7BB155F8" w:rsidR="00E100F2" w:rsidRPr="00494F60" w:rsidRDefault="00E100F2" w:rsidP="00E940DA">
            <w:pPr>
              <w:pStyle w:val="Body"/>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SR3</w:t>
            </w:r>
          </w:p>
        </w:tc>
      </w:tr>
      <w:tr w:rsidR="00E100F2" w:rsidRPr="00182975" w14:paraId="62F484E7"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EBAF0B1" w14:textId="249C441F" w:rsidR="00E100F2" w:rsidRPr="00982AA7" w:rsidRDefault="00E100F2" w:rsidP="00E100F2">
            <w:pPr>
              <w:pStyle w:val="Body"/>
              <w:rPr>
                <w:b w:val="0"/>
                <w:bCs w:val="0"/>
                <w:color w:val="auto"/>
              </w:rPr>
            </w:pPr>
            <w:r w:rsidRPr="00982AA7">
              <w:rPr>
                <w:b w:val="0"/>
                <w:bCs w:val="0"/>
                <w:color w:val="auto"/>
              </w:rPr>
              <w:t>Delayed haemolytic transfusion reaction (1)</w:t>
            </w:r>
          </w:p>
        </w:tc>
        <w:tc>
          <w:tcPr>
            <w:tcW w:w="2906" w:type="dxa"/>
          </w:tcPr>
          <w:p w14:paraId="44B0ABB7" w14:textId="010D5125" w:rsidR="00E100F2" w:rsidRPr="00494F60" w:rsidRDefault="00E100F2"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SR4</w:t>
            </w:r>
          </w:p>
        </w:tc>
        <w:tc>
          <w:tcPr>
            <w:tcW w:w="2897" w:type="dxa"/>
          </w:tcPr>
          <w:p w14:paraId="48B85728" w14:textId="76EEAA0A" w:rsidR="00E100F2" w:rsidRPr="00494F60" w:rsidRDefault="00E100F2"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SR2</w:t>
            </w:r>
          </w:p>
        </w:tc>
      </w:tr>
      <w:tr w:rsidR="00E100F2" w:rsidRPr="00182975" w14:paraId="2D01CCD4" w14:textId="77777777" w:rsidTr="00494F60">
        <w:tc>
          <w:tcPr>
            <w:cnfStyle w:val="001000000000" w:firstRow="0" w:lastRow="0" w:firstColumn="1" w:lastColumn="0" w:oddVBand="0" w:evenVBand="0" w:oddHBand="0" w:evenHBand="0" w:firstRowFirstColumn="0" w:firstRowLastColumn="0" w:lastRowFirstColumn="0" w:lastRowLastColumn="0"/>
            <w:tcW w:w="3485" w:type="dxa"/>
          </w:tcPr>
          <w:p w14:paraId="7C6EA205" w14:textId="6C4B687D" w:rsidR="00E100F2" w:rsidRPr="00982AA7" w:rsidRDefault="00E100F2" w:rsidP="00E100F2">
            <w:pPr>
              <w:pStyle w:val="Body"/>
              <w:rPr>
                <w:b w:val="0"/>
                <w:bCs w:val="0"/>
                <w:color w:val="auto"/>
              </w:rPr>
            </w:pPr>
            <w:r w:rsidRPr="00982AA7">
              <w:rPr>
                <w:b w:val="0"/>
                <w:bCs w:val="0"/>
                <w:color w:val="auto"/>
              </w:rPr>
              <w:t>Delayed haemolytic transfusion reaction (1)</w:t>
            </w:r>
          </w:p>
        </w:tc>
        <w:tc>
          <w:tcPr>
            <w:tcW w:w="2906" w:type="dxa"/>
          </w:tcPr>
          <w:p w14:paraId="3B4A9BF8" w14:textId="3CFE4B47" w:rsidR="00E100F2" w:rsidRPr="00494F60" w:rsidRDefault="00E100F2" w:rsidP="00E940DA">
            <w:pPr>
              <w:pStyle w:val="Body"/>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SR4</w:t>
            </w:r>
          </w:p>
        </w:tc>
        <w:tc>
          <w:tcPr>
            <w:tcW w:w="2897" w:type="dxa"/>
          </w:tcPr>
          <w:p w14:paraId="384E4034" w14:textId="029ABBBD" w:rsidR="00E100F2" w:rsidRPr="00494F60" w:rsidRDefault="00E100F2" w:rsidP="00E940DA">
            <w:pPr>
              <w:pStyle w:val="Body"/>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SR3</w:t>
            </w:r>
          </w:p>
        </w:tc>
      </w:tr>
      <w:tr w:rsidR="007C7A7F" w:rsidRPr="00182975" w14:paraId="731C040D"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BF1495D" w14:textId="35C29311" w:rsidR="007C7A7F" w:rsidRPr="00982AA7" w:rsidRDefault="007C7A7F" w:rsidP="00182975">
            <w:pPr>
              <w:pStyle w:val="Body"/>
              <w:rPr>
                <w:b w:val="0"/>
                <w:bCs w:val="0"/>
                <w:color w:val="auto"/>
              </w:rPr>
            </w:pPr>
            <w:r w:rsidRPr="00982AA7">
              <w:rPr>
                <w:b w:val="0"/>
                <w:bCs w:val="0"/>
                <w:color w:val="auto"/>
              </w:rPr>
              <w:t>TACO</w:t>
            </w:r>
            <w:r w:rsidR="00E100F2" w:rsidRPr="00982AA7">
              <w:rPr>
                <w:b w:val="0"/>
                <w:bCs w:val="0"/>
                <w:color w:val="auto"/>
              </w:rPr>
              <w:t xml:space="preserve"> (1)</w:t>
            </w:r>
          </w:p>
        </w:tc>
        <w:tc>
          <w:tcPr>
            <w:tcW w:w="2906" w:type="dxa"/>
          </w:tcPr>
          <w:p w14:paraId="22987105" w14:textId="67045FF8" w:rsidR="007C7A7F" w:rsidRPr="00494F60" w:rsidRDefault="00E100F2"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SR3-2</w:t>
            </w:r>
          </w:p>
        </w:tc>
        <w:tc>
          <w:tcPr>
            <w:tcW w:w="2897" w:type="dxa"/>
          </w:tcPr>
          <w:p w14:paraId="4D348696" w14:textId="3D0C51D8" w:rsidR="007C7A7F" w:rsidRPr="00494F60" w:rsidRDefault="00E100F2"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SR1</w:t>
            </w:r>
          </w:p>
        </w:tc>
      </w:tr>
      <w:tr w:rsidR="00E100F2" w:rsidRPr="00182975" w14:paraId="5DE3AEBB" w14:textId="77777777" w:rsidTr="00494F60">
        <w:tc>
          <w:tcPr>
            <w:cnfStyle w:val="001000000000" w:firstRow="0" w:lastRow="0" w:firstColumn="1" w:lastColumn="0" w:oddVBand="0" w:evenVBand="0" w:oddHBand="0" w:evenHBand="0" w:firstRowFirstColumn="0" w:firstRowLastColumn="0" w:lastRowFirstColumn="0" w:lastRowLastColumn="0"/>
            <w:tcW w:w="3485" w:type="dxa"/>
          </w:tcPr>
          <w:p w14:paraId="4DBA9780" w14:textId="118D9FD0" w:rsidR="00E100F2" w:rsidRPr="00982AA7" w:rsidRDefault="00E100F2" w:rsidP="00517EB5">
            <w:pPr>
              <w:pStyle w:val="Body"/>
              <w:rPr>
                <w:b w:val="0"/>
                <w:bCs w:val="0"/>
                <w:color w:val="auto"/>
              </w:rPr>
            </w:pPr>
            <w:r w:rsidRPr="00982AA7">
              <w:rPr>
                <w:b w:val="0"/>
                <w:bCs w:val="0"/>
                <w:color w:val="auto"/>
              </w:rPr>
              <w:t>TACO (1)</w:t>
            </w:r>
          </w:p>
        </w:tc>
        <w:tc>
          <w:tcPr>
            <w:tcW w:w="2906" w:type="dxa"/>
          </w:tcPr>
          <w:p w14:paraId="0A52E7C3" w14:textId="426CD9FD" w:rsidR="00E100F2" w:rsidRPr="00494F60" w:rsidRDefault="00E100F2" w:rsidP="00E940DA">
            <w:pPr>
              <w:pStyle w:val="Body"/>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SR4</w:t>
            </w:r>
          </w:p>
        </w:tc>
        <w:tc>
          <w:tcPr>
            <w:tcW w:w="2897" w:type="dxa"/>
          </w:tcPr>
          <w:p w14:paraId="2991EAA6" w14:textId="37379BF9" w:rsidR="00E100F2" w:rsidRPr="00494F60" w:rsidRDefault="00E100F2" w:rsidP="00E940DA">
            <w:pPr>
              <w:pStyle w:val="Body"/>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SR2</w:t>
            </w:r>
          </w:p>
        </w:tc>
      </w:tr>
      <w:tr w:rsidR="00E100F2" w:rsidRPr="00182975" w14:paraId="3455D157"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02C35607" w14:textId="6E3E33E3" w:rsidR="00E100F2" w:rsidRPr="00982AA7" w:rsidRDefault="00E100F2" w:rsidP="00517EB5">
            <w:pPr>
              <w:pStyle w:val="Body"/>
              <w:rPr>
                <w:b w:val="0"/>
                <w:bCs w:val="0"/>
                <w:color w:val="auto"/>
              </w:rPr>
            </w:pPr>
            <w:r w:rsidRPr="00982AA7">
              <w:rPr>
                <w:b w:val="0"/>
                <w:bCs w:val="0"/>
                <w:color w:val="auto"/>
              </w:rPr>
              <w:t>TACO (5)</w:t>
            </w:r>
          </w:p>
        </w:tc>
        <w:tc>
          <w:tcPr>
            <w:tcW w:w="2906" w:type="dxa"/>
          </w:tcPr>
          <w:p w14:paraId="1AC7EA77" w14:textId="31D289E9" w:rsidR="00E100F2" w:rsidRPr="00494F60" w:rsidRDefault="00E100F2"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SR4</w:t>
            </w:r>
          </w:p>
        </w:tc>
        <w:tc>
          <w:tcPr>
            <w:tcW w:w="2897" w:type="dxa"/>
          </w:tcPr>
          <w:p w14:paraId="027A9940" w14:textId="0D92A538" w:rsidR="00E100F2" w:rsidRPr="00494F60" w:rsidRDefault="00E100F2" w:rsidP="00E940DA">
            <w:pPr>
              <w:pStyle w:val="Body"/>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SR3</w:t>
            </w:r>
          </w:p>
        </w:tc>
      </w:tr>
    </w:tbl>
    <w:p w14:paraId="0B474FC1" w14:textId="77777777" w:rsidR="00495C75" w:rsidRDefault="00495C75" w:rsidP="00495C75">
      <w:pPr>
        <w:pStyle w:val="Heading2"/>
      </w:pPr>
      <w:bookmarkStart w:id="22" w:name="_Toc112679058"/>
      <w:bookmarkStart w:id="23" w:name="_Toc136329760"/>
      <w:bookmarkStart w:id="24" w:name="_Toc174439995"/>
      <w:r w:rsidRPr="009951AB">
        <w:t>Demographics</w:t>
      </w:r>
      <w:bookmarkEnd w:id="22"/>
      <w:bookmarkEnd w:id="23"/>
      <w:bookmarkEnd w:id="24"/>
    </w:p>
    <w:p w14:paraId="31836D8D" w14:textId="29E2166E" w:rsidR="00182975" w:rsidRPr="00182975" w:rsidRDefault="00182975" w:rsidP="00182975">
      <w:pPr>
        <w:pStyle w:val="Body"/>
      </w:pPr>
      <w:r w:rsidRPr="00182975">
        <w:t xml:space="preserve">Figure </w:t>
      </w:r>
      <w:r w:rsidR="00A9310D">
        <w:t>2</w:t>
      </w:r>
      <w:r w:rsidR="00A9310D" w:rsidRPr="00182975">
        <w:t xml:space="preserve"> </w:t>
      </w:r>
      <w:r w:rsidRPr="00182975">
        <w:t>shows the number of registered and reporting health services and total number of reports for each jurisdiction.</w:t>
      </w:r>
      <w:r>
        <w:t xml:space="preserve"> As previously </w:t>
      </w:r>
      <w:r w:rsidR="00B36EDB">
        <w:t>noted,</w:t>
      </w:r>
      <w:r>
        <w:t xml:space="preserve"> more health services reported to STIR this year. All jurisdictions that are associated with STIR have </w:t>
      </w:r>
      <w:r w:rsidR="00007632">
        <w:t>submitted reports this year.</w:t>
      </w:r>
    </w:p>
    <w:p w14:paraId="3A6951A4" w14:textId="61834569" w:rsidR="00495C75" w:rsidRDefault="00495C75" w:rsidP="00432E58">
      <w:pPr>
        <w:pStyle w:val="Body"/>
        <w:keepNext/>
        <w:rPr>
          <w:b/>
          <w:bCs/>
        </w:rPr>
      </w:pPr>
      <w:r w:rsidRPr="009951AB">
        <w:rPr>
          <w:b/>
          <w:bCs/>
        </w:rPr>
        <w:lastRenderedPageBreak/>
        <w:t xml:space="preserve">Figure </w:t>
      </w:r>
      <w:r w:rsidR="00A9310D">
        <w:rPr>
          <w:b/>
          <w:bCs/>
        </w:rPr>
        <w:t>2</w:t>
      </w:r>
      <w:r w:rsidRPr="009951AB">
        <w:rPr>
          <w:b/>
          <w:bCs/>
        </w:rPr>
        <w:t>: Number of validated reports per reporting jurisdiction</w:t>
      </w:r>
    </w:p>
    <w:p w14:paraId="4AD4D1EF" w14:textId="1CE3E902" w:rsidR="00007632" w:rsidRDefault="00B776C2" w:rsidP="00495C75">
      <w:pPr>
        <w:pStyle w:val="Body"/>
        <w:rPr>
          <w:b/>
          <w:bCs/>
        </w:rPr>
      </w:pPr>
      <w:r>
        <w:rPr>
          <w:noProof/>
        </w:rPr>
        <w:drawing>
          <wp:inline distT="0" distB="0" distL="0" distR="0" wp14:anchorId="47768CD6" wp14:editId="1E0C8B80">
            <wp:extent cx="5904230" cy="4872990"/>
            <wp:effectExtent l="0" t="0" r="1270" b="3810"/>
            <wp:docPr id="1772405776" name="Picture 1" descr="Chart showing a map of Australia with red jurisdictions indicating those that report to STIR (Victoria, ACT, Tasmania and NT).&#10;Number of registered health services, number that reported in FY23  and number of validated reports are included.&#10;Victoria: 95 registered health services; 41 reporting; 193 validated reports.&#10;Tasmania: 9 registered health services; 4 reporting; 10 validated reports.&#10;ACT: 3 registered health services; 1 reporting; 1 validated reports.&#10;NT: 6 registered health services; 4 reporting; 5 validated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05776" name="Picture 1" descr="Chart showing a map of Australia with red jurisdictions indicating those that report to STIR (Victoria, ACT, Tasmania and NT).&#10;Number of registered health services, number that reported in FY23  and number of validated reports are included.&#10;Victoria: 95 registered health services; 41 reporting; 193 validated reports.&#10;Tasmania: 9 registered health services; 4 reporting; 10 validated reports.&#10;ACT: 3 registered health services; 1 reporting; 1 validated reports.&#10;NT: 6 registered health services; 4 reporting; 5 validated reports."/>
                    <pic:cNvPicPr/>
                  </pic:nvPicPr>
                  <pic:blipFill>
                    <a:blip r:embed="rId23"/>
                    <a:stretch>
                      <a:fillRect/>
                    </a:stretch>
                  </pic:blipFill>
                  <pic:spPr>
                    <a:xfrm>
                      <a:off x="0" y="0"/>
                      <a:ext cx="5904230" cy="4872990"/>
                    </a:xfrm>
                    <a:prstGeom prst="rect">
                      <a:avLst/>
                    </a:prstGeom>
                  </pic:spPr>
                </pic:pic>
              </a:graphicData>
            </a:graphic>
          </wp:inline>
        </w:drawing>
      </w:r>
    </w:p>
    <w:p w14:paraId="359B6335" w14:textId="040AC9FB" w:rsidR="00A9310D" w:rsidRDefault="0001699E" w:rsidP="00A9310D">
      <w:pPr>
        <w:pStyle w:val="Bodyaftertablefigure"/>
      </w:pPr>
      <w:r>
        <w:t>To maintain confidentiality</w:t>
      </w:r>
      <w:r w:rsidR="00A9310D">
        <w:t>,</w:t>
      </w:r>
      <w:r>
        <w:t xml:space="preserve"> </w:t>
      </w:r>
      <w:r w:rsidR="00FC518C">
        <w:t>STIR collects limited</w:t>
      </w:r>
      <w:r>
        <w:t xml:space="preserve"> patient</w:t>
      </w:r>
      <w:r w:rsidR="00FC518C">
        <w:t xml:space="preserve"> </w:t>
      </w:r>
      <w:r w:rsidR="00FC518C" w:rsidRPr="00A9310D">
        <w:t>information</w:t>
      </w:r>
      <w:r w:rsidR="00FC518C">
        <w:t xml:space="preserve">. </w:t>
      </w:r>
      <w:r w:rsidR="00A9310D">
        <w:t xml:space="preserve">The age </w:t>
      </w:r>
      <w:r w:rsidR="00FC518C">
        <w:t xml:space="preserve">and sex of the patient are the only patient identifiers collected. Information on component type is also collected. </w:t>
      </w:r>
    </w:p>
    <w:p w14:paraId="656B0395" w14:textId="0BF0DFAD" w:rsidR="00A63672" w:rsidRDefault="00FC518C" w:rsidP="00A9310D">
      <w:pPr>
        <w:pStyle w:val="Body"/>
      </w:pPr>
      <w:r>
        <w:t xml:space="preserve">When reporting component type there is a category </w:t>
      </w:r>
      <w:r w:rsidR="00A9310D">
        <w:t>‘</w:t>
      </w:r>
      <w:r>
        <w:t>other</w:t>
      </w:r>
      <w:r w:rsidR="00A9310D">
        <w:t xml:space="preserve">’, </w:t>
      </w:r>
      <w:r>
        <w:t xml:space="preserve">that is commonly used for WBIT and </w:t>
      </w:r>
      <w:proofErr w:type="spellStart"/>
      <w:r>
        <w:t>RhD</w:t>
      </w:r>
      <w:proofErr w:type="spellEnd"/>
      <w:r>
        <w:t xml:space="preserve"> </w:t>
      </w:r>
      <w:r w:rsidR="008B5CD7">
        <w:t>Ig</w:t>
      </w:r>
      <w:r>
        <w:t xml:space="preserve"> </w:t>
      </w:r>
      <w:r w:rsidR="0068170B">
        <w:t xml:space="preserve">incidents. </w:t>
      </w:r>
    </w:p>
    <w:p w14:paraId="157138BA" w14:textId="32C1AD37" w:rsidR="00FC518C" w:rsidRPr="00FC518C" w:rsidRDefault="0068170B" w:rsidP="00A9310D">
      <w:pPr>
        <w:pStyle w:val="Body"/>
      </w:pPr>
      <w:r>
        <w:t>Table</w:t>
      </w:r>
      <w:r w:rsidR="00FC518C">
        <w:t xml:space="preserve"> </w:t>
      </w:r>
      <w:r w:rsidR="00A9310D">
        <w:t xml:space="preserve">7 </w:t>
      </w:r>
      <w:r w:rsidR="00FC518C">
        <w:t>shows the demographics for FY23 validated reports.</w:t>
      </w:r>
    </w:p>
    <w:p w14:paraId="66133FA5" w14:textId="4B1EE7C1" w:rsidR="00495C75" w:rsidRPr="009951AB" w:rsidRDefault="00495C75" w:rsidP="00CE55B3">
      <w:pPr>
        <w:pStyle w:val="Tablecaption"/>
      </w:pPr>
      <w:r w:rsidRPr="009951AB">
        <w:t xml:space="preserve">Table </w:t>
      </w:r>
      <w:r w:rsidR="00A9310D">
        <w:t>7</w:t>
      </w:r>
      <w:r w:rsidRPr="009951AB">
        <w:t xml:space="preserve">: </w:t>
      </w:r>
      <w:bookmarkStart w:id="25" w:name="_Hlk170293180"/>
      <w:r w:rsidR="00EA1983">
        <w:t>Characteristics</w:t>
      </w:r>
      <w:r w:rsidR="00EA1983" w:rsidRPr="009951AB">
        <w:t xml:space="preserve"> </w:t>
      </w:r>
      <w:r w:rsidRPr="009951AB">
        <w:t xml:space="preserve">for all </w:t>
      </w:r>
      <w:r w:rsidRPr="00A63672">
        <w:t>validated</w:t>
      </w:r>
      <w:r w:rsidRPr="009951AB">
        <w:t xml:space="preserve"> reports (excluding </w:t>
      </w:r>
      <w:proofErr w:type="spellStart"/>
      <w:r w:rsidRPr="009951AB">
        <w:t>RhD</w:t>
      </w:r>
      <w:proofErr w:type="spellEnd"/>
      <w:r>
        <w:t>-related</w:t>
      </w:r>
      <w:r w:rsidRPr="009951AB">
        <w:t xml:space="preserve"> incidents)</w:t>
      </w:r>
    </w:p>
    <w:tbl>
      <w:tblPr>
        <w:tblStyle w:val="GridTable6Colorful-Accent2"/>
        <w:tblW w:w="0" w:type="auto"/>
        <w:tblLook w:val="04A0" w:firstRow="1" w:lastRow="0" w:firstColumn="1" w:lastColumn="0" w:noHBand="0" w:noVBand="1"/>
      </w:tblPr>
      <w:tblGrid>
        <w:gridCol w:w="3539"/>
        <w:gridCol w:w="5749"/>
      </w:tblGrid>
      <w:tr w:rsidR="00007632" w:rsidRPr="00007632" w14:paraId="02F3129F"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759A1E4" w14:textId="2F26A59F" w:rsidR="00007632" w:rsidRPr="00CE55B3" w:rsidRDefault="00EA1983" w:rsidP="00A63672">
            <w:pPr>
              <w:pStyle w:val="Tablecolhead"/>
              <w:rPr>
                <w:b/>
                <w:bCs w:val="0"/>
              </w:rPr>
            </w:pPr>
            <w:bookmarkStart w:id="26" w:name="_Hlk106624113"/>
            <w:bookmarkEnd w:id="25"/>
            <w:r w:rsidRPr="00CE55B3">
              <w:t>Characteristic</w:t>
            </w:r>
          </w:p>
        </w:tc>
        <w:tc>
          <w:tcPr>
            <w:tcW w:w="0" w:type="dxa"/>
          </w:tcPr>
          <w:p w14:paraId="14A46CEA" w14:textId="77777777" w:rsidR="00007632" w:rsidRPr="00CE55B3" w:rsidRDefault="00007632" w:rsidP="00A63672">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Statistic</w:t>
            </w:r>
          </w:p>
        </w:tc>
      </w:tr>
      <w:tr w:rsidR="00007632" w:rsidRPr="00007632" w14:paraId="11A50619"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21E076C" w14:textId="77777777" w:rsidR="00007632" w:rsidRPr="00982AA7" w:rsidRDefault="00007632" w:rsidP="00007632">
            <w:pPr>
              <w:pStyle w:val="Body"/>
              <w:rPr>
                <w:b w:val="0"/>
                <w:bCs w:val="0"/>
                <w:color w:val="auto"/>
              </w:rPr>
            </w:pPr>
            <w:r w:rsidRPr="00982AA7">
              <w:rPr>
                <w:b w:val="0"/>
                <w:bCs w:val="0"/>
                <w:color w:val="auto"/>
              </w:rPr>
              <w:t>Age</w:t>
            </w:r>
          </w:p>
        </w:tc>
        <w:tc>
          <w:tcPr>
            <w:tcW w:w="5749" w:type="dxa"/>
          </w:tcPr>
          <w:p w14:paraId="150F93C7" w14:textId="66726D5D" w:rsidR="00007632" w:rsidRPr="00494F60" w:rsidRDefault="00007632" w:rsidP="00007632">
            <w:pPr>
              <w:pStyle w:val="Body"/>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 xml:space="preserve">Average </w:t>
            </w:r>
            <w:r w:rsidR="00783160" w:rsidRPr="00494F60">
              <w:rPr>
                <w:color w:val="auto"/>
              </w:rPr>
              <w:t xml:space="preserve">55 </w:t>
            </w:r>
            <w:r w:rsidRPr="00494F60">
              <w:rPr>
                <w:color w:val="auto"/>
              </w:rPr>
              <w:t>(range 0–</w:t>
            </w:r>
            <w:r w:rsidR="00783160" w:rsidRPr="00494F60">
              <w:rPr>
                <w:color w:val="auto"/>
              </w:rPr>
              <w:t xml:space="preserve">97 </w:t>
            </w:r>
            <w:r w:rsidRPr="00494F60">
              <w:rPr>
                <w:color w:val="auto"/>
              </w:rPr>
              <w:t>years)</w:t>
            </w:r>
          </w:p>
        </w:tc>
      </w:tr>
      <w:tr w:rsidR="00007632" w:rsidRPr="00007632" w14:paraId="16B9503F" w14:textId="77777777" w:rsidTr="00494F60">
        <w:tc>
          <w:tcPr>
            <w:cnfStyle w:val="001000000000" w:firstRow="0" w:lastRow="0" w:firstColumn="1" w:lastColumn="0" w:oddVBand="0" w:evenVBand="0" w:oddHBand="0" w:evenHBand="0" w:firstRowFirstColumn="0" w:firstRowLastColumn="0" w:lastRowFirstColumn="0" w:lastRowLastColumn="0"/>
            <w:tcW w:w="3539" w:type="dxa"/>
          </w:tcPr>
          <w:p w14:paraId="02E7A788" w14:textId="77777777" w:rsidR="00007632" w:rsidRPr="00982AA7" w:rsidRDefault="00007632" w:rsidP="00007632">
            <w:pPr>
              <w:pStyle w:val="Body"/>
              <w:rPr>
                <w:b w:val="0"/>
                <w:bCs w:val="0"/>
                <w:color w:val="auto"/>
              </w:rPr>
            </w:pPr>
            <w:r w:rsidRPr="00982AA7">
              <w:rPr>
                <w:b w:val="0"/>
                <w:bCs w:val="0"/>
                <w:color w:val="auto"/>
              </w:rPr>
              <w:t>Sex</w:t>
            </w:r>
          </w:p>
        </w:tc>
        <w:tc>
          <w:tcPr>
            <w:tcW w:w="5749" w:type="dxa"/>
          </w:tcPr>
          <w:p w14:paraId="0C12B399" w14:textId="37B9A1EB" w:rsidR="00007632" w:rsidRPr="00494F60" w:rsidRDefault="00007632" w:rsidP="00007632">
            <w:pPr>
              <w:pStyle w:val="Body"/>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 xml:space="preserve">Male: </w:t>
            </w:r>
            <w:r w:rsidR="00783160" w:rsidRPr="00494F60">
              <w:rPr>
                <w:color w:val="auto"/>
              </w:rPr>
              <w:t xml:space="preserve">97 </w:t>
            </w:r>
            <w:r w:rsidRPr="00494F60">
              <w:rPr>
                <w:color w:val="auto"/>
              </w:rPr>
              <w:t>(</w:t>
            </w:r>
            <w:r w:rsidR="00783160" w:rsidRPr="00494F60">
              <w:rPr>
                <w:color w:val="auto"/>
              </w:rPr>
              <w:t>50</w:t>
            </w:r>
            <w:r w:rsidRPr="00494F60">
              <w:rPr>
                <w:color w:val="auto"/>
              </w:rPr>
              <w:t>%)</w:t>
            </w:r>
          </w:p>
          <w:p w14:paraId="4480A7FC" w14:textId="4891BC3D" w:rsidR="00007632" w:rsidRPr="00494F60" w:rsidRDefault="00007632" w:rsidP="00007632">
            <w:pPr>
              <w:pStyle w:val="Body"/>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 xml:space="preserve">Female: </w:t>
            </w:r>
            <w:r w:rsidR="00783160" w:rsidRPr="00494F60">
              <w:rPr>
                <w:color w:val="auto"/>
              </w:rPr>
              <w:t xml:space="preserve">98 </w:t>
            </w:r>
            <w:r w:rsidRPr="00494F60">
              <w:rPr>
                <w:color w:val="auto"/>
              </w:rPr>
              <w:t>(</w:t>
            </w:r>
            <w:r w:rsidR="00783160" w:rsidRPr="00494F60">
              <w:rPr>
                <w:color w:val="auto"/>
              </w:rPr>
              <w:t>50</w:t>
            </w:r>
            <w:r w:rsidRPr="00494F60">
              <w:rPr>
                <w:color w:val="auto"/>
              </w:rPr>
              <w:t>%)</w:t>
            </w:r>
          </w:p>
        </w:tc>
      </w:tr>
      <w:tr w:rsidR="00007632" w:rsidRPr="00007632" w14:paraId="52DDD9C7"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E48460B" w14:textId="73505FDD" w:rsidR="00007632" w:rsidRPr="00982AA7" w:rsidRDefault="00007632" w:rsidP="00007632">
            <w:pPr>
              <w:pStyle w:val="Body"/>
              <w:rPr>
                <w:b w:val="0"/>
                <w:bCs w:val="0"/>
                <w:color w:val="auto"/>
              </w:rPr>
            </w:pPr>
            <w:r w:rsidRPr="00982AA7">
              <w:rPr>
                <w:b w:val="0"/>
                <w:bCs w:val="0"/>
                <w:color w:val="auto"/>
              </w:rPr>
              <w:t>Blood component notifications</w:t>
            </w:r>
            <w:r w:rsidR="00DC0380" w:rsidRPr="00982AA7">
              <w:rPr>
                <w:b w:val="0"/>
                <w:bCs w:val="0"/>
                <w:color w:val="auto"/>
              </w:rPr>
              <w:t>:</w:t>
            </w:r>
            <w:r w:rsidR="00DC0380" w:rsidRPr="00982AA7">
              <w:rPr>
                <w:b w:val="0"/>
                <w:bCs w:val="0"/>
                <w:color w:val="auto"/>
              </w:rPr>
              <w:br/>
              <w:t xml:space="preserve">(Multiple blood </w:t>
            </w:r>
            <w:r w:rsidR="006D749B" w:rsidRPr="00982AA7">
              <w:rPr>
                <w:b w:val="0"/>
                <w:bCs w:val="0"/>
                <w:color w:val="auto"/>
              </w:rPr>
              <w:t xml:space="preserve">components </w:t>
            </w:r>
            <w:r w:rsidR="00DC0380" w:rsidRPr="00982AA7">
              <w:rPr>
                <w:b w:val="0"/>
                <w:bCs w:val="0"/>
                <w:color w:val="auto"/>
              </w:rPr>
              <w:t>may be selected for one reaction)</w:t>
            </w:r>
          </w:p>
        </w:tc>
        <w:tc>
          <w:tcPr>
            <w:tcW w:w="5749" w:type="dxa"/>
          </w:tcPr>
          <w:p w14:paraId="15B406F0" w14:textId="699ED9A8" w:rsidR="00007632" w:rsidRPr="00494F60" w:rsidRDefault="0056661F" w:rsidP="00007632">
            <w:pPr>
              <w:pStyle w:val="Body"/>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RBC</w:t>
            </w:r>
            <w:r w:rsidR="00007632" w:rsidRPr="00494F60">
              <w:rPr>
                <w:color w:val="auto"/>
              </w:rPr>
              <w:t xml:space="preserve">: </w:t>
            </w:r>
            <w:r w:rsidR="0020302D" w:rsidRPr="00494F60">
              <w:rPr>
                <w:color w:val="auto"/>
              </w:rPr>
              <w:t>130</w:t>
            </w:r>
          </w:p>
          <w:p w14:paraId="367AF117" w14:textId="3116EF8C" w:rsidR="00007632" w:rsidRPr="00494F60" w:rsidRDefault="00007632" w:rsidP="00007632">
            <w:pPr>
              <w:pStyle w:val="Body"/>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 xml:space="preserve">Platelets: </w:t>
            </w:r>
            <w:r w:rsidR="0020302D" w:rsidRPr="00494F60">
              <w:rPr>
                <w:color w:val="auto"/>
              </w:rPr>
              <w:t>33</w:t>
            </w:r>
          </w:p>
          <w:p w14:paraId="257FD945" w14:textId="5CE33C73" w:rsidR="00007632" w:rsidRPr="00494F60" w:rsidRDefault="00007632" w:rsidP="00007632">
            <w:pPr>
              <w:pStyle w:val="Body"/>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Fresh frozen plasma</w:t>
            </w:r>
            <w:r w:rsidR="008B5CD7" w:rsidRPr="00494F60">
              <w:rPr>
                <w:color w:val="auto"/>
              </w:rPr>
              <w:t xml:space="preserve"> (FFP)</w:t>
            </w:r>
            <w:r w:rsidRPr="00494F60">
              <w:rPr>
                <w:color w:val="auto"/>
              </w:rPr>
              <w:t xml:space="preserve">: </w:t>
            </w:r>
            <w:r w:rsidR="0020302D" w:rsidRPr="00494F60">
              <w:rPr>
                <w:color w:val="auto"/>
              </w:rPr>
              <w:t>19</w:t>
            </w:r>
          </w:p>
          <w:p w14:paraId="1F246906" w14:textId="0F9617D8" w:rsidR="00007632" w:rsidRPr="00494F60" w:rsidRDefault="00007632" w:rsidP="00007632">
            <w:pPr>
              <w:pStyle w:val="Body"/>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 xml:space="preserve">Cryoprecipitate: </w:t>
            </w:r>
            <w:r w:rsidR="0020302D" w:rsidRPr="00494F60">
              <w:rPr>
                <w:color w:val="auto"/>
              </w:rPr>
              <w:t>2</w:t>
            </w:r>
          </w:p>
        </w:tc>
      </w:tr>
      <w:tr w:rsidR="00007632" w:rsidRPr="00007632" w14:paraId="5FD69E48" w14:textId="77777777" w:rsidTr="00494F60">
        <w:tc>
          <w:tcPr>
            <w:cnfStyle w:val="001000000000" w:firstRow="0" w:lastRow="0" w:firstColumn="1" w:lastColumn="0" w:oddVBand="0" w:evenVBand="0" w:oddHBand="0" w:evenHBand="0" w:firstRowFirstColumn="0" w:firstRowLastColumn="0" w:lastRowFirstColumn="0" w:lastRowLastColumn="0"/>
            <w:tcW w:w="3539" w:type="dxa"/>
          </w:tcPr>
          <w:p w14:paraId="23F895E4" w14:textId="77777777" w:rsidR="00007632" w:rsidRPr="00982AA7" w:rsidRDefault="00007632" w:rsidP="00007632">
            <w:pPr>
              <w:pStyle w:val="Body"/>
              <w:rPr>
                <w:b w:val="0"/>
                <w:bCs w:val="0"/>
                <w:color w:val="auto"/>
              </w:rPr>
            </w:pPr>
            <w:r w:rsidRPr="00982AA7">
              <w:rPr>
                <w:b w:val="0"/>
                <w:bCs w:val="0"/>
                <w:color w:val="auto"/>
              </w:rPr>
              <w:lastRenderedPageBreak/>
              <w:t>Other</w:t>
            </w:r>
          </w:p>
        </w:tc>
        <w:tc>
          <w:tcPr>
            <w:tcW w:w="5749" w:type="dxa"/>
          </w:tcPr>
          <w:p w14:paraId="129B0334" w14:textId="77C10F5D" w:rsidR="00007632" w:rsidRPr="00494F60" w:rsidRDefault="00007632" w:rsidP="00007632">
            <w:pPr>
              <w:pStyle w:val="Body"/>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 xml:space="preserve">Includes WBIT n = </w:t>
            </w:r>
            <w:r w:rsidR="00DC0380" w:rsidRPr="00494F60">
              <w:rPr>
                <w:color w:val="auto"/>
              </w:rPr>
              <w:t>22</w:t>
            </w:r>
            <w:r w:rsidRPr="00494F60">
              <w:rPr>
                <w:color w:val="auto"/>
              </w:rPr>
              <w:t xml:space="preserve">, near miss n = </w:t>
            </w:r>
            <w:r w:rsidR="00DC0380" w:rsidRPr="00494F60">
              <w:rPr>
                <w:color w:val="auto"/>
              </w:rPr>
              <w:t>3, TACO (buffy coat) n = 1, Procedural other (organ transplant) n = 1</w:t>
            </w:r>
          </w:p>
        </w:tc>
      </w:tr>
    </w:tbl>
    <w:p w14:paraId="766E2C87" w14:textId="77777777" w:rsidR="00495C75" w:rsidRDefault="00495C75" w:rsidP="00495C75">
      <w:pPr>
        <w:pStyle w:val="Heading2"/>
      </w:pPr>
      <w:bookmarkStart w:id="27" w:name="_Toc136329761"/>
      <w:bookmarkStart w:id="28" w:name="_Toc174439996"/>
      <w:bookmarkEnd w:id="26"/>
      <w:r>
        <w:t>Sentinel events</w:t>
      </w:r>
      <w:bookmarkEnd w:id="27"/>
      <w:bookmarkEnd w:id="28"/>
    </w:p>
    <w:p w14:paraId="0CAA9AED" w14:textId="27C692DB" w:rsidR="00FD75FB" w:rsidRDefault="00816938" w:rsidP="00495C75">
      <w:pPr>
        <w:pStyle w:val="Body"/>
      </w:pPr>
      <w:r w:rsidRPr="00816938">
        <w:t xml:space="preserve">Sentinel events </w:t>
      </w:r>
      <w:r w:rsidR="00A9310D">
        <w:t xml:space="preserve">comprise </w:t>
      </w:r>
      <w:r w:rsidRPr="00816938">
        <w:t>a subset of adverse patient safety events that are wholly preventable and result in serious harm to, or death of, a patient</w:t>
      </w:r>
      <w:r>
        <w:t xml:space="preserve"> (</w:t>
      </w:r>
      <w:r w:rsidR="00FD75FB">
        <w:t>refer to</w:t>
      </w:r>
      <w:r w:rsidR="00390291">
        <w:t xml:space="preserve"> ACSQH’s</w:t>
      </w:r>
      <w:r w:rsidR="00FD75FB">
        <w:t xml:space="preserve"> ‘</w:t>
      </w:r>
      <w:hyperlink r:id="rId24" w:anchor=":~:text=Sentinel%20events%20are%20a%20subset,and%20territory%20incident%20reporting%20system." w:history="1">
        <w:r w:rsidRPr="00816938">
          <w:rPr>
            <w:rStyle w:val="Hyperlink"/>
          </w:rPr>
          <w:t>Incident management and sentinel events</w:t>
        </w:r>
      </w:hyperlink>
      <w:r w:rsidR="00FD75FB">
        <w:t>’</w:t>
      </w:r>
      <w:r w:rsidR="00390291">
        <w:t xml:space="preserve"> webpage</w:t>
      </w:r>
      <w:r w:rsidR="00390291">
        <w:rPr>
          <w:rStyle w:val="FootnoteReference"/>
        </w:rPr>
        <w:footnoteReference w:id="2"/>
      </w:r>
      <w:r w:rsidR="00FD75FB">
        <w:t>).</w:t>
      </w:r>
    </w:p>
    <w:p w14:paraId="30709401" w14:textId="248C3EC2" w:rsidR="00816938" w:rsidRDefault="00816938" w:rsidP="00495C75">
      <w:pPr>
        <w:pStyle w:val="Body"/>
      </w:pPr>
      <w:r>
        <w:t>For transfusion</w:t>
      </w:r>
      <w:r w:rsidR="00FD75FB">
        <w:t>,</w:t>
      </w:r>
      <w:r>
        <w:t xml:space="preserve"> </w:t>
      </w:r>
      <w:r w:rsidR="00ED2E2B">
        <w:t xml:space="preserve">such an event </w:t>
      </w:r>
      <w:r>
        <w:t xml:space="preserve">is </w:t>
      </w:r>
      <w:r w:rsidR="00FD75FB">
        <w:t>‘</w:t>
      </w:r>
      <w:r>
        <w:t>h</w:t>
      </w:r>
      <w:r w:rsidRPr="00816938">
        <w:t>aemolytic blood transfusion reaction resulting from ABO incompatibility resulting in serious harm or death</w:t>
      </w:r>
      <w:r w:rsidR="00FD75FB">
        <w:t>’.</w:t>
      </w:r>
    </w:p>
    <w:p w14:paraId="7FF0E2E7" w14:textId="77777777" w:rsidR="00FD75FB" w:rsidRDefault="00FC518C" w:rsidP="00495C75">
      <w:pPr>
        <w:pStyle w:val="Body"/>
      </w:pPr>
      <w:r>
        <w:t xml:space="preserve">In this financial year there were no sentinel events reported. </w:t>
      </w:r>
    </w:p>
    <w:p w14:paraId="2AA0D092" w14:textId="4A10C20A" w:rsidR="00495C75" w:rsidRDefault="008644C1" w:rsidP="00495C75">
      <w:pPr>
        <w:pStyle w:val="Body"/>
      </w:pPr>
      <w:r>
        <w:t>O</w:t>
      </w:r>
      <w:r w:rsidR="00FC518C">
        <w:t>ne SR1 event</w:t>
      </w:r>
      <w:r>
        <w:t xml:space="preserve"> w</w:t>
      </w:r>
      <w:r w:rsidR="00FC518C">
        <w:t xml:space="preserve">as reported by </w:t>
      </w:r>
      <w:r>
        <w:t xml:space="preserve">a </w:t>
      </w:r>
      <w:r w:rsidR="00FC518C">
        <w:t xml:space="preserve">health service and </w:t>
      </w:r>
      <w:r w:rsidR="00816938">
        <w:t xml:space="preserve">validated by the Expert </w:t>
      </w:r>
      <w:r w:rsidR="00F75411">
        <w:t>Group</w:t>
      </w:r>
      <w:r w:rsidR="00816938">
        <w:t>, but this did not meet the definition for reporting as a sentinel event.</w:t>
      </w:r>
    </w:p>
    <w:p w14:paraId="4836A14A" w14:textId="2D7B3EEA" w:rsidR="00ED6AA1" w:rsidRDefault="00151E73" w:rsidP="00ED6AA1">
      <w:pPr>
        <w:pStyle w:val="Heading2"/>
      </w:pPr>
      <w:bookmarkStart w:id="29" w:name="_Toc136329762"/>
      <w:bookmarkStart w:id="30" w:name="_Toc174439997"/>
      <w:bookmarkStart w:id="31" w:name="_Hlk153875582"/>
      <w:r>
        <w:t xml:space="preserve">Statutory </w:t>
      </w:r>
      <w:r w:rsidR="00A9310D">
        <w:t xml:space="preserve">duty </w:t>
      </w:r>
      <w:r>
        <w:t xml:space="preserve">of </w:t>
      </w:r>
      <w:bookmarkEnd w:id="29"/>
      <w:r w:rsidR="00A9310D">
        <w:t>candour</w:t>
      </w:r>
      <w:bookmarkEnd w:id="30"/>
    </w:p>
    <w:p w14:paraId="48667456" w14:textId="12412FF2" w:rsidR="007C616D" w:rsidRDefault="007C616D" w:rsidP="007C616D">
      <w:pPr>
        <w:pStyle w:val="Body"/>
      </w:pPr>
      <w:r>
        <w:t xml:space="preserve">Health services are required to provide a patient with a </w:t>
      </w:r>
      <w:r w:rsidR="00A9310D">
        <w:t>statutory d</w:t>
      </w:r>
      <w:r>
        <w:t xml:space="preserve">uty of </w:t>
      </w:r>
      <w:r w:rsidR="00A9310D">
        <w:t xml:space="preserve">candour </w:t>
      </w:r>
      <w:r>
        <w:t xml:space="preserve">(SDC) when </w:t>
      </w:r>
      <w:r w:rsidR="00FD75FB">
        <w:t>the patient has</w:t>
      </w:r>
      <w:r>
        <w:t xml:space="preserve"> suffered a serious adverse patient safety event (SAPSE) while receiving health care. The SDC builds on the principles and elements of open disclosure within the </w:t>
      </w:r>
      <w:r w:rsidRPr="00CE55B3">
        <w:rPr>
          <w:i/>
          <w:iCs/>
        </w:rPr>
        <w:t xml:space="preserve">Australian </w:t>
      </w:r>
      <w:r w:rsidR="00A9310D" w:rsidRPr="00A9310D">
        <w:rPr>
          <w:i/>
          <w:iCs/>
        </w:rPr>
        <w:t>open disclosure framework</w:t>
      </w:r>
      <w:r>
        <w:t>, currently used for all cases of harm and near miss.</w:t>
      </w:r>
    </w:p>
    <w:p w14:paraId="67F0C0E8" w14:textId="570F09DB" w:rsidR="007C616D" w:rsidRDefault="007C616D" w:rsidP="007C616D">
      <w:pPr>
        <w:pStyle w:val="Body"/>
      </w:pPr>
      <w:r>
        <w:t xml:space="preserve">When a patient has suffered a SAPSE, the health service is legally required to provide the patient and their next-of-kin/carer with </w:t>
      </w:r>
    </w:p>
    <w:p w14:paraId="657B93D5" w14:textId="4E21DA62" w:rsidR="007C616D" w:rsidRDefault="007C616D" w:rsidP="00CE55B3">
      <w:pPr>
        <w:pStyle w:val="Bullet1"/>
      </w:pPr>
      <w:r>
        <w:t>a written account of the facts regarding the SAPSE</w:t>
      </w:r>
    </w:p>
    <w:p w14:paraId="790BD731" w14:textId="0A5908EE" w:rsidR="007C616D" w:rsidRDefault="007C616D" w:rsidP="00CE55B3">
      <w:pPr>
        <w:pStyle w:val="Bullet1"/>
      </w:pPr>
      <w:r>
        <w:t>an apology for the harm suffered by the patient</w:t>
      </w:r>
    </w:p>
    <w:p w14:paraId="7534DA6F" w14:textId="76FA01DA" w:rsidR="007C616D" w:rsidRDefault="007C616D" w:rsidP="00CE55B3">
      <w:pPr>
        <w:pStyle w:val="Bullet1"/>
      </w:pPr>
      <w:r>
        <w:t>a description of the health service</w:t>
      </w:r>
      <w:r w:rsidR="00FD75FB">
        <w:t xml:space="preserve">’s </w:t>
      </w:r>
      <w:r>
        <w:t>response to the event</w:t>
      </w:r>
    </w:p>
    <w:p w14:paraId="6DA6BFB2" w14:textId="59687CC8" w:rsidR="007C616D" w:rsidRDefault="007C616D" w:rsidP="00CE55B3">
      <w:pPr>
        <w:pStyle w:val="Bullet1"/>
      </w:pPr>
      <w:r>
        <w:t xml:space="preserve">the steps the health service </w:t>
      </w:r>
      <w:r w:rsidR="00FD75FB">
        <w:t>took</w:t>
      </w:r>
      <w:r>
        <w:t xml:space="preserve"> to prevent </w:t>
      </w:r>
      <w:r w:rsidR="00FD75FB">
        <w:t>recurrence</w:t>
      </w:r>
      <w:r>
        <w:t xml:space="preserve"> of the event.</w:t>
      </w:r>
    </w:p>
    <w:p w14:paraId="03604B88" w14:textId="55E31123" w:rsidR="00FD75FB" w:rsidRDefault="007C616D" w:rsidP="00A9310D">
      <w:pPr>
        <w:pStyle w:val="Bodyafterbullets"/>
      </w:pPr>
      <w:r>
        <w:t xml:space="preserve">Health services </w:t>
      </w:r>
      <w:r w:rsidR="00FD75FB">
        <w:t>must</w:t>
      </w:r>
      <w:r>
        <w:t xml:space="preserve"> comply with any timelines and requirements set out in </w:t>
      </w:r>
      <w:r w:rsidR="00FD75FB">
        <w:t xml:space="preserve">the </w:t>
      </w:r>
      <w:hyperlink r:id="rId25" w:history="1">
        <w:r w:rsidR="00FD75FB" w:rsidRPr="00CE55B3">
          <w:rPr>
            <w:rStyle w:val="Hyperlink"/>
            <w:i/>
            <w:iCs/>
          </w:rPr>
          <w:t>Victorian</w:t>
        </w:r>
        <w:r w:rsidRPr="00FD75FB">
          <w:rPr>
            <w:rStyle w:val="Hyperlink"/>
          </w:rPr>
          <w:t xml:space="preserve"> </w:t>
        </w:r>
        <w:r w:rsidR="00FD75FB" w:rsidRPr="00FD75FB">
          <w:rPr>
            <w:rStyle w:val="Hyperlink"/>
            <w:i/>
            <w:iCs/>
          </w:rPr>
          <w:t>d</w:t>
        </w:r>
        <w:r w:rsidRPr="00CE55B3">
          <w:rPr>
            <w:rStyle w:val="Hyperlink"/>
            <w:i/>
            <w:iCs/>
          </w:rPr>
          <w:t xml:space="preserve">uty of </w:t>
        </w:r>
        <w:r w:rsidR="00FD75FB" w:rsidRPr="00FD75FB">
          <w:rPr>
            <w:rStyle w:val="Hyperlink"/>
            <w:i/>
            <w:iCs/>
          </w:rPr>
          <w:t>c</w:t>
        </w:r>
        <w:r w:rsidR="00FD75FB" w:rsidRPr="00CE55B3">
          <w:rPr>
            <w:rStyle w:val="Hyperlink"/>
            <w:i/>
            <w:iCs/>
          </w:rPr>
          <w:t xml:space="preserve">andour </w:t>
        </w:r>
        <w:r w:rsidR="00FD75FB" w:rsidRPr="00FD75FB">
          <w:rPr>
            <w:rStyle w:val="Hyperlink"/>
            <w:i/>
            <w:iCs/>
          </w:rPr>
          <w:t>g</w:t>
        </w:r>
        <w:r w:rsidR="00FD75FB" w:rsidRPr="00CE55B3">
          <w:rPr>
            <w:rStyle w:val="Hyperlink"/>
            <w:i/>
            <w:iCs/>
          </w:rPr>
          <w:t>uidelines</w:t>
        </w:r>
      </w:hyperlink>
      <w:r w:rsidR="00A63672">
        <w:rPr>
          <w:rStyle w:val="FootnoteReference"/>
        </w:rPr>
        <w:footnoteReference w:id="3"/>
      </w:r>
      <w:r w:rsidR="00A63672">
        <w:t xml:space="preserve"> </w:t>
      </w:r>
      <w:r w:rsidR="00FD75FB">
        <w:t>(legislative instrument)</w:t>
      </w:r>
      <w:r>
        <w:t>.</w:t>
      </w:r>
    </w:p>
    <w:p w14:paraId="1B4A600F" w14:textId="65DFFECD" w:rsidR="007C616D" w:rsidRDefault="007C616D" w:rsidP="00FD75FB">
      <w:pPr>
        <w:pStyle w:val="Body"/>
      </w:pPr>
      <w:r>
        <w:t xml:space="preserve">If the event is classified as a sentinel event, </w:t>
      </w:r>
      <w:r w:rsidR="00FD75FB">
        <w:t xml:space="preserve">health services </w:t>
      </w:r>
      <w:r>
        <w:t xml:space="preserve">must also comply with any relevant </w:t>
      </w:r>
      <w:r w:rsidRPr="00A9310D">
        <w:t>timelines</w:t>
      </w:r>
      <w:r>
        <w:t xml:space="preserve"> within the Victorian sentinel event guide.</w:t>
      </w:r>
    </w:p>
    <w:p w14:paraId="5529BE75" w14:textId="704E6E76" w:rsidR="00FD75FB" w:rsidRDefault="008B2B7E" w:rsidP="007C616D">
      <w:pPr>
        <w:pStyle w:val="Body"/>
      </w:pPr>
      <w:r>
        <w:t xml:space="preserve">To assist health services </w:t>
      </w:r>
      <w:r w:rsidR="00B1493E">
        <w:t xml:space="preserve">to </w:t>
      </w:r>
      <w:r>
        <w:t>determine if an event is a SAPSE, Safer Care Victoria ha</w:t>
      </w:r>
      <w:r w:rsidR="00B1493E">
        <w:t>s</w:t>
      </w:r>
      <w:r>
        <w:t xml:space="preserve"> developed a </w:t>
      </w:r>
      <w:hyperlink r:id="rId26" w:history="1">
        <w:r w:rsidRPr="00CE55B3">
          <w:rPr>
            <w:rStyle w:val="Hyperlink"/>
            <w:i/>
            <w:iCs/>
          </w:rPr>
          <w:t xml:space="preserve">Victorian </w:t>
        </w:r>
        <w:r w:rsidR="00FD75FB" w:rsidRPr="00CE55B3">
          <w:rPr>
            <w:rStyle w:val="Hyperlink"/>
            <w:i/>
            <w:iCs/>
          </w:rPr>
          <w:t>duty of candour framework</w:t>
        </w:r>
      </w:hyperlink>
      <w:r w:rsidR="00FD75FB">
        <w:t>.</w:t>
      </w:r>
      <w:r w:rsidR="00A63672">
        <w:rPr>
          <w:rStyle w:val="FootnoteReference"/>
        </w:rPr>
        <w:footnoteReference w:id="4"/>
      </w:r>
      <w:r w:rsidR="00FD75FB">
        <w:t xml:space="preserve"> This includes </w:t>
      </w:r>
      <w:r>
        <w:t xml:space="preserve">case examples and patient considerations. </w:t>
      </w:r>
    </w:p>
    <w:p w14:paraId="0DEF5117" w14:textId="7E092B13" w:rsidR="00FD75FB" w:rsidRDefault="008B2B7E" w:rsidP="007C616D">
      <w:pPr>
        <w:pStyle w:val="Body"/>
      </w:pPr>
      <w:r>
        <w:t>In general, a SDC is required when a SAPSE is unplanned or unexpected</w:t>
      </w:r>
      <w:r w:rsidR="00FD75FB">
        <w:t>,</w:t>
      </w:r>
      <w:r>
        <w:t xml:space="preserve"> and </w:t>
      </w:r>
      <w:r w:rsidR="00FD75FB">
        <w:t xml:space="preserve">it </w:t>
      </w:r>
      <w:r>
        <w:t xml:space="preserve">results in increased treatment and care, or a permanent </w:t>
      </w:r>
      <w:r w:rsidR="00FD75FB">
        <w:t>reduction of</w:t>
      </w:r>
      <w:r>
        <w:t xml:space="preserve"> function that is unrelated to the natural course of </w:t>
      </w:r>
      <w:r w:rsidR="00FD75FB">
        <w:t xml:space="preserve">the </w:t>
      </w:r>
      <w:r>
        <w:t xml:space="preserve">person's illness or underlying condition. </w:t>
      </w:r>
    </w:p>
    <w:p w14:paraId="491869EB" w14:textId="40C66A2B" w:rsidR="008B2B7E" w:rsidRDefault="008B2B7E" w:rsidP="007C616D">
      <w:pPr>
        <w:pStyle w:val="Body"/>
      </w:pPr>
      <w:r>
        <w:lastRenderedPageBreak/>
        <w:t>Events reported to STIR with a SR1 or 2 generally meet this criterion.</w:t>
      </w:r>
    </w:p>
    <w:p w14:paraId="282478EB" w14:textId="3C53B948" w:rsidR="00275B9D" w:rsidRPr="00151E73" w:rsidRDefault="00275B9D" w:rsidP="00DD60A3">
      <w:pPr>
        <w:pStyle w:val="Body"/>
        <w:rPr>
          <w:szCs w:val="21"/>
        </w:rPr>
      </w:pPr>
      <w:r w:rsidRPr="00151E73">
        <w:rPr>
          <w:szCs w:val="21"/>
        </w:rPr>
        <w:t>Adverse event reviews are valuable quality and safety improvement processes. However, there is evidence to suggest that clinicians are reluctant to provide information to a review for fear of medico-legal consequences. </w:t>
      </w:r>
    </w:p>
    <w:p w14:paraId="1A3F888B" w14:textId="2F067677" w:rsidR="00275B9D" w:rsidRPr="00151E73" w:rsidRDefault="00275B9D" w:rsidP="00DD60A3">
      <w:pPr>
        <w:pStyle w:val="Body"/>
        <w:rPr>
          <w:szCs w:val="21"/>
        </w:rPr>
      </w:pPr>
      <w:r w:rsidRPr="00151E73">
        <w:rPr>
          <w:szCs w:val="21"/>
        </w:rPr>
        <w:t>Amendments to the </w:t>
      </w:r>
      <w:r w:rsidRPr="00151E73">
        <w:rPr>
          <w:i/>
          <w:iCs/>
          <w:szCs w:val="21"/>
        </w:rPr>
        <w:t>Health Services Act 1988</w:t>
      </w:r>
      <w:r w:rsidRPr="00151E73">
        <w:rPr>
          <w:szCs w:val="21"/>
        </w:rPr>
        <w:t> (</w:t>
      </w:r>
      <w:r w:rsidR="00FD75FB">
        <w:rPr>
          <w:szCs w:val="21"/>
        </w:rPr>
        <w:t xml:space="preserve">the </w:t>
      </w:r>
      <w:r w:rsidRPr="00151E73">
        <w:rPr>
          <w:szCs w:val="21"/>
        </w:rPr>
        <w:t xml:space="preserve">Act) </w:t>
      </w:r>
      <w:r w:rsidR="00E62A9F" w:rsidRPr="00151E73">
        <w:rPr>
          <w:szCs w:val="21"/>
        </w:rPr>
        <w:t xml:space="preserve">introduced </w:t>
      </w:r>
      <w:r w:rsidRPr="00151E73">
        <w:rPr>
          <w:szCs w:val="21"/>
        </w:rPr>
        <w:t xml:space="preserve">protections for adverse event reviews, called a </w:t>
      </w:r>
      <w:hyperlink r:id="rId27" w:history="1">
        <w:r w:rsidRPr="00FD75FB">
          <w:rPr>
            <w:rStyle w:val="Hyperlink"/>
            <w:szCs w:val="21"/>
          </w:rPr>
          <w:t>SAPSE review</w:t>
        </w:r>
      </w:hyperlink>
      <w:r w:rsidR="00390291">
        <w:rPr>
          <w:szCs w:val="21"/>
        </w:rPr>
        <w:t>.</w:t>
      </w:r>
      <w:r w:rsidR="00390291">
        <w:rPr>
          <w:rStyle w:val="FootnoteReference"/>
          <w:szCs w:val="21"/>
        </w:rPr>
        <w:footnoteReference w:id="5"/>
      </w:r>
      <w:r w:rsidR="00FD75FB">
        <w:rPr>
          <w:szCs w:val="21"/>
        </w:rPr>
        <w:t xml:space="preserve"> </w:t>
      </w:r>
      <w:r w:rsidRPr="00151E73">
        <w:rPr>
          <w:szCs w:val="21"/>
        </w:rPr>
        <w:t>If the provisions within Division 8 of Part 5A of the Act are followed and a SAPSE review panel is formed, the review process</w:t>
      </w:r>
      <w:r w:rsidR="00FD75FB">
        <w:rPr>
          <w:szCs w:val="21"/>
        </w:rPr>
        <w:t xml:space="preserve"> is</w:t>
      </w:r>
      <w:r w:rsidRPr="00151E73">
        <w:rPr>
          <w:szCs w:val="21"/>
        </w:rPr>
        <w:t xml:space="preserve"> protecte</w:t>
      </w:r>
      <w:r w:rsidR="00FD75FB">
        <w:rPr>
          <w:szCs w:val="21"/>
        </w:rPr>
        <w:t xml:space="preserve">d. Any documents created </w:t>
      </w:r>
      <w:proofErr w:type="gramStart"/>
      <w:r w:rsidR="00FD75FB">
        <w:rPr>
          <w:szCs w:val="21"/>
        </w:rPr>
        <w:t xml:space="preserve">are  </w:t>
      </w:r>
      <w:r w:rsidRPr="00151E73">
        <w:rPr>
          <w:szCs w:val="21"/>
        </w:rPr>
        <w:t>not</w:t>
      </w:r>
      <w:proofErr w:type="gramEnd"/>
      <w:r w:rsidRPr="00151E73">
        <w:rPr>
          <w:szCs w:val="21"/>
        </w:rPr>
        <w:t xml:space="preserve"> admissible in legal proceedings. There </w:t>
      </w:r>
      <w:r w:rsidR="00FD75FB">
        <w:rPr>
          <w:szCs w:val="21"/>
        </w:rPr>
        <w:t>are also</w:t>
      </w:r>
      <w:r w:rsidRPr="00151E73">
        <w:rPr>
          <w:szCs w:val="21"/>
        </w:rPr>
        <w:t xml:space="preserve"> protections for SAPSE review panel members and participants of the SAPSE review.</w:t>
      </w:r>
    </w:p>
    <w:p w14:paraId="126606AE" w14:textId="49974733" w:rsidR="00275B9D" w:rsidRPr="00151E73" w:rsidRDefault="00275B9D" w:rsidP="00DD60A3">
      <w:pPr>
        <w:pStyle w:val="Body"/>
        <w:rPr>
          <w:szCs w:val="21"/>
        </w:rPr>
      </w:pPr>
      <w:r w:rsidRPr="00151E73">
        <w:rPr>
          <w:szCs w:val="21"/>
        </w:rPr>
        <w:t>The resulting SAPSE review report must be offered and produced to the patient and</w:t>
      </w:r>
      <w:r w:rsidR="00FD75FB">
        <w:rPr>
          <w:szCs w:val="21"/>
        </w:rPr>
        <w:t xml:space="preserve"> </w:t>
      </w:r>
      <w:r w:rsidRPr="00151E73">
        <w:rPr>
          <w:szCs w:val="21"/>
        </w:rPr>
        <w:t xml:space="preserve">their </w:t>
      </w:r>
      <w:r w:rsidR="00594CAD" w:rsidRPr="00151E73">
        <w:rPr>
          <w:szCs w:val="21"/>
        </w:rPr>
        <w:t>next of kin</w:t>
      </w:r>
      <w:r w:rsidRPr="00151E73">
        <w:rPr>
          <w:szCs w:val="21"/>
        </w:rPr>
        <w:t xml:space="preserve">/carer when </w:t>
      </w:r>
      <w:r w:rsidR="00A3122F" w:rsidRPr="00151E73">
        <w:rPr>
          <w:szCs w:val="21"/>
        </w:rPr>
        <w:t>accepted</w:t>
      </w:r>
      <w:r w:rsidR="00FD75FB">
        <w:rPr>
          <w:szCs w:val="21"/>
        </w:rPr>
        <w:t>.</w:t>
      </w:r>
      <w:r w:rsidR="00A3122F" w:rsidRPr="00151E73">
        <w:rPr>
          <w:szCs w:val="21"/>
        </w:rPr>
        <w:t xml:space="preserve"> </w:t>
      </w:r>
      <w:r w:rsidR="00FD75FB">
        <w:rPr>
          <w:szCs w:val="21"/>
        </w:rPr>
        <w:t>It must also be</w:t>
      </w:r>
      <w:r w:rsidR="00FD75FB" w:rsidRPr="00151E73">
        <w:rPr>
          <w:szCs w:val="21"/>
        </w:rPr>
        <w:t xml:space="preserve"> </w:t>
      </w:r>
      <w:r w:rsidRPr="00151E73">
        <w:rPr>
          <w:szCs w:val="21"/>
        </w:rPr>
        <w:t>made available to the Secretary of the Department of Health on request. </w:t>
      </w:r>
    </w:p>
    <w:p w14:paraId="6F1AEDF1" w14:textId="32D4415B" w:rsidR="00275B9D" w:rsidRPr="00FD75FB" w:rsidRDefault="00275B9D" w:rsidP="00FD75FB">
      <w:pPr>
        <w:pStyle w:val="Body"/>
      </w:pPr>
      <w:r w:rsidRPr="00151E73">
        <w:t xml:space="preserve">These reforms foster a culture </w:t>
      </w:r>
      <w:r w:rsidR="00FD75FB">
        <w:t>that identifies</w:t>
      </w:r>
      <w:r w:rsidR="00FD75FB" w:rsidRPr="00151E73">
        <w:t xml:space="preserve"> </w:t>
      </w:r>
      <w:r w:rsidRPr="00151E73">
        <w:t xml:space="preserve">errors and harm and </w:t>
      </w:r>
      <w:r w:rsidR="00FD75FB" w:rsidRPr="00151E73">
        <w:t>discusse</w:t>
      </w:r>
      <w:r w:rsidR="00FD75FB">
        <w:t xml:space="preserve">s them </w:t>
      </w:r>
      <w:r w:rsidRPr="00151E73">
        <w:t>openly</w:t>
      </w:r>
      <w:r w:rsidR="00FD75FB">
        <w:t>. They also</w:t>
      </w:r>
      <w:r w:rsidRPr="00151E73">
        <w:t xml:space="preserve"> ensure a better understanding of </w:t>
      </w:r>
      <w:r w:rsidR="00FD75FB">
        <w:t>events,</w:t>
      </w:r>
      <w:r w:rsidRPr="00151E73">
        <w:t xml:space="preserve"> </w:t>
      </w:r>
      <w:r w:rsidR="00FD75FB">
        <w:t>along with</w:t>
      </w:r>
      <w:r w:rsidR="00FD75FB" w:rsidRPr="00151E73">
        <w:t xml:space="preserve"> </w:t>
      </w:r>
      <w:r w:rsidRPr="00151E73">
        <w:t>comprehensive and effective recommendations for improvements.</w:t>
      </w:r>
    </w:p>
    <w:p w14:paraId="0C63B7BA" w14:textId="6D63B9D3" w:rsidR="008210C1" w:rsidRPr="00FD75FB" w:rsidRDefault="008210C1" w:rsidP="00CE55B3">
      <w:pPr>
        <w:pStyle w:val="Body"/>
        <w:rPr>
          <w:rStyle w:val="Hyperlink"/>
          <w:color w:val="auto"/>
          <w:u w:val="none"/>
        </w:rPr>
      </w:pPr>
      <w:r w:rsidRPr="00FD75FB">
        <w:rPr>
          <w:rStyle w:val="Hyperlink"/>
          <w:color w:val="auto"/>
          <w:u w:val="none"/>
        </w:rPr>
        <w:br w:type="page"/>
      </w:r>
    </w:p>
    <w:p w14:paraId="3A9A5DC7" w14:textId="77777777" w:rsidR="00495C75" w:rsidRDefault="00495C75" w:rsidP="00495C75">
      <w:pPr>
        <w:pStyle w:val="Heading1"/>
      </w:pPr>
      <w:bookmarkStart w:id="32" w:name="_Toc112679059"/>
      <w:bookmarkStart w:id="33" w:name="_Toc136329763"/>
      <w:bookmarkStart w:id="34" w:name="_Toc174439998"/>
      <w:bookmarkEnd w:id="31"/>
      <w:r w:rsidRPr="00F9336D">
        <w:lastRenderedPageBreak/>
        <w:t>Clinical reports</w:t>
      </w:r>
      <w:bookmarkEnd w:id="32"/>
      <w:bookmarkEnd w:id="33"/>
      <w:bookmarkEnd w:id="34"/>
    </w:p>
    <w:p w14:paraId="671AA82F" w14:textId="77777777" w:rsidR="00FD75FB" w:rsidRDefault="008D1721" w:rsidP="008D1721">
      <w:pPr>
        <w:pStyle w:val="Body"/>
      </w:pPr>
      <w:r w:rsidRPr="008D1721">
        <w:t xml:space="preserve">Clinical reactions to blood components remain the largest proportion of reports received by STIR. </w:t>
      </w:r>
    </w:p>
    <w:p w14:paraId="3A85C933" w14:textId="21860052" w:rsidR="008D1721" w:rsidRPr="008D1721" w:rsidRDefault="008D1721" w:rsidP="008D1721">
      <w:pPr>
        <w:pStyle w:val="Body"/>
      </w:pPr>
      <w:r w:rsidRPr="008D1721">
        <w:t xml:space="preserve">This </w:t>
      </w:r>
      <w:r w:rsidRPr="009D0867">
        <w:t>year</w:t>
      </w:r>
      <w:r w:rsidR="00FD75FB">
        <w:t>,</w:t>
      </w:r>
      <w:r w:rsidRPr="009D0867">
        <w:t xml:space="preserve"> </w:t>
      </w:r>
      <w:r w:rsidR="00B776C2" w:rsidRPr="009D0867">
        <w:t>14</w:t>
      </w:r>
      <w:r w:rsidR="00B776C2">
        <w:t>1</w:t>
      </w:r>
      <w:r w:rsidR="00B776C2" w:rsidRPr="009D0867">
        <w:t xml:space="preserve"> </w:t>
      </w:r>
      <w:r w:rsidRPr="009D0867">
        <w:t>(</w:t>
      </w:r>
      <w:r w:rsidR="00B776C2" w:rsidRPr="009D0867">
        <w:t>6</w:t>
      </w:r>
      <w:r w:rsidR="00B776C2">
        <w:t>7</w:t>
      </w:r>
      <w:r w:rsidR="00FD75FB">
        <w:t>%</w:t>
      </w:r>
      <w:r w:rsidRPr="008D1721">
        <w:t xml:space="preserve">) of all validated reports were clinical. The types of reactions are shown in Figure </w:t>
      </w:r>
      <w:r w:rsidR="00A9310D">
        <w:t>3</w:t>
      </w:r>
      <w:r w:rsidRPr="008D1721">
        <w:t xml:space="preserve">. Table </w:t>
      </w:r>
      <w:r w:rsidR="00A9310D">
        <w:t>8</w:t>
      </w:r>
      <w:r w:rsidR="00A9310D" w:rsidRPr="008D1721">
        <w:t xml:space="preserve"> </w:t>
      </w:r>
      <w:r w:rsidRPr="008D1721">
        <w:t>shows the breakdown of the types of validated acute transfusion reactions (ATR).</w:t>
      </w:r>
    </w:p>
    <w:p w14:paraId="39848B29" w14:textId="6A0F7267" w:rsidR="008D1721" w:rsidRPr="008D1721" w:rsidRDefault="008D1721" w:rsidP="008D1721">
      <w:pPr>
        <w:pStyle w:val="Body"/>
      </w:pPr>
      <w:r w:rsidRPr="008D1721">
        <w:t xml:space="preserve">The type of reaction by blood component is shown in Table </w:t>
      </w:r>
      <w:r w:rsidR="00A9310D">
        <w:t>9</w:t>
      </w:r>
      <w:r w:rsidR="00FD75FB">
        <w:t>,</w:t>
      </w:r>
      <w:r w:rsidR="00A9310D" w:rsidRPr="008D1721">
        <w:t xml:space="preserve"> </w:t>
      </w:r>
      <w:r w:rsidRPr="008D1721">
        <w:t xml:space="preserve">with </w:t>
      </w:r>
      <w:r w:rsidR="00706546">
        <w:t>red blood cells (</w:t>
      </w:r>
      <w:r w:rsidRPr="008D1721">
        <w:t>RBC</w:t>
      </w:r>
      <w:r w:rsidR="00706546">
        <w:t xml:space="preserve">) </w:t>
      </w:r>
      <w:r w:rsidRPr="008D1721">
        <w:t>contributing to most-reported reactions.</w:t>
      </w:r>
    </w:p>
    <w:p w14:paraId="78F307C0" w14:textId="6DA4BC05" w:rsidR="00495C75" w:rsidRDefault="00495C75" w:rsidP="00CE55B3">
      <w:pPr>
        <w:pStyle w:val="Figurecaption"/>
      </w:pPr>
      <w:r w:rsidRPr="00F9336D">
        <w:t xml:space="preserve">Figure </w:t>
      </w:r>
      <w:r w:rsidR="00A9310D">
        <w:t>3</w:t>
      </w:r>
      <w:r w:rsidRPr="00F9336D">
        <w:t>: Validated clinical reactions FY2</w:t>
      </w:r>
      <w:r w:rsidR="008D1721">
        <w:t>3</w:t>
      </w:r>
    </w:p>
    <w:p w14:paraId="65FBF8E7" w14:textId="63CE0D84" w:rsidR="00E064B0" w:rsidRPr="008D1721" w:rsidRDefault="00FD75FB" w:rsidP="00495C75">
      <w:pPr>
        <w:pStyle w:val="Body"/>
        <w:rPr>
          <w:i/>
          <w:iCs/>
        </w:rPr>
      </w:pPr>
      <w:r>
        <w:rPr>
          <w:i/>
          <w:iCs/>
          <w:noProof/>
        </w:rPr>
        <w:drawing>
          <wp:inline distT="0" distB="0" distL="0" distR="0" wp14:anchorId="0D9BF572" wp14:editId="4B512FC9">
            <wp:extent cx="5904230" cy="2573020"/>
            <wp:effectExtent l="0" t="0" r="1270" b="5080"/>
            <wp:docPr id="604196030" name="Picture 20" descr="The figure shows a pie chart setting out the data from Table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96030" name="Picture 20" descr="The figure shows a pie chart setting out the data from Table 8. "/>
                    <pic:cNvPicPr/>
                  </pic:nvPicPr>
                  <pic:blipFill>
                    <a:blip r:embed="rId28"/>
                    <a:stretch>
                      <a:fillRect/>
                    </a:stretch>
                  </pic:blipFill>
                  <pic:spPr>
                    <a:xfrm>
                      <a:off x="0" y="0"/>
                      <a:ext cx="5904230" cy="2573020"/>
                    </a:xfrm>
                    <a:prstGeom prst="rect">
                      <a:avLst/>
                    </a:prstGeom>
                  </pic:spPr>
                </pic:pic>
              </a:graphicData>
            </a:graphic>
          </wp:inline>
        </w:drawing>
      </w:r>
    </w:p>
    <w:p w14:paraId="0E63378A" w14:textId="037C2921" w:rsidR="00495C75" w:rsidRDefault="00495C75" w:rsidP="00CE55B3">
      <w:pPr>
        <w:pStyle w:val="Tablecaption"/>
        <w:keepNext w:val="0"/>
        <w:keepLines w:val="0"/>
        <w:spacing w:line="240" w:lineRule="auto"/>
      </w:pPr>
      <w:r>
        <w:t xml:space="preserve">Table </w:t>
      </w:r>
      <w:r w:rsidR="00A9310D">
        <w:t>8:</w:t>
      </w:r>
      <w:r>
        <w:t xml:space="preserve"> Types of validated</w:t>
      </w:r>
      <w:r w:rsidRPr="00F9336D">
        <w:t xml:space="preserve"> clinical reports</w:t>
      </w:r>
      <w:r w:rsidR="004B705E">
        <w:t>, number and percentage</w:t>
      </w:r>
    </w:p>
    <w:tbl>
      <w:tblPr>
        <w:tblStyle w:val="GridTable6Colorful-Accent2"/>
        <w:tblW w:w="0" w:type="auto"/>
        <w:tblLook w:val="04A0" w:firstRow="1" w:lastRow="0" w:firstColumn="1" w:lastColumn="0" w:noHBand="0" w:noVBand="1"/>
      </w:tblPr>
      <w:tblGrid>
        <w:gridCol w:w="4644"/>
        <w:gridCol w:w="4644"/>
      </w:tblGrid>
      <w:tr w:rsidR="008D1721" w:rsidRPr="008D1721" w14:paraId="062B9208"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21DE0F6" w14:textId="77777777" w:rsidR="008D1721" w:rsidRPr="00CE55B3" w:rsidRDefault="008D1721" w:rsidP="00FD75FB">
            <w:pPr>
              <w:pStyle w:val="Tablecolhead"/>
              <w:rPr>
                <w:b/>
                <w:bCs w:val="0"/>
              </w:rPr>
            </w:pPr>
            <w:bookmarkStart w:id="35" w:name="_Hlk144731212"/>
            <w:r w:rsidRPr="00CE55B3">
              <w:t>Reaction</w:t>
            </w:r>
          </w:p>
        </w:tc>
        <w:tc>
          <w:tcPr>
            <w:tcW w:w="0" w:type="dxa"/>
          </w:tcPr>
          <w:p w14:paraId="5F4C1E19" w14:textId="5EBECECB" w:rsidR="008D1721" w:rsidRPr="00CE55B3" w:rsidRDefault="007E54D7"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 xml:space="preserve">n </w:t>
            </w:r>
            <w:r w:rsidR="00DD60A3" w:rsidRPr="00CE55B3">
              <w:t>(</w:t>
            </w:r>
            <w:r w:rsidRPr="00CE55B3">
              <w:t>%</w:t>
            </w:r>
            <w:r w:rsidR="00DD60A3" w:rsidRPr="00CE55B3">
              <w:t>)</w:t>
            </w:r>
          </w:p>
        </w:tc>
      </w:tr>
      <w:tr w:rsidR="008D1721" w:rsidRPr="008D1721" w14:paraId="65B6F9EA"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08DF46D" w14:textId="77777777" w:rsidR="008D1721" w:rsidRPr="00982AA7" w:rsidRDefault="008D1721" w:rsidP="00CE55B3">
            <w:pPr>
              <w:pStyle w:val="Body"/>
              <w:spacing w:line="240" w:lineRule="auto"/>
              <w:rPr>
                <w:b w:val="0"/>
                <w:bCs w:val="0"/>
                <w:color w:val="auto"/>
              </w:rPr>
            </w:pPr>
            <w:bookmarkStart w:id="36" w:name="_Hlk141773021"/>
            <w:r w:rsidRPr="00982AA7">
              <w:rPr>
                <w:b w:val="0"/>
                <w:bCs w:val="0"/>
                <w:color w:val="auto"/>
              </w:rPr>
              <w:t>Allergic/anaphylactic/anaphylactoid</w:t>
            </w:r>
          </w:p>
        </w:tc>
        <w:tc>
          <w:tcPr>
            <w:tcW w:w="4644" w:type="dxa"/>
          </w:tcPr>
          <w:p w14:paraId="70E6EA4A" w14:textId="206531F8" w:rsidR="008D1721" w:rsidRPr="00494F60" w:rsidRDefault="009D0867"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31 (</w:t>
            </w:r>
            <w:r w:rsidR="003748D6" w:rsidRPr="00494F60">
              <w:rPr>
                <w:color w:val="auto"/>
              </w:rPr>
              <w:t>22</w:t>
            </w:r>
            <w:r w:rsidRPr="00494F60">
              <w:rPr>
                <w:color w:val="auto"/>
              </w:rPr>
              <w:t>)</w:t>
            </w:r>
          </w:p>
        </w:tc>
      </w:tr>
      <w:bookmarkEnd w:id="36"/>
      <w:tr w:rsidR="008D1721" w:rsidRPr="008D1721" w14:paraId="25BFFE92" w14:textId="77777777" w:rsidTr="00982AA7">
        <w:tc>
          <w:tcPr>
            <w:cnfStyle w:val="001000000000" w:firstRow="0" w:lastRow="0" w:firstColumn="1" w:lastColumn="0" w:oddVBand="0" w:evenVBand="0" w:oddHBand="0" w:evenHBand="0" w:firstRowFirstColumn="0" w:firstRowLastColumn="0" w:lastRowFirstColumn="0" w:lastRowLastColumn="0"/>
            <w:tcW w:w="4644" w:type="dxa"/>
          </w:tcPr>
          <w:p w14:paraId="379E688A" w14:textId="77777777" w:rsidR="008D1721" w:rsidRPr="00982AA7" w:rsidRDefault="008D1721" w:rsidP="00CE55B3">
            <w:pPr>
              <w:pStyle w:val="Body"/>
              <w:spacing w:line="240" w:lineRule="auto"/>
              <w:rPr>
                <w:b w:val="0"/>
                <w:bCs w:val="0"/>
                <w:color w:val="auto"/>
              </w:rPr>
            </w:pPr>
            <w:r w:rsidRPr="00982AA7">
              <w:rPr>
                <w:b w:val="0"/>
                <w:bCs w:val="0"/>
                <w:color w:val="auto"/>
              </w:rPr>
              <w:t>Febrile non-haemolytic transfusion reaction (FNHTR)</w:t>
            </w:r>
          </w:p>
        </w:tc>
        <w:tc>
          <w:tcPr>
            <w:tcW w:w="4644" w:type="dxa"/>
          </w:tcPr>
          <w:p w14:paraId="531D4A80" w14:textId="39E781BE" w:rsidR="008D1721" w:rsidRPr="00494F60" w:rsidRDefault="009D0867"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23 (</w:t>
            </w:r>
            <w:r w:rsidR="003748D6" w:rsidRPr="00494F60">
              <w:rPr>
                <w:color w:val="auto"/>
              </w:rPr>
              <w:t>16</w:t>
            </w:r>
            <w:r w:rsidRPr="00494F60">
              <w:rPr>
                <w:color w:val="auto"/>
              </w:rPr>
              <w:t>)</w:t>
            </w:r>
          </w:p>
        </w:tc>
      </w:tr>
      <w:tr w:rsidR="007A4762" w:rsidRPr="008D1721" w14:paraId="138756BA"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70181CE" w14:textId="77777777" w:rsidR="007A4762" w:rsidRPr="00982AA7" w:rsidRDefault="007A4762" w:rsidP="00CE55B3">
            <w:pPr>
              <w:pStyle w:val="Body"/>
              <w:spacing w:line="240" w:lineRule="auto"/>
              <w:rPr>
                <w:b w:val="0"/>
                <w:bCs w:val="0"/>
                <w:color w:val="auto"/>
              </w:rPr>
            </w:pPr>
            <w:r w:rsidRPr="00982AA7">
              <w:rPr>
                <w:b w:val="0"/>
                <w:bCs w:val="0"/>
                <w:color w:val="auto"/>
              </w:rPr>
              <w:t>Acute hypotensive transfusion reaction</w:t>
            </w:r>
          </w:p>
        </w:tc>
        <w:tc>
          <w:tcPr>
            <w:tcW w:w="4644" w:type="dxa"/>
          </w:tcPr>
          <w:p w14:paraId="1FDD9AC6" w14:textId="3BD0FDC9" w:rsidR="007A4762" w:rsidRPr="00494F60" w:rsidRDefault="007A4762"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3 (</w:t>
            </w:r>
            <w:r w:rsidR="003748D6" w:rsidRPr="00494F60">
              <w:rPr>
                <w:color w:val="auto"/>
              </w:rPr>
              <w:t>2</w:t>
            </w:r>
            <w:r w:rsidRPr="00494F60">
              <w:rPr>
                <w:color w:val="auto"/>
              </w:rPr>
              <w:t>)</w:t>
            </w:r>
          </w:p>
        </w:tc>
      </w:tr>
      <w:tr w:rsidR="008D1721" w:rsidRPr="008D1721" w14:paraId="36325E0C" w14:textId="77777777" w:rsidTr="00982AA7">
        <w:tc>
          <w:tcPr>
            <w:cnfStyle w:val="001000000000" w:firstRow="0" w:lastRow="0" w:firstColumn="1" w:lastColumn="0" w:oddVBand="0" w:evenVBand="0" w:oddHBand="0" w:evenHBand="0" w:firstRowFirstColumn="0" w:firstRowLastColumn="0" w:lastRowFirstColumn="0" w:lastRowLastColumn="0"/>
            <w:tcW w:w="4644" w:type="dxa"/>
          </w:tcPr>
          <w:p w14:paraId="5195FA5C" w14:textId="77777777" w:rsidR="008D1721" w:rsidRPr="00982AA7" w:rsidRDefault="008D1721" w:rsidP="00CE55B3">
            <w:pPr>
              <w:pStyle w:val="Body"/>
              <w:spacing w:line="240" w:lineRule="auto"/>
              <w:rPr>
                <w:b w:val="0"/>
                <w:bCs w:val="0"/>
                <w:color w:val="auto"/>
              </w:rPr>
            </w:pPr>
            <w:r w:rsidRPr="00982AA7">
              <w:rPr>
                <w:b w:val="0"/>
                <w:bCs w:val="0"/>
                <w:color w:val="auto"/>
              </w:rPr>
              <w:t>Acute haemolytic (AHTR)</w:t>
            </w:r>
          </w:p>
        </w:tc>
        <w:tc>
          <w:tcPr>
            <w:tcW w:w="4644" w:type="dxa"/>
          </w:tcPr>
          <w:p w14:paraId="01B274AA" w14:textId="0F74990F" w:rsidR="008D1721" w:rsidRPr="00494F60" w:rsidRDefault="009D0867"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1 (</w:t>
            </w:r>
            <w:r w:rsidR="003748D6" w:rsidRPr="00494F60">
              <w:rPr>
                <w:color w:val="auto"/>
              </w:rPr>
              <w:t>1</w:t>
            </w:r>
            <w:r w:rsidRPr="00494F60">
              <w:rPr>
                <w:color w:val="auto"/>
              </w:rPr>
              <w:t>)</w:t>
            </w:r>
          </w:p>
        </w:tc>
      </w:tr>
      <w:tr w:rsidR="004B705E" w:rsidRPr="008D1721" w14:paraId="45DFC79B"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8C557BE" w14:textId="174618A4" w:rsidR="004B705E" w:rsidRPr="00982AA7" w:rsidRDefault="004B705E" w:rsidP="00CE55B3">
            <w:pPr>
              <w:pStyle w:val="Body"/>
              <w:spacing w:line="240" w:lineRule="auto"/>
              <w:rPr>
                <w:b w:val="0"/>
                <w:bCs w:val="0"/>
                <w:color w:val="auto"/>
              </w:rPr>
            </w:pPr>
            <w:r w:rsidRPr="00982AA7">
              <w:rPr>
                <w:b w:val="0"/>
                <w:bCs w:val="0"/>
                <w:color w:val="auto"/>
              </w:rPr>
              <w:t>Transfusion associated circulatory overload (TACO)</w:t>
            </w:r>
          </w:p>
        </w:tc>
        <w:tc>
          <w:tcPr>
            <w:tcW w:w="4644" w:type="dxa"/>
          </w:tcPr>
          <w:p w14:paraId="05C3DC1C" w14:textId="2B70CCEA" w:rsidR="004B705E" w:rsidRPr="00494F60" w:rsidRDefault="004B705E"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34 (</w:t>
            </w:r>
            <w:r w:rsidR="003748D6" w:rsidRPr="00494F60">
              <w:rPr>
                <w:color w:val="auto"/>
              </w:rPr>
              <w:t>24)</w:t>
            </w:r>
          </w:p>
        </w:tc>
      </w:tr>
      <w:tr w:rsidR="004B705E" w:rsidRPr="008D1721" w14:paraId="2AD3EE39" w14:textId="77777777" w:rsidTr="00982AA7">
        <w:tc>
          <w:tcPr>
            <w:cnfStyle w:val="001000000000" w:firstRow="0" w:lastRow="0" w:firstColumn="1" w:lastColumn="0" w:oddVBand="0" w:evenVBand="0" w:oddHBand="0" w:evenHBand="0" w:firstRowFirstColumn="0" w:firstRowLastColumn="0" w:lastRowFirstColumn="0" w:lastRowLastColumn="0"/>
            <w:tcW w:w="4644" w:type="dxa"/>
          </w:tcPr>
          <w:p w14:paraId="693608AB" w14:textId="5E21B150" w:rsidR="004B705E" w:rsidRPr="00982AA7" w:rsidRDefault="004B705E" w:rsidP="00CE55B3">
            <w:pPr>
              <w:pStyle w:val="Body"/>
              <w:spacing w:line="240" w:lineRule="auto"/>
              <w:rPr>
                <w:b w:val="0"/>
                <w:bCs w:val="0"/>
                <w:color w:val="auto"/>
              </w:rPr>
            </w:pPr>
            <w:r w:rsidRPr="00982AA7">
              <w:rPr>
                <w:b w:val="0"/>
                <w:bCs w:val="0"/>
                <w:color w:val="auto"/>
              </w:rPr>
              <w:t>Delayed haemolytic transfusion reaction (DHTR)</w:t>
            </w:r>
          </w:p>
        </w:tc>
        <w:tc>
          <w:tcPr>
            <w:tcW w:w="4644" w:type="dxa"/>
          </w:tcPr>
          <w:p w14:paraId="58F785C6" w14:textId="25E6962F" w:rsidR="004B705E" w:rsidRPr="00494F60" w:rsidRDefault="004B705E"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auto"/>
              </w:rPr>
            </w:pPr>
            <w:r w:rsidRPr="00494F60">
              <w:rPr>
                <w:color w:val="auto"/>
              </w:rPr>
              <w:t>4</w:t>
            </w:r>
            <w:r w:rsidR="003748D6" w:rsidRPr="00494F60">
              <w:rPr>
                <w:color w:val="auto"/>
              </w:rPr>
              <w:t xml:space="preserve"> (3)</w:t>
            </w:r>
          </w:p>
        </w:tc>
      </w:tr>
      <w:tr w:rsidR="004B705E" w:rsidRPr="008D1721" w14:paraId="1920431A"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4C764E9" w14:textId="767C9929" w:rsidR="004B705E" w:rsidRPr="00982AA7" w:rsidRDefault="004B705E" w:rsidP="00CE55B3">
            <w:pPr>
              <w:pStyle w:val="Body"/>
              <w:spacing w:line="240" w:lineRule="auto"/>
              <w:rPr>
                <w:b w:val="0"/>
                <w:bCs w:val="0"/>
                <w:color w:val="auto"/>
              </w:rPr>
            </w:pPr>
            <w:r w:rsidRPr="00982AA7">
              <w:rPr>
                <w:b w:val="0"/>
                <w:bCs w:val="0"/>
                <w:color w:val="auto"/>
              </w:rPr>
              <w:t>Delayed serologic transfusion reaction (DSTR)</w:t>
            </w:r>
          </w:p>
        </w:tc>
        <w:tc>
          <w:tcPr>
            <w:tcW w:w="4644" w:type="dxa"/>
          </w:tcPr>
          <w:p w14:paraId="20773B07" w14:textId="1E16DE84" w:rsidR="004B705E" w:rsidRPr="00494F60" w:rsidRDefault="004B705E"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494F60">
              <w:rPr>
                <w:color w:val="auto"/>
              </w:rPr>
              <w:t>45</w:t>
            </w:r>
            <w:r w:rsidR="003748D6" w:rsidRPr="00494F60">
              <w:rPr>
                <w:color w:val="auto"/>
              </w:rPr>
              <w:t xml:space="preserve"> (32)</w:t>
            </w:r>
          </w:p>
        </w:tc>
      </w:tr>
      <w:tr w:rsidR="003748D6" w:rsidRPr="008D1721" w14:paraId="02937C57" w14:textId="77777777" w:rsidTr="00982AA7">
        <w:tc>
          <w:tcPr>
            <w:cnfStyle w:val="001000000000" w:firstRow="0" w:lastRow="0" w:firstColumn="1" w:lastColumn="0" w:oddVBand="0" w:evenVBand="0" w:oddHBand="0" w:evenHBand="0" w:firstRowFirstColumn="0" w:firstRowLastColumn="0" w:lastRowFirstColumn="0" w:lastRowLastColumn="0"/>
            <w:tcW w:w="4644" w:type="dxa"/>
          </w:tcPr>
          <w:p w14:paraId="6FFB2979" w14:textId="1B5635FF" w:rsidR="003748D6" w:rsidRPr="00494F60" w:rsidRDefault="003748D6" w:rsidP="00CE55B3">
            <w:pPr>
              <w:pStyle w:val="Body"/>
              <w:spacing w:line="240" w:lineRule="auto"/>
              <w:rPr>
                <w:b w:val="0"/>
                <w:bCs w:val="0"/>
                <w:color w:val="auto"/>
              </w:rPr>
            </w:pPr>
            <w:r w:rsidRPr="00494F60">
              <w:rPr>
                <w:color w:val="auto"/>
              </w:rPr>
              <w:t>Total</w:t>
            </w:r>
          </w:p>
        </w:tc>
        <w:tc>
          <w:tcPr>
            <w:tcW w:w="4644" w:type="dxa"/>
          </w:tcPr>
          <w:p w14:paraId="1172F7A7" w14:textId="6D642CA7" w:rsidR="003748D6" w:rsidRPr="00494F60" w:rsidRDefault="003748D6"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b/>
                <w:bCs/>
                <w:color w:val="auto"/>
              </w:rPr>
            </w:pPr>
            <w:r w:rsidRPr="00494F60">
              <w:rPr>
                <w:b/>
                <w:bCs/>
                <w:color w:val="auto"/>
              </w:rPr>
              <w:t>141</w:t>
            </w:r>
          </w:p>
        </w:tc>
      </w:tr>
    </w:tbl>
    <w:p w14:paraId="607A764E" w14:textId="21336C00" w:rsidR="00495C75" w:rsidRDefault="00495C75" w:rsidP="00CE55B3">
      <w:pPr>
        <w:pStyle w:val="Tablecaption"/>
        <w:spacing w:line="240" w:lineRule="auto"/>
      </w:pPr>
      <w:bookmarkStart w:id="37" w:name="_Hlk106625505"/>
      <w:bookmarkEnd w:id="35"/>
      <w:r w:rsidRPr="00F9336D">
        <w:lastRenderedPageBreak/>
        <w:t xml:space="preserve">Table </w:t>
      </w:r>
      <w:r w:rsidR="00A9310D">
        <w:t>9:</w:t>
      </w:r>
      <w:r w:rsidRPr="00F9336D">
        <w:t xml:space="preserve"> Validated re</w:t>
      </w:r>
      <w:r>
        <w:t>a</w:t>
      </w:r>
      <w:r w:rsidRPr="00F9336D">
        <w:t>ction type by blood component</w:t>
      </w:r>
      <w:bookmarkEnd w:id="37"/>
    </w:p>
    <w:tbl>
      <w:tblPr>
        <w:tblStyle w:val="GridTable6Colorful-Accent2"/>
        <w:tblW w:w="9234" w:type="dxa"/>
        <w:tblLayout w:type="fixed"/>
        <w:tblLook w:val="04A0" w:firstRow="1" w:lastRow="0" w:firstColumn="1" w:lastColumn="0" w:noHBand="0" w:noVBand="1"/>
      </w:tblPr>
      <w:tblGrid>
        <w:gridCol w:w="1980"/>
        <w:gridCol w:w="1276"/>
        <w:gridCol w:w="1559"/>
        <w:gridCol w:w="1701"/>
        <w:gridCol w:w="1417"/>
        <w:gridCol w:w="1301"/>
      </w:tblGrid>
      <w:tr w:rsidR="00331D25" w:rsidRPr="00E064B0" w14:paraId="144CF6D1"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6C04029" w14:textId="77777777" w:rsidR="00331D25" w:rsidRPr="00CE55B3" w:rsidRDefault="00331D25" w:rsidP="00CE55B3">
            <w:pPr>
              <w:pStyle w:val="Tablecolhead"/>
              <w:keepNext/>
              <w:keepLines/>
              <w:rPr>
                <w:b/>
                <w:bCs w:val="0"/>
              </w:rPr>
            </w:pPr>
            <w:r w:rsidRPr="00CE55B3">
              <w:t>Blood component</w:t>
            </w:r>
          </w:p>
        </w:tc>
        <w:tc>
          <w:tcPr>
            <w:tcW w:w="0" w:type="dxa"/>
          </w:tcPr>
          <w:p w14:paraId="286A45A1" w14:textId="78ECE2B5" w:rsidR="00331D25" w:rsidRPr="00CE55B3" w:rsidRDefault="00331D25"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CE55B3">
              <w:t>FNHTR</w:t>
            </w:r>
            <w:r w:rsidRPr="00CE55B3">
              <w:br/>
              <w:t>n = 23</w:t>
            </w:r>
            <w:r w:rsidR="003C2087" w:rsidRPr="00CE55B3">
              <w:t xml:space="preserve"> </w:t>
            </w:r>
          </w:p>
        </w:tc>
        <w:tc>
          <w:tcPr>
            <w:tcW w:w="0" w:type="dxa"/>
          </w:tcPr>
          <w:p w14:paraId="0FFDF813" w14:textId="32C24127" w:rsidR="00331D25" w:rsidRPr="00CE55B3" w:rsidRDefault="00331D25"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CE55B3">
              <w:t xml:space="preserve">Allergic/ Anaphylactic n = </w:t>
            </w:r>
            <w:r w:rsidR="00595147" w:rsidRPr="00CE55B3">
              <w:t>31</w:t>
            </w:r>
            <w:r w:rsidR="003C2087" w:rsidRPr="00CE55B3">
              <w:t xml:space="preserve"> </w:t>
            </w:r>
          </w:p>
        </w:tc>
        <w:tc>
          <w:tcPr>
            <w:tcW w:w="0" w:type="dxa"/>
          </w:tcPr>
          <w:p w14:paraId="1D22A86D" w14:textId="614A3CDF" w:rsidR="00331D25" w:rsidRPr="00CE55B3" w:rsidRDefault="00331D25"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CE55B3">
              <w:t>Hypotensive</w:t>
            </w:r>
            <w:r w:rsidRPr="00CE55B3">
              <w:br/>
              <w:t>n = 3</w:t>
            </w:r>
          </w:p>
        </w:tc>
        <w:tc>
          <w:tcPr>
            <w:tcW w:w="0" w:type="dxa"/>
          </w:tcPr>
          <w:p w14:paraId="55A427ED" w14:textId="780E30B1" w:rsidR="00331D25" w:rsidRPr="00CE55B3" w:rsidRDefault="00331D25"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CE55B3">
              <w:t>AHTR</w:t>
            </w:r>
            <w:r w:rsidRPr="00CE55B3">
              <w:br/>
              <w:t xml:space="preserve">n = </w:t>
            </w:r>
            <w:r w:rsidR="00B1572E" w:rsidRPr="00CE55B3">
              <w:t>1</w:t>
            </w:r>
            <w:r w:rsidR="003C2087" w:rsidRPr="00CE55B3">
              <w:t xml:space="preserve"> </w:t>
            </w:r>
          </w:p>
        </w:tc>
        <w:tc>
          <w:tcPr>
            <w:tcW w:w="0" w:type="dxa"/>
          </w:tcPr>
          <w:p w14:paraId="159C9022" w14:textId="536EF5E7" w:rsidR="00331D25" w:rsidRPr="00CE55B3" w:rsidRDefault="00331D25"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CE55B3">
              <w:t>TACO</w:t>
            </w:r>
            <w:r w:rsidRPr="00CE55B3">
              <w:br/>
              <w:t xml:space="preserve">n = </w:t>
            </w:r>
            <w:r w:rsidR="00B1572E" w:rsidRPr="00CE55B3">
              <w:t>34</w:t>
            </w:r>
            <w:r w:rsidR="003C2087" w:rsidRPr="00CE55B3">
              <w:t xml:space="preserve"> </w:t>
            </w:r>
          </w:p>
        </w:tc>
      </w:tr>
      <w:tr w:rsidR="00331D25" w:rsidRPr="00E064B0" w14:paraId="64E0F611" w14:textId="77777777" w:rsidTr="00E31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7A57BC0" w14:textId="0BFC8AEE" w:rsidR="00331D25" w:rsidRPr="00982AA7" w:rsidRDefault="00331D25" w:rsidP="00CE55B3">
            <w:pPr>
              <w:pStyle w:val="Body"/>
              <w:keepNext/>
              <w:keepLines/>
              <w:spacing w:line="240" w:lineRule="auto"/>
              <w:rPr>
                <w:b w:val="0"/>
                <w:bCs w:val="0"/>
                <w:color w:val="000000" w:themeColor="text1"/>
              </w:rPr>
            </w:pPr>
            <w:r w:rsidRPr="00982AA7">
              <w:rPr>
                <w:b w:val="0"/>
                <w:bCs w:val="0"/>
                <w:color w:val="000000" w:themeColor="text1"/>
              </w:rPr>
              <w:t xml:space="preserve">Red </w:t>
            </w:r>
            <w:r w:rsidR="001918AD" w:rsidRPr="00982AA7">
              <w:rPr>
                <w:b w:val="0"/>
                <w:bCs w:val="0"/>
                <w:color w:val="000000" w:themeColor="text1"/>
              </w:rPr>
              <w:t xml:space="preserve">blood </w:t>
            </w:r>
            <w:r w:rsidRPr="00982AA7">
              <w:rPr>
                <w:b w:val="0"/>
                <w:bCs w:val="0"/>
                <w:color w:val="000000" w:themeColor="text1"/>
              </w:rPr>
              <w:t>cells (RBC)</w:t>
            </w:r>
          </w:p>
        </w:tc>
        <w:tc>
          <w:tcPr>
            <w:tcW w:w="1276" w:type="dxa"/>
          </w:tcPr>
          <w:p w14:paraId="52896E0F" w14:textId="67AEB592"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21</w:t>
            </w:r>
          </w:p>
        </w:tc>
        <w:tc>
          <w:tcPr>
            <w:tcW w:w="1559" w:type="dxa"/>
          </w:tcPr>
          <w:p w14:paraId="7D501235" w14:textId="34788EB0"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7</w:t>
            </w:r>
          </w:p>
        </w:tc>
        <w:tc>
          <w:tcPr>
            <w:tcW w:w="1701" w:type="dxa"/>
          </w:tcPr>
          <w:p w14:paraId="03D77684" w14:textId="1006B7F4"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w:t>
            </w:r>
          </w:p>
        </w:tc>
        <w:tc>
          <w:tcPr>
            <w:tcW w:w="1417" w:type="dxa"/>
          </w:tcPr>
          <w:p w14:paraId="7BEA51C8" w14:textId="6CCBC017"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w:t>
            </w:r>
          </w:p>
        </w:tc>
        <w:tc>
          <w:tcPr>
            <w:tcW w:w="1301" w:type="dxa"/>
          </w:tcPr>
          <w:p w14:paraId="67506FD2" w14:textId="5F9511E3"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28</w:t>
            </w:r>
          </w:p>
        </w:tc>
      </w:tr>
      <w:tr w:rsidR="00331D25" w:rsidRPr="00E064B0" w14:paraId="299A23F7" w14:textId="77777777" w:rsidTr="00E31AE3">
        <w:tc>
          <w:tcPr>
            <w:cnfStyle w:val="001000000000" w:firstRow="0" w:lastRow="0" w:firstColumn="1" w:lastColumn="0" w:oddVBand="0" w:evenVBand="0" w:oddHBand="0" w:evenHBand="0" w:firstRowFirstColumn="0" w:firstRowLastColumn="0" w:lastRowFirstColumn="0" w:lastRowLastColumn="0"/>
            <w:tcW w:w="1980" w:type="dxa"/>
          </w:tcPr>
          <w:p w14:paraId="254CC3DE" w14:textId="77777777" w:rsidR="00331D25" w:rsidRPr="00982AA7" w:rsidRDefault="00331D25" w:rsidP="00CE55B3">
            <w:pPr>
              <w:pStyle w:val="Body"/>
              <w:keepNext/>
              <w:keepLines/>
              <w:spacing w:line="240" w:lineRule="auto"/>
              <w:rPr>
                <w:b w:val="0"/>
                <w:bCs w:val="0"/>
                <w:color w:val="000000" w:themeColor="text1"/>
              </w:rPr>
            </w:pPr>
            <w:r w:rsidRPr="00982AA7">
              <w:rPr>
                <w:b w:val="0"/>
                <w:bCs w:val="0"/>
                <w:color w:val="000000" w:themeColor="text1"/>
              </w:rPr>
              <w:t>Platelets</w:t>
            </w:r>
          </w:p>
        </w:tc>
        <w:tc>
          <w:tcPr>
            <w:tcW w:w="1276" w:type="dxa"/>
          </w:tcPr>
          <w:p w14:paraId="0D02DF63" w14:textId="74DC2214"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3</w:t>
            </w:r>
          </w:p>
        </w:tc>
        <w:tc>
          <w:tcPr>
            <w:tcW w:w="1559" w:type="dxa"/>
          </w:tcPr>
          <w:p w14:paraId="4240943C" w14:textId="3C1459B1"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16</w:t>
            </w:r>
          </w:p>
        </w:tc>
        <w:tc>
          <w:tcPr>
            <w:tcW w:w="1701" w:type="dxa"/>
          </w:tcPr>
          <w:p w14:paraId="42838F46" w14:textId="73C1C1E0"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c>
          <w:tcPr>
            <w:tcW w:w="1417" w:type="dxa"/>
          </w:tcPr>
          <w:p w14:paraId="4C1C433A" w14:textId="6190601D"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301" w:type="dxa"/>
          </w:tcPr>
          <w:p w14:paraId="734BD6E4" w14:textId="6B37A1C3"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6</w:t>
            </w:r>
          </w:p>
        </w:tc>
      </w:tr>
      <w:tr w:rsidR="00331D25" w:rsidRPr="00E064B0" w14:paraId="66FEA264" w14:textId="77777777" w:rsidTr="00E31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9627F38" w14:textId="20FFC023" w:rsidR="00331D25" w:rsidRPr="00982AA7" w:rsidRDefault="00331D25" w:rsidP="00CE55B3">
            <w:pPr>
              <w:pStyle w:val="Body"/>
              <w:keepNext/>
              <w:keepLines/>
              <w:spacing w:line="240" w:lineRule="auto"/>
              <w:rPr>
                <w:b w:val="0"/>
                <w:bCs w:val="0"/>
                <w:color w:val="000000" w:themeColor="text1"/>
              </w:rPr>
            </w:pPr>
            <w:r w:rsidRPr="00982AA7">
              <w:rPr>
                <w:b w:val="0"/>
                <w:bCs w:val="0"/>
                <w:color w:val="000000" w:themeColor="text1"/>
              </w:rPr>
              <w:t>Fresh frozen plasma (FFP)</w:t>
            </w:r>
          </w:p>
        </w:tc>
        <w:tc>
          <w:tcPr>
            <w:tcW w:w="1276" w:type="dxa"/>
          </w:tcPr>
          <w:p w14:paraId="72B73B91" w14:textId="34C8830D"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559" w:type="dxa"/>
          </w:tcPr>
          <w:p w14:paraId="7A751AAA" w14:textId="5045AB8D"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12</w:t>
            </w:r>
          </w:p>
        </w:tc>
        <w:tc>
          <w:tcPr>
            <w:tcW w:w="1701" w:type="dxa"/>
          </w:tcPr>
          <w:p w14:paraId="798CE8A9" w14:textId="1CA3DF11"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417" w:type="dxa"/>
          </w:tcPr>
          <w:p w14:paraId="2DC693CE" w14:textId="167EDB99"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301" w:type="dxa"/>
          </w:tcPr>
          <w:p w14:paraId="36211BC8" w14:textId="1BD327DA"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4</w:t>
            </w:r>
          </w:p>
        </w:tc>
      </w:tr>
      <w:tr w:rsidR="00331D25" w:rsidRPr="00E064B0" w14:paraId="04946BA1" w14:textId="77777777" w:rsidTr="00E31AE3">
        <w:tc>
          <w:tcPr>
            <w:cnfStyle w:val="001000000000" w:firstRow="0" w:lastRow="0" w:firstColumn="1" w:lastColumn="0" w:oddVBand="0" w:evenVBand="0" w:oddHBand="0" w:evenHBand="0" w:firstRowFirstColumn="0" w:firstRowLastColumn="0" w:lastRowFirstColumn="0" w:lastRowLastColumn="0"/>
            <w:tcW w:w="1980" w:type="dxa"/>
          </w:tcPr>
          <w:p w14:paraId="51A8B76F" w14:textId="65680992" w:rsidR="00331D25" w:rsidRPr="00982AA7" w:rsidRDefault="00331D25" w:rsidP="00CE55B3">
            <w:pPr>
              <w:pStyle w:val="Body"/>
              <w:keepNext/>
              <w:keepLines/>
              <w:spacing w:line="240" w:lineRule="auto"/>
              <w:rPr>
                <w:b w:val="0"/>
                <w:bCs w:val="0"/>
                <w:color w:val="000000" w:themeColor="text1"/>
              </w:rPr>
            </w:pPr>
            <w:r w:rsidRPr="00982AA7">
              <w:rPr>
                <w:b w:val="0"/>
                <w:bCs w:val="0"/>
                <w:color w:val="000000" w:themeColor="text1"/>
              </w:rPr>
              <w:t>Cryo</w:t>
            </w:r>
            <w:r w:rsidR="005355A4" w:rsidRPr="00982AA7">
              <w:rPr>
                <w:b w:val="0"/>
                <w:bCs w:val="0"/>
                <w:color w:val="000000" w:themeColor="text1"/>
              </w:rPr>
              <w:t>precipitate</w:t>
            </w:r>
          </w:p>
        </w:tc>
        <w:tc>
          <w:tcPr>
            <w:tcW w:w="1276" w:type="dxa"/>
          </w:tcPr>
          <w:p w14:paraId="509206BF" w14:textId="15F7EFB6"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559" w:type="dxa"/>
          </w:tcPr>
          <w:p w14:paraId="0D19BD09" w14:textId="0EAC91B1"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w:t>
            </w:r>
          </w:p>
        </w:tc>
        <w:tc>
          <w:tcPr>
            <w:tcW w:w="1701" w:type="dxa"/>
          </w:tcPr>
          <w:p w14:paraId="2F75A81C" w14:textId="1DCEBFCF"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417" w:type="dxa"/>
          </w:tcPr>
          <w:p w14:paraId="4FBF0998" w14:textId="0C1F43C0"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301" w:type="dxa"/>
          </w:tcPr>
          <w:p w14:paraId="6EDFFABC" w14:textId="74E546FA" w:rsidR="00331D25" w:rsidRPr="00982AA7" w:rsidRDefault="00331D25"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r>
      <w:tr w:rsidR="00331D25" w:rsidRPr="00E064B0" w14:paraId="23D98527" w14:textId="66AC6001" w:rsidTr="00E31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CF1A999" w14:textId="32EDF424" w:rsidR="00331D25" w:rsidRPr="00982AA7" w:rsidRDefault="00331D25" w:rsidP="00CE55B3">
            <w:pPr>
              <w:pStyle w:val="Body"/>
              <w:keepNext/>
              <w:keepLines/>
              <w:spacing w:line="240" w:lineRule="auto"/>
              <w:rPr>
                <w:b w:val="0"/>
                <w:bCs w:val="0"/>
                <w:color w:val="000000" w:themeColor="text1"/>
              </w:rPr>
            </w:pPr>
            <w:r w:rsidRPr="00982AA7">
              <w:rPr>
                <w:b w:val="0"/>
                <w:bCs w:val="0"/>
                <w:color w:val="000000" w:themeColor="text1"/>
              </w:rPr>
              <w:t>Other (Buffy coat granulocytes)</w:t>
            </w:r>
          </w:p>
        </w:tc>
        <w:tc>
          <w:tcPr>
            <w:tcW w:w="1276" w:type="dxa"/>
          </w:tcPr>
          <w:p w14:paraId="6E042F91" w14:textId="00F091CE" w:rsidR="00331D25" w:rsidRPr="00982AA7" w:rsidRDefault="00B06F40"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559" w:type="dxa"/>
          </w:tcPr>
          <w:p w14:paraId="31A1B77A" w14:textId="28163892" w:rsidR="00331D25" w:rsidRPr="00982AA7" w:rsidRDefault="00B06F40"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701" w:type="dxa"/>
          </w:tcPr>
          <w:p w14:paraId="24088915" w14:textId="7784FD5F" w:rsidR="00331D25" w:rsidRPr="00982AA7" w:rsidRDefault="00B06F40"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417" w:type="dxa"/>
          </w:tcPr>
          <w:p w14:paraId="767FA239" w14:textId="43F92407" w:rsidR="00331D25" w:rsidRPr="00982AA7" w:rsidRDefault="00B06F40"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301" w:type="dxa"/>
          </w:tcPr>
          <w:p w14:paraId="197F5C5F" w14:textId="0D5DEF52" w:rsidR="00331D25" w:rsidRPr="00982AA7" w:rsidRDefault="00331D25"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w:t>
            </w:r>
          </w:p>
        </w:tc>
      </w:tr>
    </w:tbl>
    <w:p w14:paraId="229341EA" w14:textId="6F4157C8" w:rsidR="00495C75" w:rsidRPr="003E4548" w:rsidRDefault="00331D25" w:rsidP="00CE55B3">
      <w:pPr>
        <w:pStyle w:val="Tablefigurenote"/>
      </w:pPr>
      <w:r w:rsidRPr="003E4548">
        <w:t xml:space="preserve">Multiple blood products may be </w:t>
      </w:r>
      <w:r w:rsidR="00EB76DF">
        <w:t>implicated</w:t>
      </w:r>
      <w:r w:rsidRPr="003E4548">
        <w:t xml:space="preserve"> </w:t>
      </w:r>
      <w:r w:rsidR="00EB76DF">
        <w:t>in</w:t>
      </w:r>
      <w:r w:rsidRPr="003E4548">
        <w:t xml:space="preserve"> one reaction</w:t>
      </w:r>
      <w:r w:rsidR="00FD75FB">
        <w:t>.</w:t>
      </w:r>
    </w:p>
    <w:p w14:paraId="423B792D" w14:textId="4F90C60B" w:rsidR="009431A3" w:rsidRDefault="009431A3" w:rsidP="00FD75FB">
      <w:pPr>
        <w:pStyle w:val="Heading2"/>
      </w:pPr>
      <w:bookmarkStart w:id="38" w:name="_Toc136329764"/>
      <w:bookmarkStart w:id="39" w:name="_Toc174439999"/>
      <w:r>
        <w:t>Febrile non-</w:t>
      </w:r>
      <w:r w:rsidRPr="00FD75FB">
        <w:t>haemolytic</w:t>
      </w:r>
      <w:r>
        <w:t xml:space="preserve"> transfusion reactions (FNHTR)</w:t>
      </w:r>
      <w:bookmarkEnd w:id="38"/>
      <w:bookmarkEnd w:id="39"/>
    </w:p>
    <w:p w14:paraId="4DD9EF67" w14:textId="6D4DC26B" w:rsidR="00EC07C8" w:rsidRDefault="00EC07C8" w:rsidP="009431A3">
      <w:pPr>
        <w:pStyle w:val="Body"/>
      </w:pPr>
      <w:r>
        <w:t xml:space="preserve">FNHTR are reported regularly to STIR, however </w:t>
      </w:r>
      <w:proofErr w:type="spellStart"/>
      <w:r>
        <w:t>imputability</w:t>
      </w:r>
      <w:proofErr w:type="spellEnd"/>
      <w:r>
        <w:t xml:space="preserve"> is generally low (Table </w:t>
      </w:r>
      <w:r w:rsidR="00FD75FB">
        <w:t>11</w:t>
      </w:r>
      <w:r>
        <w:t>). The STIR</w:t>
      </w:r>
      <w:r w:rsidR="001E7FF0">
        <w:t xml:space="preserve"> definition</w:t>
      </w:r>
      <w:r>
        <w:t xml:space="preserve"> reflects the </w:t>
      </w:r>
      <w:r w:rsidR="001E7FF0">
        <w:t xml:space="preserve">higher threshold required </w:t>
      </w:r>
      <w:r>
        <w:t xml:space="preserve">for </w:t>
      </w:r>
      <w:r w:rsidR="001E7FF0">
        <w:t xml:space="preserve">reporting only </w:t>
      </w:r>
      <w:r>
        <w:t xml:space="preserve">more serious reactions. This definition does not reflect the criteria for reporting and </w:t>
      </w:r>
      <w:r w:rsidR="009B51A2">
        <w:t xml:space="preserve">responding </w:t>
      </w:r>
      <w:r>
        <w:t>to a potential transfusion reaction for clinical staff</w:t>
      </w:r>
      <w:r w:rsidR="006A3A37">
        <w:t xml:space="preserve"> within the health service</w:t>
      </w:r>
      <w:r>
        <w:t>.</w:t>
      </w:r>
    </w:p>
    <w:p w14:paraId="71328E5A" w14:textId="5C5DFBFD" w:rsidR="00EC07C8" w:rsidRDefault="00EC07C8" w:rsidP="009431A3">
      <w:pPr>
        <w:pStyle w:val="Body"/>
      </w:pPr>
      <w:r>
        <w:t>FNHTR is a diagnosis of exclusion</w:t>
      </w:r>
      <w:r w:rsidR="00FD75FB">
        <w:t>.</w:t>
      </w:r>
      <w:r>
        <w:t xml:space="preserve"> </w:t>
      </w:r>
      <w:r w:rsidR="00FD75FB">
        <w:t xml:space="preserve">It </w:t>
      </w:r>
      <w:r>
        <w:t xml:space="preserve">should only be reported where there are no other clinical conditions that could cause fever, </w:t>
      </w:r>
      <w:r w:rsidR="00FD75FB">
        <w:t>for example</w:t>
      </w:r>
      <w:r>
        <w:t xml:space="preserve"> concurrent chest infection or</w:t>
      </w:r>
      <w:r w:rsidR="006A3A37">
        <w:t xml:space="preserve"> febrile</w:t>
      </w:r>
      <w:r>
        <w:t xml:space="preserve"> neutropenia, and where investigation has ruled out other potential serious causes of </w:t>
      </w:r>
      <w:r w:rsidR="00FD75FB">
        <w:t>transfusion-</w:t>
      </w:r>
      <w:r>
        <w:t>related fever</w:t>
      </w:r>
      <w:r w:rsidR="00FD75FB">
        <w:t xml:space="preserve"> such as</w:t>
      </w:r>
      <w:r>
        <w:t xml:space="preserve"> bacterial </w:t>
      </w:r>
      <w:r w:rsidR="00EB76DF">
        <w:t>contamination</w:t>
      </w:r>
      <w:r>
        <w:t xml:space="preserve"> or haemolytic reaction.</w:t>
      </w:r>
    </w:p>
    <w:p w14:paraId="58891C43" w14:textId="398F138A" w:rsidR="003748D6" w:rsidRDefault="00EC07C8" w:rsidP="003E4548">
      <w:pPr>
        <w:pStyle w:val="Body"/>
        <w:rPr>
          <w:b/>
          <w:bCs/>
        </w:rPr>
      </w:pPr>
      <w:r>
        <w:t xml:space="preserve">This year there were </w:t>
      </w:r>
      <w:r w:rsidR="007A4F24">
        <w:t>2</w:t>
      </w:r>
      <w:r w:rsidR="00F212E2">
        <w:t>1</w:t>
      </w:r>
      <w:r w:rsidR="007A4F24">
        <w:t xml:space="preserve"> </w:t>
      </w:r>
      <w:r>
        <w:t>FNHTR reported to STIR</w:t>
      </w:r>
      <w:r w:rsidR="001E7FF0">
        <w:t>.</w:t>
      </w:r>
      <w:r w:rsidR="00FD75FB">
        <w:t xml:space="preserve"> The STIR Expert Group added t</w:t>
      </w:r>
      <w:r w:rsidR="00F212E2">
        <w:t>wo</w:t>
      </w:r>
      <w:r>
        <w:t xml:space="preserve"> </w:t>
      </w:r>
      <w:r w:rsidR="001E7FF0">
        <w:t xml:space="preserve">additional FNHTR due to </w:t>
      </w:r>
      <w:r>
        <w:t>changes of reaction type</w:t>
      </w:r>
      <w:r w:rsidR="00F212E2">
        <w:t xml:space="preserve">, </w:t>
      </w:r>
      <w:r w:rsidR="001E7FF0">
        <w:t>resulting in</w:t>
      </w:r>
      <w:r w:rsidR="00F212E2">
        <w:t xml:space="preserve"> 23 validated reports</w:t>
      </w:r>
      <w:r>
        <w:t xml:space="preserve">. Most reports related to the use of </w:t>
      </w:r>
      <w:r w:rsidR="0056661F">
        <w:t>RBC</w:t>
      </w:r>
      <w:r>
        <w:t xml:space="preserve"> (n</w:t>
      </w:r>
      <w:r w:rsidR="00FD75FB">
        <w:t xml:space="preserve"> </w:t>
      </w:r>
      <w:r>
        <w:t>=</w:t>
      </w:r>
      <w:r w:rsidR="00FD75FB">
        <w:t xml:space="preserve"> </w:t>
      </w:r>
      <w:r w:rsidR="00B776C2">
        <w:t>21, 91</w:t>
      </w:r>
      <w:r w:rsidR="00FD75FB">
        <w:t>%). Refer to</w:t>
      </w:r>
      <w:r>
        <w:t xml:space="preserve"> </w:t>
      </w:r>
      <w:r w:rsidR="0001699E">
        <w:t>T</w:t>
      </w:r>
      <w:r>
        <w:t xml:space="preserve">able </w:t>
      </w:r>
      <w:r w:rsidR="00A9310D">
        <w:t>10</w:t>
      </w:r>
      <w:r w:rsidR="00FD75FB">
        <w:t>:</w:t>
      </w:r>
      <w:r w:rsidR="00A9310D">
        <w:t xml:space="preserve"> </w:t>
      </w:r>
      <w:r>
        <w:t>Data summary.</w:t>
      </w:r>
    </w:p>
    <w:p w14:paraId="0B21B1C7" w14:textId="6DB62FEC" w:rsidR="009431A3" w:rsidRDefault="009431A3" w:rsidP="00CE55B3">
      <w:pPr>
        <w:pStyle w:val="Tablecaption"/>
      </w:pPr>
      <w:r w:rsidRPr="00E11715">
        <w:t xml:space="preserve">Table </w:t>
      </w:r>
      <w:r w:rsidR="00A9310D">
        <w:t>10:</w:t>
      </w:r>
      <w:r w:rsidRPr="00E11715">
        <w:t xml:space="preserve"> Data summary – febrile non-haemolytic transfusion reaction, n =</w:t>
      </w:r>
      <w:r>
        <w:t xml:space="preserve"> </w:t>
      </w:r>
      <w:r w:rsidR="007A4F24">
        <w:t>23</w:t>
      </w:r>
    </w:p>
    <w:tbl>
      <w:tblPr>
        <w:tblStyle w:val="GridTable6Colorful-Accent2"/>
        <w:tblW w:w="0" w:type="auto"/>
        <w:tblLook w:val="04A0" w:firstRow="1" w:lastRow="0" w:firstColumn="1" w:lastColumn="0" w:noHBand="0" w:noVBand="1"/>
      </w:tblPr>
      <w:tblGrid>
        <w:gridCol w:w="4106"/>
        <w:gridCol w:w="2591"/>
      </w:tblGrid>
      <w:tr w:rsidR="00EC07C8" w:rsidRPr="00EC07C8" w14:paraId="7C5F1FAF"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E05CE7E" w14:textId="77777777" w:rsidR="00EC07C8" w:rsidRPr="00982AA7" w:rsidRDefault="00EC07C8" w:rsidP="00CE55B3">
            <w:pPr>
              <w:pStyle w:val="Tablecolhead"/>
              <w:rPr>
                <w:b/>
                <w:bCs w:val="0"/>
              </w:rPr>
            </w:pPr>
            <w:r w:rsidRPr="00982AA7">
              <w:rPr>
                <w:b/>
                <w:bCs w:val="0"/>
              </w:rPr>
              <w:t>Characteristic</w:t>
            </w:r>
          </w:p>
        </w:tc>
        <w:tc>
          <w:tcPr>
            <w:tcW w:w="0" w:type="dxa"/>
          </w:tcPr>
          <w:p w14:paraId="1FCFA7A5" w14:textId="77777777" w:rsidR="00EC07C8" w:rsidRPr="00982AA7" w:rsidRDefault="00EC07C8"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982AA7">
              <w:rPr>
                <w:b/>
                <w:bCs w:val="0"/>
              </w:rPr>
              <w:t>Number (%)</w:t>
            </w:r>
          </w:p>
        </w:tc>
      </w:tr>
      <w:tr w:rsidR="00EC07C8" w:rsidRPr="00EC07C8" w14:paraId="733A913A"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84F65FF"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Age: &lt; 1 year</w:t>
            </w:r>
          </w:p>
        </w:tc>
        <w:tc>
          <w:tcPr>
            <w:tcW w:w="2591" w:type="dxa"/>
          </w:tcPr>
          <w:p w14:paraId="4908D75B" w14:textId="10688B39" w:rsidR="00EC07C8" w:rsidRPr="00494F60" w:rsidRDefault="007A4F24"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r>
      <w:tr w:rsidR="00EC07C8" w:rsidRPr="00EC07C8" w14:paraId="320AE0EB"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28E24FBD"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Age: 1–18 years</w:t>
            </w:r>
          </w:p>
        </w:tc>
        <w:tc>
          <w:tcPr>
            <w:tcW w:w="2591" w:type="dxa"/>
          </w:tcPr>
          <w:p w14:paraId="0D19CE45" w14:textId="2EFAD26D" w:rsidR="00EC07C8" w:rsidRPr="00494F60" w:rsidRDefault="007A4F24"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 (4)</w:t>
            </w:r>
          </w:p>
        </w:tc>
      </w:tr>
      <w:tr w:rsidR="00EC07C8" w:rsidRPr="00EC07C8" w14:paraId="76DEC753"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6636585"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Age: 19–29 years</w:t>
            </w:r>
          </w:p>
        </w:tc>
        <w:tc>
          <w:tcPr>
            <w:tcW w:w="2591" w:type="dxa"/>
          </w:tcPr>
          <w:p w14:paraId="0E3A8A78" w14:textId="7D0663C2" w:rsidR="00EC07C8" w:rsidRPr="00494F60" w:rsidRDefault="007A4F24"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2 (9)</w:t>
            </w:r>
          </w:p>
        </w:tc>
      </w:tr>
      <w:tr w:rsidR="00EC07C8" w:rsidRPr="00EC07C8" w14:paraId="38F2A698"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5B91C206"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Age: 30–49 years</w:t>
            </w:r>
          </w:p>
        </w:tc>
        <w:tc>
          <w:tcPr>
            <w:tcW w:w="2591" w:type="dxa"/>
          </w:tcPr>
          <w:p w14:paraId="01CD3839" w14:textId="2FEBD367" w:rsidR="00EC07C8" w:rsidRPr="00494F60" w:rsidRDefault="00C22D02"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w:t>
            </w:r>
            <w:r w:rsidRPr="00494F60">
              <w:rPr>
                <w:color w:val="000000" w:themeColor="text1"/>
              </w:rPr>
              <w:t xml:space="preserve"> </w:t>
            </w:r>
            <w:r w:rsidR="007A4F24" w:rsidRPr="00494F60">
              <w:rPr>
                <w:color w:val="000000" w:themeColor="text1"/>
              </w:rPr>
              <w:t>(</w:t>
            </w:r>
            <w:r>
              <w:rPr>
                <w:color w:val="000000" w:themeColor="text1"/>
              </w:rPr>
              <w:t>13</w:t>
            </w:r>
            <w:r w:rsidR="007A4F24" w:rsidRPr="00494F60">
              <w:rPr>
                <w:color w:val="000000" w:themeColor="text1"/>
              </w:rPr>
              <w:t>)</w:t>
            </w:r>
          </w:p>
        </w:tc>
      </w:tr>
      <w:tr w:rsidR="00EC07C8" w:rsidRPr="00EC07C8" w14:paraId="4AB6F738"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FEDDE6D"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Age: 50–69 years</w:t>
            </w:r>
          </w:p>
        </w:tc>
        <w:tc>
          <w:tcPr>
            <w:tcW w:w="2591" w:type="dxa"/>
          </w:tcPr>
          <w:p w14:paraId="737AD7D5" w14:textId="054527A5" w:rsidR="00EC07C8" w:rsidRPr="00494F60" w:rsidRDefault="007A4F24"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10 (43)</w:t>
            </w:r>
          </w:p>
        </w:tc>
      </w:tr>
      <w:tr w:rsidR="00EC07C8" w:rsidRPr="00EC07C8" w14:paraId="6A245EB9"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68370E76"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Age: 70–79 years</w:t>
            </w:r>
          </w:p>
        </w:tc>
        <w:tc>
          <w:tcPr>
            <w:tcW w:w="2591" w:type="dxa"/>
          </w:tcPr>
          <w:p w14:paraId="2332AD05" w14:textId="5AD6A4DF" w:rsidR="00EC07C8" w:rsidRPr="00494F60" w:rsidRDefault="007A4F24"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5 (22)</w:t>
            </w:r>
          </w:p>
        </w:tc>
      </w:tr>
      <w:tr w:rsidR="00EC07C8" w:rsidRPr="00EC07C8" w14:paraId="55A362F2"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052CB1B"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Age: 80+ years</w:t>
            </w:r>
          </w:p>
        </w:tc>
        <w:tc>
          <w:tcPr>
            <w:tcW w:w="2591" w:type="dxa"/>
          </w:tcPr>
          <w:p w14:paraId="534693DD" w14:textId="6FCC4C6F" w:rsidR="00EC07C8" w:rsidRPr="00494F60" w:rsidRDefault="007A4F24"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2 (9)</w:t>
            </w:r>
          </w:p>
        </w:tc>
      </w:tr>
      <w:tr w:rsidR="00EC07C8" w:rsidRPr="00EC07C8" w14:paraId="34431191"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7817B9B3"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Sex: male</w:t>
            </w:r>
          </w:p>
        </w:tc>
        <w:tc>
          <w:tcPr>
            <w:tcW w:w="2591" w:type="dxa"/>
          </w:tcPr>
          <w:p w14:paraId="413BF56C" w14:textId="72373717" w:rsidR="00EC07C8" w:rsidRPr="00494F60" w:rsidRDefault="007A4F24"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11 (48)</w:t>
            </w:r>
          </w:p>
        </w:tc>
      </w:tr>
      <w:tr w:rsidR="00EC07C8" w:rsidRPr="00EC07C8" w14:paraId="36D39A40"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C05BFA5"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Sex: female</w:t>
            </w:r>
          </w:p>
        </w:tc>
        <w:tc>
          <w:tcPr>
            <w:tcW w:w="2591" w:type="dxa"/>
          </w:tcPr>
          <w:p w14:paraId="5395D9DB" w14:textId="046E3849" w:rsidR="00EC07C8" w:rsidRPr="00494F60" w:rsidRDefault="007A4F24"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12 (52)</w:t>
            </w:r>
          </w:p>
        </w:tc>
      </w:tr>
      <w:tr w:rsidR="00EC07C8" w:rsidRPr="00EC07C8" w14:paraId="328883B3"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6ED14E1B" w14:textId="63701676"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 xml:space="preserve">Implicated blood component: </w:t>
            </w:r>
            <w:r w:rsidR="0056661F" w:rsidRPr="00982AA7">
              <w:rPr>
                <w:b w:val="0"/>
                <w:bCs w:val="0"/>
                <w:color w:val="000000" w:themeColor="text1"/>
              </w:rPr>
              <w:t>RBC</w:t>
            </w:r>
          </w:p>
        </w:tc>
        <w:tc>
          <w:tcPr>
            <w:tcW w:w="2591" w:type="dxa"/>
          </w:tcPr>
          <w:p w14:paraId="6EAE5F3C" w14:textId="14643600" w:rsidR="00EC07C8" w:rsidRPr="00494F60" w:rsidRDefault="007A4F24"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21 (91)</w:t>
            </w:r>
          </w:p>
        </w:tc>
      </w:tr>
      <w:tr w:rsidR="00EC07C8" w:rsidRPr="00EC07C8" w14:paraId="2048E9B7"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F97392F" w14:textId="77777777" w:rsidR="00EC07C8" w:rsidRPr="00982AA7" w:rsidRDefault="00EC07C8" w:rsidP="00CE55B3">
            <w:pPr>
              <w:pStyle w:val="Body"/>
              <w:spacing w:line="240" w:lineRule="auto"/>
              <w:rPr>
                <w:b w:val="0"/>
                <w:bCs w:val="0"/>
                <w:color w:val="000000" w:themeColor="text1"/>
              </w:rPr>
            </w:pPr>
            <w:r w:rsidRPr="00982AA7">
              <w:rPr>
                <w:b w:val="0"/>
                <w:bCs w:val="0"/>
                <w:color w:val="000000" w:themeColor="text1"/>
              </w:rPr>
              <w:t>Implicated blood component: platelets</w:t>
            </w:r>
          </w:p>
        </w:tc>
        <w:tc>
          <w:tcPr>
            <w:tcW w:w="2591" w:type="dxa"/>
          </w:tcPr>
          <w:p w14:paraId="4779A201" w14:textId="0121EBEF" w:rsidR="00EC07C8" w:rsidRPr="00494F60" w:rsidRDefault="007A4F24"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3 (13)</w:t>
            </w:r>
          </w:p>
        </w:tc>
      </w:tr>
    </w:tbl>
    <w:p w14:paraId="17B9CE4B" w14:textId="5DE4493A" w:rsidR="009431A3" w:rsidRPr="00E11715" w:rsidRDefault="009431A3" w:rsidP="00CE55B3">
      <w:pPr>
        <w:pStyle w:val="Tablecaption"/>
      </w:pPr>
      <w:r w:rsidRPr="00E11715">
        <w:lastRenderedPageBreak/>
        <w:t xml:space="preserve">Table </w:t>
      </w:r>
      <w:r w:rsidR="00A9310D" w:rsidRPr="00E11715">
        <w:t>1</w:t>
      </w:r>
      <w:r w:rsidR="00A9310D">
        <w:t>1</w:t>
      </w:r>
      <w:r w:rsidRPr="00E11715">
        <w:t xml:space="preserve">: Severity </w:t>
      </w:r>
      <w:r w:rsidRPr="00FD75FB">
        <w:t>rating</w:t>
      </w:r>
      <w:r w:rsidRPr="00E11715">
        <w:t xml:space="preserve"> and </w:t>
      </w:r>
      <w:proofErr w:type="spellStart"/>
      <w:r w:rsidRPr="00E11715">
        <w:t>imputability</w:t>
      </w:r>
      <w:proofErr w:type="spellEnd"/>
      <w:r w:rsidRPr="00E11715">
        <w:t xml:space="preserve"> – febrile non-haemolytic transfusion reaction</w:t>
      </w:r>
    </w:p>
    <w:tbl>
      <w:tblPr>
        <w:tblStyle w:val="GridTable6Colorful-Accent2"/>
        <w:tblW w:w="0" w:type="auto"/>
        <w:tblLook w:val="04A0" w:firstRow="1" w:lastRow="0" w:firstColumn="1" w:lastColumn="0" w:noHBand="0" w:noVBand="1"/>
      </w:tblPr>
      <w:tblGrid>
        <w:gridCol w:w="1841"/>
        <w:gridCol w:w="1842"/>
        <w:gridCol w:w="1842"/>
        <w:gridCol w:w="1842"/>
        <w:gridCol w:w="1842"/>
      </w:tblGrid>
      <w:tr w:rsidR="005A38E7" w:rsidRPr="005A38E7" w14:paraId="59FA34D8"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83B93E7" w14:textId="77777777" w:rsidR="005A38E7" w:rsidRPr="00982AA7" w:rsidRDefault="005A38E7" w:rsidP="00D83001">
            <w:pPr>
              <w:pStyle w:val="Tablecolhead"/>
              <w:rPr>
                <w:b/>
                <w:bCs w:val="0"/>
              </w:rPr>
            </w:pPr>
            <w:r w:rsidRPr="00982AA7">
              <w:rPr>
                <w:b/>
                <w:bCs w:val="0"/>
              </w:rPr>
              <w:t>Severity rating</w:t>
            </w:r>
          </w:p>
        </w:tc>
        <w:tc>
          <w:tcPr>
            <w:tcW w:w="0" w:type="dxa"/>
          </w:tcPr>
          <w:p w14:paraId="30A5DB76" w14:textId="77777777" w:rsidR="005A38E7" w:rsidRPr="00982AA7" w:rsidRDefault="005A38E7" w:rsidP="00D83001">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982AA7">
              <w:rPr>
                <w:b/>
                <w:bCs w:val="0"/>
              </w:rPr>
              <w:t>Imputability</w:t>
            </w:r>
            <w:proofErr w:type="spellEnd"/>
            <w:r w:rsidRPr="00982AA7">
              <w:rPr>
                <w:b/>
                <w:bCs w:val="0"/>
              </w:rPr>
              <w:t>:</w:t>
            </w:r>
            <w:r w:rsidRPr="00982AA7">
              <w:rPr>
                <w:b/>
                <w:bCs w:val="0"/>
              </w:rPr>
              <w:br/>
              <w:t>certainly</w:t>
            </w:r>
          </w:p>
        </w:tc>
        <w:tc>
          <w:tcPr>
            <w:tcW w:w="0" w:type="dxa"/>
          </w:tcPr>
          <w:p w14:paraId="65E10FD6" w14:textId="77777777" w:rsidR="005A38E7" w:rsidRPr="00982AA7" w:rsidRDefault="005A38E7" w:rsidP="00D83001">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982AA7">
              <w:rPr>
                <w:b/>
                <w:bCs w:val="0"/>
              </w:rPr>
              <w:t>Imputability</w:t>
            </w:r>
            <w:proofErr w:type="spellEnd"/>
            <w:r w:rsidRPr="00982AA7">
              <w:rPr>
                <w:b/>
                <w:bCs w:val="0"/>
              </w:rPr>
              <w:t>:</w:t>
            </w:r>
            <w:r w:rsidRPr="00982AA7">
              <w:rPr>
                <w:b/>
                <w:bCs w:val="0"/>
              </w:rPr>
              <w:br/>
              <w:t>probably</w:t>
            </w:r>
          </w:p>
        </w:tc>
        <w:tc>
          <w:tcPr>
            <w:tcW w:w="0" w:type="dxa"/>
          </w:tcPr>
          <w:p w14:paraId="06297A02" w14:textId="77777777" w:rsidR="005A38E7" w:rsidRPr="00982AA7" w:rsidRDefault="005A38E7" w:rsidP="00D83001">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982AA7">
              <w:rPr>
                <w:b/>
                <w:bCs w:val="0"/>
              </w:rPr>
              <w:t>Imputability</w:t>
            </w:r>
            <w:proofErr w:type="spellEnd"/>
            <w:r w:rsidRPr="00982AA7">
              <w:rPr>
                <w:b/>
                <w:bCs w:val="0"/>
              </w:rPr>
              <w:t>:</w:t>
            </w:r>
            <w:r w:rsidRPr="00982AA7">
              <w:rPr>
                <w:b/>
                <w:bCs w:val="0"/>
              </w:rPr>
              <w:br/>
              <w:t>possibly</w:t>
            </w:r>
          </w:p>
        </w:tc>
        <w:tc>
          <w:tcPr>
            <w:tcW w:w="0" w:type="dxa"/>
          </w:tcPr>
          <w:p w14:paraId="003A5C79" w14:textId="77777777" w:rsidR="005A38E7" w:rsidRPr="00982AA7" w:rsidRDefault="005A38E7" w:rsidP="00D83001">
            <w:pPr>
              <w:pStyle w:val="Tablecolhead"/>
              <w:cnfStyle w:val="100000000000" w:firstRow="1" w:lastRow="0" w:firstColumn="0" w:lastColumn="0" w:oddVBand="0" w:evenVBand="0" w:oddHBand="0" w:evenHBand="0" w:firstRowFirstColumn="0" w:firstRowLastColumn="0" w:lastRowFirstColumn="0" w:lastRowLastColumn="0"/>
              <w:rPr>
                <w:b/>
                <w:bCs w:val="0"/>
              </w:rPr>
            </w:pPr>
            <w:r w:rsidRPr="00982AA7">
              <w:rPr>
                <w:b/>
                <w:bCs w:val="0"/>
              </w:rPr>
              <w:t>Total</w:t>
            </w:r>
          </w:p>
        </w:tc>
      </w:tr>
      <w:tr w:rsidR="005A38E7" w:rsidRPr="005A38E7" w14:paraId="73685942"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6ECA26B9" w14:textId="77777777" w:rsidR="005A38E7" w:rsidRPr="00982AA7" w:rsidRDefault="005A38E7" w:rsidP="005A38E7">
            <w:pPr>
              <w:pStyle w:val="Body"/>
              <w:rPr>
                <w:b w:val="0"/>
                <w:bCs w:val="0"/>
                <w:color w:val="000000" w:themeColor="text1"/>
              </w:rPr>
            </w:pPr>
            <w:r w:rsidRPr="00982AA7">
              <w:rPr>
                <w:b w:val="0"/>
                <w:bCs w:val="0"/>
                <w:color w:val="000000" w:themeColor="text1"/>
              </w:rPr>
              <w:t>SR 1</w:t>
            </w:r>
          </w:p>
        </w:tc>
        <w:tc>
          <w:tcPr>
            <w:tcW w:w="1842" w:type="dxa"/>
          </w:tcPr>
          <w:p w14:paraId="5C3C70C8" w14:textId="5D279BB7" w:rsidR="005A38E7" w:rsidRPr="00494F60" w:rsidRDefault="007A4F24"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15BF7FF3" w14:textId="1C6FAB1D" w:rsidR="005A38E7" w:rsidRPr="00494F60" w:rsidRDefault="007A4F24"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6E9C5834" w14:textId="34008CD6" w:rsidR="005A38E7" w:rsidRPr="00494F60" w:rsidRDefault="007A4F24"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7EF0B54D" w14:textId="523BA611" w:rsidR="005A38E7" w:rsidRPr="00494F60" w:rsidRDefault="007A4F24"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r>
      <w:tr w:rsidR="005A38E7" w:rsidRPr="005A38E7" w14:paraId="4ABF06D3" w14:textId="77777777" w:rsidTr="00494F60">
        <w:tc>
          <w:tcPr>
            <w:cnfStyle w:val="001000000000" w:firstRow="0" w:lastRow="0" w:firstColumn="1" w:lastColumn="0" w:oddVBand="0" w:evenVBand="0" w:oddHBand="0" w:evenHBand="0" w:firstRowFirstColumn="0" w:firstRowLastColumn="0" w:lastRowFirstColumn="0" w:lastRowLastColumn="0"/>
            <w:tcW w:w="1841" w:type="dxa"/>
          </w:tcPr>
          <w:p w14:paraId="053536C9" w14:textId="77777777" w:rsidR="005A38E7" w:rsidRPr="00982AA7" w:rsidRDefault="005A38E7" w:rsidP="005A38E7">
            <w:pPr>
              <w:pStyle w:val="Body"/>
              <w:rPr>
                <w:b w:val="0"/>
                <w:bCs w:val="0"/>
                <w:color w:val="000000" w:themeColor="text1"/>
              </w:rPr>
            </w:pPr>
            <w:r w:rsidRPr="00982AA7">
              <w:rPr>
                <w:b w:val="0"/>
                <w:bCs w:val="0"/>
                <w:color w:val="000000" w:themeColor="text1"/>
              </w:rPr>
              <w:t>SR 2</w:t>
            </w:r>
          </w:p>
        </w:tc>
        <w:tc>
          <w:tcPr>
            <w:tcW w:w="1842" w:type="dxa"/>
          </w:tcPr>
          <w:p w14:paraId="65836F98" w14:textId="66F21327" w:rsidR="005A38E7" w:rsidRPr="00494F60" w:rsidRDefault="007A4F24"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w:t>
            </w:r>
          </w:p>
        </w:tc>
        <w:tc>
          <w:tcPr>
            <w:tcW w:w="1842" w:type="dxa"/>
          </w:tcPr>
          <w:p w14:paraId="7E5D0B5B" w14:textId="0BE28788" w:rsidR="005A38E7" w:rsidRPr="00494F60" w:rsidRDefault="007A4F24"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w:t>
            </w:r>
          </w:p>
        </w:tc>
        <w:tc>
          <w:tcPr>
            <w:tcW w:w="1842" w:type="dxa"/>
          </w:tcPr>
          <w:p w14:paraId="5289ACE6" w14:textId="72C1620B" w:rsidR="005A38E7" w:rsidRPr="00494F60" w:rsidRDefault="007A4F24"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2</w:t>
            </w:r>
          </w:p>
        </w:tc>
        <w:tc>
          <w:tcPr>
            <w:tcW w:w="1842" w:type="dxa"/>
          </w:tcPr>
          <w:p w14:paraId="06BAE3BA" w14:textId="4CA0B87A" w:rsidR="005A38E7" w:rsidRPr="00494F60" w:rsidRDefault="00C24CA2"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3</w:t>
            </w:r>
          </w:p>
        </w:tc>
      </w:tr>
      <w:tr w:rsidR="005A38E7" w:rsidRPr="005A38E7" w14:paraId="4C647CC6"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1D75A598" w14:textId="77777777" w:rsidR="005A38E7" w:rsidRPr="00982AA7" w:rsidRDefault="005A38E7" w:rsidP="005A38E7">
            <w:pPr>
              <w:pStyle w:val="Body"/>
              <w:rPr>
                <w:b w:val="0"/>
                <w:bCs w:val="0"/>
                <w:color w:val="000000" w:themeColor="text1"/>
              </w:rPr>
            </w:pPr>
            <w:r w:rsidRPr="00982AA7">
              <w:rPr>
                <w:b w:val="0"/>
                <w:bCs w:val="0"/>
                <w:color w:val="000000" w:themeColor="text1"/>
              </w:rPr>
              <w:t>SR 3</w:t>
            </w:r>
          </w:p>
        </w:tc>
        <w:tc>
          <w:tcPr>
            <w:tcW w:w="1842" w:type="dxa"/>
          </w:tcPr>
          <w:p w14:paraId="455E82FF" w14:textId="40723560" w:rsidR="005A38E7" w:rsidRPr="00494F60" w:rsidRDefault="007A4F24"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55D4551D" w14:textId="2C84CF25" w:rsidR="005A38E7" w:rsidRPr="00494F60" w:rsidRDefault="00C24CA2"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w:t>
            </w:r>
          </w:p>
        </w:tc>
        <w:tc>
          <w:tcPr>
            <w:tcW w:w="1842" w:type="dxa"/>
          </w:tcPr>
          <w:p w14:paraId="4DD229A1" w14:textId="47F8AA91" w:rsidR="005A38E7" w:rsidRPr="00494F60" w:rsidRDefault="00C24CA2"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5</w:t>
            </w:r>
          </w:p>
        </w:tc>
        <w:tc>
          <w:tcPr>
            <w:tcW w:w="1842" w:type="dxa"/>
          </w:tcPr>
          <w:p w14:paraId="1293D524" w14:textId="3FC41B64" w:rsidR="005A38E7" w:rsidRPr="00494F60" w:rsidRDefault="00C24CA2" w:rsidP="00FD75FB">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6</w:t>
            </w:r>
          </w:p>
        </w:tc>
      </w:tr>
      <w:tr w:rsidR="005A38E7" w:rsidRPr="005A38E7" w14:paraId="2DEEF7A6" w14:textId="77777777" w:rsidTr="00494F60">
        <w:tc>
          <w:tcPr>
            <w:cnfStyle w:val="001000000000" w:firstRow="0" w:lastRow="0" w:firstColumn="1" w:lastColumn="0" w:oddVBand="0" w:evenVBand="0" w:oddHBand="0" w:evenHBand="0" w:firstRowFirstColumn="0" w:firstRowLastColumn="0" w:lastRowFirstColumn="0" w:lastRowLastColumn="0"/>
            <w:tcW w:w="1841" w:type="dxa"/>
          </w:tcPr>
          <w:p w14:paraId="4613A8B2" w14:textId="77777777" w:rsidR="005A38E7" w:rsidRPr="00982AA7" w:rsidRDefault="005A38E7" w:rsidP="005A38E7">
            <w:pPr>
              <w:pStyle w:val="Body"/>
              <w:rPr>
                <w:b w:val="0"/>
                <w:bCs w:val="0"/>
                <w:color w:val="000000" w:themeColor="text1"/>
              </w:rPr>
            </w:pPr>
            <w:r w:rsidRPr="00982AA7">
              <w:rPr>
                <w:b w:val="0"/>
                <w:bCs w:val="0"/>
                <w:color w:val="000000" w:themeColor="text1"/>
              </w:rPr>
              <w:t>SR 4</w:t>
            </w:r>
          </w:p>
        </w:tc>
        <w:tc>
          <w:tcPr>
            <w:tcW w:w="1842" w:type="dxa"/>
          </w:tcPr>
          <w:p w14:paraId="7B3B9CA9" w14:textId="6FD5B296" w:rsidR="005A38E7" w:rsidRPr="00494F60" w:rsidRDefault="007A4F24"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w:t>
            </w:r>
          </w:p>
        </w:tc>
        <w:tc>
          <w:tcPr>
            <w:tcW w:w="1842" w:type="dxa"/>
          </w:tcPr>
          <w:p w14:paraId="38F60418" w14:textId="70CEA64A" w:rsidR="005A38E7" w:rsidRPr="00494F60" w:rsidRDefault="00C24CA2"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4</w:t>
            </w:r>
          </w:p>
        </w:tc>
        <w:tc>
          <w:tcPr>
            <w:tcW w:w="1842" w:type="dxa"/>
          </w:tcPr>
          <w:p w14:paraId="5107DA92" w14:textId="327FF65E" w:rsidR="005A38E7" w:rsidRPr="00494F60" w:rsidRDefault="00C24CA2"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10</w:t>
            </w:r>
          </w:p>
        </w:tc>
        <w:tc>
          <w:tcPr>
            <w:tcW w:w="1842" w:type="dxa"/>
          </w:tcPr>
          <w:p w14:paraId="3558E250" w14:textId="657D71F4" w:rsidR="005A38E7" w:rsidRPr="00494F60" w:rsidRDefault="00C24CA2" w:rsidP="00FD75FB">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14</w:t>
            </w:r>
          </w:p>
        </w:tc>
      </w:tr>
      <w:tr w:rsidR="005A38E7" w:rsidRPr="005A38E7" w14:paraId="4D35AC93"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439F53F3" w14:textId="77777777" w:rsidR="005A38E7" w:rsidRPr="00494F60" w:rsidRDefault="005A38E7" w:rsidP="005A38E7">
            <w:pPr>
              <w:pStyle w:val="Body"/>
              <w:rPr>
                <w:b w:val="0"/>
                <w:bCs w:val="0"/>
                <w:color w:val="000000" w:themeColor="text1"/>
              </w:rPr>
            </w:pPr>
            <w:r w:rsidRPr="00494F60">
              <w:rPr>
                <w:color w:val="000000" w:themeColor="text1"/>
              </w:rPr>
              <w:t>Total</w:t>
            </w:r>
          </w:p>
        </w:tc>
        <w:tc>
          <w:tcPr>
            <w:tcW w:w="1842" w:type="dxa"/>
          </w:tcPr>
          <w:p w14:paraId="52647767" w14:textId="47CA42E5" w:rsidR="005A38E7" w:rsidRPr="00494F60" w:rsidRDefault="007A4F24" w:rsidP="00FD75FB">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w:t>
            </w:r>
          </w:p>
        </w:tc>
        <w:tc>
          <w:tcPr>
            <w:tcW w:w="1842" w:type="dxa"/>
          </w:tcPr>
          <w:p w14:paraId="73459A5C" w14:textId="1CCE96D7" w:rsidR="005A38E7" w:rsidRPr="00494F60" w:rsidRDefault="00C24CA2" w:rsidP="00FD75FB">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6</w:t>
            </w:r>
          </w:p>
        </w:tc>
        <w:tc>
          <w:tcPr>
            <w:tcW w:w="1842" w:type="dxa"/>
          </w:tcPr>
          <w:p w14:paraId="503FA37F" w14:textId="52D911E9" w:rsidR="005A38E7" w:rsidRPr="00494F60" w:rsidRDefault="00C24CA2" w:rsidP="00FD75FB">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17</w:t>
            </w:r>
          </w:p>
        </w:tc>
        <w:tc>
          <w:tcPr>
            <w:tcW w:w="1842" w:type="dxa"/>
          </w:tcPr>
          <w:p w14:paraId="34702484" w14:textId="11523742" w:rsidR="005A38E7" w:rsidRPr="00494F60" w:rsidRDefault="00C24CA2" w:rsidP="00FD75FB">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23</w:t>
            </w:r>
          </w:p>
        </w:tc>
      </w:tr>
    </w:tbl>
    <w:p w14:paraId="35578D2F" w14:textId="77777777" w:rsidR="00495C75" w:rsidRDefault="00495C75" w:rsidP="00495C75">
      <w:pPr>
        <w:pStyle w:val="Body"/>
      </w:pPr>
    </w:p>
    <w:tbl>
      <w:tblPr>
        <w:tblStyle w:val="TableGrid"/>
        <w:tblW w:w="0" w:type="auto"/>
        <w:tblLook w:val="04A0" w:firstRow="1" w:lastRow="0" w:firstColumn="1" w:lastColumn="0" w:noHBand="0" w:noVBand="1"/>
      </w:tblPr>
      <w:tblGrid>
        <w:gridCol w:w="9288"/>
      </w:tblGrid>
      <w:tr w:rsidR="00FD75FB" w14:paraId="2669CFE2" w14:textId="77777777" w:rsidTr="00FD75FB">
        <w:tc>
          <w:tcPr>
            <w:tcW w:w="9288" w:type="dxa"/>
          </w:tcPr>
          <w:p w14:paraId="7D0E37FD" w14:textId="77777777" w:rsidR="00FD75FB" w:rsidRPr="00FD75FB" w:rsidRDefault="00FD75FB" w:rsidP="00CE55B3">
            <w:pPr>
              <w:pStyle w:val="Boxheading"/>
              <w:keepNext w:val="0"/>
              <w:keepLines w:val="0"/>
            </w:pPr>
            <w:bookmarkStart w:id="40" w:name="_Toc174439912"/>
            <w:r w:rsidRPr="00FD75FB">
              <w:t>Case study 1: Febrile non-haemolytic transfusion reaction</w:t>
            </w:r>
            <w:bookmarkEnd w:id="40"/>
          </w:p>
          <w:p w14:paraId="2586EBDC" w14:textId="77777777" w:rsidR="00FD75FB" w:rsidRPr="00FD75FB" w:rsidRDefault="00FD75FB" w:rsidP="00CE55B3">
            <w:pPr>
              <w:pStyle w:val="Body"/>
            </w:pPr>
            <w:r w:rsidRPr="00FD75FB">
              <w:t xml:space="preserve">A male patient undergoing extensive pelvic surgery required a massive transfusion for intraoperative bleeding. He received a significant number of RBC, FFP and cryoprecipitate. </w:t>
            </w:r>
          </w:p>
          <w:p w14:paraId="44130FA5" w14:textId="77777777" w:rsidR="00FD75FB" w:rsidRPr="00FD75FB" w:rsidRDefault="00FD75FB" w:rsidP="00CE55B3">
            <w:pPr>
              <w:pStyle w:val="Body"/>
            </w:pPr>
            <w:r w:rsidRPr="00FD75FB">
              <w:t xml:space="preserve">Approximately 45 minutes into the 13th unit of RBCs, he became febrile with rigors and tachycardia without a significant drop in blood pressure (BP). </w:t>
            </w:r>
          </w:p>
          <w:p w14:paraId="2A4BF3AD" w14:textId="77777777" w:rsidR="00FD75FB" w:rsidRPr="00FD75FB" w:rsidRDefault="00FD75FB" w:rsidP="00CE55B3">
            <w:pPr>
              <w:pStyle w:val="Body"/>
            </w:pPr>
            <w:r w:rsidRPr="00FD75FB">
              <w:t xml:space="preserve">There were no respiratory symptoms or signs described. </w:t>
            </w:r>
          </w:p>
          <w:p w14:paraId="3ECFF94E" w14:textId="77777777" w:rsidR="00FD75FB" w:rsidRPr="00FD75FB" w:rsidRDefault="00FD75FB" w:rsidP="00CE55B3">
            <w:pPr>
              <w:pStyle w:val="Body"/>
            </w:pPr>
            <w:r w:rsidRPr="00FD75FB">
              <w:t xml:space="preserve">The health service noted this could have been post-operative systemic inflammatory response syndrome, as the patient continued to require medical emergency team (MET) calls for hypotension, tachycardia and fever over the next 2 days. </w:t>
            </w:r>
          </w:p>
          <w:p w14:paraId="3D8B026D" w14:textId="77777777" w:rsidR="00FD75FB" w:rsidRDefault="00FD75FB" w:rsidP="00FD75FB">
            <w:pPr>
              <w:pStyle w:val="Body"/>
            </w:pPr>
            <w:r w:rsidRPr="00FD75FB">
              <w:t xml:space="preserve">Laboratory investigation showed there was no incompatibility between patient and the potentially implicated RBC unit, and both the patient and RBC unit were cultured and tested negative. </w:t>
            </w:r>
          </w:p>
          <w:p w14:paraId="4B9C0DC9" w14:textId="2006BCF0" w:rsidR="00FD75FB" w:rsidRPr="00FD75FB" w:rsidRDefault="00FD75FB" w:rsidP="00CE55B3">
            <w:pPr>
              <w:pStyle w:val="Body"/>
            </w:pPr>
            <w:r w:rsidRPr="00FD75FB">
              <w:t>Treatment was with an antipyretic alone.</w:t>
            </w:r>
          </w:p>
          <w:p w14:paraId="3CC9B9CD" w14:textId="77777777" w:rsidR="00FD75FB" w:rsidRPr="00CE55B3" w:rsidRDefault="00FD75FB" w:rsidP="00CE55B3">
            <w:pPr>
              <w:pStyle w:val="Body"/>
              <w:keepNext/>
              <w:rPr>
                <w:b/>
                <w:bCs/>
              </w:rPr>
            </w:pPr>
            <w:r w:rsidRPr="00CE55B3">
              <w:rPr>
                <w:b/>
                <w:bCs/>
              </w:rPr>
              <w:t>Expert Group determination: FNHTR, probably, SR3</w:t>
            </w:r>
          </w:p>
          <w:p w14:paraId="30B84500" w14:textId="77777777" w:rsidR="00FD75FB" w:rsidRDefault="00FD75FB" w:rsidP="00CE55B3">
            <w:pPr>
              <w:pStyle w:val="Body"/>
              <w:keepNext/>
            </w:pPr>
            <w:r w:rsidRPr="00FD75FB">
              <w:t xml:space="preserve">It is often difficult to distinguish fever related to the transfusion from fever related to other conditions the patient may have. </w:t>
            </w:r>
          </w:p>
          <w:p w14:paraId="6495ECFF" w14:textId="77777777" w:rsidR="00FD75FB" w:rsidRDefault="00FD75FB" w:rsidP="00FD75FB">
            <w:pPr>
              <w:pStyle w:val="Body"/>
            </w:pPr>
            <w:r w:rsidRPr="00FD75FB">
              <w:t xml:space="preserve">This health service investigated the cause of the fever to rule out more serious problems such as a bacterial contamination (blood cultures of both the patient and blood component), or a haemolytic reaction (rechecking blood grouping and antibody screening for patient and component). </w:t>
            </w:r>
          </w:p>
          <w:p w14:paraId="21E9C8E3" w14:textId="740E5313" w:rsidR="00FD75FB" w:rsidRPr="00FD75FB" w:rsidRDefault="00FD75FB" w:rsidP="00CE55B3">
            <w:pPr>
              <w:pStyle w:val="Body"/>
            </w:pPr>
            <w:r w:rsidRPr="00FD75FB">
              <w:t>They acknowledged that an underlying condition could have contributed to the fever. However, the possibility of a FNHTR could not be excluded.</w:t>
            </w:r>
          </w:p>
          <w:p w14:paraId="57518ACB" w14:textId="77777777" w:rsidR="00FD75FB" w:rsidRDefault="00FD75FB" w:rsidP="00FD75FB">
            <w:pPr>
              <w:pStyle w:val="Body"/>
            </w:pPr>
            <w:r w:rsidRPr="00FD75FB">
              <w:t xml:space="preserve">Treatment appeared to be appropriate for this patient with an antipyretic being given. </w:t>
            </w:r>
          </w:p>
          <w:p w14:paraId="3BCC446D" w14:textId="1D9C4748" w:rsidR="00FD75FB" w:rsidRDefault="00FD75FB" w:rsidP="00FD75FB">
            <w:pPr>
              <w:pStyle w:val="Body"/>
            </w:pPr>
            <w:r w:rsidRPr="00FD75FB">
              <w:t>In some investigations received, where fever is the predominant symptom, patients are given unnecessary antihistamine and steroid, without any indication of allergic symptoms.</w:t>
            </w:r>
          </w:p>
        </w:tc>
      </w:tr>
    </w:tbl>
    <w:p w14:paraId="57204186" w14:textId="1EF87312" w:rsidR="009431A3" w:rsidRDefault="009431A3" w:rsidP="009431A3">
      <w:pPr>
        <w:pStyle w:val="Heading2"/>
      </w:pPr>
      <w:bookmarkStart w:id="41" w:name="_Toc136329765"/>
      <w:bookmarkStart w:id="42" w:name="_Toc174440000"/>
      <w:r w:rsidRPr="00E11715">
        <w:t>Allergic/anaphylactic reactions</w:t>
      </w:r>
      <w:bookmarkEnd w:id="41"/>
      <w:bookmarkEnd w:id="42"/>
    </w:p>
    <w:p w14:paraId="2228F9AC" w14:textId="27AABF94" w:rsidR="00390291" w:rsidRDefault="00255F10" w:rsidP="00255F10">
      <w:pPr>
        <w:pStyle w:val="Body"/>
      </w:pPr>
      <w:r w:rsidRPr="00255F10">
        <w:t xml:space="preserve">Allergic transfusion reactions </w:t>
      </w:r>
      <w:r w:rsidR="00F37F22">
        <w:t>made up</w:t>
      </w:r>
      <w:r w:rsidR="00F37F22" w:rsidRPr="00255F10">
        <w:t xml:space="preserve"> </w:t>
      </w:r>
      <w:r w:rsidR="00160946">
        <w:t>22</w:t>
      </w:r>
      <w:r w:rsidR="00FD75FB">
        <w:t>%</w:t>
      </w:r>
      <w:r w:rsidRPr="00255F10">
        <w:t xml:space="preserve"> (n = </w:t>
      </w:r>
      <w:r w:rsidR="00160946">
        <w:t>31</w:t>
      </w:r>
      <w:r w:rsidRPr="00255F10">
        <w:t xml:space="preserve">) of clinical reactions reported to STIR this year. Anaphylactoid/anaphylactic reactions comprised </w:t>
      </w:r>
      <w:r w:rsidR="001D3F19">
        <w:t>4</w:t>
      </w:r>
      <w:r w:rsidR="00FD75FB">
        <w:t>%</w:t>
      </w:r>
      <w:r w:rsidRPr="00255F10">
        <w:t xml:space="preserve"> (n = </w:t>
      </w:r>
      <w:r w:rsidR="001D3F19" w:rsidRPr="00B7124D">
        <w:t>5</w:t>
      </w:r>
      <w:r w:rsidRPr="00B7124D">
        <w:t>)</w:t>
      </w:r>
      <w:r w:rsidRPr="00255F10">
        <w:t xml:space="preserve"> of these</w:t>
      </w:r>
      <w:r w:rsidR="00390291">
        <w:t>,</w:t>
      </w:r>
      <w:r w:rsidRPr="00255F10">
        <w:t xml:space="preserve"> as outlined in Table </w:t>
      </w:r>
      <w:r w:rsidR="00A9310D" w:rsidRPr="00255F10">
        <w:t>1</w:t>
      </w:r>
      <w:r w:rsidR="00A9310D">
        <w:t>2</w:t>
      </w:r>
      <w:r w:rsidRPr="00255F10">
        <w:t xml:space="preserve">. </w:t>
      </w:r>
    </w:p>
    <w:p w14:paraId="70CE296C" w14:textId="5C8C21FE" w:rsidR="00FD75FB" w:rsidRDefault="00255F10" w:rsidP="00255F10">
      <w:pPr>
        <w:pStyle w:val="Body"/>
      </w:pPr>
      <w:r>
        <w:lastRenderedPageBreak/>
        <w:t xml:space="preserve">The </w:t>
      </w:r>
      <w:proofErr w:type="gramStart"/>
      <w:r>
        <w:t>most commonly reported</w:t>
      </w:r>
      <w:proofErr w:type="gramEnd"/>
      <w:r>
        <w:t xml:space="preserve"> </w:t>
      </w:r>
      <w:r w:rsidR="0057636C">
        <w:t>component</w:t>
      </w:r>
      <w:r>
        <w:t xml:space="preserve"> associated with allergic/anaphylactic reactions </w:t>
      </w:r>
      <w:r w:rsidR="00FD75FB">
        <w:t xml:space="preserve">was </w:t>
      </w:r>
      <w:r>
        <w:t>platelets (</w:t>
      </w:r>
      <w:r w:rsidR="00FD75FB" w:rsidRPr="00B7124D">
        <w:t>n</w:t>
      </w:r>
      <w:r w:rsidR="00FD75FB">
        <w:t> </w:t>
      </w:r>
      <w:r w:rsidR="001D3F19" w:rsidRPr="00B7124D">
        <w:t>= 16, 52</w:t>
      </w:r>
      <w:r w:rsidR="00FD75FB">
        <w:t>%</w:t>
      </w:r>
      <w:r w:rsidRPr="00B7124D">
        <w:t>) and</w:t>
      </w:r>
      <w:r>
        <w:t xml:space="preserve"> FFP (</w:t>
      </w:r>
      <w:r w:rsidR="001D3F19">
        <w:t>n = 12, 39</w:t>
      </w:r>
      <w:r w:rsidR="00FD75FB">
        <w:t>%</w:t>
      </w:r>
      <w:r>
        <w:t>).</w:t>
      </w:r>
      <w:r w:rsidR="006A3A37">
        <w:t xml:space="preserve"> </w:t>
      </w:r>
    </w:p>
    <w:p w14:paraId="2641D0EC" w14:textId="54E99DD2" w:rsidR="00FD75FB" w:rsidRDefault="006A3A37" w:rsidP="00255F10">
      <w:pPr>
        <w:pStyle w:val="Body"/>
      </w:pPr>
      <w:r>
        <w:t xml:space="preserve">The </w:t>
      </w:r>
      <w:r w:rsidR="00186D2B">
        <w:t>Australian and New Zealand Society of Blood Transfusion (</w:t>
      </w:r>
      <w:r>
        <w:t>ANZSBT</w:t>
      </w:r>
      <w:r w:rsidR="00186D2B">
        <w:t>)</w:t>
      </w:r>
      <w:r>
        <w:t xml:space="preserve"> and </w:t>
      </w:r>
      <w:r w:rsidR="00F461C9">
        <w:t>Royal Australasian College of Physicians (</w:t>
      </w:r>
      <w:r>
        <w:t>RACP</w:t>
      </w:r>
      <w:r w:rsidR="00F461C9">
        <w:t>)</w:t>
      </w:r>
      <w:r>
        <w:t xml:space="preserve"> </w:t>
      </w:r>
      <w:hyperlink r:id="rId29" w:history="1">
        <w:r w:rsidR="00390291">
          <w:rPr>
            <w:rStyle w:val="Hyperlink"/>
          </w:rPr>
          <w:t>‘</w:t>
        </w:r>
        <w:r w:rsidRPr="007F6D5F">
          <w:rPr>
            <w:rStyle w:val="Hyperlink"/>
          </w:rPr>
          <w:t xml:space="preserve">Top five </w:t>
        </w:r>
        <w:r w:rsidR="00390291">
          <w:rPr>
            <w:rStyle w:val="Hyperlink"/>
          </w:rPr>
          <w:t>r</w:t>
        </w:r>
        <w:r w:rsidR="00390291" w:rsidRPr="007F6D5F">
          <w:rPr>
            <w:rStyle w:val="Hyperlink"/>
          </w:rPr>
          <w:t xml:space="preserve">ecommendations </w:t>
        </w:r>
        <w:r w:rsidRPr="007F6D5F">
          <w:rPr>
            <w:rStyle w:val="Hyperlink"/>
          </w:rPr>
          <w:t>on low value practices in transfusion</w:t>
        </w:r>
      </w:hyperlink>
      <w:r w:rsidR="00390291" w:rsidRPr="00CE55B3">
        <w:t>’</w:t>
      </w:r>
      <w:r w:rsidR="00390291" w:rsidRPr="00CE55B3">
        <w:footnoteReference w:id="6"/>
      </w:r>
      <w:r w:rsidRPr="00CE55B3">
        <w:rPr>
          <w:color w:val="53565A"/>
        </w:rPr>
        <w:t xml:space="preserve"> </w:t>
      </w:r>
      <w:r w:rsidR="00FD75FB">
        <w:t>(2022) s</w:t>
      </w:r>
      <w:r w:rsidR="009E7E10">
        <w:t xml:space="preserve">tates in point </w:t>
      </w:r>
      <w:r w:rsidR="00F37F22">
        <w:t>number 5</w:t>
      </w:r>
      <w:r w:rsidR="00FD75FB">
        <w:t>:</w:t>
      </w:r>
      <w:r w:rsidR="00F37F22">
        <w:t xml:space="preserve"> </w:t>
      </w:r>
      <w:r w:rsidR="00FD75FB">
        <w:t>‘</w:t>
      </w:r>
      <w:r w:rsidR="00F37F22">
        <w:t>D</w:t>
      </w:r>
      <w:r>
        <w:t xml:space="preserve">o not </w:t>
      </w:r>
      <w:r w:rsidR="00F37F22">
        <w:t xml:space="preserve">transfuse </w:t>
      </w:r>
      <w:r>
        <w:t>standard doses</w:t>
      </w:r>
      <w:r w:rsidR="00FE73DC">
        <w:t xml:space="preserve"> </w:t>
      </w:r>
      <w:r>
        <w:t xml:space="preserve">of fresh frozen plasma to correct a mildly elevated </w:t>
      </w:r>
      <w:r w:rsidR="00FE73DC">
        <w:t>(&lt;</w:t>
      </w:r>
      <w:r w:rsidR="00FD75FB">
        <w:t> </w:t>
      </w:r>
      <w:r w:rsidR="00FE73DC">
        <w:t>1.8)</w:t>
      </w:r>
      <w:r w:rsidR="00186D2B">
        <w:t xml:space="preserve"> international normalised ratio</w:t>
      </w:r>
      <w:r w:rsidR="00FE73DC">
        <w:t xml:space="preserve"> </w:t>
      </w:r>
      <w:r w:rsidR="00186D2B">
        <w:t>(</w:t>
      </w:r>
      <w:r w:rsidR="00FE73DC">
        <w:t>INR</w:t>
      </w:r>
      <w:r w:rsidR="00186D2B">
        <w:t>)</w:t>
      </w:r>
      <w:r w:rsidR="00FE73DC">
        <w:t xml:space="preserve"> prior to a procedure</w:t>
      </w:r>
      <w:r w:rsidR="00FD75FB">
        <w:t xml:space="preserve">’. </w:t>
      </w:r>
    </w:p>
    <w:p w14:paraId="408D91E7" w14:textId="56424BEF" w:rsidR="00255F10" w:rsidRDefault="00FE73DC" w:rsidP="00255F10">
      <w:pPr>
        <w:pStyle w:val="Body"/>
      </w:pPr>
      <w:r>
        <w:t>The guideline recognises the increased risk of transfusion reactions</w:t>
      </w:r>
      <w:r w:rsidR="00390291">
        <w:t xml:space="preserve">. Refer to </w:t>
      </w:r>
      <w:hyperlink w:anchor="_Case_study_2:" w:history="1">
        <w:r w:rsidRPr="00160946">
          <w:rPr>
            <w:rStyle w:val="Hyperlink"/>
          </w:rPr>
          <w:t>Case study 2</w:t>
        </w:r>
      </w:hyperlink>
      <w:r>
        <w:t xml:space="preserve">. </w:t>
      </w:r>
    </w:p>
    <w:p w14:paraId="206B6DF2" w14:textId="4B6CBAD4" w:rsidR="00FE73DC" w:rsidRPr="00255F10" w:rsidRDefault="007C4E00" w:rsidP="00255F10">
      <w:pPr>
        <w:pStyle w:val="Body"/>
        <w:rPr>
          <w:i/>
          <w:iCs/>
        </w:rPr>
      </w:pPr>
      <w:r>
        <w:t xml:space="preserve">The 2023 </w:t>
      </w:r>
      <w:r w:rsidR="00FE73DC">
        <w:t xml:space="preserve">Blood Matters audit, </w:t>
      </w:r>
      <w:r w:rsidR="0089068A">
        <w:t xml:space="preserve">run </w:t>
      </w:r>
      <w:r w:rsidR="00FE73DC">
        <w:t xml:space="preserve">in conjunction with </w:t>
      </w:r>
      <w:r w:rsidR="000C67BC">
        <w:t xml:space="preserve">Australian Red Cross </w:t>
      </w:r>
      <w:r w:rsidR="00FE73DC">
        <w:t xml:space="preserve">Lifeblood </w:t>
      </w:r>
      <w:r w:rsidR="000470B4">
        <w:t>Clinical</w:t>
      </w:r>
      <w:r w:rsidR="00FE73DC">
        <w:t xml:space="preserve"> Education </w:t>
      </w:r>
      <w:r w:rsidR="000470B4">
        <w:t>Team</w:t>
      </w:r>
      <w:r w:rsidR="00FE73DC">
        <w:t xml:space="preserve">, found </w:t>
      </w:r>
      <w:r w:rsidR="00FE73DC" w:rsidRPr="00FE73DC">
        <w:t>42</w:t>
      </w:r>
      <w:r w:rsidR="00FD75FB">
        <w:t>%</w:t>
      </w:r>
      <w:r w:rsidR="00FE73DC">
        <w:t xml:space="preserve"> of FFP </w:t>
      </w:r>
      <w:r w:rsidR="00FE73DC" w:rsidRPr="00FE73DC">
        <w:t>use</w:t>
      </w:r>
      <w:r w:rsidR="00FE73DC">
        <w:t xml:space="preserve"> was</w:t>
      </w:r>
      <w:r w:rsidR="00FE73DC" w:rsidRPr="00FE73DC">
        <w:t xml:space="preserve"> in episodes deemed non-aligned to guidelines</w:t>
      </w:r>
      <w:r w:rsidR="00FE73DC">
        <w:t>.</w:t>
      </w:r>
      <w:r w:rsidR="000470B4">
        <w:t xml:space="preserve"> For more information</w:t>
      </w:r>
      <w:r w:rsidR="00FD75FB">
        <w:t>,</w:t>
      </w:r>
      <w:r w:rsidR="000470B4">
        <w:t xml:space="preserve"> </w:t>
      </w:r>
      <w:r w:rsidR="00FD75FB">
        <w:t>refer to</w:t>
      </w:r>
      <w:r w:rsidR="00390291">
        <w:t xml:space="preserve"> the</w:t>
      </w:r>
      <w:r w:rsidR="00FE73DC">
        <w:t xml:space="preserve"> </w:t>
      </w:r>
      <w:hyperlink r:id="rId30" w:history="1">
        <w:r w:rsidR="00FE73DC" w:rsidRPr="000470B4">
          <w:rPr>
            <w:rStyle w:val="Hyperlink"/>
          </w:rPr>
          <w:t>Blood Matters FFP audit</w:t>
        </w:r>
      </w:hyperlink>
      <w:r w:rsidR="00390291">
        <w:t>.</w:t>
      </w:r>
      <w:r w:rsidR="00390291">
        <w:rPr>
          <w:rStyle w:val="FootnoteReference"/>
        </w:rPr>
        <w:footnoteReference w:id="7"/>
      </w:r>
    </w:p>
    <w:p w14:paraId="2C053825" w14:textId="17D38B74" w:rsidR="00E31AE3" w:rsidRDefault="00255F10" w:rsidP="00CE55B3">
      <w:pPr>
        <w:pStyle w:val="Body"/>
      </w:pPr>
      <w:r w:rsidRPr="00255F10">
        <w:t xml:space="preserve">Tables </w:t>
      </w:r>
      <w:r w:rsidR="00A9310D" w:rsidRPr="00255F10">
        <w:t>1</w:t>
      </w:r>
      <w:r w:rsidR="00A9310D">
        <w:t>3</w:t>
      </w:r>
      <w:r w:rsidR="00A9310D" w:rsidRPr="00255F10">
        <w:t xml:space="preserve">a </w:t>
      </w:r>
      <w:r w:rsidRPr="00255F10">
        <w:t xml:space="preserve">and </w:t>
      </w:r>
      <w:r w:rsidR="00A9310D" w:rsidRPr="00255F10">
        <w:t>1</w:t>
      </w:r>
      <w:r w:rsidR="00A9310D">
        <w:t>3</w:t>
      </w:r>
      <w:r w:rsidR="00A9310D" w:rsidRPr="00255F10">
        <w:t xml:space="preserve">b </w:t>
      </w:r>
      <w:r w:rsidRPr="00255F10">
        <w:t xml:space="preserve">outline the severity rating and </w:t>
      </w:r>
      <w:proofErr w:type="spellStart"/>
      <w:r w:rsidRPr="00255F10">
        <w:t>imputability</w:t>
      </w:r>
      <w:proofErr w:type="spellEnd"/>
      <w:r w:rsidRPr="00255F10">
        <w:t xml:space="preserve"> of allergic and anaphylactic reactions respectively</w:t>
      </w:r>
      <w:r w:rsidR="0089068A">
        <w:t>.</w:t>
      </w:r>
      <w:r w:rsidRPr="00255F10">
        <w:t xml:space="preserve"> Table </w:t>
      </w:r>
      <w:r w:rsidR="00A9310D" w:rsidRPr="00255F10">
        <w:t>1</w:t>
      </w:r>
      <w:r w:rsidR="00A9310D">
        <w:t>4</w:t>
      </w:r>
      <w:r w:rsidR="00A9310D" w:rsidRPr="00255F10">
        <w:t xml:space="preserve"> </w:t>
      </w:r>
      <w:r w:rsidR="0057636C">
        <w:t>refers to</w:t>
      </w:r>
      <w:r w:rsidRPr="00255F10">
        <w:t xml:space="preserve"> the reported </w:t>
      </w:r>
      <w:r w:rsidR="0057636C">
        <w:t xml:space="preserve">symptoms and </w:t>
      </w:r>
      <w:r w:rsidRPr="00255F10">
        <w:t xml:space="preserve">signs and Table </w:t>
      </w:r>
      <w:r w:rsidR="00A9310D" w:rsidRPr="00255F10">
        <w:t>1</w:t>
      </w:r>
      <w:r w:rsidR="00A9310D">
        <w:t>5</w:t>
      </w:r>
      <w:r w:rsidR="00A9310D" w:rsidRPr="00255F10">
        <w:t xml:space="preserve"> </w:t>
      </w:r>
      <w:r w:rsidRPr="00255F10">
        <w:t xml:space="preserve">includes the reported treatments. </w:t>
      </w:r>
    </w:p>
    <w:p w14:paraId="63A83F34" w14:textId="5C2A0134" w:rsidR="009431A3" w:rsidRDefault="009431A3" w:rsidP="00CE55B3">
      <w:pPr>
        <w:pStyle w:val="Tablecaption"/>
      </w:pPr>
      <w:bookmarkStart w:id="43" w:name="_Hlk153879520"/>
      <w:r w:rsidRPr="00E11715">
        <w:t xml:space="preserve">Table </w:t>
      </w:r>
      <w:r w:rsidR="00A9310D">
        <w:t>12:</w:t>
      </w:r>
      <w:r w:rsidRPr="00E11715">
        <w:t xml:space="preserve"> </w:t>
      </w:r>
      <w:bookmarkStart w:id="44" w:name="_Hlk97126599"/>
      <w:r w:rsidRPr="00E11715">
        <w:t xml:space="preserve">Data </w:t>
      </w:r>
      <w:r w:rsidRPr="00FD75FB">
        <w:t>summary</w:t>
      </w:r>
      <w:r w:rsidRPr="00E11715">
        <w:t xml:space="preserve"> – </w:t>
      </w:r>
      <w:bookmarkEnd w:id="44"/>
      <w:r w:rsidRPr="00E11715">
        <w:t xml:space="preserve">allergic/anaphylactic </w:t>
      </w:r>
    </w:p>
    <w:tbl>
      <w:tblPr>
        <w:tblStyle w:val="GridTable6Colorful-Accent2"/>
        <w:tblW w:w="0" w:type="auto"/>
        <w:tblLook w:val="04A0" w:firstRow="1" w:lastRow="0" w:firstColumn="1" w:lastColumn="0" w:noHBand="0" w:noVBand="1"/>
      </w:tblPr>
      <w:tblGrid>
        <w:gridCol w:w="4106"/>
        <w:gridCol w:w="2591"/>
        <w:gridCol w:w="2591"/>
      </w:tblGrid>
      <w:tr w:rsidR="00255F10" w:rsidRPr="00255F10" w14:paraId="4DC03477"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CA3D1E0" w14:textId="77777777" w:rsidR="00255F10" w:rsidRPr="00CE55B3" w:rsidRDefault="00255F10" w:rsidP="00FD75FB">
            <w:pPr>
              <w:pStyle w:val="Tablecolhead"/>
              <w:rPr>
                <w:b/>
                <w:bCs w:val="0"/>
              </w:rPr>
            </w:pPr>
            <w:r w:rsidRPr="00CE55B3">
              <w:t>Characteristic</w:t>
            </w:r>
          </w:p>
        </w:tc>
        <w:tc>
          <w:tcPr>
            <w:tcW w:w="0" w:type="dxa"/>
          </w:tcPr>
          <w:p w14:paraId="53B73A77" w14:textId="177D24F1" w:rsidR="00255F10" w:rsidRPr="00CE55B3" w:rsidRDefault="00255F10"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 xml:space="preserve">Allergic, n = </w:t>
            </w:r>
            <w:r w:rsidR="00887A39" w:rsidRPr="00CE55B3">
              <w:t xml:space="preserve">26 </w:t>
            </w:r>
            <w:r w:rsidRPr="00CE55B3">
              <w:t>(%)</w:t>
            </w:r>
          </w:p>
        </w:tc>
        <w:tc>
          <w:tcPr>
            <w:tcW w:w="0" w:type="dxa"/>
          </w:tcPr>
          <w:p w14:paraId="374ADAFF" w14:textId="5F02FE8C" w:rsidR="00255F10" w:rsidRPr="00CE55B3" w:rsidRDefault="00255F10"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 xml:space="preserve">Anaphylactic, n = </w:t>
            </w:r>
            <w:r w:rsidR="00887A39" w:rsidRPr="00CE55B3">
              <w:t xml:space="preserve">5 </w:t>
            </w:r>
            <w:r w:rsidRPr="00CE55B3">
              <w:t>(%)</w:t>
            </w:r>
          </w:p>
        </w:tc>
      </w:tr>
      <w:tr w:rsidR="00255F10" w:rsidRPr="00255F10" w14:paraId="19CC584D"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1A98C2D" w14:textId="77777777" w:rsidR="00255F10" w:rsidRPr="00494F60" w:rsidRDefault="00255F10" w:rsidP="00255F10">
            <w:pPr>
              <w:pStyle w:val="Body"/>
              <w:rPr>
                <w:b w:val="0"/>
                <w:bCs w:val="0"/>
                <w:color w:val="000000" w:themeColor="text1"/>
              </w:rPr>
            </w:pPr>
            <w:r w:rsidRPr="00494F60">
              <w:rPr>
                <w:b w:val="0"/>
                <w:bCs w:val="0"/>
                <w:color w:val="000000" w:themeColor="text1"/>
              </w:rPr>
              <w:t>Age: &lt; 1 year</w:t>
            </w:r>
          </w:p>
        </w:tc>
        <w:tc>
          <w:tcPr>
            <w:tcW w:w="2591" w:type="dxa"/>
          </w:tcPr>
          <w:p w14:paraId="4073771C" w14:textId="5547A61E"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2591" w:type="dxa"/>
          </w:tcPr>
          <w:p w14:paraId="28AD4211" w14:textId="1167A10C"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r>
      <w:tr w:rsidR="00255F10" w:rsidRPr="00255F10" w14:paraId="2299A6F6"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4F643872" w14:textId="77777777" w:rsidR="00255F10" w:rsidRPr="00494F60" w:rsidRDefault="00255F10" w:rsidP="00255F10">
            <w:pPr>
              <w:pStyle w:val="Body"/>
              <w:rPr>
                <w:b w:val="0"/>
                <w:bCs w:val="0"/>
                <w:color w:val="000000" w:themeColor="text1"/>
              </w:rPr>
            </w:pPr>
            <w:r w:rsidRPr="00494F60">
              <w:rPr>
                <w:b w:val="0"/>
                <w:bCs w:val="0"/>
                <w:color w:val="000000" w:themeColor="text1"/>
              </w:rPr>
              <w:t>Age: 1–18 years</w:t>
            </w:r>
          </w:p>
        </w:tc>
        <w:tc>
          <w:tcPr>
            <w:tcW w:w="2591" w:type="dxa"/>
          </w:tcPr>
          <w:p w14:paraId="52D64946" w14:textId="16111A7A"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3</w:t>
            </w:r>
            <w:r w:rsidR="001D3F19" w:rsidRPr="00494F60">
              <w:rPr>
                <w:color w:val="000000" w:themeColor="text1"/>
              </w:rPr>
              <w:t xml:space="preserve"> (12)</w:t>
            </w:r>
          </w:p>
        </w:tc>
        <w:tc>
          <w:tcPr>
            <w:tcW w:w="2591" w:type="dxa"/>
          </w:tcPr>
          <w:p w14:paraId="01C5F6CC" w14:textId="5CE2453F"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2</w:t>
            </w:r>
            <w:r w:rsidR="001D3F19" w:rsidRPr="00494F60">
              <w:rPr>
                <w:color w:val="000000" w:themeColor="text1"/>
              </w:rPr>
              <w:t xml:space="preserve"> (40)</w:t>
            </w:r>
          </w:p>
        </w:tc>
      </w:tr>
      <w:tr w:rsidR="00255F10" w:rsidRPr="00255F10" w14:paraId="670DEE11"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BA6DD58" w14:textId="77777777" w:rsidR="00255F10" w:rsidRPr="00494F60" w:rsidRDefault="00255F10" w:rsidP="00255F10">
            <w:pPr>
              <w:pStyle w:val="Body"/>
              <w:rPr>
                <w:b w:val="0"/>
                <w:bCs w:val="0"/>
                <w:color w:val="000000" w:themeColor="text1"/>
              </w:rPr>
            </w:pPr>
            <w:r w:rsidRPr="00494F60">
              <w:rPr>
                <w:b w:val="0"/>
                <w:bCs w:val="0"/>
                <w:color w:val="000000" w:themeColor="text1"/>
              </w:rPr>
              <w:t>Age: 19–29 years</w:t>
            </w:r>
          </w:p>
        </w:tc>
        <w:tc>
          <w:tcPr>
            <w:tcW w:w="2591" w:type="dxa"/>
          </w:tcPr>
          <w:p w14:paraId="4B866FBB" w14:textId="5B183CFB"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2</w:t>
            </w:r>
            <w:r w:rsidR="001D3F19" w:rsidRPr="00494F60">
              <w:rPr>
                <w:color w:val="000000" w:themeColor="text1"/>
              </w:rPr>
              <w:t xml:space="preserve"> (8)</w:t>
            </w:r>
          </w:p>
        </w:tc>
        <w:tc>
          <w:tcPr>
            <w:tcW w:w="2591" w:type="dxa"/>
          </w:tcPr>
          <w:p w14:paraId="7F792F06" w14:textId="19162FAF"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r>
      <w:tr w:rsidR="00255F10" w:rsidRPr="00255F10" w14:paraId="06744D11"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1C72E9CE" w14:textId="77777777" w:rsidR="00255F10" w:rsidRPr="00494F60" w:rsidRDefault="00255F10" w:rsidP="00255F10">
            <w:pPr>
              <w:pStyle w:val="Body"/>
              <w:rPr>
                <w:b w:val="0"/>
                <w:bCs w:val="0"/>
                <w:color w:val="000000" w:themeColor="text1"/>
              </w:rPr>
            </w:pPr>
            <w:r w:rsidRPr="00494F60">
              <w:rPr>
                <w:b w:val="0"/>
                <w:bCs w:val="0"/>
                <w:color w:val="000000" w:themeColor="text1"/>
              </w:rPr>
              <w:t>Age: 30–49 years</w:t>
            </w:r>
          </w:p>
        </w:tc>
        <w:tc>
          <w:tcPr>
            <w:tcW w:w="2591" w:type="dxa"/>
          </w:tcPr>
          <w:p w14:paraId="7F803F53" w14:textId="40012A5B"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7</w:t>
            </w:r>
            <w:r w:rsidR="001D3F19" w:rsidRPr="00494F60">
              <w:rPr>
                <w:color w:val="000000" w:themeColor="text1"/>
              </w:rPr>
              <w:t xml:space="preserve"> (27)</w:t>
            </w:r>
          </w:p>
        </w:tc>
        <w:tc>
          <w:tcPr>
            <w:tcW w:w="2591" w:type="dxa"/>
          </w:tcPr>
          <w:p w14:paraId="760A5BE5" w14:textId="67C9F756"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w:t>
            </w:r>
          </w:p>
        </w:tc>
      </w:tr>
      <w:tr w:rsidR="00255F10" w:rsidRPr="00255F10" w14:paraId="4472E728"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6BD35CE" w14:textId="77777777" w:rsidR="00255F10" w:rsidRPr="00494F60" w:rsidRDefault="00255F10" w:rsidP="00255F10">
            <w:pPr>
              <w:pStyle w:val="Body"/>
              <w:rPr>
                <w:b w:val="0"/>
                <w:bCs w:val="0"/>
                <w:color w:val="000000" w:themeColor="text1"/>
              </w:rPr>
            </w:pPr>
            <w:r w:rsidRPr="00494F60">
              <w:rPr>
                <w:b w:val="0"/>
                <w:bCs w:val="0"/>
                <w:color w:val="000000" w:themeColor="text1"/>
              </w:rPr>
              <w:t>Age: 50–69 years</w:t>
            </w:r>
          </w:p>
        </w:tc>
        <w:tc>
          <w:tcPr>
            <w:tcW w:w="2591" w:type="dxa"/>
          </w:tcPr>
          <w:p w14:paraId="13C5F542" w14:textId="30B794F5"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6</w:t>
            </w:r>
            <w:r w:rsidR="001D3F19" w:rsidRPr="00494F60">
              <w:rPr>
                <w:color w:val="000000" w:themeColor="text1"/>
              </w:rPr>
              <w:t xml:space="preserve"> (23)</w:t>
            </w:r>
          </w:p>
        </w:tc>
        <w:tc>
          <w:tcPr>
            <w:tcW w:w="2591" w:type="dxa"/>
          </w:tcPr>
          <w:p w14:paraId="2C5E9B27" w14:textId="00A66B7C"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w:t>
            </w:r>
            <w:r w:rsidR="001D3F19" w:rsidRPr="00494F60">
              <w:rPr>
                <w:color w:val="000000" w:themeColor="text1"/>
              </w:rPr>
              <w:t xml:space="preserve"> (20)</w:t>
            </w:r>
          </w:p>
        </w:tc>
      </w:tr>
      <w:tr w:rsidR="00255F10" w:rsidRPr="00255F10" w14:paraId="2A1DB107"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071AC805" w14:textId="77777777" w:rsidR="00255F10" w:rsidRPr="00494F60" w:rsidRDefault="00255F10" w:rsidP="00255F10">
            <w:pPr>
              <w:pStyle w:val="Body"/>
              <w:rPr>
                <w:b w:val="0"/>
                <w:bCs w:val="0"/>
                <w:color w:val="000000" w:themeColor="text1"/>
              </w:rPr>
            </w:pPr>
            <w:r w:rsidRPr="00494F60">
              <w:rPr>
                <w:b w:val="0"/>
                <w:bCs w:val="0"/>
                <w:color w:val="000000" w:themeColor="text1"/>
              </w:rPr>
              <w:t>Age: 70–79 years</w:t>
            </w:r>
          </w:p>
        </w:tc>
        <w:tc>
          <w:tcPr>
            <w:tcW w:w="2591" w:type="dxa"/>
          </w:tcPr>
          <w:p w14:paraId="29781D2B" w14:textId="658F5EB9"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7</w:t>
            </w:r>
            <w:r w:rsidR="001D3F19" w:rsidRPr="00494F60">
              <w:rPr>
                <w:color w:val="000000" w:themeColor="text1"/>
              </w:rPr>
              <w:t xml:space="preserve"> (27)</w:t>
            </w:r>
          </w:p>
        </w:tc>
        <w:tc>
          <w:tcPr>
            <w:tcW w:w="2591" w:type="dxa"/>
          </w:tcPr>
          <w:p w14:paraId="0003BAB0" w14:textId="7F17EC89"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w:t>
            </w:r>
            <w:r w:rsidR="001D3F19" w:rsidRPr="00494F60">
              <w:rPr>
                <w:color w:val="000000" w:themeColor="text1"/>
              </w:rPr>
              <w:t xml:space="preserve"> (20)</w:t>
            </w:r>
          </w:p>
        </w:tc>
      </w:tr>
      <w:tr w:rsidR="00255F10" w:rsidRPr="00255F10" w14:paraId="3F792732"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01D3123" w14:textId="77777777" w:rsidR="00255F10" w:rsidRPr="00494F60" w:rsidRDefault="00255F10" w:rsidP="00255F10">
            <w:pPr>
              <w:pStyle w:val="Body"/>
              <w:rPr>
                <w:b w:val="0"/>
                <w:bCs w:val="0"/>
                <w:color w:val="000000" w:themeColor="text1"/>
              </w:rPr>
            </w:pPr>
            <w:r w:rsidRPr="00494F60">
              <w:rPr>
                <w:b w:val="0"/>
                <w:bCs w:val="0"/>
                <w:color w:val="000000" w:themeColor="text1"/>
              </w:rPr>
              <w:t>Age: 80+ years</w:t>
            </w:r>
          </w:p>
        </w:tc>
        <w:tc>
          <w:tcPr>
            <w:tcW w:w="2591" w:type="dxa"/>
          </w:tcPr>
          <w:p w14:paraId="0AF2D9FB" w14:textId="4489B4FB"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w:t>
            </w:r>
            <w:r w:rsidR="001D3F19" w:rsidRPr="00494F60">
              <w:rPr>
                <w:color w:val="000000" w:themeColor="text1"/>
              </w:rPr>
              <w:t xml:space="preserve"> (4)</w:t>
            </w:r>
          </w:p>
        </w:tc>
        <w:tc>
          <w:tcPr>
            <w:tcW w:w="2591" w:type="dxa"/>
          </w:tcPr>
          <w:p w14:paraId="21A12E47" w14:textId="084965CE"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w:t>
            </w:r>
            <w:r w:rsidR="001D3F19" w:rsidRPr="00494F60">
              <w:rPr>
                <w:color w:val="000000" w:themeColor="text1"/>
              </w:rPr>
              <w:t xml:space="preserve"> (20)</w:t>
            </w:r>
          </w:p>
        </w:tc>
      </w:tr>
      <w:tr w:rsidR="00255F10" w:rsidRPr="00255F10" w14:paraId="5F01FCB3"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25E174FE" w14:textId="77777777" w:rsidR="00255F10" w:rsidRPr="00494F60" w:rsidRDefault="00255F10" w:rsidP="00255F10">
            <w:pPr>
              <w:pStyle w:val="Body"/>
              <w:rPr>
                <w:b w:val="0"/>
                <w:bCs w:val="0"/>
                <w:color w:val="000000" w:themeColor="text1"/>
              </w:rPr>
            </w:pPr>
            <w:r w:rsidRPr="00494F60">
              <w:rPr>
                <w:b w:val="0"/>
                <w:bCs w:val="0"/>
                <w:color w:val="000000" w:themeColor="text1"/>
              </w:rPr>
              <w:t>Sex: male</w:t>
            </w:r>
          </w:p>
        </w:tc>
        <w:tc>
          <w:tcPr>
            <w:tcW w:w="2591" w:type="dxa"/>
          </w:tcPr>
          <w:p w14:paraId="55520738" w14:textId="05F5D44F"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14</w:t>
            </w:r>
            <w:r w:rsidR="001D3F19" w:rsidRPr="00494F60">
              <w:rPr>
                <w:color w:val="000000" w:themeColor="text1"/>
              </w:rPr>
              <w:t xml:space="preserve"> (54)</w:t>
            </w:r>
          </w:p>
        </w:tc>
        <w:tc>
          <w:tcPr>
            <w:tcW w:w="2591" w:type="dxa"/>
          </w:tcPr>
          <w:p w14:paraId="46EBCC1B" w14:textId="1242C88A"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2</w:t>
            </w:r>
            <w:r w:rsidR="001D3F19" w:rsidRPr="00494F60">
              <w:rPr>
                <w:color w:val="000000" w:themeColor="text1"/>
              </w:rPr>
              <w:t xml:space="preserve"> (40)</w:t>
            </w:r>
          </w:p>
        </w:tc>
      </w:tr>
      <w:tr w:rsidR="00255F10" w:rsidRPr="00255F10" w14:paraId="61E9EB04"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A485783" w14:textId="77777777" w:rsidR="00255F10" w:rsidRPr="00494F60" w:rsidRDefault="00255F10" w:rsidP="00255F10">
            <w:pPr>
              <w:pStyle w:val="Body"/>
              <w:rPr>
                <w:b w:val="0"/>
                <w:bCs w:val="0"/>
                <w:color w:val="000000" w:themeColor="text1"/>
              </w:rPr>
            </w:pPr>
            <w:r w:rsidRPr="00494F60">
              <w:rPr>
                <w:b w:val="0"/>
                <w:bCs w:val="0"/>
                <w:color w:val="000000" w:themeColor="text1"/>
              </w:rPr>
              <w:t>Sex: female</w:t>
            </w:r>
          </w:p>
        </w:tc>
        <w:tc>
          <w:tcPr>
            <w:tcW w:w="2591" w:type="dxa"/>
          </w:tcPr>
          <w:p w14:paraId="7452196C" w14:textId="53DCFE57"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12</w:t>
            </w:r>
            <w:r w:rsidR="001D3F19" w:rsidRPr="00494F60">
              <w:rPr>
                <w:color w:val="000000" w:themeColor="text1"/>
              </w:rPr>
              <w:t xml:space="preserve"> (46)</w:t>
            </w:r>
          </w:p>
        </w:tc>
        <w:tc>
          <w:tcPr>
            <w:tcW w:w="2591" w:type="dxa"/>
          </w:tcPr>
          <w:p w14:paraId="0CA64677" w14:textId="7A8320EB"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3</w:t>
            </w:r>
            <w:r w:rsidR="001D3F19" w:rsidRPr="00494F60">
              <w:rPr>
                <w:color w:val="000000" w:themeColor="text1"/>
              </w:rPr>
              <w:t xml:space="preserve"> (60)</w:t>
            </w:r>
          </w:p>
        </w:tc>
      </w:tr>
      <w:tr w:rsidR="00255F10" w:rsidRPr="00255F10" w14:paraId="51026BDB"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20F35CCA" w14:textId="590F9D17" w:rsidR="00255F10" w:rsidRPr="00494F60" w:rsidRDefault="00255F10" w:rsidP="00255F10">
            <w:pPr>
              <w:pStyle w:val="Body"/>
              <w:rPr>
                <w:b w:val="0"/>
                <w:bCs w:val="0"/>
                <w:color w:val="000000" w:themeColor="text1"/>
              </w:rPr>
            </w:pPr>
            <w:r w:rsidRPr="00494F60">
              <w:rPr>
                <w:b w:val="0"/>
                <w:bCs w:val="0"/>
                <w:color w:val="000000" w:themeColor="text1"/>
              </w:rPr>
              <w:t xml:space="preserve">Implicated blood component: </w:t>
            </w:r>
            <w:r w:rsidR="0056661F" w:rsidRPr="00494F60">
              <w:rPr>
                <w:b w:val="0"/>
                <w:bCs w:val="0"/>
                <w:color w:val="000000" w:themeColor="text1"/>
              </w:rPr>
              <w:t>RBC</w:t>
            </w:r>
          </w:p>
        </w:tc>
        <w:tc>
          <w:tcPr>
            <w:tcW w:w="2591" w:type="dxa"/>
          </w:tcPr>
          <w:p w14:paraId="333B7D5C" w14:textId="047DF4F3"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7</w:t>
            </w:r>
            <w:r w:rsidR="001D3F19" w:rsidRPr="00494F60">
              <w:rPr>
                <w:color w:val="000000" w:themeColor="text1"/>
              </w:rPr>
              <w:t xml:space="preserve"> (27)</w:t>
            </w:r>
          </w:p>
        </w:tc>
        <w:tc>
          <w:tcPr>
            <w:tcW w:w="2591" w:type="dxa"/>
          </w:tcPr>
          <w:p w14:paraId="0C45134F" w14:textId="1019411C"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w:t>
            </w:r>
            <w:r w:rsidR="001D3F19" w:rsidRPr="00494F60">
              <w:rPr>
                <w:color w:val="000000" w:themeColor="text1"/>
              </w:rPr>
              <w:t xml:space="preserve"> (20)</w:t>
            </w:r>
          </w:p>
        </w:tc>
      </w:tr>
      <w:tr w:rsidR="00255F10" w:rsidRPr="00255F10" w14:paraId="41A89BCC"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9D7812A" w14:textId="77777777" w:rsidR="00255F10" w:rsidRPr="00494F60" w:rsidRDefault="00255F10" w:rsidP="00255F10">
            <w:pPr>
              <w:pStyle w:val="Body"/>
              <w:rPr>
                <w:b w:val="0"/>
                <w:bCs w:val="0"/>
                <w:color w:val="000000" w:themeColor="text1"/>
              </w:rPr>
            </w:pPr>
            <w:r w:rsidRPr="00494F60">
              <w:rPr>
                <w:b w:val="0"/>
                <w:bCs w:val="0"/>
                <w:color w:val="000000" w:themeColor="text1"/>
              </w:rPr>
              <w:t>Implicated blood component: fresh frozen plasma</w:t>
            </w:r>
          </w:p>
        </w:tc>
        <w:tc>
          <w:tcPr>
            <w:tcW w:w="2591" w:type="dxa"/>
          </w:tcPr>
          <w:p w14:paraId="3B8317D4" w14:textId="25EC529A"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11</w:t>
            </w:r>
            <w:r w:rsidR="001D3F19" w:rsidRPr="00494F60">
              <w:rPr>
                <w:color w:val="000000" w:themeColor="text1"/>
              </w:rPr>
              <w:t xml:space="preserve"> (42)</w:t>
            </w:r>
          </w:p>
        </w:tc>
        <w:tc>
          <w:tcPr>
            <w:tcW w:w="2591" w:type="dxa"/>
          </w:tcPr>
          <w:p w14:paraId="2F35E540" w14:textId="3A01BDBC"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w:t>
            </w:r>
            <w:r w:rsidR="001D3F19" w:rsidRPr="00494F60">
              <w:rPr>
                <w:color w:val="000000" w:themeColor="text1"/>
              </w:rPr>
              <w:t xml:space="preserve"> (20)</w:t>
            </w:r>
          </w:p>
        </w:tc>
      </w:tr>
      <w:tr w:rsidR="00255F10" w:rsidRPr="00255F10" w14:paraId="5DD41959" w14:textId="77777777" w:rsidTr="00494F60">
        <w:tc>
          <w:tcPr>
            <w:cnfStyle w:val="001000000000" w:firstRow="0" w:lastRow="0" w:firstColumn="1" w:lastColumn="0" w:oddVBand="0" w:evenVBand="0" w:oddHBand="0" w:evenHBand="0" w:firstRowFirstColumn="0" w:firstRowLastColumn="0" w:lastRowFirstColumn="0" w:lastRowLastColumn="0"/>
            <w:tcW w:w="4106" w:type="dxa"/>
          </w:tcPr>
          <w:p w14:paraId="7C6DA8E3" w14:textId="77777777" w:rsidR="00255F10" w:rsidRPr="00494F60" w:rsidRDefault="00255F10" w:rsidP="00255F10">
            <w:pPr>
              <w:pStyle w:val="Body"/>
              <w:rPr>
                <w:b w:val="0"/>
                <w:bCs w:val="0"/>
                <w:color w:val="000000" w:themeColor="text1"/>
              </w:rPr>
            </w:pPr>
            <w:r w:rsidRPr="00494F60">
              <w:rPr>
                <w:b w:val="0"/>
                <w:bCs w:val="0"/>
                <w:color w:val="000000" w:themeColor="text1"/>
              </w:rPr>
              <w:t>Implicated blood component: platelets</w:t>
            </w:r>
          </w:p>
        </w:tc>
        <w:tc>
          <w:tcPr>
            <w:tcW w:w="2591" w:type="dxa"/>
          </w:tcPr>
          <w:p w14:paraId="15F50D1F" w14:textId="6240E720"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13</w:t>
            </w:r>
            <w:r w:rsidR="001D3F19" w:rsidRPr="00494F60">
              <w:rPr>
                <w:color w:val="000000" w:themeColor="text1"/>
              </w:rPr>
              <w:t xml:space="preserve"> (50)</w:t>
            </w:r>
          </w:p>
        </w:tc>
        <w:tc>
          <w:tcPr>
            <w:tcW w:w="2591" w:type="dxa"/>
          </w:tcPr>
          <w:p w14:paraId="75050D17" w14:textId="601A93AA" w:rsidR="00255F10" w:rsidRPr="00494F60" w:rsidRDefault="00887A39"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3</w:t>
            </w:r>
            <w:r w:rsidR="001D3F19" w:rsidRPr="00494F60">
              <w:rPr>
                <w:color w:val="000000" w:themeColor="text1"/>
              </w:rPr>
              <w:t xml:space="preserve"> (60)</w:t>
            </w:r>
          </w:p>
        </w:tc>
      </w:tr>
      <w:tr w:rsidR="00255F10" w:rsidRPr="00255F10" w14:paraId="6EC5F8C7"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CDD5E0C" w14:textId="039258AF" w:rsidR="00255F10" w:rsidRPr="00494F60" w:rsidRDefault="00255F10" w:rsidP="00255F10">
            <w:pPr>
              <w:pStyle w:val="Body"/>
              <w:rPr>
                <w:b w:val="0"/>
                <w:bCs w:val="0"/>
                <w:color w:val="000000" w:themeColor="text1"/>
              </w:rPr>
            </w:pPr>
            <w:r w:rsidRPr="00494F60">
              <w:rPr>
                <w:b w:val="0"/>
                <w:bCs w:val="0"/>
                <w:color w:val="000000" w:themeColor="text1"/>
              </w:rPr>
              <w:t>Implicated blood component: cryoprecipitate</w:t>
            </w:r>
          </w:p>
        </w:tc>
        <w:tc>
          <w:tcPr>
            <w:tcW w:w="2591" w:type="dxa"/>
          </w:tcPr>
          <w:p w14:paraId="436DCFB8" w14:textId="0804DDBC"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w:t>
            </w:r>
            <w:r w:rsidR="001D3F19" w:rsidRPr="00494F60">
              <w:rPr>
                <w:color w:val="000000" w:themeColor="text1"/>
              </w:rPr>
              <w:t xml:space="preserve"> (4)</w:t>
            </w:r>
          </w:p>
        </w:tc>
        <w:tc>
          <w:tcPr>
            <w:tcW w:w="2591" w:type="dxa"/>
          </w:tcPr>
          <w:p w14:paraId="66C6AC1E" w14:textId="25DD4E9D" w:rsidR="00255F10" w:rsidRPr="00494F60" w:rsidRDefault="00887A39"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r>
    </w:tbl>
    <w:p w14:paraId="61AF6E9F" w14:textId="3C060EF3" w:rsidR="00255F10" w:rsidRPr="00041DB3" w:rsidRDefault="000470B4" w:rsidP="00CE55B3">
      <w:pPr>
        <w:pStyle w:val="Tablefigurenote"/>
      </w:pPr>
      <w:r w:rsidRPr="00041DB3">
        <w:t>Note: mul</w:t>
      </w:r>
      <w:r>
        <w:t xml:space="preserve">tiple blood products </w:t>
      </w:r>
      <w:r w:rsidRPr="00FD75FB">
        <w:t>may</w:t>
      </w:r>
      <w:r>
        <w:t xml:space="preserve"> be involved</w:t>
      </w:r>
      <w:r w:rsidR="00557DC2">
        <w:t>.</w:t>
      </w:r>
    </w:p>
    <w:bookmarkEnd w:id="43"/>
    <w:p w14:paraId="5BE5E35D" w14:textId="50591AB8" w:rsidR="009431A3" w:rsidRDefault="009431A3" w:rsidP="00CE55B3">
      <w:pPr>
        <w:pStyle w:val="Tablecaption"/>
      </w:pPr>
      <w:r w:rsidRPr="00E11715">
        <w:lastRenderedPageBreak/>
        <w:t xml:space="preserve">Table </w:t>
      </w:r>
      <w:r w:rsidR="00A9310D" w:rsidRPr="00E11715">
        <w:t>1</w:t>
      </w:r>
      <w:r w:rsidR="00A9310D">
        <w:t>3</w:t>
      </w:r>
      <w:r w:rsidR="00A9310D" w:rsidRPr="00E11715">
        <w:t>a</w:t>
      </w:r>
      <w:r w:rsidR="00A9310D">
        <w:t>:</w:t>
      </w:r>
      <w:r w:rsidR="000470B4" w:rsidRPr="000470B4">
        <w:t xml:space="preserve"> Allergy – severity </w:t>
      </w:r>
      <w:r w:rsidR="000470B4" w:rsidRPr="00A9310D">
        <w:t>rating</w:t>
      </w:r>
      <w:r w:rsidR="000470B4" w:rsidRPr="000470B4">
        <w:t xml:space="preserve"> and </w:t>
      </w:r>
      <w:proofErr w:type="spellStart"/>
      <w:r w:rsidR="000470B4" w:rsidRPr="000470B4">
        <w:t>imputability</w:t>
      </w:r>
      <w:proofErr w:type="spellEnd"/>
      <w:r w:rsidR="000470B4" w:rsidRPr="000470B4">
        <w:t xml:space="preserve"> (n = 26)</w:t>
      </w:r>
    </w:p>
    <w:tbl>
      <w:tblPr>
        <w:tblStyle w:val="GridTable6Colorful-Accent2"/>
        <w:tblW w:w="0" w:type="auto"/>
        <w:tblLook w:val="04A0" w:firstRow="1" w:lastRow="0" w:firstColumn="1" w:lastColumn="0" w:noHBand="0" w:noVBand="1"/>
      </w:tblPr>
      <w:tblGrid>
        <w:gridCol w:w="1841"/>
        <w:gridCol w:w="1842"/>
        <w:gridCol w:w="1842"/>
        <w:gridCol w:w="1842"/>
        <w:gridCol w:w="1842"/>
      </w:tblGrid>
      <w:tr w:rsidR="00255F10" w:rsidRPr="00255F10" w14:paraId="5D9B99C8"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79FBBAE" w14:textId="77777777" w:rsidR="00255F10" w:rsidRPr="00982AA7" w:rsidRDefault="00255F10" w:rsidP="00D83001">
            <w:pPr>
              <w:pStyle w:val="Tablecolhead"/>
              <w:rPr>
                <w:b/>
                <w:bCs w:val="0"/>
              </w:rPr>
            </w:pPr>
            <w:r w:rsidRPr="00982AA7">
              <w:rPr>
                <w:b/>
                <w:bCs w:val="0"/>
              </w:rPr>
              <w:t>Severity rating</w:t>
            </w:r>
          </w:p>
        </w:tc>
        <w:tc>
          <w:tcPr>
            <w:tcW w:w="0" w:type="dxa"/>
          </w:tcPr>
          <w:p w14:paraId="55EFD169" w14:textId="77777777" w:rsidR="00255F10" w:rsidRPr="00982AA7" w:rsidRDefault="00255F10" w:rsidP="00E940DA">
            <w:pPr>
              <w:pStyle w:val="Tablecolhead"/>
              <w:jc w:val="center"/>
              <w:cnfStyle w:val="100000000000" w:firstRow="1" w:lastRow="0" w:firstColumn="0" w:lastColumn="0" w:oddVBand="0" w:evenVBand="0" w:oddHBand="0" w:evenHBand="0" w:firstRowFirstColumn="0" w:firstRowLastColumn="0" w:lastRowFirstColumn="0" w:lastRowLastColumn="0"/>
              <w:rPr>
                <w:b/>
                <w:bCs w:val="0"/>
              </w:rPr>
            </w:pPr>
            <w:proofErr w:type="spellStart"/>
            <w:r w:rsidRPr="00982AA7">
              <w:rPr>
                <w:b/>
                <w:bCs w:val="0"/>
              </w:rPr>
              <w:t>Imputability</w:t>
            </w:r>
            <w:proofErr w:type="spellEnd"/>
            <w:r w:rsidRPr="00982AA7">
              <w:rPr>
                <w:b/>
                <w:bCs w:val="0"/>
              </w:rPr>
              <w:t>:</w:t>
            </w:r>
            <w:r w:rsidRPr="00982AA7">
              <w:rPr>
                <w:b/>
                <w:bCs w:val="0"/>
              </w:rPr>
              <w:br/>
              <w:t>certainly</w:t>
            </w:r>
          </w:p>
        </w:tc>
        <w:tc>
          <w:tcPr>
            <w:tcW w:w="0" w:type="dxa"/>
          </w:tcPr>
          <w:p w14:paraId="6C4182C2" w14:textId="77777777" w:rsidR="00255F10" w:rsidRPr="00982AA7" w:rsidRDefault="00255F10" w:rsidP="00E940DA">
            <w:pPr>
              <w:pStyle w:val="Tablecolhead"/>
              <w:jc w:val="center"/>
              <w:cnfStyle w:val="100000000000" w:firstRow="1" w:lastRow="0" w:firstColumn="0" w:lastColumn="0" w:oddVBand="0" w:evenVBand="0" w:oddHBand="0" w:evenHBand="0" w:firstRowFirstColumn="0" w:firstRowLastColumn="0" w:lastRowFirstColumn="0" w:lastRowLastColumn="0"/>
              <w:rPr>
                <w:b/>
                <w:bCs w:val="0"/>
              </w:rPr>
            </w:pPr>
            <w:proofErr w:type="spellStart"/>
            <w:r w:rsidRPr="00982AA7">
              <w:rPr>
                <w:b/>
                <w:bCs w:val="0"/>
              </w:rPr>
              <w:t>Imputability</w:t>
            </w:r>
            <w:proofErr w:type="spellEnd"/>
            <w:r w:rsidRPr="00982AA7">
              <w:rPr>
                <w:b/>
                <w:bCs w:val="0"/>
              </w:rPr>
              <w:t>:</w:t>
            </w:r>
            <w:r w:rsidRPr="00982AA7">
              <w:rPr>
                <w:b/>
                <w:bCs w:val="0"/>
              </w:rPr>
              <w:br/>
              <w:t>probably</w:t>
            </w:r>
          </w:p>
        </w:tc>
        <w:tc>
          <w:tcPr>
            <w:tcW w:w="0" w:type="dxa"/>
          </w:tcPr>
          <w:p w14:paraId="28422F9C" w14:textId="77777777" w:rsidR="00255F10" w:rsidRPr="00982AA7" w:rsidRDefault="00255F10" w:rsidP="00E940DA">
            <w:pPr>
              <w:pStyle w:val="Tablecolhead"/>
              <w:jc w:val="center"/>
              <w:cnfStyle w:val="100000000000" w:firstRow="1" w:lastRow="0" w:firstColumn="0" w:lastColumn="0" w:oddVBand="0" w:evenVBand="0" w:oddHBand="0" w:evenHBand="0" w:firstRowFirstColumn="0" w:firstRowLastColumn="0" w:lastRowFirstColumn="0" w:lastRowLastColumn="0"/>
              <w:rPr>
                <w:b/>
                <w:bCs w:val="0"/>
              </w:rPr>
            </w:pPr>
            <w:proofErr w:type="spellStart"/>
            <w:r w:rsidRPr="00982AA7">
              <w:rPr>
                <w:b/>
                <w:bCs w:val="0"/>
              </w:rPr>
              <w:t>Imputability</w:t>
            </w:r>
            <w:proofErr w:type="spellEnd"/>
            <w:r w:rsidRPr="00982AA7">
              <w:rPr>
                <w:b/>
                <w:bCs w:val="0"/>
              </w:rPr>
              <w:t>:</w:t>
            </w:r>
            <w:r w:rsidRPr="00982AA7">
              <w:rPr>
                <w:b/>
                <w:bCs w:val="0"/>
              </w:rPr>
              <w:br/>
              <w:t>possibly</w:t>
            </w:r>
          </w:p>
        </w:tc>
        <w:tc>
          <w:tcPr>
            <w:tcW w:w="0" w:type="dxa"/>
          </w:tcPr>
          <w:p w14:paraId="0E293324" w14:textId="77777777" w:rsidR="00255F10" w:rsidRPr="00982AA7" w:rsidRDefault="00255F10" w:rsidP="00E940DA">
            <w:pPr>
              <w:pStyle w:val="Tablecolhead"/>
              <w:jc w:val="center"/>
              <w:cnfStyle w:val="100000000000" w:firstRow="1" w:lastRow="0" w:firstColumn="0" w:lastColumn="0" w:oddVBand="0" w:evenVBand="0" w:oddHBand="0" w:evenHBand="0" w:firstRowFirstColumn="0" w:firstRowLastColumn="0" w:lastRowFirstColumn="0" w:lastRowLastColumn="0"/>
              <w:rPr>
                <w:b/>
                <w:bCs w:val="0"/>
              </w:rPr>
            </w:pPr>
            <w:r w:rsidRPr="00982AA7">
              <w:rPr>
                <w:b/>
                <w:bCs w:val="0"/>
              </w:rPr>
              <w:t>Total</w:t>
            </w:r>
          </w:p>
        </w:tc>
      </w:tr>
      <w:tr w:rsidR="00494F60" w:rsidRPr="00494F60" w14:paraId="4936F0F6"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35678638" w14:textId="77777777" w:rsidR="00255F10" w:rsidRPr="00494F60" w:rsidRDefault="00255F10" w:rsidP="00CE55B3">
            <w:pPr>
              <w:pStyle w:val="Body"/>
              <w:rPr>
                <w:b w:val="0"/>
                <w:bCs w:val="0"/>
                <w:color w:val="000000" w:themeColor="text1"/>
              </w:rPr>
            </w:pPr>
            <w:r w:rsidRPr="00494F60">
              <w:rPr>
                <w:b w:val="0"/>
                <w:bCs w:val="0"/>
                <w:color w:val="000000" w:themeColor="text1"/>
              </w:rPr>
              <w:t>SR 1</w:t>
            </w:r>
          </w:p>
        </w:tc>
        <w:tc>
          <w:tcPr>
            <w:tcW w:w="1842" w:type="dxa"/>
          </w:tcPr>
          <w:p w14:paraId="5F94CFC9" w14:textId="17F93B99"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6AF429C2" w14:textId="23DA7EBF"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33F2EC37" w14:textId="0173A95B"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095CD3D3" w14:textId="3B30079B"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w:t>
            </w:r>
          </w:p>
        </w:tc>
      </w:tr>
      <w:tr w:rsidR="00494F60" w:rsidRPr="00494F60" w14:paraId="3D31C5AC" w14:textId="77777777" w:rsidTr="00494F60">
        <w:tc>
          <w:tcPr>
            <w:cnfStyle w:val="001000000000" w:firstRow="0" w:lastRow="0" w:firstColumn="1" w:lastColumn="0" w:oddVBand="0" w:evenVBand="0" w:oddHBand="0" w:evenHBand="0" w:firstRowFirstColumn="0" w:firstRowLastColumn="0" w:lastRowFirstColumn="0" w:lastRowLastColumn="0"/>
            <w:tcW w:w="1841" w:type="dxa"/>
          </w:tcPr>
          <w:p w14:paraId="5BC6E6C1" w14:textId="77777777" w:rsidR="00255F10" w:rsidRPr="00494F60" w:rsidRDefault="00255F10" w:rsidP="00CE55B3">
            <w:pPr>
              <w:pStyle w:val="Body"/>
              <w:rPr>
                <w:b w:val="0"/>
                <w:bCs w:val="0"/>
                <w:color w:val="000000" w:themeColor="text1"/>
              </w:rPr>
            </w:pPr>
            <w:r w:rsidRPr="00494F60">
              <w:rPr>
                <w:b w:val="0"/>
                <w:bCs w:val="0"/>
                <w:color w:val="000000" w:themeColor="text1"/>
              </w:rPr>
              <w:t>SR 2</w:t>
            </w:r>
          </w:p>
        </w:tc>
        <w:tc>
          <w:tcPr>
            <w:tcW w:w="1842" w:type="dxa"/>
          </w:tcPr>
          <w:p w14:paraId="788F6EB3" w14:textId="3328417E" w:rsidR="00255F10" w:rsidRPr="00494F60" w:rsidRDefault="00255F10" w:rsidP="00CE55B3">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842" w:type="dxa"/>
          </w:tcPr>
          <w:p w14:paraId="3196BB25" w14:textId="277057F7" w:rsidR="00255F10" w:rsidRPr="00494F60" w:rsidRDefault="001D3F19" w:rsidP="00CE55B3">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2</w:t>
            </w:r>
          </w:p>
        </w:tc>
        <w:tc>
          <w:tcPr>
            <w:tcW w:w="1842" w:type="dxa"/>
          </w:tcPr>
          <w:p w14:paraId="7E96467D" w14:textId="4BE821AF" w:rsidR="00255F10" w:rsidRPr="00494F60" w:rsidRDefault="001D3F19" w:rsidP="00CE55B3">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w:t>
            </w:r>
          </w:p>
        </w:tc>
        <w:tc>
          <w:tcPr>
            <w:tcW w:w="1842" w:type="dxa"/>
          </w:tcPr>
          <w:p w14:paraId="661B379F" w14:textId="658589C3" w:rsidR="00255F10" w:rsidRPr="00494F60" w:rsidRDefault="001D3F19" w:rsidP="00CE55B3">
            <w:pPr>
              <w:pStyle w:val="Body"/>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494F60">
              <w:rPr>
                <w:b/>
                <w:bCs/>
                <w:color w:val="000000" w:themeColor="text1"/>
              </w:rPr>
              <w:t>2</w:t>
            </w:r>
          </w:p>
        </w:tc>
      </w:tr>
      <w:tr w:rsidR="00494F60" w:rsidRPr="00494F60" w14:paraId="5A1EF24A"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39793B70" w14:textId="77777777" w:rsidR="00255F10" w:rsidRPr="00494F60" w:rsidRDefault="00255F10" w:rsidP="00CE55B3">
            <w:pPr>
              <w:pStyle w:val="Body"/>
              <w:rPr>
                <w:b w:val="0"/>
                <w:bCs w:val="0"/>
                <w:color w:val="000000" w:themeColor="text1"/>
              </w:rPr>
            </w:pPr>
            <w:r w:rsidRPr="00494F60">
              <w:rPr>
                <w:b w:val="0"/>
                <w:bCs w:val="0"/>
                <w:color w:val="000000" w:themeColor="text1"/>
              </w:rPr>
              <w:t>SR 3</w:t>
            </w:r>
          </w:p>
        </w:tc>
        <w:tc>
          <w:tcPr>
            <w:tcW w:w="1842" w:type="dxa"/>
          </w:tcPr>
          <w:p w14:paraId="7AEA1D5D" w14:textId="68ED3F32"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w:t>
            </w:r>
          </w:p>
        </w:tc>
        <w:tc>
          <w:tcPr>
            <w:tcW w:w="1842" w:type="dxa"/>
          </w:tcPr>
          <w:p w14:paraId="02756549" w14:textId="7EA1ECA0"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11</w:t>
            </w:r>
          </w:p>
        </w:tc>
        <w:tc>
          <w:tcPr>
            <w:tcW w:w="1842" w:type="dxa"/>
          </w:tcPr>
          <w:p w14:paraId="6CBB5598" w14:textId="4629FE8D"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4</w:t>
            </w:r>
          </w:p>
        </w:tc>
        <w:tc>
          <w:tcPr>
            <w:tcW w:w="1842" w:type="dxa"/>
          </w:tcPr>
          <w:p w14:paraId="69CF8B46" w14:textId="115E547B"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16</w:t>
            </w:r>
          </w:p>
        </w:tc>
      </w:tr>
      <w:tr w:rsidR="00494F60" w:rsidRPr="00494F60" w14:paraId="28640EF5" w14:textId="77777777" w:rsidTr="00494F60">
        <w:tc>
          <w:tcPr>
            <w:cnfStyle w:val="001000000000" w:firstRow="0" w:lastRow="0" w:firstColumn="1" w:lastColumn="0" w:oddVBand="0" w:evenVBand="0" w:oddHBand="0" w:evenHBand="0" w:firstRowFirstColumn="0" w:firstRowLastColumn="0" w:lastRowFirstColumn="0" w:lastRowLastColumn="0"/>
            <w:tcW w:w="1841" w:type="dxa"/>
          </w:tcPr>
          <w:p w14:paraId="7041F65E" w14:textId="77777777" w:rsidR="00255F10" w:rsidRPr="00494F60" w:rsidRDefault="00255F10" w:rsidP="00CE55B3">
            <w:pPr>
              <w:pStyle w:val="Body"/>
              <w:rPr>
                <w:b w:val="0"/>
                <w:bCs w:val="0"/>
                <w:color w:val="000000" w:themeColor="text1"/>
              </w:rPr>
            </w:pPr>
            <w:r w:rsidRPr="00494F60">
              <w:rPr>
                <w:b w:val="0"/>
                <w:bCs w:val="0"/>
                <w:color w:val="000000" w:themeColor="text1"/>
              </w:rPr>
              <w:t>SR 4</w:t>
            </w:r>
          </w:p>
        </w:tc>
        <w:tc>
          <w:tcPr>
            <w:tcW w:w="1842" w:type="dxa"/>
          </w:tcPr>
          <w:p w14:paraId="2D956D29" w14:textId="58320337" w:rsidR="00255F10" w:rsidRPr="00494F60" w:rsidRDefault="001D3F19" w:rsidP="00CE55B3">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w:t>
            </w:r>
          </w:p>
        </w:tc>
        <w:tc>
          <w:tcPr>
            <w:tcW w:w="1842" w:type="dxa"/>
          </w:tcPr>
          <w:p w14:paraId="58897EDB" w14:textId="71E4ABF5" w:rsidR="00255F10" w:rsidRPr="00494F60" w:rsidRDefault="001D3F19" w:rsidP="00CE55B3">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5</w:t>
            </w:r>
          </w:p>
        </w:tc>
        <w:tc>
          <w:tcPr>
            <w:tcW w:w="1842" w:type="dxa"/>
          </w:tcPr>
          <w:p w14:paraId="2DD483E8" w14:textId="4F87A7AB" w:rsidR="00255F10" w:rsidRPr="00494F60" w:rsidRDefault="001D3F19" w:rsidP="00CE55B3">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2</w:t>
            </w:r>
          </w:p>
        </w:tc>
        <w:tc>
          <w:tcPr>
            <w:tcW w:w="1842" w:type="dxa"/>
          </w:tcPr>
          <w:p w14:paraId="4CD527C8" w14:textId="64E26AFF" w:rsidR="00255F10" w:rsidRPr="00494F60" w:rsidRDefault="001D3F19" w:rsidP="00CE55B3">
            <w:pPr>
              <w:pStyle w:val="Body"/>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494F60">
              <w:rPr>
                <w:b/>
                <w:bCs/>
                <w:color w:val="000000" w:themeColor="text1"/>
              </w:rPr>
              <w:t>8</w:t>
            </w:r>
          </w:p>
        </w:tc>
      </w:tr>
      <w:tr w:rsidR="00494F60" w:rsidRPr="00494F60" w14:paraId="486BDDA3"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219E84AE" w14:textId="77777777" w:rsidR="00255F10" w:rsidRPr="00494F60" w:rsidRDefault="00255F10" w:rsidP="00CE55B3">
            <w:pPr>
              <w:pStyle w:val="Body"/>
              <w:rPr>
                <w:b w:val="0"/>
                <w:bCs w:val="0"/>
                <w:color w:val="000000" w:themeColor="text1"/>
              </w:rPr>
            </w:pPr>
            <w:r w:rsidRPr="00494F60">
              <w:rPr>
                <w:color w:val="000000" w:themeColor="text1"/>
              </w:rPr>
              <w:t>Total</w:t>
            </w:r>
          </w:p>
        </w:tc>
        <w:tc>
          <w:tcPr>
            <w:tcW w:w="1842" w:type="dxa"/>
          </w:tcPr>
          <w:p w14:paraId="5954B91D" w14:textId="3E08F553"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2</w:t>
            </w:r>
          </w:p>
        </w:tc>
        <w:tc>
          <w:tcPr>
            <w:tcW w:w="1842" w:type="dxa"/>
          </w:tcPr>
          <w:p w14:paraId="224E6654" w14:textId="312356E1"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18</w:t>
            </w:r>
          </w:p>
        </w:tc>
        <w:tc>
          <w:tcPr>
            <w:tcW w:w="1842" w:type="dxa"/>
          </w:tcPr>
          <w:p w14:paraId="34B8615C" w14:textId="248F15A2"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6</w:t>
            </w:r>
          </w:p>
        </w:tc>
        <w:tc>
          <w:tcPr>
            <w:tcW w:w="1842" w:type="dxa"/>
          </w:tcPr>
          <w:p w14:paraId="207BCCC8" w14:textId="072FA8BB" w:rsidR="00255F10" w:rsidRPr="00494F60" w:rsidRDefault="001D3F19" w:rsidP="00CE55B3">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26</w:t>
            </w:r>
          </w:p>
        </w:tc>
      </w:tr>
    </w:tbl>
    <w:p w14:paraId="2C0A3123" w14:textId="7384A47B" w:rsidR="009431A3" w:rsidRDefault="009431A3" w:rsidP="00CE55B3">
      <w:pPr>
        <w:pStyle w:val="Tablecaption"/>
        <w:spacing w:line="240" w:lineRule="auto"/>
      </w:pPr>
      <w:r w:rsidRPr="00E11715">
        <w:t xml:space="preserve">Table </w:t>
      </w:r>
      <w:r w:rsidR="00A9310D" w:rsidRPr="00E11715">
        <w:t>1</w:t>
      </w:r>
      <w:r w:rsidR="00A9310D">
        <w:t>3b:</w:t>
      </w:r>
      <w:r w:rsidR="000470B4" w:rsidRPr="000470B4">
        <w:t xml:space="preserve"> Anaphylactic – severity rating and </w:t>
      </w:r>
      <w:proofErr w:type="spellStart"/>
      <w:r w:rsidR="000470B4" w:rsidRPr="000470B4">
        <w:t>imputability</w:t>
      </w:r>
      <w:proofErr w:type="spellEnd"/>
      <w:r w:rsidR="000470B4" w:rsidRPr="000470B4">
        <w:t xml:space="preserve"> (n = 5)</w:t>
      </w:r>
    </w:p>
    <w:tbl>
      <w:tblPr>
        <w:tblStyle w:val="GridTable6Colorful-Accent2"/>
        <w:tblW w:w="0" w:type="auto"/>
        <w:tblLook w:val="04A0" w:firstRow="1" w:lastRow="0" w:firstColumn="1" w:lastColumn="0" w:noHBand="0" w:noVBand="1"/>
      </w:tblPr>
      <w:tblGrid>
        <w:gridCol w:w="1841"/>
        <w:gridCol w:w="1842"/>
        <w:gridCol w:w="1842"/>
        <w:gridCol w:w="1842"/>
        <w:gridCol w:w="1842"/>
      </w:tblGrid>
      <w:tr w:rsidR="00255F10" w:rsidRPr="00255F10" w14:paraId="406275D2"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2E98513" w14:textId="77777777" w:rsidR="00255F10" w:rsidRPr="00CE55B3" w:rsidRDefault="00255F10" w:rsidP="00390291">
            <w:pPr>
              <w:pStyle w:val="Tablecolhead"/>
              <w:rPr>
                <w:b/>
                <w:bCs w:val="0"/>
              </w:rPr>
            </w:pPr>
            <w:r w:rsidRPr="00CE55B3">
              <w:t>Severity rating</w:t>
            </w:r>
          </w:p>
        </w:tc>
        <w:tc>
          <w:tcPr>
            <w:tcW w:w="0" w:type="dxa"/>
          </w:tcPr>
          <w:p w14:paraId="43A30B76" w14:textId="77777777" w:rsidR="00255F10" w:rsidRPr="00CE55B3" w:rsidRDefault="00255F10"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certainly</w:t>
            </w:r>
          </w:p>
        </w:tc>
        <w:tc>
          <w:tcPr>
            <w:tcW w:w="0" w:type="dxa"/>
          </w:tcPr>
          <w:p w14:paraId="60FB745F" w14:textId="77777777" w:rsidR="00255F10" w:rsidRPr="00CE55B3" w:rsidRDefault="00255F10"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probably</w:t>
            </w:r>
          </w:p>
        </w:tc>
        <w:tc>
          <w:tcPr>
            <w:tcW w:w="0" w:type="dxa"/>
          </w:tcPr>
          <w:p w14:paraId="29AC5DCB" w14:textId="77777777" w:rsidR="00255F10" w:rsidRPr="00CE55B3" w:rsidRDefault="00255F10"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possibly</w:t>
            </w:r>
          </w:p>
        </w:tc>
        <w:tc>
          <w:tcPr>
            <w:tcW w:w="0" w:type="dxa"/>
          </w:tcPr>
          <w:p w14:paraId="54970332" w14:textId="77777777" w:rsidR="00255F10" w:rsidRPr="00CE55B3" w:rsidRDefault="00255F10"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Total</w:t>
            </w:r>
          </w:p>
        </w:tc>
      </w:tr>
      <w:tr w:rsidR="00255F10" w:rsidRPr="00255F10" w14:paraId="2785FD67"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1C4EDF45" w14:textId="77777777" w:rsidR="00255F10" w:rsidRPr="00494F60" w:rsidRDefault="00255F10" w:rsidP="00CE55B3">
            <w:pPr>
              <w:pStyle w:val="Body"/>
              <w:spacing w:line="240" w:lineRule="auto"/>
              <w:rPr>
                <w:b w:val="0"/>
                <w:bCs w:val="0"/>
                <w:color w:val="000000" w:themeColor="text1"/>
              </w:rPr>
            </w:pPr>
            <w:r w:rsidRPr="00494F60">
              <w:rPr>
                <w:b w:val="0"/>
                <w:bCs w:val="0"/>
                <w:color w:val="000000" w:themeColor="text1"/>
              </w:rPr>
              <w:t>SR 1</w:t>
            </w:r>
          </w:p>
        </w:tc>
        <w:tc>
          <w:tcPr>
            <w:tcW w:w="1842" w:type="dxa"/>
          </w:tcPr>
          <w:p w14:paraId="18D815B6" w14:textId="442D14A5"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34C5B113" w14:textId="295F0D7F"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1F26E418" w14:textId="1F9E15BC"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32093D6B" w14:textId="5F98083F"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w:t>
            </w:r>
          </w:p>
        </w:tc>
      </w:tr>
      <w:tr w:rsidR="00255F10" w:rsidRPr="00255F10" w14:paraId="3A80AF85" w14:textId="77777777" w:rsidTr="00494F60">
        <w:tc>
          <w:tcPr>
            <w:cnfStyle w:val="001000000000" w:firstRow="0" w:lastRow="0" w:firstColumn="1" w:lastColumn="0" w:oddVBand="0" w:evenVBand="0" w:oddHBand="0" w:evenHBand="0" w:firstRowFirstColumn="0" w:firstRowLastColumn="0" w:lastRowFirstColumn="0" w:lastRowLastColumn="0"/>
            <w:tcW w:w="1841" w:type="dxa"/>
          </w:tcPr>
          <w:p w14:paraId="5A570F7D" w14:textId="77777777" w:rsidR="00255F10" w:rsidRPr="00494F60" w:rsidRDefault="00255F10" w:rsidP="00CE55B3">
            <w:pPr>
              <w:pStyle w:val="Body"/>
              <w:spacing w:line="240" w:lineRule="auto"/>
              <w:rPr>
                <w:b w:val="0"/>
                <w:bCs w:val="0"/>
                <w:color w:val="000000" w:themeColor="text1"/>
              </w:rPr>
            </w:pPr>
            <w:r w:rsidRPr="00494F60">
              <w:rPr>
                <w:b w:val="0"/>
                <w:bCs w:val="0"/>
                <w:color w:val="000000" w:themeColor="text1"/>
              </w:rPr>
              <w:t>SR 2</w:t>
            </w:r>
          </w:p>
        </w:tc>
        <w:tc>
          <w:tcPr>
            <w:tcW w:w="1842" w:type="dxa"/>
          </w:tcPr>
          <w:p w14:paraId="58FA1BA8" w14:textId="37B66D01" w:rsidR="00255F10" w:rsidRPr="00494F60" w:rsidRDefault="009E2AF5"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1</w:t>
            </w:r>
          </w:p>
        </w:tc>
        <w:tc>
          <w:tcPr>
            <w:tcW w:w="1842" w:type="dxa"/>
          </w:tcPr>
          <w:p w14:paraId="0E03CF6E" w14:textId="3F40FDCE" w:rsidR="00255F10" w:rsidRPr="00494F60" w:rsidRDefault="009E2AF5"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3</w:t>
            </w:r>
          </w:p>
        </w:tc>
        <w:tc>
          <w:tcPr>
            <w:tcW w:w="1842" w:type="dxa"/>
          </w:tcPr>
          <w:p w14:paraId="433968CE" w14:textId="049C6E2D" w:rsidR="00255F10" w:rsidRPr="00494F60" w:rsidRDefault="009E2AF5"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w:t>
            </w:r>
          </w:p>
        </w:tc>
        <w:tc>
          <w:tcPr>
            <w:tcW w:w="1842" w:type="dxa"/>
          </w:tcPr>
          <w:p w14:paraId="0C76895F" w14:textId="72663936" w:rsidR="00255F10" w:rsidRPr="00494F60" w:rsidRDefault="009E2AF5"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494F60">
              <w:rPr>
                <w:b/>
                <w:bCs/>
                <w:color w:val="000000" w:themeColor="text1"/>
              </w:rPr>
              <w:t>4</w:t>
            </w:r>
          </w:p>
        </w:tc>
      </w:tr>
      <w:tr w:rsidR="00255F10" w:rsidRPr="00255F10" w14:paraId="7FF879AC"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75DA4905" w14:textId="77777777" w:rsidR="00255F10" w:rsidRPr="00494F60" w:rsidRDefault="00255F10" w:rsidP="00CE55B3">
            <w:pPr>
              <w:pStyle w:val="Body"/>
              <w:spacing w:line="240" w:lineRule="auto"/>
              <w:rPr>
                <w:b w:val="0"/>
                <w:bCs w:val="0"/>
                <w:color w:val="000000" w:themeColor="text1"/>
              </w:rPr>
            </w:pPr>
            <w:r w:rsidRPr="00494F60">
              <w:rPr>
                <w:b w:val="0"/>
                <w:bCs w:val="0"/>
                <w:color w:val="000000" w:themeColor="text1"/>
              </w:rPr>
              <w:t>SR 3</w:t>
            </w:r>
          </w:p>
        </w:tc>
        <w:tc>
          <w:tcPr>
            <w:tcW w:w="1842" w:type="dxa"/>
          </w:tcPr>
          <w:p w14:paraId="52303E80" w14:textId="3B6901A0"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1FDA8DBE" w14:textId="60AFBFEB"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w:t>
            </w:r>
          </w:p>
        </w:tc>
        <w:tc>
          <w:tcPr>
            <w:tcW w:w="1842" w:type="dxa"/>
          </w:tcPr>
          <w:p w14:paraId="1E7C7250" w14:textId="33F49B8D"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494F60">
              <w:rPr>
                <w:color w:val="000000" w:themeColor="text1"/>
              </w:rPr>
              <w:t>1</w:t>
            </w:r>
          </w:p>
        </w:tc>
        <w:tc>
          <w:tcPr>
            <w:tcW w:w="1842" w:type="dxa"/>
          </w:tcPr>
          <w:p w14:paraId="273A3B0F" w14:textId="71F8BFBC"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1</w:t>
            </w:r>
          </w:p>
        </w:tc>
      </w:tr>
      <w:tr w:rsidR="009E2AF5" w:rsidRPr="00255F10" w14:paraId="17ABAAD1" w14:textId="77777777" w:rsidTr="00494F60">
        <w:tc>
          <w:tcPr>
            <w:cnfStyle w:val="001000000000" w:firstRow="0" w:lastRow="0" w:firstColumn="1" w:lastColumn="0" w:oddVBand="0" w:evenVBand="0" w:oddHBand="0" w:evenHBand="0" w:firstRowFirstColumn="0" w:firstRowLastColumn="0" w:lastRowFirstColumn="0" w:lastRowLastColumn="0"/>
            <w:tcW w:w="1841" w:type="dxa"/>
          </w:tcPr>
          <w:p w14:paraId="7A60C9C5" w14:textId="77777777" w:rsidR="009E2AF5" w:rsidRPr="00494F60" w:rsidRDefault="009E2AF5" w:rsidP="00CE55B3">
            <w:pPr>
              <w:pStyle w:val="Body"/>
              <w:spacing w:line="240" w:lineRule="auto"/>
              <w:rPr>
                <w:b w:val="0"/>
                <w:bCs w:val="0"/>
                <w:color w:val="000000" w:themeColor="text1"/>
              </w:rPr>
            </w:pPr>
            <w:r w:rsidRPr="00494F60">
              <w:rPr>
                <w:b w:val="0"/>
                <w:bCs w:val="0"/>
                <w:color w:val="000000" w:themeColor="text1"/>
              </w:rPr>
              <w:t>SR 4</w:t>
            </w:r>
          </w:p>
        </w:tc>
        <w:tc>
          <w:tcPr>
            <w:tcW w:w="1842" w:type="dxa"/>
          </w:tcPr>
          <w:p w14:paraId="6E29885E" w14:textId="1206E448" w:rsidR="009E2AF5" w:rsidRPr="00494F60" w:rsidRDefault="009E2AF5"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w:t>
            </w:r>
          </w:p>
        </w:tc>
        <w:tc>
          <w:tcPr>
            <w:tcW w:w="1842" w:type="dxa"/>
          </w:tcPr>
          <w:p w14:paraId="4A617D74" w14:textId="2D705082" w:rsidR="009E2AF5" w:rsidRPr="00494F60" w:rsidRDefault="009E2AF5"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w:t>
            </w:r>
          </w:p>
        </w:tc>
        <w:tc>
          <w:tcPr>
            <w:tcW w:w="1842" w:type="dxa"/>
          </w:tcPr>
          <w:p w14:paraId="191695FF" w14:textId="48CD6777" w:rsidR="009E2AF5" w:rsidRPr="00494F60" w:rsidRDefault="009E2AF5"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494F60">
              <w:rPr>
                <w:color w:val="000000" w:themeColor="text1"/>
              </w:rPr>
              <w:t>-</w:t>
            </w:r>
          </w:p>
        </w:tc>
        <w:tc>
          <w:tcPr>
            <w:tcW w:w="1842" w:type="dxa"/>
          </w:tcPr>
          <w:p w14:paraId="12851CB9" w14:textId="429AA4C9" w:rsidR="009E2AF5" w:rsidRPr="00494F60" w:rsidRDefault="009E2AF5"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494F60">
              <w:rPr>
                <w:b/>
                <w:bCs/>
                <w:color w:val="000000" w:themeColor="text1"/>
              </w:rPr>
              <w:t>-</w:t>
            </w:r>
          </w:p>
        </w:tc>
      </w:tr>
      <w:tr w:rsidR="00255F10" w:rsidRPr="00255F10" w14:paraId="082BC6B8" w14:textId="77777777" w:rsidTr="00494F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2FC4E3F3" w14:textId="77777777" w:rsidR="00255F10" w:rsidRPr="00494F60" w:rsidRDefault="00255F10" w:rsidP="00CE55B3">
            <w:pPr>
              <w:pStyle w:val="Body"/>
              <w:spacing w:line="240" w:lineRule="auto"/>
              <w:rPr>
                <w:b w:val="0"/>
                <w:bCs w:val="0"/>
                <w:color w:val="000000" w:themeColor="text1"/>
              </w:rPr>
            </w:pPr>
            <w:r w:rsidRPr="00494F60">
              <w:rPr>
                <w:color w:val="000000" w:themeColor="text1"/>
              </w:rPr>
              <w:t>Total</w:t>
            </w:r>
          </w:p>
        </w:tc>
        <w:tc>
          <w:tcPr>
            <w:tcW w:w="1842" w:type="dxa"/>
          </w:tcPr>
          <w:p w14:paraId="2F69BAD1" w14:textId="1772AAB0"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1</w:t>
            </w:r>
          </w:p>
        </w:tc>
        <w:tc>
          <w:tcPr>
            <w:tcW w:w="1842" w:type="dxa"/>
          </w:tcPr>
          <w:p w14:paraId="0630C017" w14:textId="11763279"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3</w:t>
            </w:r>
          </w:p>
        </w:tc>
        <w:tc>
          <w:tcPr>
            <w:tcW w:w="1842" w:type="dxa"/>
          </w:tcPr>
          <w:p w14:paraId="1745F5DE" w14:textId="661CCEF0"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1</w:t>
            </w:r>
          </w:p>
        </w:tc>
        <w:tc>
          <w:tcPr>
            <w:tcW w:w="1842" w:type="dxa"/>
          </w:tcPr>
          <w:p w14:paraId="71F6125F" w14:textId="285B9107" w:rsidR="00255F10" w:rsidRPr="00494F60" w:rsidRDefault="009E2AF5"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494F60">
              <w:rPr>
                <w:b/>
                <w:bCs/>
                <w:color w:val="000000" w:themeColor="text1"/>
              </w:rPr>
              <w:t>5</w:t>
            </w:r>
          </w:p>
        </w:tc>
      </w:tr>
    </w:tbl>
    <w:p w14:paraId="3526A3A1" w14:textId="093F1037" w:rsidR="009431A3" w:rsidRDefault="009431A3" w:rsidP="00CE55B3">
      <w:pPr>
        <w:pStyle w:val="Tablecaption"/>
      </w:pPr>
      <w:r w:rsidRPr="00E11715">
        <w:t xml:space="preserve">Table </w:t>
      </w:r>
      <w:r w:rsidR="00A9310D">
        <w:t>14:</w:t>
      </w:r>
      <w:r w:rsidRPr="00E11715">
        <w:t xml:space="preserve"> Allergic </w:t>
      </w:r>
      <w:r w:rsidRPr="00A9310D">
        <w:t>transfusion</w:t>
      </w:r>
      <w:r w:rsidRPr="00E11715">
        <w:t xml:space="preserve"> reactions by </w:t>
      </w:r>
      <w:r>
        <w:t>repor</w:t>
      </w:r>
      <w:r w:rsidRPr="00E11715">
        <w:t>ted signs and symptoms</w:t>
      </w:r>
    </w:p>
    <w:tbl>
      <w:tblPr>
        <w:tblStyle w:val="GridTable6Colorful-Accent2"/>
        <w:tblW w:w="0" w:type="auto"/>
        <w:tblLook w:val="04A0" w:firstRow="1" w:lastRow="0" w:firstColumn="1" w:lastColumn="0" w:noHBand="0" w:noVBand="1"/>
      </w:tblPr>
      <w:tblGrid>
        <w:gridCol w:w="3634"/>
        <w:gridCol w:w="2827"/>
        <w:gridCol w:w="2827"/>
      </w:tblGrid>
      <w:tr w:rsidR="0058758D" w:rsidRPr="0058758D" w14:paraId="6338EF6C"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3AB9EB4" w14:textId="77777777" w:rsidR="0058758D" w:rsidRPr="00CE55B3" w:rsidRDefault="0058758D" w:rsidP="00FD75FB">
            <w:pPr>
              <w:pStyle w:val="Tablecolhead"/>
              <w:rPr>
                <w:b/>
                <w:bCs w:val="0"/>
              </w:rPr>
            </w:pPr>
            <w:r w:rsidRPr="00CE55B3">
              <w:t>Signs and symptoms</w:t>
            </w:r>
          </w:p>
        </w:tc>
        <w:tc>
          <w:tcPr>
            <w:tcW w:w="0" w:type="dxa"/>
          </w:tcPr>
          <w:p w14:paraId="69F40A79" w14:textId="4331AA57" w:rsidR="0058758D" w:rsidRPr="00CE55B3" w:rsidRDefault="0058758D"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 xml:space="preserve">Allergy n = </w:t>
            </w:r>
            <w:r w:rsidR="002A270F" w:rsidRPr="00CE55B3">
              <w:t xml:space="preserve">26 </w:t>
            </w:r>
            <w:r w:rsidRPr="00CE55B3">
              <w:t>(%)</w:t>
            </w:r>
          </w:p>
        </w:tc>
        <w:tc>
          <w:tcPr>
            <w:tcW w:w="0" w:type="dxa"/>
          </w:tcPr>
          <w:p w14:paraId="5242AECE" w14:textId="6E9C638D" w:rsidR="0058758D" w:rsidRPr="00CE55B3" w:rsidRDefault="0058758D"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 xml:space="preserve">Anaphylactic n = </w:t>
            </w:r>
            <w:r w:rsidR="002A270F" w:rsidRPr="00CE55B3">
              <w:t xml:space="preserve">5 </w:t>
            </w:r>
            <w:r w:rsidRPr="00CE55B3">
              <w:t>(%)</w:t>
            </w:r>
          </w:p>
        </w:tc>
      </w:tr>
      <w:tr w:rsidR="0058758D" w:rsidRPr="0058758D" w14:paraId="303F2EA1"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4" w:type="dxa"/>
          </w:tcPr>
          <w:p w14:paraId="1A45F33B" w14:textId="77777777" w:rsidR="0058758D" w:rsidRPr="00982AA7" w:rsidRDefault="0058758D" w:rsidP="00CE55B3">
            <w:pPr>
              <w:pStyle w:val="Body"/>
              <w:rPr>
                <w:b w:val="0"/>
                <w:bCs w:val="0"/>
                <w:iCs/>
                <w:color w:val="000000" w:themeColor="text1"/>
              </w:rPr>
            </w:pPr>
            <w:r w:rsidRPr="00982AA7">
              <w:rPr>
                <w:b w:val="0"/>
                <w:bCs w:val="0"/>
                <w:iCs/>
                <w:color w:val="000000" w:themeColor="text1"/>
              </w:rPr>
              <w:t>Itching/rash</w:t>
            </w:r>
          </w:p>
        </w:tc>
        <w:tc>
          <w:tcPr>
            <w:tcW w:w="2827" w:type="dxa"/>
          </w:tcPr>
          <w:p w14:paraId="0890CE9E" w14:textId="7AEBF122" w:rsidR="0058758D" w:rsidRPr="00982AA7" w:rsidRDefault="002A270F"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17 (65)</w:t>
            </w:r>
          </w:p>
        </w:tc>
        <w:tc>
          <w:tcPr>
            <w:tcW w:w="2827" w:type="dxa"/>
          </w:tcPr>
          <w:p w14:paraId="36532F02" w14:textId="39A50C16" w:rsidR="0058758D" w:rsidRPr="00982AA7" w:rsidRDefault="009E2AF5"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4</w:t>
            </w:r>
            <w:r w:rsidR="002A270F" w:rsidRPr="00982AA7">
              <w:rPr>
                <w:iCs/>
                <w:color w:val="000000" w:themeColor="text1"/>
              </w:rPr>
              <w:t xml:space="preserve"> (80)</w:t>
            </w:r>
          </w:p>
        </w:tc>
      </w:tr>
      <w:tr w:rsidR="006961E7" w:rsidRPr="0058758D" w14:paraId="4183E307" w14:textId="77777777" w:rsidTr="00982AA7">
        <w:tc>
          <w:tcPr>
            <w:cnfStyle w:val="001000000000" w:firstRow="0" w:lastRow="0" w:firstColumn="1" w:lastColumn="0" w:oddVBand="0" w:evenVBand="0" w:oddHBand="0" w:evenHBand="0" w:firstRowFirstColumn="0" w:firstRowLastColumn="0" w:lastRowFirstColumn="0" w:lastRowLastColumn="0"/>
            <w:tcW w:w="3634" w:type="dxa"/>
          </w:tcPr>
          <w:p w14:paraId="67F79BE8" w14:textId="77777777" w:rsidR="006961E7" w:rsidRPr="00982AA7" w:rsidRDefault="006961E7" w:rsidP="00CE55B3">
            <w:pPr>
              <w:pStyle w:val="Body"/>
              <w:rPr>
                <w:b w:val="0"/>
                <w:bCs w:val="0"/>
                <w:iCs/>
                <w:color w:val="000000" w:themeColor="text1"/>
              </w:rPr>
            </w:pPr>
            <w:r w:rsidRPr="00982AA7">
              <w:rPr>
                <w:b w:val="0"/>
                <w:bCs w:val="0"/>
                <w:iCs/>
                <w:color w:val="000000" w:themeColor="text1"/>
              </w:rPr>
              <w:t>Hypotension</w:t>
            </w:r>
          </w:p>
        </w:tc>
        <w:tc>
          <w:tcPr>
            <w:tcW w:w="2827" w:type="dxa"/>
          </w:tcPr>
          <w:p w14:paraId="2124EE9F"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8 (31)</w:t>
            </w:r>
          </w:p>
        </w:tc>
        <w:tc>
          <w:tcPr>
            <w:tcW w:w="2827" w:type="dxa"/>
          </w:tcPr>
          <w:p w14:paraId="20E30D59"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3 (60)</w:t>
            </w:r>
          </w:p>
        </w:tc>
      </w:tr>
      <w:tr w:rsidR="0058758D" w:rsidRPr="0058758D" w14:paraId="3F00E835"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4" w:type="dxa"/>
          </w:tcPr>
          <w:p w14:paraId="02EC943C" w14:textId="77777777" w:rsidR="0058758D" w:rsidRPr="00982AA7" w:rsidRDefault="0058758D" w:rsidP="00CE55B3">
            <w:pPr>
              <w:pStyle w:val="Body"/>
              <w:rPr>
                <w:b w:val="0"/>
                <w:bCs w:val="0"/>
                <w:iCs/>
                <w:color w:val="000000" w:themeColor="text1"/>
              </w:rPr>
            </w:pPr>
            <w:r w:rsidRPr="00982AA7">
              <w:rPr>
                <w:b w:val="0"/>
                <w:bCs w:val="0"/>
                <w:iCs/>
                <w:color w:val="000000" w:themeColor="text1"/>
              </w:rPr>
              <w:t>Dyspnoea/difficulty breathing</w:t>
            </w:r>
          </w:p>
        </w:tc>
        <w:tc>
          <w:tcPr>
            <w:tcW w:w="2827" w:type="dxa"/>
          </w:tcPr>
          <w:p w14:paraId="48FF68AF" w14:textId="7A2676EE" w:rsidR="0058758D" w:rsidRPr="00982AA7" w:rsidRDefault="002A270F"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5 (19)</w:t>
            </w:r>
          </w:p>
        </w:tc>
        <w:tc>
          <w:tcPr>
            <w:tcW w:w="2827" w:type="dxa"/>
          </w:tcPr>
          <w:p w14:paraId="095FE5D6" w14:textId="15FA8D79" w:rsidR="0058758D" w:rsidRPr="00982AA7" w:rsidRDefault="009E2AF5"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3</w:t>
            </w:r>
            <w:r w:rsidR="002A270F" w:rsidRPr="00982AA7">
              <w:rPr>
                <w:iCs/>
                <w:color w:val="000000" w:themeColor="text1"/>
              </w:rPr>
              <w:t xml:space="preserve"> (60)</w:t>
            </w:r>
          </w:p>
        </w:tc>
      </w:tr>
      <w:tr w:rsidR="006961E7" w:rsidRPr="0058758D" w14:paraId="624BF417" w14:textId="77777777" w:rsidTr="00982AA7">
        <w:tc>
          <w:tcPr>
            <w:cnfStyle w:val="001000000000" w:firstRow="0" w:lastRow="0" w:firstColumn="1" w:lastColumn="0" w:oddVBand="0" w:evenVBand="0" w:oddHBand="0" w:evenHBand="0" w:firstRowFirstColumn="0" w:firstRowLastColumn="0" w:lastRowFirstColumn="0" w:lastRowLastColumn="0"/>
            <w:tcW w:w="3634" w:type="dxa"/>
          </w:tcPr>
          <w:p w14:paraId="0162D416" w14:textId="4F5EF388" w:rsidR="006961E7" w:rsidRPr="00982AA7" w:rsidRDefault="006961E7" w:rsidP="00CE55B3">
            <w:pPr>
              <w:pStyle w:val="Body"/>
              <w:rPr>
                <w:b w:val="0"/>
                <w:bCs w:val="0"/>
                <w:iCs/>
                <w:color w:val="000000" w:themeColor="text1"/>
              </w:rPr>
            </w:pPr>
            <w:r w:rsidRPr="00982AA7">
              <w:rPr>
                <w:b w:val="0"/>
                <w:bCs w:val="0"/>
                <w:iCs/>
                <w:color w:val="000000" w:themeColor="text1"/>
              </w:rPr>
              <w:t>Rigors</w:t>
            </w:r>
          </w:p>
        </w:tc>
        <w:tc>
          <w:tcPr>
            <w:tcW w:w="2827" w:type="dxa"/>
          </w:tcPr>
          <w:p w14:paraId="476EEFE9"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5 (19)</w:t>
            </w:r>
          </w:p>
        </w:tc>
        <w:tc>
          <w:tcPr>
            <w:tcW w:w="2827" w:type="dxa"/>
          </w:tcPr>
          <w:p w14:paraId="05F6A606"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w:t>
            </w:r>
          </w:p>
        </w:tc>
      </w:tr>
      <w:tr w:rsidR="0058758D" w:rsidRPr="0058758D" w14:paraId="73010172"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4" w:type="dxa"/>
          </w:tcPr>
          <w:p w14:paraId="156E2759" w14:textId="77777777" w:rsidR="0058758D" w:rsidRPr="00982AA7" w:rsidRDefault="0058758D" w:rsidP="00CE55B3">
            <w:pPr>
              <w:pStyle w:val="Body"/>
              <w:rPr>
                <w:b w:val="0"/>
                <w:bCs w:val="0"/>
                <w:iCs/>
                <w:color w:val="000000" w:themeColor="text1"/>
              </w:rPr>
            </w:pPr>
            <w:r w:rsidRPr="00982AA7">
              <w:rPr>
                <w:b w:val="0"/>
                <w:bCs w:val="0"/>
                <w:iCs/>
                <w:color w:val="000000" w:themeColor="text1"/>
              </w:rPr>
              <w:t>Tachycardia</w:t>
            </w:r>
          </w:p>
        </w:tc>
        <w:tc>
          <w:tcPr>
            <w:tcW w:w="2827" w:type="dxa"/>
          </w:tcPr>
          <w:p w14:paraId="3DE836D5" w14:textId="361FCE5B" w:rsidR="0058758D" w:rsidRPr="00982AA7" w:rsidRDefault="002A270F"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4 (15)</w:t>
            </w:r>
          </w:p>
        </w:tc>
        <w:tc>
          <w:tcPr>
            <w:tcW w:w="2827" w:type="dxa"/>
          </w:tcPr>
          <w:p w14:paraId="108C5762" w14:textId="18D462E1" w:rsidR="0058758D" w:rsidRPr="00982AA7" w:rsidRDefault="009E2AF5"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2</w:t>
            </w:r>
            <w:r w:rsidR="002A270F" w:rsidRPr="00982AA7">
              <w:rPr>
                <w:iCs/>
                <w:color w:val="000000" w:themeColor="text1"/>
              </w:rPr>
              <w:t xml:space="preserve"> (40)</w:t>
            </w:r>
          </w:p>
        </w:tc>
      </w:tr>
      <w:tr w:rsidR="006961E7" w:rsidRPr="0058758D" w14:paraId="3EDC7C83" w14:textId="77777777" w:rsidTr="00982AA7">
        <w:tc>
          <w:tcPr>
            <w:cnfStyle w:val="001000000000" w:firstRow="0" w:lastRow="0" w:firstColumn="1" w:lastColumn="0" w:oddVBand="0" w:evenVBand="0" w:oddHBand="0" w:evenHBand="0" w:firstRowFirstColumn="0" w:firstRowLastColumn="0" w:lastRowFirstColumn="0" w:lastRowLastColumn="0"/>
            <w:tcW w:w="3634" w:type="dxa"/>
          </w:tcPr>
          <w:p w14:paraId="24994F88" w14:textId="77777777" w:rsidR="006961E7" w:rsidRPr="00982AA7" w:rsidRDefault="006961E7" w:rsidP="00CE55B3">
            <w:pPr>
              <w:pStyle w:val="Body"/>
              <w:rPr>
                <w:b w:val="0"/>
                <w:bCs w:val="0"/>
                <w:iCs/>
                <w:color w:val="000000" w:themeColor="text1"/>
              </w:rPr>
            </w:pPr>
            <w:r w:rsidRPr="00982AA7">
              <w:rPr>
                <w:b w:val="0"/>
                <w:bCs w:val="0"/>
                <w:iCs/>
                <w:color w:val="000000" w:themeColor="text1"/>
              </w:rPr>
              <w:t>Respiratory wheeze</w:t>
            </w:r>
          </w:p>
        </w:tc>
        <w:tc>
          <w:tcPr>
            <w:tcW w:w="2827" w:type="dxa"/>
          </w:tcPr>
          <w:p w14:paraId="288CD4C5"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4 (15)</w:t>
            </w:r>
          </w:p>
        </w:tc>
        <w:tc>
          <w:tcPr>
            <w:tcW w:w="2827" w:type="dxa"/>
          </w:tcPr>
          <w:p w14:paraId="3DCB6488"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2 (40)</w:t>
            </w:r>
          </w:p>
        </w:tc>
      </w:tr>
      <w:tr w:rsidR="006961E7" w:rsidRPr="0058758D" w14:paraId="6A72144E"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4" w:type="dxa"/>
          </w:tcPr>
          <w:p w14:paraId="4F42530D" w14:textId="77777777" w:rsidR="006961E7" w:rsidRPr="00982AA7" w:rsidRDefault="006961E7" w:rsidP="00CE55B3">
            <w:pPr>
              <w:pStyle w:val="Body"/>
              <w:rPr>
                <w:b w:val="0"/>
                <w:bCs w:val="0"/>
                <w:iCs/>
                <w:color w:val="000000" w:themeColor="text1"/>
              </w:rPr>
            </w:pPr>
            <w:r w:rsidRPr="00982AA7">
              <w:rPr>
                <w:b w:val="0"/>
                <w:bCs w:val="0"/>
                <w:iCs/>
                <w:color w:val="000000" w:themeColor="text1"/>
              </w:rPr>
              <w:t>Nausea/vomiting</w:t>
            </w:r>
          </w:p>
        </w:tc>
        <w:tc>
          <w:tcPr>
            <w:tcW w:w="2827" w:type="dxa"/>
          </w:tcPr>
          <w:p w14:paraId="3E78EBC5" w14:textId="77777777" w:rsidR="006961E7" w:rsidRPr="00982AA7" w:rsidRDefault="006961E7"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2 (8)</w:t>
            </w:r>
          </w:p>
        </w:tc>
        <w:tc>
          <w:tcPr>
            <w:tcW w:w="2827" w:type="dxa"/>
          </w:tcPr>
          <w:p w14:paraId="3FF9BA6F" w14:textId="77777777" w:rsidR="006961E7" w:rsidRPr="00982AA7" w:rsidRDefault="006961E7"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3 (60)</w:t>
            </w:r>
          </w:p>
        </w:tc>
      </w:tr>
      <w:tr w:rsidR="006961E7" w:rsidRPr="0058758D" w14:paraId="4B13657B" w14:textId="77777777" w:rsidTr="00982AA7">
        <w:tc>
          <w:tcPr>
            <w:cnfStyle w:val="001000000000" w:firstRow="0" w:lastRow="0" w:firstColumn="1" w:lastColumn="0" w:oddVBand="0" w:evenVBand="0" w:oddHBand="0" w:evenHBand="0" w:firstRowFirstColumn="0" w:firstRowLastColumn="0" w:lastRowFirstColumn="0" w:lastRowLastColumn="0"/>
            <w:tcW w:w="3634" w:type="dxa"/>
          </w:tcPr>
          <w:p w14:paraId="1A9E450E" w14:textId="77777777" w:rsidR="006961E7" w:rsidRPr="00982AA7" w:rsidRDefault="006961E7" w:rsidP="00CE55B3">
            <w:pPr>
              <w:pStyle w:val="Body"/>
              <w:rPr>
                <w:b w:val="0"/>
                <w:bCs w:val="0"/>
                <w:iCs/>
                <w:color w:val="000000" w:themeColor="text1"/>
              </w:rPr>
            </w:pPr>
            <w:r w:rsidRPr="00982AA7">
              <w:rPr>
                <w:b w:val="0"/>
                <w:bCs w:val="0"/>
                <w:iCs/>
                <w:color w:val="000000" w:themeColor="text1"/>
              </w:rPr>
              <w:t>Restlessness/anxiety</w:t>
            </w:r>
          </w:p>
        </w:tc>
        <w:tc>
          <w:tcPr>
            <w:tcW w:w="2827" w:type="dxa"/>
          </w:tcPr>
          <w:p w14:paraId="44CBF47D"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2 (8)</w:t>
            </w:r>
          </w:p>
        </w:tc>
        <w:tc>
          <w:tcPr>
            <w:tcW w:w="2827" w:type="dxa"/>
          </w:tcPr>
          <w:p w14:paraId="5F6F4769"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2 (40)</w:t>
            </w:r>
          </w:p>
        </w:tc>
      </w:tr>
      <w:tr w:rsidR="006961E7" w:rsidRPr="0058758D" w14:paraId="373ABED8"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4" w:type="dxa"/>
          </w:tcPr>
          <w:p w14:paraId="1CE28002" w14:textId="77777777" w:rsidR="006961E7" w:rsidRPr="00982AA7" w:rsidRDefault="006961E7" w:rsidP="00CE55B3">
            <w:pPr>
              <w:pStyle w:val="Body"/>
              <w:rPr>
                <w:b w:val="0"/>
                <w:bCs w:val="0"/>
                <w:iCs/>
                <w:color w:val="000000" w:themeColor="text1"/>
              </w:rPr>
            </w:pPr>
            <w:r w:rsidRPr="00982AA7">
              <w:rPr>
                <w:b w:val="0"/>
                <w:bCs w:val="0"/>
                <w:iCs/>
                <w:color w:val="000000" w:themeColor="text1"/>
              </w:rPr>
              <w:t>Chills</w:t>
            </w:r>
          </w:p>
        </w:tc>
        <w:tc>
          <w:tcPr>
            <w:tcW w:w="2827" w:type="dxa"/>
          </w:tcPr>
          <w:p w14:paraId="38559D93" w14:textId="77777777" w:rsidR="006961E7" w:rsidRPr="00982AA7" w:rsidRDefault="006961E7"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2 (8)</w:t>
            </w:r>
          </w:p>
        </w:tc>
        <w:tc>
          <w:tcPr>
            <w:tcW w:w="2827" w:type="dxa"/>
          </w:tcPr>
          <w:p w14:paraId="478AE9DE" w14:textId="77777777" w:rsidR="006961E7" w:rsidRPr="00982AA7" w:rsidRDefault="006961E7"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1 (20)</w:t>
            </w:r>
          </w:p>
        </w:tc>
      </w:tr>
      <w:tr w:rsidR="0058758D" w:rsidRPr="0058758D" w14:paraId="148B5393" w14:textId="77777777" w:rsidTr="00982AA7">
        <w:tc>
          <w:tcPr>
            <w:cnfStyle w:val="001000000000" w:firstRow="0" w:lastRow="0" w:firstColumn="1" w:lastColumn="0" w:oddVBand="0" w:evenVBand="0" w:oddHBand="0" w:evenHBand="0" w:firstRowFirstColumn="0" w:firstRowLastColumn="0" w:lastRowFirstColumn="0" w:lastRowLastColumn="0"/>
            <w:tcW w:w="3634" w:type="dxa"/>
          </w:tcPr>
          <w:p w14:paraId="311CA75C" w14:textId="77777777" w:rsidR="0058758D" w:rsidRPr="00982AA7" w:rsidRDefault="0058758D" w:rsidP="00CE55B3">
            <w:pPr>
              <w:pStyle w:val="Body"/>
              <w:rPr>
                <w:b w:val="0"/>
                <w:bCs w:val="0"/>
                <w:iCs/>
                <w:color w:val="000000" w:themeColor="text1"/>
              </w:rPr>
            </w:pPr>
            <w:r w:rsidRPr="00982AA7">
              <w:rPr>
                <w:b w:val="0"/>
                <w:bCs w:val="0"/>
                <w:iCs/>
                <w:color w:val="000000" w:themeColor="text1"/>
              </w:rPr>
              <w:t>Fever</w:t>
            </w:r>
          </w:p>
        </w:tc>
        <w:tc>
          <w:tcPr>
            <w:tcW w:w="2827" w:type="dxa"/>
          </w:tcPr>
          <w:p w14:paraId="334D4D83" w14:textId="596A2214" w:rsidR="0058758D" w:rsidRPr="00982AA7" w:rsidRDefault="002A270F"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2 (8)</w:t>
            </w:r>
          </w:p>
        </w:tc>
        <w:tc>
          <w:tcPr>
            <w:tcW w:w="2827" w:type="dxa"/>
          </w:tcPr>
          <w:p w14:paraId="37A3734E" w14:textId="6C19259C" w:rsidR="0058758D" w:rsidRPr="00982AA7" w:rsidRDefault="002A270F"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w:t>
            </w:r>
          </w:p>
        </w:tc>
      </w:tr>
      <w:tr w:rsidR="0058758D" w:rsidRPr="0058758D" w14:paraId="3BF59B3F"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4" w:type="dxa"/>
          </w:tcPr>
          <w:p w14:paraId="4011F8E2" w14:textId="77777777" w:rsidR="0058758D" w:rsidRPr="00982AA7" w:rsidRDefault="0058758D" w:rsidP="00CE55B3">
            <w:pPr>
              <w:pStyle w:val="Body"/>
              <w:rPr>
                <w:b w:val="0"/>
                <w:bCs w:val="0"/>
                <w:iCs/>
                <w:color w:val="000000" w:themeColor="text1"/>
              </w:rPr>
            </w:pPr>
            <w:r w:rsidRPr="00982AA7">
              <w:rPr>
                <w:b w:val="0"/>
                <w:bCs w:val="0"/>
                <w:iCs/>
                <w:color w:val="000000" w:themeColor="text1"/>
              </w:rPr>
              <w:t>Chest pain/discomfort</w:t>
            </w:r>
          </w:p>
        </w:tc>
        <w:tc>
          <w:tcPr>
            <w:tcW w:w="2827" w:type="dxa"/>
          </w:tcPr>
          <w:p w14:paraId="0C85BEB6" w14:textId="29767ACC" w:rsidR="0058758D" w:rsidRPr="00982AA7" w:rsidRDefault="002A270F"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2 (8)</w:t>
            </w:r>
          </w:p>
        </w:tc>
        <w:tc>
          <w:tcPr>
            <w:tcW w:w="2827" w:type="dxa"/>
          </w:tcPr>
          <w:p w14:paraId="01F1FFF9" w14:textId="11B91B5B" w:rsidR="0058758D" w:rsidRPr="00982AA7" w:rsidRDefault="002A270F" w:rsidP="00CE55B3">
            <w:pPr>
              <w:pStyle w:val="Body"/>
              <w:jc w:val="center"/>
              <w:cnfStyle w:val="000000100000" w:firstRow="0" w:lastRow="0" w:firstColumn="0" w:lastColumn="0" w:oddVBand="0" w:evenVBand="0" w:oddHBand="1" w:evenHBand="0" w:firstRowFirstColumn="0" w:firstRowLastColumn="0" w:lastRowFirstColumn="0" w:lastRowLastColumn="0"/>
              <w:rPr>
                <w:iCs/>
                <w:color w:val="000000" w:themeColor="text1"/>
              </w:rPr>
            </w:pPr>
            <w:r w:rsidRPr="00982AA7">
              <w:rPr>
                <w:iCs/>
                <w:color w:val="000000" w:themeColor="text1"/>
              </w:rPr>
              <w:t>-</w:t>
            </w:r>
          </w:p>
        </w:tc>
      </w:tr>
      <w:tr w:rsidR="006961E7" w:rsidRPr="0058758D" w14:paraId="13133FE8" w14:textId="77777777" w:rsidTr="00982AA7">
        <w:tc>
          <w:tcPr>
            <w:cnfStyle w:val="001000000000" w:firstRow="0" w:lastRow="0" w:firstColumn="1" w:lastColumn="0" w:oddVBand="0" w:evenVBand="0" w:oddHBand="0" w:evenHBand="0" w:firstRowFirstColumn="0" w:firstRowLastColumn="0" w:lastRowFirstColumn="0" w:lastRowLastColumn="0"/>
            <w:tcW w:w="3634" w:type="dxa"/>
          </w:tcPr>
          <w:p w14:paraId="2588F60D" w14:textId="77777777" w:rsidR="006961E7" w:rsidRPr="00982AA7" w:rsidRDefault="006961E7" w:rsidP="00CE55B3">
            <w:pPr>
              <w:pStyle w:val="Body"/>
              <w:rPr>
                <w:b w:val="0"/>
                <w:bCs w:val="0"/>
                <w:iCs/>
                <w:color w:val="000000" w:themeColor="text1"/>
              </w:rPr>
            </w:pPr>
            <w:r w:rsidRPr="00982AA7">
              <w:rPr>
                <w:b w:val="0"/>
                <w:bCs w:val="0"/>
                <w:iCs/>
                <w:color w:val="000000" w:themeColor="text1"/>
              </w:rPr>
              <w:t>Hypertension</w:t>
            </w:r>
          </w:p>
        </w:tc>
        <w:tc>
          <w:tcPr>
            <w:tcW w:w="2827" w:type="dxa"/>
          </w:tcPr>
          <w:p w14:paraId="12540853"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1 (4)</w:t>
            </w:r>
          </w:p>
        </w:tc>
        <w:tc>
          <w:tcPr>
            <w:tcW w:w="2827" w:type="dxa"/>
          </w:tcPr>
          <w:p w14:paraId="3CD00316" w14:textId="77777777" w:rsidR="006961E7" w:rsidRPr="00982AA7" w:rsidRDefault="006961E7" w:rsidP="00CE55B3">
            <w:pPr>
              <w:pStyle w:val="Body"/>
              <w:jc w:val="center"/>
              <w:cnfStyle w:val="000000000000" w:firstRow="0" w:lastRow="0" w:firstColumn="0" w:lastColumn="0" w:oddVBand="0" w:evenVBand="0" w:oddHBand="0" w:evenHBand="0" w:firstRowFirstColumn="0" w:firstRowLastColumn="0" w:lastRowFirstColumn="0" w:lastRowLastColumn="0"/>
              <w:rPr>
                <w:iCs/>
                <w:color w:val="000000" w:themeColor="text1"/>
              </w:rPr>
            </w:pPr>
            <w:r w:rsidRPr="00982AA7">
              <w:rPr>
                <w:iCs/>
                <w:color w:val="000000" w:themeColor="text1"/>
              </w:rPr>
              <w:t>-</w:t>
            </w:r>
          </w:p>
        </w:tc>
      </w:tr>
    </w:tbl>
    <w:p w14:paraId="12AC393B" w14:textId="721CA24C" w:rsidR="009431A3" w:rsidRDefault="009431A3" w:rsidP="00CE55B3">
      <w:pPr>
        <w:pStyle w:val="Tablecaption"/>
      </w:pPr>
      <w:bookmarkStart w:id="45" w:name="_Hlk108005178"/>
      <w:r w:rsidRPr="00E11715">
        <w:lastRenderedPageBreak/>
        <w:t>Table 1</w:t>
      </w:r>
      <w:r w:rsidR="00A9310D">
        <w:t>5:</w:t>
      </w:r>
      <w:r w:rsidRPr="00E11715">
        <w:t xml:space="preserve"> Reported </w:t>
      </w:r>
      <w:r w:rsidRPr="00A9310D">
        <w:t>treatments</w:t>
      </w:r>
      <w:r w:rsidRPr="00E11715">
        <w:t xml:space="preserve"> for allergic/anaphylactic</w:t>
      </w:r>
      <w:bookmarkEnd w:id="45"/>
    </w:p>
    <w:tbl>
      <w:tblPr>
        <w:tblStyle w:val="GridTable6Colorful-Accent2"/>
        <w:tblW w:w="0" w:type="auto"/>
        <w:tblLook w:val="04A0" w:firstRow="1" w:lastRow="0" w:firstColumn="1" w:lastColumn="0" w:noHBand="0" w:noVBand="1"/>
      </w:tblPr>
      <w:tblGrid>
        <w:gridCol w:w="3634"/>
        <w:gridCol w:w="2827"/>
        <w:gridCol w:w="2827"/>
      </w:tblGrid>
      <w:tr w:rsidR="0058758D" w:rsidRPr="0058758D" w14:paraId="336D951D"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3339A24" w14:textId="77777777" w:rsidR="0058758D" w:rsidRPr="00CE55B3" w:rsidRDefault="0058758D" w:rsidP="00FD75FB">
            <w:pPr>
              <w:pStyle w:val="Tablecolhead"/>
              <w:rPr>
                <w:b/>
                <w:bCs w:val="0"/>
              </w:rPr>
            </w:pPr>
            <w:r w:rsidRPr="00CE55B3">
              <w:t>Treatment</w:t>
            </w:r>
          </w:p>
        </w:tc>
        <w:tc>
          <w:tcPr>
            <w:tcW w:w="0" w:type="dxa"/>
          </w:tcPr>
          <w:p w14:paraId="3DAD048F" w14:textId="07675DC5" w:rsidR="0058758D" w:rsidRPr="00CE55B3" w:rsidRDefault="0058758D"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 xml:space="preserve">Allergy, n = </w:t>
            </w:r>
            <w:r w:rsidR="006961E7" w:rsidRPr="00CE55B3">
              <w:t xml:space="preserve">26 </w:t>
            </w:r>
            <w:r w:rsidRPr="00CE55B3">
              <w:t>(%)</w:t>
            </w:r>
          </w:p>
        </w:tc>
        <w:tc>
          <w:tcPr>
            <w:tcW w:w="0" w:type="dxa"/>
          </w:tcPr>
          <w:p w14:paraId="3194C59B" w14:textId="5427FAA8" w:rsidR="0058758D" w:rsidRPr="00CE55B3" w:rsidRDefault="0058758D"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 xml:space="preserve">Anaphylactic, n = </w:t>
            </w:r>
            <w:r w:rsidR="006961E7" w:rsidRPr="00CE55B3">
              <w:t xml:space="preserve">5 </w:t>
            </w:r>
            <w:r w:rsidRPr="00CE55B3">
              <w:t>(%)</w:t>
            </w:r>
          </w:p>
        </w:tc>
      </w:tr>
      <w:tr w:rsidR="00502011" w:rsidRPr="0058758D" w14:paraId="710F9B3F"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4" w:type="dxa"/>
          </w:tcPr>
          <w:p w14:paraId="550D038B" w14:textId="77777777" w:rsidR="00502011" w:rsidRPr="00982AA7" w:rsidRDefault="00502011" w:rsidP="00B06F40">
            <w:pPr>
              <w:pStyle w:val="Body"/>
              <w:keepNext/>
              <w:rPr>
                <w:b w:val="0"/>
                <w:bCs w:val="0"/>
                <w:color w:val="000000" w:themeColor="text1"/>
              </w:rPr>
            </w:pPr>
            <w:r w:rsidRPr="00982AA7">
              <w:rPr>
                <w:b w:val="0"/>
                <w:bCs w:val="0"/>
                <w:color w:val="000000" w:themeColor="text1"/>
              </w:rPr>
              <w:t>Antihistamines</w:t>
            </w:r>
          </w:p>
        </w:tc>
        <w:tc>
          <w:tcPr>
            <w:tcW w:w="2827" w:type="dxa"/>
          </w:tcPr>
          <w:p w14:paraId="6F4DDE5C" w14:textId="77777777" w:rsidR="00502011" w:rsidRPr="00982AA7" w:rsidRDefault="00502011"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15 (58)</w:t>
            </w:r>
          </w:p>
        </w:tc>
        <w:tc>
          <w:tcPr>
            <w:tcW w:w="2827" w:type="dxa"/>
          </w:tcPr>
          <w:p w14:paraId="195871BA" w14:textId="77777777" w:rsidR="00502011" w:rsidRPr="00982AA7" w:rsidRDefault="00502011"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3 (60)</w:t>
            </w:r>
          </w:p>
        </w:tc>
      </w:tr>
      <w:tr w:rsidR="0058758D" w:rsidRPr="0058758D" w14:paraId="779663E7" w14:textId="77777777" w:rsidTr="00982AA7">
        <w:tc>
          <w:tcPr>
            <w:cnfStyle w:val="001000000000" w:firstRow="0" w:lastRow="0" w:firstColumn="1" w:lastColumn="0" w:oddVBand="0" w:evenVBand="0" w:oddHBand="0" w:evenHBand="0" w:firstRowFirstColumn="0" w:firstRowLastColumn="0" w:lastRowFirstColumn="0" w:lastRowLastColumn="0"/>
            <w:tcW w:w="3634" w:type="dxa"/>
          </w:tcPr>
          <w:p w14:paraId="0DFE5028" w14:textId="77777777" w:rsidR="0058758D" w:rsidRPr="00982AA7" w:rsidRDefault="0058758D" w:rsidP="00B06F40">
            <w:pPr>
              <w:pStyle w:val="Body"/>
              <w:keepNext/>
              <w:rPr>
                <w:b w:val="0"/>
                <w:bCs w:val="0"/>
                <w:color w:val="000000" w:themeColor="text1"/>
              </w:rPr>
            </w:pPr>
            <w:r w:rsidRPr="00982AA7">
              <w:rPr>
                <w:b w:val="0"/>
                <w:bCs w:val="0"/>
                <w:color w:val="000000" w:themeColor="text1"/>
              </w:rPr>
              <w:t>Steroids</w:t>
            </w:r>
          </w:p>
        </w:tc>
        <w:tc>
          <w:tcPr>
            <w:tcW w:w="2827" w:type="dxa"/>
          </w:tcPr>
          <w:p w14:paraId="7055C11B" w14:textId="0A62232E" w:rsidR="0058758D" w:rsidRPr="00982AA7" w:rsidRDefault="00502011"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13 (50)</w:t>
            </w:r>
          </w:p>
        </w:tc>
        <w:tc>
          <w:tcPr>
            <w:tcW w:w="2827" w:type="dxa"/>
          </w:tcPr>
          <w:p w14:paraId="24DE19F4" w14:textId="081E2755" w:rsidR="0058758D" w:rsidRPr="00982AA7" w:rsidRDefault="006961E7"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3</w:t>
            </w:r>
            <w:r w:rsidR="00502011" w:rsidRPr="00982AA7">
              <w:rPr>
                <w:color w:val="000000" w:themeColor="text1"/>
              </w:rPr>
              <w:t xml:space="preserve"> (60)</w:t>
            </w:r>
          </w:p>
        </w:tc>
      </w:tr>
      <w:tr w:rsidR="0058758D" w:rsidRPr="0058758D" w14:paraId="46A5C36F"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4" w:type="dxa"/>
          </w:tcPr>
          <w:p w14:paraId="6D80C0B5" w14:textId="77777777" w:rsidR="0058758D" w:rsidRPr="00982AA7" w:rsidRDefault="0058758D" w:rsidP="00B06F40">
            <w:pPr>
              <w:pStyle w:val="Body"/>
              <w:keepNext/>
              <w:rPr>
                <w:b w:val="0"/>
                <w:bCs w:val="0"/>
                <w:color w:val="000000" w:themeColor="text1"/>
              </w:rPr>
            </w:pPr>
            <w:r w:rsidRPr="00982AA7">
              <w:rPr>
                <w:b w:val="0"/>
                <w:bCs w:val="0"/>
                <w:color w:val="000000" w:themeColor="text1"/>
              </w:rPr>
              <w:t>Inotropes/pressor agents</w:t>
            </w:r>
          </w:p>
        </w:tc>
        <w:tc>
          <w:tcPr>
            <w:tcW w:w="2827" w:type="dxa"/>
          </w:tcPr>
          <w:p w14:paraId="7F6DE127" w14:textId="12226504" w:rsidR="0058758D" w:rsidRPr="00982AA7" w:rsidRDefault="00502011"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6 (23)</w:t>
            </w:r>
          </w:p>
        </w:tc>
        <w:tc>
          <w:tcPr>
            <w:tcW w:w="2827" w:type="dxa"/>
          </w:tcPr>
          <w:p w14:paraId="356389AF" w14:textId="5D0782A8" w:rsidR="0058758D" w:rsidRPr="00982AA7" w:rsidRDefault="00502011"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5 (100)</w:t>
            </w:r>
          </w:p>
        </w:tc>
      </w:tr>
      <w:tr w:rsidR="0058758D" w:rsidRPr="0058758D" w14:paraId="7A2113EA" w14:textId="77777777" w:rsidTr="00982AA7">
        <w:tc>
          <w:tcPr>
            <w:cnfStyle w:val="001000000000" w:firstRow="0" w:lastRow="0" w:firstColumn="1" w:lastColumn="0" w:oddVBand="0" w:evenVBand="0" w:oddHBand="0" w:evenHBand="0" w:firstRowFirstColumn="0" w:firstRowLastColumn="0" w:lastRowFirstColumn="0" w:lastRowLastColumn="0"/>
            <w:tcW w:w="3634" w:type="dxa"/>
          </w:tcPr>
          <w:p w14:paraId="60475064" w14:textId="77777777" w:rsidR="0058758D" w:rsidRPr="00982AA7" w:rsidRDefault="0058758D" w:rsidP="00B06F40">
            <w:pPr>
              <w:pStyle w:val="Body"/>
              <w:keepNext/>
              <w:rPr>
                <w:b w:val="0"/>
                <w:bCs w:val="0"/>
                <w:color w:val="000000" w:themeColor="text1"/>
              </w:rPr>
            </w:pPr>
            <w:r w:rsidRPr="00982AA7">
              <w:rPr>
                <w:b w:val="0"/>
                <w:bCs w:val="0"/>
                <w:color w:val="000000" w:themeColor="text1"/>
              </w:rPr>
              <w:t>Intravenous (IV) fluids</w:t>
            </w:r>
          </w:p>
        </w:tc>
        <w:tc>
          <w:tcPr>
            <w:tcW w:w="2827" w:type="dxa"/>
          </w:tcPr>
          <w:p w14:paraId="2AE3E8B7" w14:textId="0F731207" w:rsidR="0058758D" w:rsidRPr="00982AA7" w:rsidRDefault="00502011"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5 (19)</w:t>
            </w:r>
          </w:p>
        </w:tc>
        <w:tc>
          <w:tcPr>
            <w:tcW w:w="2827" w:type="dxa"/>
          </w:tcPr>
          <w:p w14:paraId="04638CE6" w14:textId="4431A028" w:rsidR="0058758D" w:rsidRPr="00982AA7" w:rsidRDefault="006961E7"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w:t>
            </w:r>
            <w:r w:rsidR="00502011" w:rsidRPr="00982AA7">
              <w:rPr>
                <w:color w:val="000000" w:themeColor="text1"/>
              </w:rPr>
              <w:t xml:space="preserve"> (40)</w:t>
            </w:r>
          </w:p>
        </w:tc>
      </w:tr>
      <w:tr w:rsidR="0058758D" w:rsidRPr="0058758D" w14:paraId="14BCCB7B"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34" w:type="dxa"/>
          </w:tcPr>
          <w:p w14:paraId="6205F955" w14:textId="77777777" w:rsidR="0058758D" w:rsidRPr="00982AA7" w:rsidRDefault="0058758D" w:rsidP="00B06F40">
            <w:pPr>
              <w:pStyle w:val="Body"/>
              <w:keepNext/>
              <w:rPr>
                <w:b w:val="0"/>
                <w:bCs w:val="0"/>
                <w:color w:val="000000" w:themeColor="text1"/>
              </w:rPr>
            </w:pPr>
            <w:r w:rsidRPr="00982AA7">
              <w:rPr>
                <w:b w:val="0"/>
                <w:bCs w:val="0"/>
                <w:color w:val="000000" w:themeColor="text1"/>
              </w:rPr>
              <w:t>Oxygen</w:t>
            </w:r>
          </w:p>
        </w:tc>
        <w:tc>
          <w:tcPr>
            <w:tcW w:w="2827" w:type="dxa"/>
          </w:tcPr>
          <w:p w14:paraId="1A3B1F80" w14:textId="0D3463DC" w:rsidR="0058758D" w:rsidRPr="00982AA7" w:rsidRDefault="00502011"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4 (15)</w:t>
            </w:r>
          </w:p>
        </w:tc>
        <w:tc>
          <w:tcPr>
            <w:tcW w:w="2827" w:type="dxa"/>
          </w:tcPr>
          <w:p w14:paraId="6934415F" w14:textId="30A93845" w:rsidR="0058758D" w:rsidRPr="00982AA7" w:rsidRDefault="00502011"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 (40)</w:t>
            </w:r>
          </w:p>
        </w:tc>
      </w:tr>
      <w:tr w:rsidR="0058758D" w:rsidRPr="0058758D" w14:paraId="591AD5FD" w14:textId="77777777" w:rsidTr="00982AA7">
        <w:tc>
          <w:tcPr>
            <w:cnfStyle w:val="001000000000" w:firstRow="0" w:lastRow="0" w:firstColumn="1" w:lastColumn="0" w:oddVBand="0" w:evenVBand="0" w:oddHBand="0" w:evenHBand="0" w:firstRowFirstColumn="0" w:firstRowLastColumn="0" w:lastRowFirstColumn="0" w:lastRowLastColumn="0"/>
            <w:tcW w:w="3634" w:type="dxa"/>
          </w:tcPr>
          <w:p w14:paraId="29D6EBBA" w14:textId="77777777" w:rsidR="0058758D" w:rsidRPr="00982AA7" w:rsidRDefault="0058758D" w:rsidP="00B06F40">
            <w:pPr>
              <w:pStyle w:val="Body"/>
              <w:keepNext/>
              <w:rPr>
                <w:b w:val="0"/>
                <w:bCs w:val="0"/>
                <w:color w:val="000000" w:themeColor="text1"/>
              </w:rPr>
            </w:pPr>
            <w:r w:rsidRPr="00982AA7">
              <w:rPr>
                <w:b w:val="0"/>
                <w:bCs w:val="0"/>
                <w:color w:val="000000" w:themeColor="text1"/>
              </w:rPr>
              <w:t>Antipyretics</w:t>
            </w:r>
          </w:p>
        </w:tc>
        <w:tc>
          <w:tcPr>
            <w:tcW w:w="2827" w:type="dxa"/>
          </w:tcPr>
          <w:p w14:paraId="351E0155" w14:textId="4F8F78DB" w:rsidR="0058758D" w:rsidRPr="00982AA7" w:rsidRDefault="00502011"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4 (15)</w:t>
            </w:r>
          </w:p>
        </w:tc>
        <w:tc>
          <w:tcPr>
            <w:tcW w:w="2827" w:type="dxa"/>
          </w:tcPr>
          <w:p w14:paraId="5B25EDA6" w14:textId="09933A42" w:rsidR="0058758D" w:rsidRPr="00982AA7" w:rsidRDefault="006961E7"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r w:rsidR="00502011" w:rsidRPr="00982AA7">
              <w:rPr>
                <w:color w:val="000000" w:themeColor="text1"/>
              </w:rPr>
              <w:t xml:space="preserve"> (20)</w:t>
            </w:r>
          </w:p>
        </w:tc>
      </w:tr>
    </w:tbl>
    <w:p w14:paraId="3BFC037E" w14:textId="77777777" w:rsidR="00FD75FB" w:rsidRDefault="00FD75FB" w:rsidP="009431A3">
      <w:pPr>
        <w:pStyle w:val="Body"/>
        <w:rPr>
          <w:b/>
          <w:bCs/>
        </w:rPr>
      </w:pPr>
    </w:p>
    <w:tbl>
      <w:tblPr>
        <w:tblStyle w:val="TableGrid"/>
        <w:tblW w:w="0" w:type="auto"/>
        <w:tblLook w:val="04A0" w:firstRow="1" w:lastRow="0" w:firstColumn="1" w:lastColumn="0" w:noHBand="0" w:noVBand="1"/>
      </w:tblPr>
      <w:tblGrid>
        <w:gridCol w:w="9288"/>
      </w:tblGrid>
      <w:tr w:rsidR="00FD75FB" w14:paraId="7D5E9602" w14:textId="77777777" w:rsidTr="00FD75FB">
        <w:tc>
          <w:tcPr>
            <w:tcW w:w="9288" w:type="dxa"/>
          </w:tcPr>
          <w:p w14:paraId="24828FDB" w14:textId="77777777" w:rsidR="00FD75FB" w:rsidRDefault="00FD75FB" w:rsidP="00CE55B3">
            <w:pPr>
              <w:pStyle w:val="Boxheading"/>
              <w:keepNext w:val="0"/>
              <w:keepLines w:val="0"/>
            </w:pPr>
            <w:bookmarkStart w:id="46" w:name="_Toc174439913"/>
            <w:r w:rsidRPr="00034F2E">
              <w:t>Case stud</w:t>
            </w:r>
            <w:r>
              <w:t>y 2: Anaphylactic reaction to FFP</w:t>
            </w:r>
            <w:bookmarkEnd w:id="46"/>
          </w:p>
          <w:p w14:paraId="2B1F31DF" w14:textId="77777777" w:rsidR="00FD75FB" w:rsidRDefault="00FD75FB" w:rsidP="00FD75FB">
            <w:pPr>
              <w:pStyle w:val="Body"/>
            </w:pPr>
            <w:r w:rsidRPr="00034F2E">
              <w:t xml:space="preserve">An elderly man attended for a neurological surgical procedure. </w:t>
            </w:r>
          </w:p>
          <w:p w14:paraId="469FCA75" w14:textId="77777777" w:rsidR="00FD75FB" w:rsidRDefault="00FD75FB" w:rsidP="00FD75FB">
            <w:pPr>
              <w:pStyle w:val="Body"/>
            </w:pPr>
            <w:r w:rsidRPr="00034F2E">
              <w:t>Two days prior to surgery and external to the health service</w:t>
            </w:r>
            <w:r>
              <w:t>,</w:t>
            </w:r>
            <w:r w:rsidRPr="00034F2E">
              <w:t xml:space="preserve"> an</w:t>
            </w:r>
            <w:r>
              <w:t xml:space="preserve"> </w:t>
            </w:r>
            <w:r w:rsidRPr="00034F2E">
              <w:t xml:space="preserve">INR was taken, with a result of 1.5. </w:t>
            </w:r>
          </w:p>
          <w:p w14:paraId="4C764820" w14:textId="6007B861" w:rsidR="00FD75FB" w:rsidRDefault="00FD75FB" w:rsidP="00FD75FB">
            <w:pPr>
              <w:pStyle w:val="Body"/>
            </w:pPr>
            <w:r w:rsidRPr="00034F2E">
              <w:t>On the day of surgery another INR was taken</w:t>
            </w:r>
            <w:r>
              <w:t>.</w:t>
            </w:r>
            <w:r w:rsidRPr="00034F2E">
              <w:t xml:space="preserve"> </w:t>
            </w:r>
            <w:r>
              <w:t xml:space="preserve">However, </w:t>
            </w:r>
            <w:r w:rsidRPr="00034F2E">
              <w:t>the patient was prescribed FFP</w:t>
            </w:r>
            <w:r>
              <w:t xml:space="preserve"> </w:t>
            </w:r>
            <w:r w:rsidRPr="00034F2E">
              <w:t xml:space="preserve">before results were available. </w:t>
            </w:r>
          </w:p>
          <w:p w14:paraId="657A17D9" w14:textId="77777777" w:rsidR="00FD75FB" w:rsidRDefault="00FD75FB" w:rsidP="00FD75FB">
            <w:pPr>
              <w:pStyle w:val="Body"/>
            </w:pPr>
            <w:r w:rsidRPr="00034F2E">
              <w:t xml:space="preserve">The INR, not seen by medical staff before ordering the transfusion, was 1.3 (normal). </w:t>
            </w:r>
          </w:p>
          <w:p w14:paraId="5231CB92" w14:textId="77777777" w:rsidR="00FD75FB" w:rsidRDefault="00FD75FB" w:rsidP="00FD75FB">
            <w:pPr>
              <w:pStyle w:val="Body"/>
            </w:pPr>
            <w:r w:rsidRPr="00034F2E">
              <w:t xml:space="preserve">The transfusion was commenced on the ward prior to surgery. </w:t>
            </w:r>
          </w:p>
          <w:p w14:paraId="5C7EE334" w14:textId="77777777" w:rsidR="00FD75FB" w:rsidRDefault="00FD75FB" w:rsidP="00FD75FB">
            <w:pPr>
              <w:pStyle w:val="Body"/>
            </w:pPr>
            <w:r w:rsidRPr="00034F2E">
              <w:t>Approximately 15 minutes into the transfusion</w:t>
            </w:r>
            <w:r>
              <w:t>,</w:t>
            </w:r>
            <w:r w:rsidRPr="00034F2E">
              <w:t xml:space="preserve"> the patient developed an extensive itching rash, anxiety</w:t>
            </w:r>
            <w:r>
              <w:t xml:space="preserve">, </w:t>
            </w:r>
            <w:r w:rsidRPr="00034F2E">
              <w:t xml:space="preserve">restlessness, and hypotension. </w:t>
            </w:r>
          </w:p>
          <w:p w14:paraId="468EAAD7" w14:textId="77777777" w:rsidR="00FD75FB" w:rsidRDefault="00FD75FB" w:rsidP="00FD75FB">
            <w:pPr>
              <w:pStyle w:val="Body"/>
            </w:pPr>
            <w:r w:rsidRPr="00034F2E">
              <w:t xml:space="preserve">The transfusion was </w:t>
            </w:r>
            <w:r w:rsidRPr="00FD75FB">
              <w:t>stopped</w:t>
            </w:r>
            <w:r w:rsidRPr="00034F2E">
              <w:t>, a MET call made</w:t>
            </w:r>
            <w:r>
              <w:t>,</w:t>
            </w:r>
            <w:r w:rsidRPr="00034F2E">
              <w:t xml:space="preserve"> and the patient was treated with antihistamine, steroids,</w:t>
            </w:r>
            <w:r>
              <w:t xml:space="preserve"> intravenous</w:t>
            </w:r>
            <w:r w:rsidRPr="00034F2E">
              <w:t xml:space="preserve"> </w:t>
            </w:r>
            <w:r>
              <w:t>(</w:t>
            </w:r>
            <w:r w:rsidRPr="00034F2E">
              <w:t>IV</w:t>
            </w:r>
            <w:r>
              <w:t>)</w:t>
            </w:r>
            <w:r w:rsidRPr="00034F2E">
              <w:t xml:space="preserve"> fluids for volume support and two doses</w:t>
            </w:r>
            <w:r>
              <w:t xml:space="preserve"> intramuscular</w:t>
            </w:r>
            <w:r w:rsidRPr="00034F2E">
              <w:t xml:space="preserve"> </w:t>
            </w:r>
            <w:r>
              <w:t>(</w:t>
            </w:r>
            <w:r w:rsidRPr="00034F2E">
              <w:t>IM</w:t>
            </w:r>
            <w:r>
              <w:t>)</w:t>
            </w:r>
            <w:r w:rsidRPr="00034F2E">
              <w:t xml:space="preserve"> adrenaline. </w:t>
            </w:r>
          </w:p>
          <w:p w14:paraId="64A51A4E" w14:textId="77777777" w:rsidR="00FD75FB" w:rsidRDefault="00FD75FB" w:rsidP="00FD75FB">
            <w:pPr>
              <w:pStyle w:val="Body"/>
            </w:pPr>
            <w:r w:rsidRPr="00034F2E">
              <w:t xml:space="preserve">There was a further escalation of care when </w:t>
            </w:r>
            <w:r>
              <w:t xml:space="preserve">the </w:t>
            </w:r>
            <w:r w:rsidRPr="00034F2E">
              <w:t xml:space="preserve">blood pressure dropped further. </w:t>
            </w:r>
          </w:p>
          <w:p w14:paraId="4D3D2F5E" w14:textId="77777777" w:rsidR="00FD75FB" w:rsidRDefault="00FD75FB" w:rsidP="00FD75FB">
            <w:pPr>
              <w:pStyle w:val="Body"/>
            </w:pPr>
            <w:r w:rsidRPr="00034F2E">
              <w:t>Investigation showed a normal IgA level (tested on post-transfusion sample, as no suitable pre-transfusion specimen was available) and an elevated tryptase (46.8</w:t>
            </w:r>
            <w:r>
              <w:t xml:space="preserve"> </w:t>
            </w:r>
            <w:r w:rsidRPr="00034F2E">
              <w:t xml:space="preserve">mcg/L). </w:t>
            </w:r>
          </w:p>
          <w:p w14:paraId="3FD58273" w14:textId="501EEB7E" w:rsidR="00FD75FB" w:rsidRPr="00034F2E" w:rsidRDefault="00FD75FB" w:rsidP="00CE55B3">
            <w:pPr>
              <w:pStyle w:val="Body"/>
            </w:pPr>
            <w:r w:rsidRPr="00034F2E">
              <w:t xml:space="preserve">The patient required </w:t>
            </w:r>
            <w:r>
              <w:t>intensive care unit (</w:t>
            </w:r>
            <w:r w:rsidRPr="00034F2E">
              <w:t>ICU</w:t>
            </w:r>
            <w:r>
              <w:t>)</w:t>
            </w:r>
            <w:r w:rsidRPr="00034F2E">
              <w:t xml:space="preserve"> admission for the reaction and surgery was deferred.</w:t>
            </w:r>
          </w:p>
          <w:p w14:paraId="7CFA50F6" w14:textId="77777777" w:rsidR="00FD75FB" w:rsidRPr="00CE55B3" w:rsidRDefault="00FD75FB" w:rsidP="00CE55B3">
            <w:pPr>
              <w:pStyle w:val="Body"/>
              <w:rPr>
                <w:b/>
                <w:bCs/>
              </w:rPr>
            </w:pPr>
            <w:r w:rsidRPr="00CE55B3">
              <w:rPr>
                <w:b/>
                <w:bCs/>
              </w:rPr>
              <w:t>Expert Group determination: anaphylactic, certainly, SR2</w:t>
            </w:r>
          </w:p>
          <w:p w14:paraId="65AA6278" w14:textId="77777777" w:rsidR="00FD75FB" w:rsidRDefault="00FD75FB" w:rsidP="00FD75FB">
            <w:pPr>
              <w:pStyle w:val="Body"/>
            </w:pPr>
            <w:r w:rsidRPr="00034F2E">
              <w:t xml:space="preserve">There is no evidence to support the prophylactic administration of FFP to </w:t>
            </w:r>
            <w:r w:rsidRPr="00FD75FB">
              <w:t>correct</w:t>
            </w:r>
            <w:r w:rsidRPr="00034F2E">
              <w:t xml:space="preserve"> a mildly elevated INR prior to </w:t>
            </w:r>
            <w:r>
              <w:t xml:space="preserve">a </w:t>
            </w:r>
            <w:r w:rsidRPr="00034F2E">
              <w:t xml:space="preserve">procedure. </w:t>
            </w:r>
          </w:p>
          <w:p w14:paraId="2A00EFBE" w14:textId="514B83CB" w:rsidR="00FD75FB" w:rsidRPr="00034F2E" w:rsidRDefault="00FD75FB" w:rsidP="00CE55B3">
            <w:pPr>
              <w:pStyle w:val="Body"/>
            </w:pPr>
            <w:r w:rsidRPr="00034F2E">
              <w:t xml:space="preserve">The evidence supports the use of </w:t>
            </w:r>
            <w:r>
              <w:t>v</w:t>
            </w:r>
            <w:r w:rsidRPr="00034F2E">
              <w:t>itamin K and suggests the use of FFP</w:t>
            </w:r>
            <w:r>
              <w:t xml:space="preserve"> </w:t>
            </w:r>
            <w:r w:rsidRPr="00034F2E">
              <w:t>correlated with an increased risk of intra-operative bleeding and/or increased risk of transfusion reactions</w:t>
            </w:r>
            <w:r>
              <w:t xml:space="preserve"> (</w:t>
            </w:r>
            <w:r w:rsidRPr="00CE55B3">
              <w:t>ANZSBT</w:t>
            </w:r>
            <w:r>
              <w:t xml:space="preserve"> 2022).</w:t>
            </w:r>
          </w:p>
          <w:p w14:paraId="10829A1A" w14:textId="590BD1A5" w:rsidR="00FD75FB" w:rsidRDefault="00FD75FB" w:rsidP="00FD75FB">
            <w:pPr>
              <w:pStyle w:val="Body"/>
              <w:rPr>
                <w:b/>
                <w:bCs/>
              </w:rPr>
            </w:pPr>
            <w:r w:rsidRPr="00034F2E">
              <w:t>FFP transfusions do not come without risks, commonly transfusion</w:t>
            </w:r>
            <w:r w:rsidRPr="00034F2E">
              <w:rPr>
                <w:rFonts w:ascii="Cambria Math" w:hAnsi="Cambria Math" w:cs="Cambria Math"/>
              </w:rPr>
              <w:t>‐</w:t>
            </w:r>
            <w:r>
              <w:t>associated</w:t>
            </w:r>
            <w:r w:rsidRPr="00034F2E">
              <w:t xml:space="preserve"> circulatory overload, allergic reactions, transfusion</w:t>
            </w:r>
            <w:r w:rsidRPr="00034F2E">
              <w:rPr>
                <w:rFonts w:ascii="Cambria Math" w:hAnsi="Cambria Math" w:cs="Cambria Math"/>
              </w:rPr>
              <w:t>‐</w:t>
            </w:r>
            <w:r w:rsidRPr="00034F2E">
              <w:t>related acute lung injury and/or development of antibodies (Shaikh et alt. 2018).</w:t>
            </w:r>
          </w:p>
        </w:tc>
      </w:tr>
    </w:tbl>
    <w:p w14:paraId="602E77B5" w14:textId="089A98E9" w:rsidR="009431A3" w:rsidRDefault="00E17B6F" w:rsidP="00FD75FB">
      <w:pPr>
        <w:pStyle w:val="Heading2"/>
      </w:pPr>
      <w:bookmarkStart w:id="47" w:name="_Case_study_2:"/>
      <w:bookmarkStart w:id="48" w:name="_Toc136329766"/>
      <w:bookmarkStart w:id="49" w:name="_Toc174440001"/>
      <w:bookmarkEnd w:id="47"/>
      <w:r>
        <w:lastRenderedPageBreak/>
        <w:t xml:space="preserve">Acute </w:t>
      </w:r>
      <w:bookmarkEnd w:id="48"/>
      <w:r>
        <w:t>hypotensive transfusion reaction</w:t>
      </w:r>
      <w:bookmarkEnd w:id="49"/>
    </w:p>
    <w:p w14:paraId="798BB688" w14:textId="7D8153E4" w:rsidR="00FD75FB" w:rsidRDefault="004972F6" w:rsidP="00A57221">
      <w:pPr>
        <w:pStyle w:val="Body"/>
      </w:pPr>
      <w:r>
        <w:t>This year</w:t>
      </w:r>
      <w:r w:rsidR="00FD75FB">
        <w:t>,</w:t>
      </w:r>
      <w:r>
        <w:t xml:space="preserve"> there were </w:t>
      </w:r>
      <w:r w:rsidR="00FD75FB">
        <w:t xml:space="preserve">3 </w:t>
      </w:r>
      <w:r>
        <w:t>validated hypotensive transfusion reactions</w:t>
      </w:r>
      <w:r w:rsidR="008B374C">
        <w:t xml:space="preserve">, </w:t>
      </w:r>
      <w:r w:rsidR="008B374C" w:rsidRPr="00255F10">
        <w:t>as outlined in Table</w:t>
      </w:r>
      <w:r w:rsidR="008B374C">
        <w:t xml:space="preserve"> </w:t>
      </w:r>
      <w:r w:rsidR="00A9310D" w:rsidRPr="00255F10">
        <w:t>1</w:t>
      </w:r>
      <w:r w:rsidR="00A9310D">
        <w:t>6</w:t>
      </w:r>
      <w:r w:rsidR="008B374C" w:rsidRPr="00255F10">
        <w:t>.</w:t>
      </w:r>
      <w:r>
        <w:t xml:space="preserve"> </w:t>
      </w:r>
    </w:p>
    <w:p w14:paraId="5E4619BF" w14:textId="5D50A30B" w:rsidR="00982AA7" w:rsidRDefault="00E17B6F" w:rsidP="00A57221">
      <w:pPr>
        <w:pStyle w:val="Body"/>
      </w:pPr>
      <w:r>
        <w:t xml:space="preserve">One additional event notified as hypotensive reaction was reviewed and validated </w:t>
      </w:r>
      <w:r w:rsidR="00B776C2">
        <w:t xml:space="preserve">(reclassified) </w:t>
      </w:r>
      <w:r>
        <w:t xml:space="preserve">as a </w:t>
      </w:r>
      <w:r w:rsidR="008B5CD7">
        <w:t>transfusion-associated circulatory overload (</w:t>
      </w:r>
      <w:r>
        <w:t>TACO</w:t>
      </w:r>
      <w:r w:rsidR="008B5CD7">
        <w:t>)</w:t>
      </w:r>
      <w:r>
        <w:t xml:space="preserve"> event</w:t>
      </w:r>
      <w:r w:rsidR="00E31AE3">
        <w:t>.</w:t>
      </w:r>
    </w:p>
    <w:p w14:paraId="78FDE308" w14:textId="3113C1B6" w:rsidR="00A57221" w:rsidRDefault="00A57221" w:rsidP="00CE55B3">
      <w:pPr>
        <w:pStyle w:val="Tablecaption"/>
      </w:pPr>
      <w:r w:rsidRPr="00092518">
        <w:t xml:space="preserve">Table </w:t>
      </w:r>
      <w:r w:rsidR="00A9310D">
        <w:t>16:</w:t>
      </w:r>
      <w:r w:rsidRPr="00092518">
        <w:t xml:space="preserve"> Data summary – acute </w:t>
      </w:r>
      <w:r w:rsidRPr="00FD75FB">
        <w:t>hypotensive</w:t>
      </w:r>
    </w:p>
    <w:tbl>
      <w:tblPr>
        <w:tblStyle w:val="GridTable6Colorful-Accent2"/>
        <w:tblpPr w:leftFromText="180" w:rightFromText="180" w:vertAnchor="text" w:horzAnchor="margin" w:tblpYSpec="inside"/>
        <w:tblW w:w="0" w:type="auto"/>
        <w:tblLook w:val="04A0" w:firstRow="1" w:lastRow="0" w:firstColumn="1" w:lastColumn="0" w:noHBand="0" w:noVBand="1"/>
      </w:tblPr>
      <w:tblGrid>
        <w:gridCol w:w="3357"/>
        <w:gridCol w:w="2027"/>
        <w:gridCol w:w="2027"/>
        <w:gridCol w:w="1877"/>
      </w:tblGrid>
      <w:tr w:rsidR="00A57221" w:rsidRPr="008E71B8" w14:paraId="6C92D4CB" w14:textId="7994F60B"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EFBA8E9" w14:textId="77777777" w:rsidR="00A57221" w:rsidRPr="00CE55B3" w:rsidRDefault="00A57221" w:rsidP="00FD75FB">
            <w:pPr>
              <w:pStyle w:val="Tablecolhead"/>
              <w:rPr>
                <w:b/>
                <w:bCs w:val="0"/>
              </w:rPr>
            </w:pPr>
            <w:r w:rsidRPr="00CE55B3">
              <w:t>Characteristic</w:t>
            </w:r>
          </w:p>
        </w:tc>
        <w:tc>
          <w:tcPr>
            <w:tcW w:w="0" w:type="dxa"/>
          </w:tcPr>
          <w:p w14:paraId="578BC7FD" w14:textId="3EBDC2A5" w:rsidR="00A57221" w:rsidRPr="00CE55B3" w:rsidRDefault="00A57221"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 xml:space="preserve">Case 1 </w:t>
            </w:r>
          </w:p>
        </w:tc>
        <w:tc>
          <w:tcPr>
            <w:tcW w:w="0" w:type="dxa"/>
          </w:tcPr>
          <w:p w14:paraId="28840A7B" w14:textId="1F9EA507" w:rsidR="00A57221" w:rsidRPr="00CE55B3" w:rsidRDefault="00A57221"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Case 2</w:t>
            </w:r>
          </w:p>
        </w:tc>
        <w:tc>
          <w:tcPr>
            <w:tcW w:w="0" w:type="dxa"/>
          </w:tcPr>
          <w:p w14:paraId="62AFFF67" w14:textId="36A63332" w:rsidR="00A57221" w:rsidRPr="00CE55B3" w:rsidRDefault="00A57221"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Case 3</w:t>
            </w:r>
          </w:p>
        </w:tc>
      </w:tr>
      <w:tr w:rsidR="00A57221" w:rsidRPr="008E71B8" w14:paraId="022DB717" w14:textId="14E5F28E"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Pr>
          <w:p w14:paraId="57FA4DDB" w14:textId="77777777" w:rsidR="00A57221" w:rsidRPr="00982AA7" w:rsidRDefault="00A57221" w:rsidP="001B3FE3">
            <w:pPr>
              <w:pStyle w:val="Body"/>
              <w:rPr>
                <w:b w:val="0"/>
                <w:color w:val="000000" w:themeColor="text1"/>
              </w:rPr>
            </w:pPr>
            <w:r w:rsidRPr="00982AA7">
              <w:rPr>
                <w:b w:val="0"/>
                <w:color w:val="000000" w:themeColor="text1"/>
              </w:rPr>
              <w:t>Age</w:t>
            </w:r>
          </w:p>
        </w:tc>
        <w:tc>
          <w:tcPr>
            <w:tcW w:w="2027" w:type="dxa"/>
          </w:tcPr>
          <w:p w14:paraId="3889A9CB" w14:textId="2380D6CA" w:rsidR="00A57221" w:rsidRPr="00982AA7" w:rsidRDefault="008B374C" w:rsidP="001B3FE3">
            <w:pPr>
              <w:pStyle w:val="Body"/>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70–79 years</w:t>
            </w:r>
          </w:p>
        </w:tc>
        <w:tc>
          <w:tcPr>
            <w:tcW w:w="2027" w:type="dxa"/>
          </w:tcPr>
          <w:p w14:paraId="1443A56B" w14:textId="3B387511" w:rsidR="00A57221" w:rsidRPr="00982AA7" w:rsidRDefault="008B374C" w:rsidP="001B3FE3">
            <w:pPr>
              <w:pStyle w:val="Body"/>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1 - 18 years</w:t>
            </w:r>
          </w:p>
        </w:tc>
        <w:tc>
          <w:tcPr>
            <w:tcW w:w="1877" w:type="dxa"/>
          </w:tcPr>
          <w:p w14:paraId="5496E6C9" w14:textId="1F07F1BB" w:rsidR="00A57221" w:rsidRPr="00982AA7" w:rsidRDefault="008B374C" w:rsidP="001B3FE3">
            <w:pPr>
              <w:pStyle w:val="Body"/>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70–79 years</w:t>
            </w:r>
          </w:p>
        </w:tc>
      </w:tr>
      <w:tr w:rsidR="00A57221" w:rsidRPr="008E71B8" w14:paraId="591D79A0" w14:textId="3C208583" w:rsidTr="00982AA7">
        <w:tc>
          <w:tcPr>
            <w:cnfStyle w:val="001000000000" w:firstRow="0" w:lastRow="0" w:firstColumn="1" w:lastColumn="0" w:oddVBand="0" w:evenVBand="0" w:oddHBand="0" w:evenHBand="0" w:firstRowFirstColumn="0" w:firstRowLastColumn="0" w:lastRowFirstColumn="0" w:lastRowLastColumn="0"/>
            <w:tcW w:w="3357" w:type="dxa"/>
          </w:tcPr>
          <w:p w14:paraId="2ED5B031" w14:textId="77777777" w:rsidR="00A57221" w:rsidRPr="00982AA7" w:rsidRDefault="00A57221" w:rsidP="001B3FE3">
            <w:pPr>
              <w:pStyle w:val="Body"/>
              <w:rPr>
                <w:b w:val="0"/>
                <w:color w:val="000000" w:themeColor="text1"/>
              </w:rPr>
            </w:pPr>
            <w:r w:rsidRPr="00982AA7">
              <w:rPr>
                <w:b w:val="0"/>
                <w:color w:val="000000" w:themeColor="text1"/>
              </w:rPr>
              <w:t>Sex</w:t>
            </w:r>
          </w:p>
        </w:tc>
        <w:tc>
          <w:tcPr>
            <w:tcW w:w="2027" w:type="dxa"/>
          </w:tcPr>
          <w:p w14:paraId="56D5228A" w14:textId="350D3E5B" w:rsidR="00A57221" w:rsidRPr="00982AA7" w:rsidRDefault="008B374C" w:rsidP="001B3FE3">
            <w:pPr>
              <w:pStyle w:val="Body"/>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Male</w:t>
            </w:r>
          </w:p>
        </w:tc>
        <w:tc>
          <w:tcPr>
            <w:tcW w:w="2027" w:type="dxa"/>
          </w:tcPr>
          <w:p w14:paraId="499AF7B3" w14:textId="43918964" w:rsidR="00A57221" w:rsidRPr="00982AA7" w:rsidRDefault="008B374C" w:rsidP="001B3FE3">
            <w:pPr>
              <w:pStyle w:val="Body"/>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 xml:space="preserve">Male </w:t>
            </w:r>
          </w:p>
        </w:tc>
        <w:tc>
          <w:tcPr>
            <w:tcW w:w="1877" w:type="dxa"/>
          </w:tcPr>
          <w:p w14:paraId="46AEB9EC" w14:textId="7DFDEFCF" w:rsidR="00A57221" w:rsidRPr="00982AA7" w:rsidRDefault="008B374C" w:rsidP="001B3FE3">
            <w:pPr>
              <w:pStyle w:val="Body"/>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Male</w:t>
            </w:r>
          </w:p>
        </w:tc>
      </w:tr>
      <w:tr w:rsidR="00A57221" w:rsidRPr="008E71B8" w14:paraId="13C7CF78" w14:textId="381F6994"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Pr>
          <w:p w14:paraId="5ACFC2AB" w14:textId="77777777" w:rsidR="00A57221" w:rsidRPr="00982AA7" w:rsidRDefault="00A57221" w:rsidP="001B3FE3">
            <w:pPr>
              <w:pStyle w:val="Body"/>
              <w:rPr>
                <w:b w:val="0"/>
                <w:color w:val="000000" w:themeColor="text1"/>
              </w:rPr>
            </w:pPr>
            <w:r w:rsidRPr="00982AA7">
              <w:rPr>
                <w:b w:val="0"/>
                <w:color w:val="000000" w:themeColor="text1"/>
              </w:rPr>
              <w:t>Implicated blood component</w:t>
            </w:r>
          </w:p>
        </w:tc>
        <w:tc>
          <w:tcPr>
            <w:tcW w:w="2027" w:type="dxa"/>
          </w:tcPr>
          <w:p w14:paraId="6F6C0843" w14:textId="7FAC6BC4" w:rsidR="00A57221" w:rsidRPr="00982AA7" w:rsidRDefault="005953AD" w:rsidP="001B3FE3">
            <w:pPr>
              <w:pStyle w:val="Body"/>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RBC</w:t>
            </w:r>
          </w:p>
        </w:tc>
        <w:tc>
          <w:tcPr>
            <w:tcW w:w="2027" w:type="dxa"/>
          </w:tcPr>
          <w:p w14:paraId="1E85F2FE" w14:textId="2D138866" w:rsidR="00A57221" w:rsidRPr="00982AA7" w:rsidRDefault="005953AD" w:rsidP="001B3FE3">
            <w:pPr>
              <w:pStyle w:val="Body"/>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RBC</w:t>
            </w:r>
          </w:p>
        </w:tc>
        <w:tc>
          <w:tcPr>
            <w:tcW w:w="1877" w:type="dxa"/>
          </w:tcPr>
          <w:p w14:paraId="28221A40" w14:textId="1C3643E6" w:rsidR="00A57221" w:rsidRPr="00982AA7" w:rsidRDefault="008B374C" w:rsidP="001B3FE3">
            <w:pPr>
              <w:pStyle w:val="Body"/>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Platelets</w:t>
            </w:r>
          </w:p>
        </w:tc>
      </w:tr>
      <w:tr w:rsidR="00A57221" w:rsidRPr="008E71B8" w14:paraId="5BFEDC5E" w14:textId="3F55C7AA" w:rsidTr="00982AA7">
        <w:tc>
          <w:tcPr>
            <w:cnfStyle w:val="001000000000" w:firstRow="0" w:lastRow="0" w:firstColumn="1" w:lastColumn="0" w:oddVBand="0" w:evenVBand="0" w:oddHBand="0" w:evenHBand="0" w:firstRowFirstColumn="0" w:firstRowLastColumn="0" w:lastRowFirstColumn="0" w:lastRowLastColumn="0"/>
            <w:tcW w:w="3357" w:type="dxa"/>
          </w:tcPr>
          <w:p w14:paraId="736EF639" w14:textId="77777777" w:rsidR="00A57221" w:rsidRPr="00982AA7" w:rsidRDefault="00A57221" w:rsidP="001B3FE3">
            <w:pPr>
              <w:pStyle w:val="Body"/>
              <w:rPr>
                <w:b w:val="0"/>
                <w:color w:val="000000" w:themeColor="text1"/>
              </w:rPr>
            </w:pPr>
            <w:r w:rsidRPr="00982AA7">
              <w:rPr>
                <w:b w:val="0"/>
                <w:color w:val="000000" w:themeColor="text1"/>
              </w:rPr>
              <w:t>Severity rating</w:t>
            </w:r>
          </w:p>
        </w:tc>
        <w:tc>
          <w:tcPr>
            <w:tcW w:w="2027" w:type="dxa"/>
          </w:tcPr>
          <w:p w14:paraId="02E8DB6D" w14:textId="7677250F" w:rsidR="00A57221" w:rsidRPr="00982AA7" w:rsidRDefault="008B374C" w:rsidP="001B3FE3">
            <w:pPr>
              <w:pStyle w:val="Body"/>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SR3</w:t>
            </w:r>
          </w:p>
        </w:tc>
        <w:tc>
          <w:tcPr>
            <w:tcW w:w="2027" w:type="dxa"/>
          </w:tcPr>
          <w:p w14:paraId="3A369BAC" w14:textId="3C3FB878" w:rsidR="00A57221" w:rsidRPr="00982AA7" w:rsidRDefault="008B374C" w:rsidP="001B3FE3">
            <w:pPr>
              <w:pStyle w:val="Body"/>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SR3</w:t>
            </w:r>
          </w:p>
        </w:tc>
        <w:tc>
          <w:tcPr>
            <w:tcW w:w="1877" w:type="dxa"/>
          </w:tcPr>
          <w:p w14:paraId="58D9AA5C" w14:textId="5BD381A4" w:rsidR="00A57221" w:rsidRPr="00982AA7" w:rsidRDefault="008B374C" w:rsidP="001B3FE3">
            <w:pPr>
              <w:pStyle w:val="Body"/>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SR2</w:t>
            </w:r>
          </w:p>
        </w:tc>
      </w:tr>
      <w:tr w:rsidR="00A57221" w:rsidRPr="008E71B8" w14:paraId="112F6C82" w14:textId="316970F3"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Pr>
          <w:p w14:paraId="5B58EC8C" w14:textId="77777777" w:rsidR="00A57221" w:rsidRPr="00982AA7" w:rsidRDefault="00A57221" w:rsidP="001B3FE3">
            <w:pPr>
              <w:pStyle w:val="Body"/>
              <w:rPr>
                <w:b w:val="0"/>
                <w:color w:val="000000" w:themeColor="text1"/>
              </w:rPr>
            </w:pPr>
            <w:proofErr w:type="spellStart"/>
            <w:r w:rsidRPr="00982AA7">
              <w:rPr>
                <w:b w:val="0"/>
                <w:color w:val="000000" w:themeColor="text1"/>
              </w:rPr>
              <w:t>Imputability</w:t>
            </w:r>
            <w:proofErr w:type="spellEnd"/>
          </w:p>
        </w:tc>
        <w:tc>
          <w:tcPr>
            <w:tcW w:w="2027" w:type="dxa"/>
          </w:tcPr>
          <w:p w14:paraId="7D778DFF" w14:textId="42E532BE" w:rsidR="00A57221" w:rsidRPr="00982AA7" w:rsidRDefault="008B374C" w:rsidP="001B3FE3">
            <w:pPr>
              <w:pStyle w:val="Body"/>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Probably</w:t>
            </w:r>
          </w:p>
        </w:tc>
        <w:tc>
          <w:tcPr>
            <w:tcW w:w="2027" w:type="dxa"/>
          </w:tcPr>
          <w:p w14:paraId="6E8F795A" w14:textId="7CB26674" w:rsidR="00A57221" w:rsidRPr="00982AA7" w:rsidRDefault="008B374C" w:rsidP="001B3FE3">
            <w:pPr>
              <w:pStyle w:val="Body"/>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Certainly</w:t>
            </w:r>
          </w:p>
        </w:tc>
        <w:tc>
          <w:tcPr>
            <w:tcW w:w="1877" w:type="dxa"/>
          </w:tcPr>
          <w:p w14:paraId="351EF8D6" w14:textId="6FAB4CC7" w:rsidR="00A57221" w:rsidRPr="00982AA7" w:rsidRDefault="008B374C" w:rsidP="001B3FE3">
            <w:pPr>
              <w:pStyle w:val="Body"/>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Possibly</w:t>
            </w:r>
          </w:p>
        </w:tc>
      </w:tr>
    </w:tbl>
    <w:p w14:paraId="1EE9CCC7" w14:textId="209E90BE" w:rsidR="00E31AE3" w:rsidRDefault="00E31AE3" w:rsidP="00495C75">
      <w:pPr>
        <w:pStyle w:val="Body"/>
      </w:pPr>
    </w:p>
    <w:tbl>
      <w:tblPr>
        <w:tblStyle w:val="TableGrid"/>
        <w:tblW w:w="0" w:type="auto"/>
        <w:tblLook w:val="04A0" w:firstRow="1" w:lastRow="0" w:firstColumn="1" w:lastColumn="0" w:noHBand="0" w:noVBand="1"/>
      </w:tblPr>
      <w:tblGrid>
        <w:gridCol w:w="9288"/>
      </w:tblGrid>
      <w:tr w:rsidR="00FD75FB" w14:paraId="43A48C19" w14:textId="77777777" w:rsidTr="00FD75FB">
        <w:tc>
          <w:tcPr>
            <w:tcW w:w="9288" w:type="dxa"/>
          </w:tcPr>
          <w:p w14:paraId="3FD6320D" w14:textId="77777777" w:rsidR="00FD75FB" w:rsidRPr="004972F6" w:rsidRDefault="00FD75FB" w:rsidP="00FD75FB">
            <w:pPr>
              <w:pStyle w:val="Boxheading"/>
            </w:pPr>
            <w:bookmarkStart w:id="50" w:name="_Toc174439914"/>
            <w:r w:rsidRPr="000A185C">
              <w:t>Case stud</w:t>
            </w:r>
            <w:r>
              <w:t>y 3</w:t>
            </w:r>
            <w:r w:rsidRPr="000A185C">
              <w:t>:</w:t>
            </w:r>
            <w:r>
              <w:t xml:space="preserve"> Hypotensive transfusion reaction</w:t>
            </w:r>
            <w:bookmarkEnd w:id="50"/>
            <w:r>
              <w:t xml:space="preserve"> </w:t>
            </w:r>
          </w:p>
          <w:p w14:paraId="200FB6C1" w14:textId="77777777" w:rsidR="00FD75FB" w:rsidRDefault="00FD75FB" w:rsidP="00FD75FB">
            <w:pPr>
              <w:pStyle w:val="Body"/>
            </w:pPr>
            <w:r>
              <w:t>A p</w:t>
            </w:r>
            <w:r w:rsidRPr="000A185C">
              <w:t>atient</w:t>
            </w:r>
            <w:r>
              <w:t xml:space="preserve"> attended an</w:t>
            </w:r>
            <w:r w:rsidRPr="000A185C">
              <w:t xml:space="preserve"> ambulatory day area </w:t>
            </w:r>
            <w:r>
              <w:t>for</w:t>
            </w:r>
            <w:r w:rsidRPr="000A185C">
              <w:t xml:space="preserve"> required platelet transfusion. </w:t>
            </w:r>
          </w:p>
          <w:p w14:paraId="022E23BA" w14:textId="4E37EC8E" w:rsidR="00FD75FB" w:rsidRDefault="00FD75FB" w:rsidP="00FD75FB">
            <w:pPr>
              <w:pStyle w:val="Body"/>
            </w:pPr>
            <w:r w:rsidRPr="000A185C">
              <w:t xml:space="preserve">Approximately 12 minutes after commencement of a pooled bag of </w:t>
            </w:r>
            <w:r w:rsidRPr="00FD75FB">
              <w:t>platelets</w:t>
            </w:r>
            <w:r>
              <w:t>,</w:t>
            </w:r>
            <w:r w:rsidRPr="000A185C">
              <w:t xml:space="preserve"> the patient became hypotensive (119/69 to 67/40) and experienced a drop in oxygen saturation from 96</w:t>
            </w:r>
            <w:r>
              <w:t>%</w:t>
            </w:r>
            <w:r w:rsidRPr="000A185C">
              <w:t xml:space="preserve"> on room air to 86</w:t>
            </w:r>
            <w:r>
              <w:t>–</w:t>
            </w:r>
            <w:r w:rsidRPr="000A185C">
              <w:t>91</w:t>
            </w:r>
            <w:r>
              <w:t>%</w:t>
            </w:r>
            <w:r w:rsidRPr="000A185C">
              <w:t xml:space="preserve">. </w:t>
            </w:r>
          </w:p>
          <w:p w14:paraId="174AF644" w14:textId="425CD897" w:rsidR="00FD75FB" w:rsidRPr="000A185C" w:rsidRDefault="00FD75FB" w:rsidP="00FD75FB">
            <w:pPr>
              <w:pStyle w:val="Body"/>
            </w:pPr>
            <w:r w:rsidRPr="000A185C">
              <w:t>Pulse was also noted to increase during this time f</w:t>
            </w:r>
            <w:r>
              <w:t>r</w:t>
            </w:r>
            <w:r w:rsidRPr="000A185C">
              <w:t>om 85b</w:t>
            </w:r>
            <w:r>
              <w:t xml:space="preserve"> </w:t>
            </w:r>
            <w:r w:rsidRPr="000A185C">
              <w:t>pm to 109</w:t>
            </w:r>
            <w:r>
              <w:t xml:space="preserve"> </w:t>
            </w:r>
            <w:r w:rsidRPr="000A185C">
              <w:t>bpm.</w:t>
            </w:r>
          </w:p>
          <w:p w14:paraId="77B45135" w14:textId="77777777" w:rsidR="00FD75FB" w:rsidRDefault="00FD75FB" w:rsidP="00FD75FB">
            <w:pPr>
              <w:pStyle w:val="Body"/>
            </w:pPr>
            <w:r w:rsidRPr="000A185C">
              <w:t xml:space="preserve">The transfusion was </w:t>
            </w:r>
            <w:proofErr w:type="gramStart"/>
            <w:r w:rsidRPr="000A185C">
              <w:t>discontinued</w:t>
            </w:r>
            <w:proofErr w:type="gramEnd"/>
            <w:r w:rsidRPr="000A185C">
              <w:t xml:space="preserve"> and a</w:t>
            </w:r>
            <w:r>
              <w:t xml:space="preserve"> MET was</w:t>
            </w:r>
            <w:r w:rsidRPr="000A185C">
              <w:t xml:space="preserve"> called. </w:t>
            </w:r>
          </w:p>
          <w:p w14:paraId="1820FE8F" w14:textId="77777777" w:rsidR="00FD75FB" w:rsidRDefault="00FD75FB" w:rsidP="00FD75FB">
            <w:pPr>
              <w:pStyle w:val="Body"/>
            </w:pPr>
            <w:r>
              <w:t>T</w:t>
            </w:r>
            <w:r w:rsidRPr="000A185C">
              <w:t xml:space="preserve">he </w:t>
            </w:r>
            <w:r w:rsidRPr="00FD75FB">
              <w:t>patient</w:t>
            </w:r>
            <w:r w:rsidRPr="000A185C">
              <w:t xml:space="preserve"> received treatment with oxygen and IV fluids and was admitted for further monitoring and management. </w:t>
            </w:r>
          </w:p>
          <w:p w14:paraId="31D64481" w14:textId="01A0FD45" w:rsidR="00FD75FB" w:rsidRPr="000A185C" w:rsidRDefault="00FD75FB" w:rsidP="00FD75FB">
            <w:pPr>
              <w:pStyle w:val="Body"/>
            </w:pPr>
            <w:r>
              <w:t>They</w:t>
            </w:r>
            <w:r w:rsidRPr="000A185C">
              <w:t xml:space="preserve"> went on to have </w:t>
            </w:r>
            <w:r>
              <w:t>RBC</w:t>
            </w:r>
            <w:r w:rsidRPr="000A185C">
              <w:t xml:space="preserve"> transfusion without any problems.</w:t>
            </w:r>
          </w:p>
          <w:p w14:paraId="1347C6DB" w14:textId="25671557" w:rsidR="00FD75FB" w:rsidRPr="00CE55B3" w:rsidRDefault="00FD75FB" w:rsidP="00CE55B3">
            <w:pPr>
              <w:pStyle w:val="Body"/>
              <w:rPr>
                <w:b/>
                <w:bCs/>
              </w:rPr>
            </w:pPr>
            <w:r w:rsidRPr="00CE55B3">
              <w:rPr>
                <w:b/>
                <w:bCs/>
              </w:rPr>
              <w:t>Expert Group determination: Acute hypotensive transfusion reaction, possibly, SR2</w:t>
            </w:r>
          </w:p>
        </w:tc>
      </w:tr>
    </w:tbl>
    <w:p w14:paraId="7C30444D" w14:textId="77777777" w:rsidR="009431A3" w:rsidRDefault="009431A3" w:rsidP="00FD75FB">
      <w:pPr>
        <w:pStyle w:val="Heading2"/>
      </w:pPr>
      <w:bookmarkStart w:id="51" w:name="_Toc136329767"/>
      <w:bookmarkStart w:id="52" w:name="_Toc174440002"/>
      <w:r w:rsidRPr="00092518">
        <w:t xml:space="preserve">Acute </w:t>
      </w:r>
      <w:r w:rsidRPr="00FD75FB">
        <w:t>haemolytic</w:t>
      </w:r>
      <w:r w:rsidRPr="00092518">
        <w:t xml:space="preserve"> transfusion reaction (AHTR)</w:t>
      </w:r>
      <w:bookmarkEnd w:id="51"/>
      <w:bookmarkEnd w:id="52"/>
    </w:p>
    <w:p w14:paraId="09F83E27" w14:textId="3DDF9CDF" w:rsidR="008E71B8" w:rsidRDefault="008E71B8" w:rsidP="008E71B8">
      <w:pPr>
        <w:pStyle w:val="Body"/>
      </w:pPr>
      <w:r>
        <w:t>In this reporting period</w:t>
      </w:r>
      <w:r w:rsidR="00FD75FB">
        <w:t>,</w:t>
      </w:r>
      <w:r>
        <w:t xml:space="preserve"> there </w:t>
      </w:r>
      <w:r w:rsidR="00A57221">
        <w:t>was one</w:t>
      </w:r>
      <w:r>
        <w:t xml:space="preserve"> AHTR validated</w:t>
      </w:r>
      <w:r w:rsidR="008B374C">
        <w:t xml:space="preserve">, involving a patient receiving </w:t>
      </w:r>
      <w:r w:rsidR="00534301">
        <w:t>RBC</w:t>
      </w:r>
      <w:r>
        <w:t>.</w:t>
      </w:r>
      <w:r w:rsidR="008B374C">
        <w:t xml:space="preserve"> </w:t>
      </w:r>
    </w:p>
    <w:tbl>
      <w:tblPr>
        <w:tblStyle w:val="TableGrid"/>
        <w:tblW w:w="0" w:type="auto"/>
        <w:tblLook w:val="04A0" w:firstRow="1" w:lastRow="0" w:firstColumn="1" w:lastColumn="0" w:noHBand="0" w:noVBand="1"/>
      </w:tblPr>
      <w:tblGrid>
        <w:gridCol w:w="9288"/>
      </w:tblGrid>
      <w:tr w:rsidR="00FD75FB" w14:paraId="180D1A75" w14:textId="77777777" w:rsidTr="00FD75FB">
        <w:tc>
          <w:tcPr>
            <w:tcW w:w="9288" w:type="dxa"/>
          </w:tcPr>
          <w:p w14:paraId="13298C62" w14:textId="77777777" w:rsidR="00FD75FB" w:rsidRDefault="00FD75FB" w:rsidP="00CE55B3">
            <w:pPr>
              <w:pStyle w:val="Boxheading"/>
              <w:keepNext w:val="0"/>
              <w:keepLines w:val="0"/>
            </w:pPr>
            <w:bookmarkStart w:id="53" w:name="_Toc174439915"/>
            <w:r w:rsidRPr="008361FE">
              <w:t>Case stud</w:t>
            </w:r>
            <w:r>
              <w:t>y 4</w:t>
            </w:r>
            <w:r w:rsidRPr="008361FE">
              <w:t>:</w:t>
            </w:r>
            <w:r>
              <w:t xml:space="preserve"> Acute </w:t>
            </w:r>
            <w:r w:rsidRPr="00FD75FB">
              <w:t>haemolysis</w:t>
            </w:r>
            <w:r>
              <w:t xml:space="preserve"> associated with a low incidence antigen</w:t>
            </w:r>
            <w:bookmarkEnd w:id="53"/>
          </w:p>
          <w:p w14:paraId="0429AD37" w14:textId="77777777" w:rsidR="00FD75FB" w:rsidRDefault="00FD75FB" w:rsidP="00FD75FB">
            <w:pPr>
              <w:pStyle w:val="Body"/>
            </w:pPr>
            <w:r w:rsidRPr="00FD75FB">
              <w:t xml:space="preserve">A patient with severe iron deficiency associated anaemia required a transfusion of RBC. </w:t>
            </w:r>
          </w:p>
          <w:p w14:paraId="4871CDDA" w14:textId="77777777" w:rsidR="00FD75FB" w:rsidRDefault="00FD75FB" w:rsidP="00FD75FB">
            <w:pPr>
              <w:pStyle w:val="Body"/>
            </w:pPr>
            <w:r w:rsidRPr="00FD75FB">
              <w:t xml:space="preserve">The patient was given a unit of crossmatched RBC via an electronic crossmatch. </w:t>
            </w:r>
          </w:p>
          <w:p w14:paraId="295D19BD" w14:textId="77777777" w:rsidR="00FD75FB" w:rsidRDefault="00FD75FB" w:rsidP="00FD75FB">
            <w:pPr>
              <w:pStyle w:val="Body"/>
            </w:pPr>
            <w:r w:rsidRPr="00FD75FB">
              <w:t xml:space="preserve">The patient had no antibodies on pre-transfusion testing and a negative antibody history with the health service. </w:t>
            </w:r>
          </w:p>
          <w:p w14:paraId="59612F18" w14:textId="5111A43C" w:rsidR="00FD75FB" w:rsidRDefault="00FD75FB" w:rsidP="00FD75FB">
            <w:pPr>
              <w:pStyle w:val="Body"/>
            </w:pPr>
            <w:r w:rsidRPr="00FD75FB">
              <w:t xml:space="preserve">Approximately </w:t>
            </w:r>
            <w:r>
              <w:t>90 minutes</w:t>
            </w:r>
            <w:r w:rsidRPr="00FD75FB">
              <w:t xml:space="preserve"> into the transfusion</w:t>
            </w:r>
            <w:r>
              <w:t>,</w:t>
            </w:r>
            <w:r w:rsidRPr="00FD75FB">
              <w:t xml:space="preserve"> the patient developed chills, became hypertensive and tachycardic and experienced dyspnoea without a drop in oxygen saturation. </w:t>
            </w:r>
          </w:p>
          <w:p w14:paraId="554D7E0E" w14:textId="77777777" w:rsidR="00FD75FB" w:rsidRDefault="00FD75FB" w:rsidP="00FD75FB">
            <w:pPr>
              <w:pStyle w:val="Body"/>
            </w:pPr>
            <w:r w:rsidRPr="00FD75FB">
              <w:t xml:space="preserve">At the time of the reaction the patient was treated with oxygen, glyceryl trinitrate and diuretic for possible fluid overload. </w:t>
            </w:r>
          </w:p>
          <w:p w14:paraId="2287C7EE" w14:textId="77777777" w:rsidR="00FD75FB" w:rsidRDefault="00FD75FB" w:rsidP="00FD75FB">
            <w:pPr>
              <w:pStyle w:val="Body"/>
            </w:pPr>
            <w:r w:rsidRPr="00FD75FB">
              <w:lastRenderedPageBreak/>
              <w:t>However, subsequent testing showed the RBC unit to be incompatible with the patient, with a positive direct antiglobulin test (DAT) and an anti-</w:t>
            </w:r>
            <w:proofErr w:type="spellStart"/>
            <w:r w:rsidRPr="00FD75FB">
              <w:t>Wra</w:t>
            </w:r>
            <w:proofErr w:type="spellEnd"/>
            <w:r w:rsidRPr="00FD75FB">
              <w:t xml:space="preserve"> eluted from the patient’s RBC. </w:t>
            </w:r>
          </w:p>
          <w:p w14:paraId="3BFB5A0D" w14:textId="2AF8B6C1" w:rsidR="00FD75FB" w:rsidRPr="00FD75FB" w:rsidRDefault="00FD75FB" w:rsidP="00FD75FB">
            <w:pPr>
              <w:pStyle w:val="Body"/>
            </w:pPr>
            <w:r w:rsidRPr="00FD75FB">
              <w:t xml:space="preserve">Further investigation showed the RBC unit administered to be </w:t>
            </w:r>
            <w:proofErr w:type="spellStart"/>
            <w:r w:rsidRPr="00FD75FB">
              <w:t>Wra</w:t>
            </w:r>
            <w:proofErr w:type="spellEnd"/>
            <w:r w:rsidRPr="00FD75FB">
              <w:t xml:space="preserve"> positive.</w:t>
            </w:r>
          </w:p>
          <w:p w14:paraId="34BA8562" w14:textId="77777777" w:rsidR="00FD75FB" w:rsidRPr="00FD75FB" w:rsidRDefault="00FD75FB" w:rsidP="00FD75FB">
            <w:pPr>
              <w:pStyle w:val="Body"/>
            </w:pPr>
            <w:r w:rsidRPr="00FD75FB">
              <w:t xml:space="preserve">Haemolysis was supported by an elevated bilirubin and lactate dehydrogenase. Haptoglobin remained within normal limits. </w:t>
            </w:r>
          </w:p>
          <w:p w14:paraId="729BC037" w14:textId="77777777" w:rsidR="00FD75FB" w:rsidRPr="00CE55B3" w:rsidRDefault="00FD75FB" w:rsidP="00CE55B3">
            <w:pPr>
              <w:pStyle w:val="Body"/>
              <w:keepNext/>
              <w:rPr>
                <w:b/>
                <w:bCs/>
              </w:rPr>
            </w:pPr>
            <w:r w:rsidRPr="00CE55B3">
              <w:rPr>
                <w:b/>
                <w:bCs/>
              </w:rPr>
              <w:t>Expert Group determination: acute haemolytic reaction, certainly, SR3</w:t>
            </w:r>
          </w:p>
          <w:p w14:paraId="5C29DFFC" w14:textId="77777777" w:rsidR="00FD75FB" w:rsidRPr="00FD75FB" w:rsidRDefault="00FD75FB" w:rsidP="00FD75FB">
            <w:pPr>
              <w:pStyle w:val="Body"/>
            </w:pPr>
            <w:r w:rsidRPr="00FD75FB">
              <w:t xml:space="preserve">Even with correct crossmatching procedures an incompatible red blood cell transfusion is still possible due to low incidence antigens. The pathology provider may provide an incompatible unit if they are unaware of the historic antibody. </w:t>
            </w:r>
          </w:p>
          <w:p w14:paraId="1D426AEF" w14:textId="74A75317" w:rsidR="00FD75FB" w:rsidRDefault="00FD75FB" w:rsidP="00FD75FB">
            <w:pPr>
              <w:pStyle w:val="Body"/>
            </w:pPr>
            <w:r w:rsidRPr="00FD75FB">
              <w:t xml:space="preserve">STIR Expert Group </w:t>
            </w:r>
            <w:r>
              <w:t>continues to</w:t>
            </w:r>
            <w:r w:rsidRPr="00FD75FB">
              <w:t xml:space="preserve"> support the development of a national database/registry for red cell antibodies, </w:t>
            </w:r>
            <w:r>
              <w:t xml:space="preserve">which would </w:t>
            </w:r>
            <w:r w:rsidRPr="00FD75FB">
              <w:t>reduce the risk of these reactions.</w:t>
            </w:r>
          </w:p>
        </w:tc>
      </w:tr>
    </w:tbl>
    <w:p w14:paraId="0BBD5C83" w14:textId="5E577DBC" w:rsidR="009431A3" w:rsidRDefault="009431A3" w:rsidP="009431A3">
      <w:pPr>
        <w:pStyle w:val="Heading2"/>
      </w:pPr>
      <w:bookmarkStart w:id="54" w:name="_Toc136329769"/>
      <w:bookmarkStart w:id="55" w:name="_Toc174440003"/>
      <w:r w:rsidRPr="00092518">
        <w:lastRenderedPageBreak/>
        <w:t>Delayed haemolytic</w:t>
      </w:r>
      <w:r>
        <w:t xml:space="preserve"> transfusion reaction (DHTR)</w:t>
      </w:r>
      <w:bookmarkEnd w:id="54"/>
      <w:bookmarkEnd w:id="55"/>
    </w:p>
    <w:p w14:paraId="0DAE6FD9" w14:textId="2BBC7526" w:rsidR="00FD75FB" w:rsidRDefault="008E71B8" w:rsidP="008E71B8">
      <w:pPr>
        <w:pStyle w:val="Body"/>
      </w:pPr>
      <w:r w:rsidRPr="008E71B8">
        <w:t xml:space="preserve">STIR defines DHTR as occurring more than 24 hours and less than </w:t>
      </w:r>
      <w:r w:rsidR="00FD75FB">
        <w:t>3</w:t>
      </w:r>
      <w:r w:rsidR="00FD75FB" w:rsidRPr="008E71B8">
        <w:t xml:space="preserve"> </w:t>
      </w:r>
      <w:r w:rsidRPr="008E71B8">
        <w:t xml:space="preserve">months following a transfusion. </w:t>
      </w:r>
    </w:p>
    <w:p w14:paraId="45AE8F34" w14:textId="77E6F30D" w:rsidR="00FD75FB" w:rsidRDefault="0057636C" w:rsidP="008E71B8">
      <w:pPr>
        <w:pStyle w:val="Body"/>
      </w:pPr>
      <w:r>
        <w:t xml:space="preserve">To make a diagnosis of </w:t>
      </w:r>
      <w:r w:rsidR="008E71B8" w:rsidRPr="008E71B8">
        <w:t>DHTR</w:t>
      </w:r>
      <w:r w:rsidR="00FD75FB">
        <w:t>,</w:t>
      </w:r>
      <w:r>
        <w:t xml:space="preserve"> there should be</w:t>
      </w:r>
      <w:r w:rsidR="00041DB3">
        <w:t xml:space="preserve"> </w:t>
      </w:r>
      <w:r w:rsidR="008E71B8" w:rsidRPr="008E71B8">
        <w:t>a demonstrated</w:t>
      </w:r>
      <w:r w:rsidR="00FD75FB">
        <w:t>,</w:t>
      </w:r>
      <w:r w:rsidR="008E71B8" w:rsidRPr="008E71B8">
        <w:t xml:space="preserve"> clinically significant antibody against </w:t>
      </w:r>
      <w:r>
        <w:t xml:space="preserve">a patient’s </w:t>
      </w:r>
      <w:r w:rsidR="008E71B8" w:rsidRPr="008E71B8">
        <w:t>RBC</w:t>
      </w:r>
      <w:r w:rsidR="00FD75FB">
        <w:t xml:space="preserve"> </w:t>
      </w:r>
      <w:r w:rsidR="0056661F">
        <w:t>along with</w:t>
      </w:r>
      <w:r w:rsidR="008E71B8" w:rsidRPr="008E71B8">
        <w:t xml:space="preserve"> </w:t>
      </w:r>
      <w:r>
        <w:t xml:space="preserve">additional </w:t>
      </w:r>
      <w:r w:rsidR="008E71B8" w:rsidRPr="008E71B8">
        <w:t xml:space="preserve">laboratory features of haemolysis. </w:t>
      </w:r>
    </w:p>
    <w:p w14:paraId="56B1FDA5" w14:textId="5D474FC6" w:rsidR="008E71B8" w:rsidRPr="008E71B8" w:rsidRDefault="008E71B8" w:rsidP="008E71B8">
      <w:pPr>
        <w:pStyle w:val="Body"/>
      </w:pPr>
      <w:r w:rsidRPr="008E71B8">
        <w:t xml:space="preserve">For example, </w:t>
      </w:r>
      <w:r w:rsidR="00FD75FB">
        <w:t xml:space="preserve">this includes </w:t>
      </w:r>
      <w:r w:rsidRPr="008E71B8">
        <w:t xml:space="preserve">a fall in </w:t>
      </w:r>
      <w:r w:rsidR="004A2709">
        <w:t>haemoglobin (</w:t>
      </w:r>
      <w:r w:rsidRPr="008E71B8">
        <w:t>Hb</w:t>
      </w:r>
      <w:r w:rsidR="004A2709">
        <w:t>)</w:t>
      </w:r>
      <w:r w:rsidRPr="008E71B8">
        <w:t xml:space="preserve"> or failure to increment,</w:t>
      </w:r>
      <w:r w:rsidR="0057636C" w:rsidRPr="0057636C">
        <w:t xml:space="preserve"> a transient positive direct antiglobulin test or </w:t>
      </w:r>
      <w:r w:rsidRPr="008E71B8">
        <w:t xml:space="preserve">rise in bilirubin and/or </w:t>
      </w:r>
      <w:bookmarkStart w:id="56" w:name="_Hlk164781144"/>
      <w:r w:rsidR="004A2709">
        <w:t>lactate dehydrogenase</w:t>
      </w:r>
      <w:bookmarkEnd w:id="56"/>
      <w:r w:rsidRPr="008E71B8">
        <w:t>.</w:t>
      </w:r>
    </w:p>
    <w:p w14:paraId="3DDA1C44" w14:textId="2709369A" w:rsidR="008E71B8" w:rsidRDefault="008E71B8" w:rsidP="008E71B8">
      <w:pPr>
        <w:pStyle w:val="Body"/>
      </w:pPr>
      <w:r>
        <w:t xml:space="preserve">Delayed haemolytic reactions are reported less </w:t>
      </w:r>
      <w:r w:rsidR="00FD75FB">
        <w:t xml:space="preserve">often </w:t>
      </w:r>
      <w:r>
        <w:t>than delayed serologic reactions</w:t>
      </w:r>
      <w:r w:rsidR="00FD75FB">
        <w:t>. This may be because</w:t>
      </w:r>
      <w:r>
        <w:t xml:space="preserve"> mild signs of haemolysis </w:t>
      </w:r>
      <w:r w:rsidR="00FD75FB">
        <w:t xml:space="preserve">can </w:t>
      </w:r>
      <w:r>
        <w:t xml:space="preserve">be missed </w:t>
      </w:r>
      <w:r w:rsidR="00F87515">
        <w:t>by</w:t>
      </w:r>
      <w:r>
        <w:t xml:space="preserve"> patients and carers after leaving hospital.</w:t>
      </w:r>
    </w:p>
    <w:p w14:paraId="150BBCE8" w14:textId="4903FCC5" w:rsidR="008E71B8" w:rsidRDefault="008E71B8" w:rsidP="008E71B8">
      <w:pPr>
        <w:pStyle w:val="Body"/>
      </w:pPr>
      <w:r w:rsidRPr="008E71B8">
        <w:t xml:space="preserve">Table </w:t>
      </w:r>
      <w:r w:rsidR="00A9310D" w:rsidRPr="008E71B8">
        <w:t>1</w:t>
      </w:r>
      <w:r w:rsidR="00A9310D">
        <w:t>7</w:t>
      </w:r>
      <w:r w:rsidR="00A9310D" w:rsidRPr="008E71B8">
        <w:t xml:space="preserve"> </w:t>
      </w:r>
      <w:r w:rsidRPr="008E71B8">
        <w:t xml:space="preserve">summarises reports of delayed haemolytic and serological reactions. Tables </w:t>
      </w:r>
      <w:r w:rsidR="00A9310D" w:rsidRPr="008E71B8">
        <w:t>1</w:t>
      </w:r>
      <w:r w:rsidR="00A9310D">
        <w:t>8</w:t>
      </w:r>
      <w:r w:rsidR="00A9310D" w:rsidRPr="008E71B8">
        <w:t xml:space="preserve">a </w:t>
      </w:r>
      <w:r w:rsidRPr="008E71B8">
        <w:t xml:space="preserve">and </w:t>
      </w:r>
      <w:r w:rsidR="00A9310D" w:rsidRPr="008E71B8">
        <w:t>1</w:t>
      </w:r>
      <w:r w:rsidR="00A9310D">
        <w:t>8</w:t>
      </w:r>
      <w:r w:rsidR="00A9310D" w:rsidRPr="008E71B8">
        <w:t xml:space="preserve">b </w:t>
      </w:r>
      <w:r w:rsidRPr="008E71B8">
        <w:t xml:space="preserve">include the severity ratings and </w:t>
      </w:r>
      <w:proofErr w:type="spellStart"/>
      <w:r w:rsidRPr="008E71B8">
        <w:t>imputability</w:t>
      </w:r>
      <w:proofErr w:type="spellEnd"/>
      <w:r w:rsidRPr="008E71B8">
        <w:t xml:space="preserve"> for DHTR and delayed serological reactions respectively.</w:t>
      </w:r>
    </w:p>
    <w:p w14:paraId="16B1669F" w14:textId="5CF723AD" w:rsidR="009431A3" w:rsidRDefault="009431A3" w:rsidP="00CE55B3">
      <w:pPr>
        <w:pStyle w:val="Tablecaption"/>
      </w:pPr>
      <w:r w:rsidRPr="009431A3">
        <w:t xml:space="preserve">Table </w:t>
      </w:r>
      <w:r w:rsidR="00A9310D">
        <w:t>17:</w:t>
      </w:r>
      <w:r w:rsidRPr="009431A3">
        <w:t xml:space="preserve"> Data summary </w:t>
      </w:r>
      <w:r w:rsidR="00E124A2" w:rsidRPr="00E124A2">
        <w:t>–</w:t>
      </w:r>
      <w:bookmarkStart w:id="57" w:name="_Hlk170200145"/>
      <w:r w:rsidR="00E124A2" w:rsidRPr="00E124A2">
        <w:t xml:space="preserve"> </w:t>
      </w:r>
      <w:r w:rsidR="00E124A2" w:rsidRPr="00FD75FB">
        <w:t>delayed</w:t>
      </w:r>
      <w:r w:rsidR="00E124A2" w:rsidRPr="00E124A2">
        <w:t xml:space="preserve"> haemolytic and serologic reactions</w:t>
      </w:r>
      <w:bookmarkEnd w:id="57"/>
    </w:p>
    <w:tbl>
      <w:tblPr>
        <w:tblStyle w:val="GridTable6Colorful-Accent2"/>
        <w:tblW w:w="0" w:type="auto"/>
        <w:tblLook w:val="04A0" w:firstRow="1" w:lastRow="0" w:firstColumn="1" w:lastColumn="0" w:noHBand="0" w:noVBand="1"/>
      </w:tblPr>
      <w:tblGrid>
        <w:gridCol w:w="4106"/>
        <w:gridCol w:w="2591"/>
        <w:gridCol w:w="2591"/>
      </w:tblGrid>
      <w:tr w:rsidR="008E71B8" w:rsidRPr="008E71B8" w14:paraId="155EE220"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629796D" w14:textId="77777777" w:rsidR="008E71B8" w:rsidRPr="00FD75FB" w:rsidRDefault="008E71B8" w:rsidP="00A63672">
            <w:pPr>
              <w:pStyle w:val="Tablecolhead"/>
              <w:rPr>
                <w:b/>
              </w:rPr>
            </w:pPr>
            <w:bookmarkStart w:id="58" w:name="_Toc174439916"/>
            <w:r w:rsidRPr="00FD75FB">
              <w:rPr>
                <w:b/>
              </w:rPr>
              <w:t>Characteristic</w:t>
            </w:r>
            <w:bookmarkEnd w:id="58"/>
          </w:p>
        </w:tc>
        <w:tc>
          <w:tcPr>
            <w:tcW w:w="0" w:type="dxa"/>
          </w:tcPr>
          <w:p w14:paraId="4024238A" w14:textId="2FDCDE84" w:rsidR="008E71B8" w:rsidRPr="00FD75FB" w:rsidRDefault="008E71B8" w:rsidP="00A63672">
            <w:pPr>
              <w:pStyle w:val="Tablecolhead"/>
              <w:cnfStyle w:val="100000000000" w:firstRow="1" w:lastRow="0" w:firstColumn="0" w:lastColumn="0" w:oddVBand="0" w:evenVBand="0" w:oddHBand="0" w:evenHBand="0" w:firstRowFirstColumn="0" w:firstRowLastColumn="0" w:lastRowFirstColumn="0" w:lastRowLastColumn="0"/>
              <w:rPr>
                <w:b/>
              </w:rPr>
            </w:pPr>
            <w:bookmarkStart w:id="59" w:name="_Toc174439917"/>
            <w:r w:rsidRPr="00FD75FB">
              <w:rPr>
                <w:b/>
              </w:rPr>
              <w:t xml:space="preserve">Delayed haemolytic reaction, n = </w:t>
            </w:r>
            <w:r w:rsidR="00CE686F" w:rsidRPr="00FD75FB">
              <w:rPr>
                <w:b/>
              </w:rPr>
              <w:t>4</w:t>
            </w:r>
            <w:r w:rsidR="008B374C" w:rsidRPr="00FD75FB">
              <w:rPr>
                <w:b/>
              </w:rPr>
              <w:t xml:space="preserve"> </w:t>
            </w:r>
            <w:r w:rsidRPr="00FD75FB">
              <w:rPr>
                <w:b/>
              </w:rPr>
              <w:t>(%)</w:t>
            </w:r>
            <w:bookmarkEnd w:id="59"/>
          </w:p>
        </w:tc>
        <w:tc>
          <w:tcPr>
            <w:tcW w:w="0" w:type="dxa"/>
          </w:tcPr>
          <w:p w14:paraId="45742FE9" w14:textId="322D37B8" w:rsidR="008E71B8" w:rsidRPr="00FD75FB" w:rsidRDefault="008E71B8" w:rsidP="00A63672">
            <w:pPr>
              <w:pStyle w:val="Tablecolhead"/>
              <w:cnfStyle w:val="100000000000" w:firstRow="1" w:lastRow="0" w:firstColumn="0" w:lastColumn="0" w:oddVBand="0" w:evenVBand="0" w:oddHBand="0" w:evenHBand="0" w:firstRowFirstColumn="0" w:firstRowLastColumn="0" w:lastRowFirstColumn="0" w:lastRowLastColumn="0"/>
              <w:rPr>
                <w:b/>
              </w:rPr>
            </w:pPr>
            <w:bookmarkStart w:id="60" w:name="_Toc174439918"/>
            <w:r w:rsidRPr="00FD75FB">
              <w:rPr>
                <w:b/>
              </w:rPr>
              <w:t xml:space="preserve">Delayed serologic reaction, n = </w:t>
            </w:r>
            <w:r w:rsidR="008B374C" w:rsidRPr="00FD75FB">
              <w:rPr>
                <w:b/>
              </w:rPr>
              <w:t>4</w:t>
            </w:r>
            <w:r w:rsidR="004E2E65" w:rsidRPr="00FD75FB">
              <w:rPr>
                <w:b/>
              </w:rPr>
              <w:t>5</w:t>
            </w:r>
            <w:r w:rsidR="008B374C" w:rsidRPr="00FD75FB">
              <w:rPr>
                <w:b/>
              </w:rPr>
              <w:t xml:space="preserve"> </w:t>
            </w:r>
            <w:r w:rsidRPr="00FD75FB">
              <w:rPr>
                <w:b/>
              </w:rPr>
              <w:t>(%)</w:t>
            </w:r>
            <w:bookmarkEnd w:id="60"/>
          </w:p>
        </w:tc>
      </w:tr>
      <w:tr w:rsidR="008E71B8" w:rsidRPr="008E71B8" w14:paraId="362F7547"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415AF5A" w14:textId="77777777" w:rsidR="008E71B8" w:rsidRPr="00982AA7" w:rsidRDefault="008E71B8" w:rsidP="00CE55B3">
            <w:pPr>
              <w:pStyle w:val="Body"/>
              <w:rPr>
                <w:b w:val="0"/>
                <w:color w:val="000000" w:themeColor="text1"/>
              </w:rPr>
            </w:pPr>
            <w:r w:rsidRPr="00982AA7">
              <w:rPr>
                <w:b w:val="0"/>
                <w:color w:val="000000" w:themeColor="text1"/>
              </w:rPr>
              <w:t>Age: &lt; 1 year</w:t>
            </w:r>
          </w:p>
        </w:tc>
        <w:tc>
          <w:tcPr>
            <w:tcW w:w="2591" w:type="dxa"/>
          </w:tcPr>
          <w:p w14:paraId="7EF505B4" w14:textId="1955BEA0" w:rsidR="008E71B8" w:rsidRPr="00982AA7" w:rsidRDefault="00DE1CA2"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w:t>
            </w:r>
          </w:p>
        </w:tc>
        <w:tc>
          <w:tcPr>
            <w:tcW w:w="2591" w:type="dxa"/>
          </w:tcPr>
          <w:p w14:paraId="18E8CDE4" w14:textId="73EC0669" w:rsidR="008E71B8" w:rsidRPr="00982AA7" w:rsidRDefault="00CE686F"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w:t>
            </w:r>
          </w:p>
        </w:tc>
      </w:tr>
      <w:tr w:rsidR="008E71B8" w:rsidRPr="008E71B8" w14:paraId="252B7AFA" w14:textId="77777777" w:rsidTr="00982AA7">
        <w:tc>
          <w:tcPr>
            <w:cnfStyle w:val="001000000000" w:firstRow="0" w:lastRow="0" w:firstColumn="1" w:lastColumn="0" w:oddVBand="0" w:evenVBand="0" w:oddHBand="0" w:evenHBand="0" w:firstRowFirstColumn="0" w:firstRowLastColumn="0" w:lastRowFirstColumn="0" w:lastRowLastColumn="0"/>
            <w:tcW w:w="4106" w:type="dxa"/>
          </w:tcPr>
          <w:p w14:paraId="55B2E947" w14:textId="77777777" w:rsidR="008E71B8" w:rsidRPr="00982AA7" w:rsidRDefault="008E71B8" w:rsidP="00CE55B3">
            <w:pPr>
              <w:pStyle w:val="Body"/>
              <w:rPr>
                <w:b w:val="0"/>
                <w:color w:val="000000" w:themeColor="text1"/>
              </w:rPr>
            </w:pPr>
            <w:r w:rsidRPr="00982AA7">
              <w:rPr>
                <w:b w:val="0"/>
                <w:color w:val="000000" w:themeColor="text1"/>
              </w:rPr>
              <w:t>Age: 1–18 years</w:t>
            </w:r>
          </w:p>
        </w:tc>
        <w:tc>
          <w:tcPr>
            <w:tcW w:w="2591" w:type="dxa"/>
          </w:tcPr>
          <w:p w14:paraId="4BAC2362" w14:textId="18A9AE5F" w:rsidR="008E71B8" w:rsidRPr="00982AA7" w:rsidRDefault="00DE1CA2"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w:t>
            </w:r>
          </w:p>
        </w:tc>
        <w:tc>
          <w:tcPr>
            <w:tcW w:w="2591" w:type="dxa"/>
          </w:tcPr>
          <w:p w14:paraId="25D6313B" w14:textId="5345FAD4" w:rsidR="008E71B8" w:rsidRPr="00982AA7" w:rsidRDefault="00CE686F"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w:t>
            </w:r>
          </w:p>
        </w:tc>
      </w:tr>
      <w:tr w:rsidR="008E71B8" w:rsidRPr="008E71B8" w14:paraId="50BF8B9C"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0199ACC" w14:textId="77777777" w:rsidR="008E71B8" w:rsidRPr="00982AA7" w:rsidRDefault="008E71B8" w:rsidP="00CE55B3">
            <w:pPr>
              <w:pStyle w:val="Body"/>
              <w:rPr>
                <w:b w:val="0"/>
                <w:color w:val="000000" w:themeColor="text1"/>
              </w:rPr>
            </w:pPr>
            <w:r w:rsidRPr="00982AA7">
              <w:rPr>
                <w:b w:val="0"/>
                <w:color w:val="000000" w:themeColor="text1"/>
              </w:rPr>
              <w:t>Age: 19–29 years</w:t>
            </w:r>
          </w:p>
        </w:tc>
        <w:tc>
          <w:tcPr>
            <w:tcW w:w="2591" w:type="dxa"/>
          </w:tcPr>
          <w:p w14:paraId="41542CA5" w14:textId="44A1E6FA" w:rsidR="008E71B8" w:rsidRPr="00982AA7" w:rsidRDefault="00DE1CA2"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w:t>
            </w:r>
          </w:p>
        </w:tc>
        <w:tc>
          <w:tcPr>
            <w:tcW w:w="2591" w:type="dxa"/>
          </w:tcPr>
          <w:p w14:paraId="55419A0B" w14:textId="4306BBEF" w:rsidR="008E71B8" w:rsidRPr="00982AA7" w:rsidRDefault="00CE686F"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w:t>
            </w:r>
          </w:p>
        </w:tc>
      </w:tr>
      <w:tr w:rsidR="008E71B8" w:rsidRPr="008E71B8" w14:paraId="314EBF58" w14:textId="77777777" w:rsidTr="00982AA7">
        <w:tc>
          <w:tcPr>
            <w:cnfStyle w:val="001000000000" w:firstRow="0" w:lastRow="0" w:firstColumn="1" w:lastColumn="0" w:oddVBand="0" w:evenVBand="0" w:oddHBand="0" w:evenHBand="0" w:firstRowFirstColumn="0" w:firstRowLastColumn="0" w:lastRowFirstColumn="0" w:lastRowLastColumn="0"/>
            <w:tcW w:w="4106" w:type="dxa"/>
          </w:tcPr>
          <w:p w14:paraId="5F5BC3ED" w14:textId="77777777" w:rsidR="008E71B8" w:rsidRPr="00982AA7" w:rsidRDefault="008E71B8" w:rsidP="00CE55B3">
            <w:pPr>
              <w:pStyle w:val="Body"/>
              <w:rPr>
                <w:b w:val="0"/>
                <w:color w:val="000000" w:themeColor="text1"/>
              </w:rPr>
            </w:pPr>
            <w:r w:rsidRPr="00982AA7">
              <w:rPr>
                <w:b w:val="0"/>
                <w:color w:val="000000" w:themeColor="text1"/>
              </w:rPr>
              <w:t>Age: 30–49 years</w:t>
            </w:r>
          </w:p>
        </w:tc>
        <w:tc>
          <w:tcPr>
            <w:tcW w:w="2591" w:type="dxa"/>
          </w:tcPr>
          <w:p w14:paraId="5E783649" w14:textId="06219977" w:rsidR="008E71B8" w:rsidRPr="00982AA7" w:rsidRDefault="00CE686F"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w:t>
            </w:r>
          </w:p>
        </w:tc>
        <w:tc>
          <w:tcPr>
            <w:tcW w:w="2591" w:type="dxa"/>
          </w:tcPr>
          <w:p w14:paraId="44C76A88" w14:textId="779FCE48" w:rsidR="008E71B8" w:rsidRPr="00982AA7" w:rsidRDefault="00CE686F"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5</w:t>
            </w:r>
            <w:r w:rsidR="00B91DB1" w:rsidRPr="00982AA7">
              <w:rPr>
                <w:bCs/>
                <w:color w:val="000000" w:themeColor="text1"/>
              </w:rPr>
              <w:t xml:space="preserve"> (11)</w:t>
            </w:r>
          </w:p>
        </w:tc>
      </w:tr>
      <w:tr w:rsidR="008E71B8" w:rsidRPr="008E71B8" w14:paraId="78B8B676"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50F67F0" w14:textId="77777777" w:rsidR="008E71B8" w:rsidRPr="00982AA7" w:rsidRDefault="008E71B8" w:rsidP="00CE55B3">
            <w:pPr>
              <w:pStyle w:val="Body"/>
              <w:rPr>
                <w:b w:val="0"/>
                <w:color w:val="000000" w:themeColor="text1"/>
              </w:rPr>
            </w:pPr>
            <w:r w:rsidRPr="00982AA7">
              <w:rPr>
                <w:b w:val="0"/>
                <w:color w:val="000000" w:themeColor="text1"/>
              </w:rPr>
              <w:t>Age: 50–69 years</w:t>
            </w:r>
          </w:p>
        </w:tc>
        <w:tc>
          <w:tcPr>
            <w:tcW w:w="2591" w:type="dxa"/>
          </w:tcPr>
          <w:p w14:paraId="2B133B47" w14:textId="2D001A94" w:rsidR="008E71B8" w:rsidRPr="00982AA7" w:rsidRDefault="00DE1CA2"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2</w:t>
            </w:r>
            <w:r w:rsidR="00B91DB1" w:rsidRPr="00982AA7">
              <w:rPr>
                <w:bCs/>
                <w:color w:val="000000" w:themeColor="text1"/>
              </w:rPr>
              <w:t xml:space="preserve"> (50)</w:t>
            </w:r>
          </w:p>
        </w:tc>
        <w:tc>
          <w:tcPr>
            <w:tcW w:w="2591" w:type="dxa"/>
          </w:tcPr>
          <w:p w14:paraId="1BD5EB83" w14:textId="1D75A566" w:rsidR="008E71B8" w:rsidRPr="00982AA7" w:rsidRDefault="00CE686F"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1</w:t>
            </w:r>
            <w:r w:rsidR="004E2E65" w:rsidRPr="00982AA7">
              <w:rPr>
                <w:bCs/>
                <w:color w:val="000000" w:themeColor="text1"/>
              </w:rPr>
              <w:t>4</w:t>
            </w:r>
            <w:r w:rsidR="00B91DB1" w:rsidRPr="00982AA7">
              <w:rPr>
                <w:bCs/>
                <w:color w:val="000000" w:themeColor="text1"/>
              </w:rPr>
              <w:t xml:space="preserve"> (3</w:t>
            </w:r>
            <w:r w:rsidR="004E2E65" w:rsidRPr="00982AA7">
              <w:rPr>
                <w:bCs/>
                <w:color w:val="000000" w:themeColor="text1"/>
              </w:rPr>
              <w:t>1</w:t>
            </w:r>
            <w:r w:rsidR="00B91DB1" w:rsidRPr="00982AA7">
              <w:rPr>
                <w:bCs/>
                <w:color w:val="000000" w:themeColor="text1"/>
              </w:rPr>
              <w:t>)</w:t>
            </w:r>
          </w:p>
        </w:tc>
      </w:tr>
      <w:tr w:rsidR="008E71B8" w:rsidRPr="008E71B8" w14:paraId="52D9E751" w14:textId="77777777" w:rsidTr="00982AA7">
        <w:tc>
          <w:tcPr>
            <w:cnfStyle w:val="001000000000" w:firstRow="0" w:lastRow="0" w:firstColumn="1" w:lastColumn="0" w:oddVBand="0" w:evenVBand="0" w:oddHBand="0" w:evenHBand="0" w:firstRowFirstColumn="0" w:firstRowLastColumn="0" w:lastRowFirstColumn="0" w:lastRowLastColumn="0"/>
            <w:tcW w:w="4106" w:type="dxa"/>
          </w:tcPr>
          <w:p w14:paraId="613CBDB5" w14:textId="77777777" w:rsidR="008E71B8" w:rsidRPr="00982AA7" w:rsidRDefault="008E71B8" w:rsidP="00CE55B3">
            <w:pPr>
              <w:pStyle w:val="Body"/>
              <w:rPr>
                <w:b w:val="0"/>
                <w:color w:val="000000" w:themeColor="text1"/>
              </w:rPr>
            </w:pPr>
            <w:r w:rsidRPr="00982AA7">
              <w:rPr>
                <w:b w:val="0"/>
                <w:color w:val="000000" w:themeColor="text1"/>
              </w:rPr>
              <w:t>Age: 70–79 years</w:t>
            </w:r>
          </w:p>
        </w:tc>
        <w:tc>
          <w:tcPr>
            <w:tcW w:w="2591" w:type="dxa"/>
          </w:tcPr>
          <w:p w14:paraId="7246B7DF" w14:textId="6F0B7B2E" w:rsidR="008E71B8" w:rsidRPr="00982AA7" w:rsidRDefault="00DE1CA2"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1</w:t>
            </w:r>
            <w:r w:rsidR="00B91DB1" w:rsidRPr="00982AA7">
              <w:rPr>
                <w:bCs/>
                <w:color w:val="000000" w:themeColor="text1"/>
              </w:rPr>
              <w:t xml:space="preserve"> (25)</w:t>
            </w:r>
          </w:p>
        </w:tc>
        <w:tc>
          <w:tcPr>
            <w:tcW w:w="2591" w:type="dxa"/>
          </w:tcPr>
          <w:p w14:paraId="1E08CE2A" w14:textId="4C06436A" w:rsidR="008E71B8" w:rsidRPr="00982AA7" w:rsidRDefault="00CE686F"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13</w:t>
            </w:r>
            <w:r w:rsidR="00B91DB1" w:rsidRPr="00982AA7">
              <w:rPr>
                <w:bCs/>
                <w:color w:val="000000" w:themeColor="text1"/>
              </w:rPr>
              <w:t xml:space="preserve"> (2</w:t>
            </w:r>
            <w:r w:rsidR="004E2E65" w:rsidRPr="00982AA7">
              <w:rPr>
                <w:bCs/>
                <w:color w:val="000000" w:themeColor="text1"/>
              </w:rPr>
              <w:t>9</w:t>
            </w:r>
            <w:r w:rsidR="00B91DB1" w:rsidRPr="00982AA7">
              <w:rPr>
                <w:bCs/>
                <w:color w:val="000000" w:themeColor="text1"/>
              </w:rPr>
              <w:t>)</w:t>
            </w:r>
          </w:p>
        </w:tc>
      </w:tr>
      <w:tr w:rsidR="008E71B8" w:rsidRPr="008E71B8" w14:paraId="6A1343B1"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C8BE1E6" w14:textId="77777777" w:rsidR="008E71B8" w:rsidRPr="00982AA7" w:rsidRDefault="008E71B8" w:rsidP="00CE55B3">
            <w:pPr>
              <w:pStyle w:val="Body"/>
              <w:rPr>
                <w:b w:val="0"/>
                <w:color w:val="000000" w:themeColor="text1"/>
              </w:rPr>
            </w:pPr>
            <w:r w:rsidRPr="00982AA7">
              <w:rPr>
                <w:b w:val="0"/>
                <w:color w:val="000000" w:themeColor="text1"/>
              </w:rPr>
              <w:t>Age: 80+ years</w:t>
            </w:r>
          </w:p>
        </w:tc>
        <w:tc>
          <w:tcPr>
            <w:tcW w:w="2591" w:type="dxa"/>
          </w:tcPr>
          <w:p w14:paraId="6D65F55D" w14:textId="39B542B8" w:rsidR="008E71B8" w:rsidRPr="00982AA7" w:rsidRDefault="00DE1CA2"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1</w:t>
            </w:r>
            <w:r w:rsidR="00B91DB1" w:rsidRPr="00982AA7">
              <w:rPr>
                <w:bCs/>
                <w:color w:val="000000" w:themeColor="text1"/>
              </w:rPr>
              <w:t xml:space="preserve"> (25)</w:t>
            </w:r>
          </w:p>
        </w:tc>
        <w:tc>
          <w:tcPr>
            <w:tcW w:w="2591" w:type="dxa"/>
          </w:tcPr>
          <w:p w14:paraId="7B82F58E" w14:textId="4FD0F52B" w:rsidR="008E71B8" w:rsidRPr="00982AA7" w:rsidRDefault="00CE686F"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13</w:t>
            </w:r>
            <w:r w:rsidR="00B91DB1" w:rsidRPr="00982AA7">
              <w:rPr>
                <w:bCs/>
                <w:color w:val="000000" w:themeColor="text1"/>
              </w:rPr>
              <w:t xml:space="preserve"> (2</w:t>
            </w:r>
            <w:r w:rsidR="004E2E65" w:rsidRPr="00982AA7">
              <w:rPr>
                <w:bCs/>
                <w:color w:val="000000" w:themeColor="text1"/>
              </w:rPr>
              <w:t>9</w:t>
            </w:r>
            <w:r w:rsidR="00B91DB1" w:rsidRPr="00982AA7">
              <w:rPr>
                <w:bCs/>
                <w:color w:val="000000" w:themeColor="text1"/>
              </w:rPr>
              <w:t>)</w:t>
            </w:r>
          </w:p>
        </w:tc>
      </w:tr>
      <w:tr w:rsidR="008E71B8" w:rsidRPr="008E71B8" w14:paraId="2B2F2A5D" w14:textId="77777777" w:rsidTr="00982AA7">
        <w:tc>
          <w:tcPr>
            <w:cnfStyle w:val="001000000000" w:firstRow="0" w:lastRow="0" w:firstColumn="1" w:lastColumn="0" w:oddVBand="0" w:evenVBand="0" w:oddHBand="0" w:evenHBand="0" w:firstRowFirstColumn="0" w:firstRowLastColumn="0" w:lastRowFirstColumn="0" w:lastRowLastColumn="0"/>
            <w:tcW w:w="4106" w:type="dxa"/>
          </w:tcPr>
          <w:p w14:paraId="0018C7EE" w14:textId="77777777" w:rsidR="008E71B8" w:rsidRPr="00982AA7" w:rsidRDefault="008E71B8" w:rsidP="00CE55B3">
            <w:pPr>
              <w:pStyle w:val="Body"/>
              <w:rPr>
                <w:b w:val="0"/>
                <w:color w:val="000000" w:themeColor="text1"/>
              </w:rPr>
            </w:pPr>
            <w:r w:rsidRPr="00982AA7">
              <w:rPr>
                <w:b w:val="0"/>
                <w:color w:val="000000" w:themeColor="text1"/>
              </w:rPr>
              <w:t>Sex: male</w:t>
            </w:r>
          </w:p>
        </w:tc>
        <w:tc>
          <w:tcPr>
            <w:tcW w:w="2591" w:type="dxa"/>
          </w:tcPr>
          <w:p w14:paraId="51BA94C8" w14:textId="2312A82B" w:rsidR="008E71B8" w:rsidRPr="00982AA7" w:rsidRDefault="00DE1CA2"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3</w:t>
            </w:r>
            <w:r w:rsidR="00B91DB1" w:rsidRPr="00982AA7">
              <w:rPr>
                <w:bCs/>
                <w:color w:val="000000" w:themeColor="text1"/>
              </w:rPr>
              <w:t xml:space="preserve"> (75)</w:t>
            </w:r>
          </w:p>
        </w:tc>
        <w:tc>
          <w:tcPr>
            <w:tcW w:w="2591" w:type="dxa"/>
          </w:tcPr>
          <w:p w14:paraId="7DEA93A5" w14:textId="55F35E2D" w:rsidR="008E71B8" w:rsidRPr="00982AA7" w:rsidRDefault="00CE686F"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23</w:t>
            </w:r>
            <w:r w:rsidR="00B91DB1" w:rsidRPr="00982AA7">
              <w:rPr>
                <w:bCs/>
                <w:color w:val="000000" w:themeColor="text1"/>
              </w:rPr>
              <w:t xml:space="preserve"> (5</w:t>
            </w:r>
            <w:r w:rsidR="004E2E65" w:rsidRPr="00982AA7">
              <w:rPr>
                <w:bCs/>
                <w:color w:val="000000" w:themeColor="text1"/>
              </w:rPr>
              <w:t>1</w:t>
            </w:r>
            <w:r w:rsidR="00B91DB1" w:rsidRPr="00982AA7">
              <w:rPr>
                <w:bCs/>
                <w:color w:val="000000" w:themeColor="text1"/>
              </w:rPr>
              <w:t>)</w:t>
            </w:r>
          </w:p>
        </w:tc>
      </w:tr>
      <w:tr w:rsidR="008E71B8" w:rsidRPr="008E71B8" w14:paraId="3D245BC6"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B78EA5B" w14:textId="77777777" w:rsidR="008E71B8" w:rsidRPr="00982AA7" w:rsidRDefault="008E71B8" w:rsidP="00CE55B3">
            <w:pPr>
              <w:pStyle w:val="Body"/>
              <w:rPr>
                <w:b w:val="0"/>
                <w:color w:val="000000" w:themeColor="text1"/>
              </w:rPr>
            </w:pPr>
            <w:r w:rsidRPr="00982AA7">
              <w:rPr>
                <w:b w:val="0"/>
                <w:color w:val="000000" w:themeColor="text1"/>
              </w:rPr>
              <w:t>Sex: female</w:t>
            </w:r>
          </w:p>
        </w:tc>
        <w:tc>
          <w:tcPr>
            <w:tcW w:w="2591" w:type="dxa"/>
          </w:tcPr>
          <w:p w14:paraId="78C38437" w14:textId="688BD441" w:rsidR="008E71B8" w:rsidRPr="00982AA7" w:rsidRDefault="00DE1CA2"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1</w:t>
            </w:r>
            <w:r w:rsidR="00B91DB1" w:rsidRPr="00982AA7">
              <w:rPr>
                <w:bCs/>
                <w:color w:val="000000" w:themeColor="text1"/>
              </w:rPr>
              <w:t xml:space="preserve"> (25)</w:t>
            </w:r>
          </w:p>
        </w:tc>
        <w:tc>
          <w:tcPr>
            <w:tcW w:w="2591" w:type="dxa"/>
          </w:tcPr>
          <w:p w14:paraId="7FB4260A" w14:textId="1F36FF24" w:rsidR="008E71B8" w:rsidRPr="00982AA7" w:rsidRDefault="00CE686F"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2</w:t>
            </w:r>
            <w:r w:rsidR="004E2E65" w:rsidRPr="00982AA7">
              <w:rPr>
                <w:bCs/>
                <w:color w:val="000000" w:themeColor="text1"/>
              </w:rPr>
              <w:t>2</w:t>
            </w:r>
            <w:r w:rsidR="00B91DB1" w:rsidRPr="00982AA7">
              <w:rPr>
                <w:bCs/>
                <w:color w:val="000000" w:themeColor="text1"/>
              </w:rPr>
              <w:t xml:space="preserve"> (</w:t>
            </w:r>
            <w:r w:rsidR="004E2E65" w:rsidRPr="00982AA7">
              <w:rPr>
                <w:bCs/>
                <w:color w:val="000000" w:themeColor="text1"/>
              </w:rPr>
              <w:t>49</w:t>
            </w:r>
            <w:r w:rsidR="00B91DB1" w:rsidRPr="00982AA7">
              <w:rPr>
                <w:bCs/>
                <w:color w:val="000000" w:themeColor="text1"/>
              </w:rPr>
              <w:t>)</w:t>
            </w:r>
          </w:p>
        </w:tc>
      </w:tr>
      <w:tr w:rsidR="008E71B8" w:rsidRPr="008E71B8" w14:paraId="3031BF3F" w14:textId="77777777" w:rsidTr="00982AA7">
        <w:tc>
          <w:tcPr>
            <w:cnfStyle w:val="001000000000" w:firstRow="0" w:lastRow="0" w:firstColumn="1" w:lastColumn="0" w:oddVBand="0" w:evenVBand="0" w:oddHBand="0" w:evenHBand="0" w:firstRowFirstColumn="0" w:firstRowLastColumn="0" w:lastRowFirstColumn="0" w:lastRowLastColumn="0"/>
            <w:tcW w:w="4106" w:type="dxa"/>
          </w:tcPr>
          <w:p w14:paraId="36E1846F" w14:textId="02B2A011" w:rsidR="008E71B8" w:rsidRPr="00982AA7" w:rsidRDefault="008E71B8" w:rsidP="00CE55B3">
            <w:pPr>
              <w:pStyle w:val="Body"/>
              <w:rPr>
                <w:b w:val="0"/>
                <w:color w:val="000000" w:themeColor="text1"/>
              </w:rPr>
            </w:pPr>
            <w:r w:rsidRPr="00982AA7">
              <w:rPr>
                <w:b w:val="0"/>
                <w:color w:val="000000" w:themeColor="text1"/>
              </w:rPr>
              <w:t xml:space="preserve">Implicated blood component: </w:t>
            </w:r>
            <w:r w:rsidR="0056661F" w:rsidRPr="00982AA7">
              <w:rPr>
                <w:b w:val="0"/>
                <w:color w:val="000000" w:themeColor="text1"/>
              </w:rPr>
              <w:t>RBC</w:t>
            </w:r>
          </w:p>
        </w:tc>
        <w:tc>
          <w:tcPr>
            <w:tcW w:w="2591" w:type="dxa"/>
          </w:tcPr>
          <w:p w14:paraId="04A2776F" w14:textId="311B3065" w:rsidR="008E71B8" w:rsidRPr="00982AA7" w:rsidRDefault="00CE686F"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4</w:t>
            </w:r>
            <w:r w:rsidR="00B91DB1" w:rsidRPr="00982AA7">
              <w:rPr>
                <w:bCs/>
                <w:color w:val="000000" w:themeColor="text1"/>
              </w:rPr>
              <w:t xml:space="preserve"> (100)</w:t>
            </w:r>
          </w:p>
        </w:tc>
        <w:tc>
          <w:tcPr>
            <w:tcW w:w="2591" w:type="dxa"/>
          </w:tcPr>
          <w:p w14:paraId="67CCA062" w14:textId="0ACD3F96" w:rsidR="008E71B8" w:rsidRPr="00982AA7" w:rsidRDefault="00CE686F" w:rsidP="00CE55B3">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982AA7">
              <w:rPr>
                <w:bCs/>
                <w:color w:val="000000" w:themeColor="text1"/>
              </w:rPr>
              <w:t>4</w:t>
            </w:r>
            <w:r w:rsidR="004E2E65" w:rsidRPr="00982AA7">
              <w:rPr>
                <w:bCs/>
                <w:color w:val="000000" w:themeColor="text1"/>
              </w:rPr>
              <w:t>5</w:t>
            </w:r>
            <w:r w:rsidR="00B91DB1" w:rsidRPr="00982AA7">
              <w:rPr>
                <w:bCs/>
                <w:color w:val="000000" w:themeColor="text1"/>
              </w:rPr>
              <w:t xml:space="preserve"> (100)</w:t>
            </w:r>
          </w:p>
        </w:tc>
      </w:tr>
      <w:tr w:rsidR="008E71B8" w:rsidRPr="008E71B8" w14:paraId="7B80EB53"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F82A016" w14:textId="77777777" w:rsidR="008E71B8" w:rsidRPr="00982AA7" w:rsidRDefault="008E71B8" w:rsidP="00CE55B3">
            <w:pPr>
              <w:pStyle w:val="Body"/>
              <w:rPr>
                <w:b w:val="0"/>
                <w:color w:val="000000" w:themeColor="text1"/>
              </w:rPr>
            </w:pPr>
            <w:r w:rsidRPr="00982AA7">
              <w:rPr>
                <w:b w:val="0"/>
                <w:color w:val="000000" w:themeColor="text1"/>
              </w:rPr>
              <w:t>Implicated blood component: platelets</w:t>
            </w:r>
          </w:p>
        </w:tc>
        <w:tc>
          <w:tcPr>
            <w:tcW w:w="2591" w:type="dxa"/>
          </w:tcPr>
          <w:p w14:paraId="514461C7" w14:textId="2BB3AF95" w:rsidR="008E71B8" w:rsidRPr="00982AA7" w:rsidRDefault="00B91DB1"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w:t>
            </w:r>
          </w:p>
        </w:tc>
        <w:tc>
          <w:tcPr>
            <w:tcW w:w="2591" w:type="dxa"/>
          </w:tcPr>
          <w:p w14:paraId="4767FDD0" w14:textId="359BD83E" w:rsidR="008E71B8" w:rsidRPr="00982AA7" w:rsidRDefault="00CE686F" w:rsidP="00CE55B3">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982AA7">
              <w:rPr>
                <w:bCs/>
                <w:color w:val="000000" w:themeColor="text1"/>
              </w:rPr>
              <w:t>2</w:t>
            </w:r>
            <w:r w:rsidR="00B91DB1" w:rsidRPr="00982AA7">
              <w:rPr>
                <w:bCs/>
                <w:color w:val="000000" w:themeColor="text1"/>
              </w:rPr>
              <w:t xml:space="preserve"> (4)</w:t>
            </w:r>
          </w:p>
        </w:tc>
      </w:tr>
    </w:tbl>
    <w:p w14:paraId="5E52B670" w14:textId="04D6A5A2" w:rsidR="008E71B8" w:rsidRPr="009431A3" w:rsidRDefault="00054011" w:rsidP="00CE55B3">
      <w:pPr>
        <w:pStyle w:val="Tablefigurenote"/>
        <w:rPr>
          <w:b/>
          <w:bCs/>
        </w:rPr>
      </w:pPr>
      <w:r w:rsidRPr="003E4548">
        <w:lastRenderedPageBreak/>
        <w:t xml:space="preserve">Note: More than one </w:t>
      </w:r>
      <w:r>
        <w:t>component may have been implicated in</w:t>
      </w:r>
      <w:r w:rsidRPr="003E4548">
        <w:t xml:space="preserve"> some cases</w:t>
      </w:r>
      <w:r>
        <w:t>.</w:t>
      </w:r>
    </w:p>
    <w:p w14:paraId="24C08CA6" w14:textId="3306CDA9" w:rsidR="009431A3" w:rsidRDefault="009431A3" w:rsidP="00CE55B3">
      <w:pPr>
        <w:pStyle w:val="Tablecaption"/>
      </w:pPr>
      <w:r w:rsidRPr="009431A3">
        <w:t xml:space="preserve">Table </w:t>
      </w:r>
      <w:r w:rsidR="00A9310D">
        <w:t>18a:</w:t>
      </w:r>
      <w:r w:rsidRPr="009431A3">
        <w:t xml:space="preserve"> Severity rating and </w:t>
      </w:r>
      <w:proofErr w:type="spellStart"/>
      <w:r w:rsidRPr="009431A3">
        <w:t>imputability</w:t>
      </w:r>
      <w:proofErr w:type="spellEnd"/>
      <w:r w:rsidRPr="009431A3">
        <w:t xml:space="preserve"> – delayed </w:t>
      </w:r>
      <w:r w:rsidRPr="00FD75FB">
        <w:t>haemolytic</w:t>
      </w:r>
      <w:r w:rsidRPr="009431A3">
        <w:t xml:space="preserve"> reaction</w:t>
      </w:r>
    </w:p>
    <w:tbl>
      <w:tblPr>
        <w:tblStyle w:val="GridTable6Colorful-Accent2"/>
        <w:tblW w:w="0" w:type="auto"/>
        <w:tblLook w:val="04A0" w:firstRow="1" w:lastRow="0" w:firstColumn="1" w:lastColumn="0" w:noHBand="0" w:noVBand="1"/>
      </w:tblPr>
      <w:tblGrid>
        <w:gridCol w:w="1841"/>
        <w:gridCol w:w="1842"/>
        <w:gridCol w:w="1842"/>
        <w:gridCol w:w="1842"/>
        <w:gridCol w:w="1842"/>
      </w:tblGrid>
      <w:tr w:rsidR="008E71B8" w:rsidRPr="008E71B8" w14:paraId="345FEFFC"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36B23AE" w14:textId="77777777" w:rsidR="008E71B8" w:rsidRPr="00CE55B3" w:rsidRDefault="008E71B8" w:rsidP="00FD75FB">
            <w:pPr>
              <w:pStyle w:val="Tablecolhead"/>
              <w:rPr>
                <w:b/>
                <w:bCs w:val="0"/>
              </w:rPr>
            </w:pPr>
            <w:r w:rsidRPr="00CE55B3">
              <w:t>Severity rating</w:t>
            </w:r>
          </w:p>
        </w:tc>
        <w:tc>
          <w:tcPr>
            <w:tcW w:w="0" w:type="dxa"/>
          </w:tcPr>
          <w:p w14:paraId="40447957" w14:textId="77777777" w:rsidR="008E71B8" w:rsidRPr="00CE55B3" w:rsidRDefault="008E71B8"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certainly</w:t>
            </w:r>
          </w:p>
        </w:tc>
        <w:tc>
          <w:tcPr>
            <w:tcW w:w="0" w:type="dxa"/>
          </w:tcPr>
          <w:p w14:paraId="1DEFE21D" w14:textId="77777777" w:rsidR="008E71B8" w:rsidRPr="00CE55B3" w:rsidRDefault="008E71B8"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probably</w:t>
            </w:r>
          </w:p>
        </w:tc>
        <w:tc>
          <w:tcPr>
            <w:tcW w:w="0" w:type="dxa"/>
          </w:tcPr>
          <w:p w14:paraId="16C22E68" w14:textId="77777777" w:rsidR="008E71B8" w:rsidRPr="00CE55B3" w:rsidRDefault="008E71B8"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possibly</w:t>
            </w:r>
          </w:p>
        </w:tc>
        <w:tc>
          <w:tcPr>
            <w:tcW w:w="0" w:type="dxa"/>
          </w:tcPr>
          <w:p w14:paraId="327B0447" w14:textId="77777777" w:rsidR="008E71B8" w:rsidRPr="00CE55B3" w:rsidRDefault="008E71B8"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Total</w:t>
            </w:r>
          </w:p>
        </w:tc>
      </w:tr>
      <w:tr w:rsidR="008E71B8" w:rsidRPr="008E71B8" w14:paraId="4AE6BDAB"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5F86685E" w14:textId="77777777" w:rsidR="008E71B8" w:rsidRPr="00982AA7" w:rsidRDefault="008E71B8" w:rsidP="00CE55B3">
            <w:pPr>
              <w:pStyle w:val="Body"/>
              <w:keepNext/>
              <w:keepLines/>
              <w:spacing w:line="240" w:lineRule="auto"/>
              <w:rPr>
                <w:b w:val="0"/>
                <w:bCs w:val="0"/>
                <w:color w:val="000000" w:themeColor="text1"/>
              </w:rPr>
            </w:pPr>
            <w:r w:rsidRPr="00982AA7">
              <w:rPr>
                <w:b w:val="0"/>
                <w:bCs w:val="0"/>
                <w:color w:val="000000" w:themeColor="text1"/>
              </w:rPr>
              <w:t>SR 1</w:t>
            </w:r>
          </w:p>
        </w:tc>
        <w:tc>
          <w:tcPr>
            <w:tcW w:w="1842" w:type="dxa"/>
          </w:tcPr>
          <w:p w14:paraId="425EC57A" w14:textId="6A03BAD6"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48CA9F4E" w14:textId="6AAD36A7"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204E3FD7" w14:textId="199EE384"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74F3E009" w14:textId="5DF51044"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w:t>
            </w:r>
          </w:p>
        </w:tc>
      </w:tr>
      <w:tr w:rsidR="008E71B8" w:rsidRPr="008E71B8" w14:paraId="6FDAC09E" w14:textId="77777777" w:rsidTr="00982AA7">
        <w:tc>
          <w:tcPr>
            <w:cnfStyle w:val="001000000000" w:firstRow="0" w:lastRow="0" w:firstColumn="1" w:lastColumn="0" w:oddVBand="0" w:evenVBand="0" w:oddHBand="0" w:evenHBand="0" w:firstRowFirstColumn="0" w:firstRowLastColumn="0" w:lastRowFirstColumn="0" w:lastRowLastColumn="0"/>
            <w:tcW w:w="1841" w:type="dxa"/>
          </w:tcPr>
          <w:p w14:paraId="11072177" w14:textId="77777777" w:rsidR="008E71B8" w:rsidRPr="00982AA7" w:rsidRDefault="008E71B8" w:rsidP="00CE55B3">
            <w:pPr>
              <w:pStyle w:val="Body"/>
              <w:keepNext/>
              <w:keepLines/>
              <w:spacing w:line="240" w:lineRule="auto"/>
              <w:rPr>
                <w:b w:val="0"/>
                <w:bCs w:val="0"/>
                <w:color w:val="000000" w:themeColor="text1"/>
              </w:rPr>
            </w:pPr>
            <w:r w:rsidRPr="00982AA7">
              <w:rPr>
                <w:b w:val="0"/>
                <w:bCs w:val="0"/>
                <w:color w:val="000000" w:themeColor="text1"/>
              </w:rPr>
              <w:t>SR 2</w:t>
            </w:r>
          </w:p>
        </w:tc>
        <w:tc>
          <w:tcPr>
            <w:tcW w:w="1842" w:type="dxa"/>
          </w:tcPr>
          <w:p w14:paraId="599B8BA0" w14:textId="6F8ABB04" w:rsidR="008E71B8" w:rsidRPr="00982AA7" w:rsidRDefault="00DE1CA2"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c>
          <w:tcPr>
            <w:tcW w:w="1842" w:type="dxa"/>
          </w:tcPr>
          <w:p w14:paraId="3F485836" w14:textId="6F67AF10" w:rsidR="008E71B8" w:rsidRPr="00982AA7" w:rsidRDefault="00DE1CA2"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c>
          <w:tcPr>
            <w:tcW w:w="1842" w:type="dxa"/>
          </w:tcPr>
          <w:p w14:paraId="556CD659" w14:textId="5F7A6D25" w:rsidR="008E71B8" w:rsidRPr="00982AA7" w:rsidRDefault="00DE1CA2"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842" w:type="dxa"/>
          </w:tcPr>
          <w:p w14:paraId="4B680027" w14:textId="0397B404" w:rsidR="008E71B8" w:rsidRPr="00982AA7" w:rsidRDefault="00DE1CA2"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982AA7">
              <w:rPr>
                <w:b/>
                <w:bCs/>
                <w:color w:val="000000" w:themeColor="text1"/>
              </w:rPr>
              <w:t>2</w:t>
            </w:r>
          </w:p>
        </w:tc>
      </w:tr>
      <w:tr w:rsidR="008E71B8" w:rsidRPr="008E71B8" w14:paraId="23493FEE"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361C4F2E" w14:textId="77777777" w:rsidR="008E71B8" w:rsidRPr="00982AA7" w:rsidRDefault="008E71B8" w:rsidP="00CE55B3">
            <w:pPr>
              <w:pStyle w:val="Body"/>
              <w:keepNext/>
              <w:keepLines/>
              <w:spacing w:line="240" w:lineRule="auto"/>
              <w:rPr>
                <w:b w:val="0"/>
                <w:bCs w:val="0"/>
                <w:color w:val="000000" w:themeColor="text1"/>
              </w:rPr>
            </w:pPr>
            <w:r w:rsidRPr="00982AA7">
              <w:rPr>
                <w:b w:val="0"/>
                <w:bCs w:val="0"/>
                <w:color w:val="000000" w:themeColor="text1"/>
              </w:rPr>
              <w:t>SR 3</w:t>
            </w:r>
          </w:p>
        </w:tc>
        <w:tc>
          <w:tcPr>
            <w:tcW w:w="1842" w:type="dxa"/>
          </w:tcPr>
          <w:p w14:paraId="77167332" w14:textId="5BD19393"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334E3D0D" w14:textId="41C6F65B"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w:t>
            </w:r>
          </w:p>
        </w:tc>
        <w:tc>
          <w:tcPr>
            <w:tcW w:w="1842" w:type="dxa"/>
          </w:tcPr>
          <w:p w14:paraId="5B88E72D" w14:textId="21870931"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2E197FD1" w14:textId="717861EE"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1</w:t>
            </w:r>
          </w:p>
        </w:tc>
      </w:tr>
      <w:tr w:rsidR="008E71B8" w:rsidRPr="008E71B8" w14:paraId="744F2E95" w14:textId="77777777" w:rsidTr="00982AA7">
        <w:tc>
          <w:tcPr>
            <w:cnfStyle w:val="001000000000" w:firstRow="0" w:lastRow="0" w:firstColumn="1" w:lastColumn="0" w:oddVBand="0" w:evenVBand="0" w:oddHBand="0" w:evenHBand="0" w:firstRowFirstColumn="0" w:firstRowLastColumn="0" w:lastRowFirstColumn="0" w:lastRowLastColumn="0"/>
            <w:tcW w:w="1841" w:type="dxa"/>
          </w:tcPr>
          <w:p w14:paraId="4C26607B" w14:textId="77777777" w:rsidR="008E71B8" w:rsidRPr="00982AA7" w:rsidRDefault="008E71B8" w:rsidP="00CE55B3">
            <w:pPr>
              <w:pStyle w:val="Body"/>
              <w:keepNext/>
              <w:keepLines/>
              <w:spacing w:line="240" w:lineRule="auto"/>
              <w:rPr>
                <w:b w:val="0"/>
                <w:bCs w:val="0"/>
                <w:color w:val="000000" w:themeColor="text1"/>
              </w:rPr>
            </w:pPr>
            <w:r w:rsidRPr="00982AA7">
              <w:rPr>
                <w:b w:val="0"/>
                <w:bCs w:val="0"/>
                <w:color w:val="000000" w:themeColor="text1"/>
              </w:rPr>
              <w:t>SR 4</w:t>
            </w:r>
          </w:p>
        </w:tc>
        <w:tc>
          <w:tcPr>
            <w:tcW w:w="1842" w:type="dxa"/>
          </w:tcPr>
          <w:p w14:paraId="77503269" w14:textId="2BFF46DE" w:rsidR="008E71B8" w:rsidRPr="00982AA7" w:rsidRDefault="00DE1CA2"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c>
          <w:tcPr>
            <w:tcW w:w="1842" w:type="dxa"/>
          </w:tcPr>
          <w:p w14:paraId="5AAADD47" w14:textId="4D385338" w:rsidR="008E71B8" w:rsidRPr="00982AA7" w:rsidRDefault="00CE686F"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842" w:type="dxa"/>
          </w:tcPr>
          <w:p w14:paraId="67F7E5CD" w14:textId="081CF83F" w:rsidR="008E71B8" w:rsidRPr="00982AA7" w:rsidRDefault="00DE1CA2"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842" w:type="dxa"/>
          </w:tcPr>
          <w:p w14:paraId="2C37D0BA" w14:textId="760D01C3" w:rsidR="008E71B8" w:rsidRPr="00982AA7" w:rsidRDefault="00CE686F"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982AA7">
              <w:rPr>
                <w:b/>
                <w:bCs/>
                <w:color w:val="000000" w:themeColor="text1"/>
              </w:rPr>
              <w:t>1</w:t>
            </w:r>
          </w:p>
        </w:tc>
      </w:tr>
      <w:tr w:rsidR="008E71B8" w:rsidRPr="008E71B8" w14:paraId="23BECC35"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1CBB011E" w14:textId="77777777" w:rsidR="008E71B8" w:rsidRPr="00982AA7" w:rsidRDefault="008E71B8" w:rsidP="00CE55B3">
            <w:pPr>
              <w:pStyle w:val="Body"/>
              <w:keepNext/>
              <w:keepLines/>
              <w:spacing w:line="240" w:lineRule="auto"/>
              <w:rPr>
                <w:b w:val="0"/>
                <w:bCs w:val="0"/>
                <w:color w:val="000000" w:themeColor="text1"/>
              </w:rPr>
            </w:pPr>
            <w:r w:rsidRPr="00982AA7">
              <w:rPr>
                <w:color w:val="000000" w:themeColor="text1"/>
              </w:rPr>
              <w:t>Total</w:t>
            </w:r>
          </w:p>
        </w:tc>
        <w:tc>
          <w:tcPr>
            <w:tcW w:w="1842" w:type="dxa"/>
          </w:tcPr>
          <w:p w14:paraId="4D26A075" w14:textId="138DAA18"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2</w:t>
            </w:r>
          </w:p>
        </w:tc>
        <w:tc>
          <w:tcPr>
            <w:tcW w:w="1842" w:type="dxa"/>
          </w:tcPr>
          <w:p w14:paraId="5DE68A0F" w14:textId="18E7E5E0" w:rsidR="008E71B8" w:rsidRPr="00982AA7" w:rsidRDefault="00CE686F"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2</w:t>
            </w:r>
          </w:p>
        </w:tc>
        <w:tc>
          <w:tcPr>
            <w:tcW w:w="1842" w:type="dxa"/>
          </w:tcPr>
          <w:p w14:paraId="704B4E51" w14:textId="7C4CBDDA" w:rsidR="008E71B8" w:rsidRPr="00982AA7" w:rsidRDefault="00DE1CA2"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w:t>
            </w:r>
          </w:p>
        </w:tc>
        <w:tc>
          <w:tcPr>
            <w:tcW w:w="1842" w:type="dxa"/>
          </w:tcPr>
          <w:p w14:paraId="140876B5" w14:textId="3994D1A7" w:rsidR="008E71B8" w:rsidRPr="00982AA7" w:rsidRDefault="00CE686F"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4</w:t>
            </w:r>
          </w:p>
        </w:tc>
      </w:tr>
    </w:tbl>
    <w:p w14:paraId="6A2DA64F" w14:textId="04B1D013" w:rsidR="009431A3" w:rsidRDefault="009431A3" w:rsidP="00CE55B3">
      <w:pPr>
        <w:pStyle w:val="Tablecaption"/>
      </w:pPr>
      <w:r w:rsidRPr="00092518">
        <w:t xml:space="preserve">Table </w:t>
      </w:r>
      <w:r w:rsidR="00A9310D">
        <w:t>18b:</w:t>
      </w:r>
      <w:r w:rsidRPr="00092518">
        <w:t xml:space="preserve"> Severity rating and </w:t>
      </w:r>
      <w:proofErr w:type="spellStart"/>
      <w:r w:rsidRPr="00092518">
        <w:t>imputability</w:t>
      </w:r>
      <w:proofErr w:type="spellEnd"/>
      <w:r w:rsidRPr="00092518">
        <w:t xml:space="preserve"> – delayed </w:t>
      </w:r>
      <w:r w:rsidRPr="00FD75FB">
        <w:t>serologic</w:t>
      </w:r>
      <w:r w:rsidRPr="00092518">
        <w:t xml:space="preserve"> reaction</w:t>
      </w:r>
    </w:p>
    <w:tbl>
      <w:tblPr>
        <w:tblStyle w:val="GridTable6Colorful-Accent2"/>
        <w:tblW w:w="0" w:type="auto"/>
        <w:tblLook w:val="04A0" w:firstRow="1" w:lastRow="0" w:firstColumn="1" w:lastColumn="0" w:noHBand="0" w:noVBand="1"/>
      </w:tblPr>
      <w:tblGrid>
        <w:gridCol w:w="1841"/>
        <w:gridCol w:w="1842"/>
        <w:gridCol w:w="1842"/>
        <w:gridCol w:w="1842"/>
        <w:gridCol w:w="1842"/>
      </w:tblGrid>
      <w:tr w:rsidR="00251A10" w:rsidRPr="00251A10" w14:paraId="2A01CA87"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EAEBDBA" w14:textId="77777777" w:rsidR="00251A10" w:rsidRPr="00CE55B3" w:rsidRDefault="00251A10" w:rsidP="00FD75FB">
            <w:pPr>
              <w:pStyle w:val="Tablecolhead"/>
              <w:rPr>
                <w:b/>
                <w:bCs w:val="0"/>
              </w:rPr>
            </w:pPr>
            <w:r w:rsidRPr="00CE55B3">
              <w:t>Severity rating</w:t>
            </w:r>
          </w:p>
        </w:tc>
        <w:tc>
          <w:tcPr>
            <w:tcW w:w="0" w:type="dxa"/>
          </w:tcPr>
          <w:p w14:paraId="60B1324E" w14:textId="77777777" w:rsidR="00251A10" w:rsidRPr="00CE55B3" w:rsidRDefault="00251A10"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certainly</w:t>
            </w:r>
          </w:p>
        </w:tc>
        <w:tc>
          <w:tcPr>
            <w:tcW w:w="0" w:type="dxa"/>
          </w:tcPr>
          <w:p w14:paraId="08E3BAD9" w14:textId="77777777" w:rsidR="00251A10" w:rsidRPr="00CE55B3" w:rsidRDefault="00251A10"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probably</w:t>
            </w:r>
          </w:p>
        </w:tc>
        <w:tc>
          <w:tcPr>
            <w:tcW w:w="0" w:type="dxa"/>
          </w:tcPr>
          <w:p w14:paraId="2383C883" w14:textId="77777777" w:rsidR="00251A10" w:rsidRPr="00CE55B3" w:rsidRDefault="00251A10"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possibly</w:t>
            </w:r>
          </w:p>
        </w:tc>
        <w:tc>
          <w:tcPr>
            <w:tcW w:w="0" w:type="dxa"/>
          </w:tcPr>
          <w:p w14:paraId="11B00D7A" w14:textId="77777777" w:rsidR="00251A10" w:rsidRPr="00CE55B3" w:rsidRDefault="00251A10" w:rsidP="00FD75FB">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Total</w:t>
            </w:r>
          </w:p>
        </w:tc>
      </w:tr>
      <w:tr w:rsidR="00CE686F" w:rsidRPr="00251A10" w14:paraId="14611CF7"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21C36247" w14:textId="77777777" w:rsidR="00CE686F" w:rsidRPr="00982AA7" w:rsidRDefault="00CE686F" w:rsidP="00CE686F">
            <w:pPr>
              <w:pStyle w:val="Body"/>
              <w:rPr>
                <w:b w:val="0"/>
                <w:bCs w:val="0"/>
                <w:color w:val="000000" w:themeColor="text1"/>
              </w:rPr>
            </w:pPr>
            <w:r w:rsidRPr="00982AA7">
              <w:rPr>
                <w:b w:val="0"/>
                <w:bCs w:val="0"/>
                <w:color w:val="000000" w:themeColor="text1"/>
              </w:rPr>
              <w:t>SR 1</w:t>
            </w:r>
          </w:p>
        </w:tc>
        <w:tc>
          <w:tcPr>
            <w:tcW w:w="1842" w:type="dxa"/>
          </w:tcPr>
          <w:p w14:paraId="5F9E1156" w14:textId="2EA5D592" w:rsidR="00CE686F"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4E0BFE63" w14:textId="2AFF0660" w:rsidR="00CE686F"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3D2AF641" w14:textId="14A45D88" w:rsidR="00CE686F"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3435F0BC" w14:textId="00A4D6EB" w:rsidR="00CE686F"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w:t>
            </w:r>
          </w:p>
        </w:tc>
      </w:tr>
      <w:tr w:rsidR="00CE686F" w:rsidRPr="00251A10" w14:paraId="0FD347DD" w14:textId="77777777" w:rsidTr="00982AA7">
        <w:tc>
          <w:tcPr>
            <w:cnfStyle w:val="001000000000" w:firstRow="0" w:lastRow="0" w:firstColumn="1" w:lastColumn="0" w:oddVBand="0" w:evenVBand="0" w:oddHBand="0" w:evenHBand="0" w:firstRowFirstColumn="0" w:firstRowLastColumn="0" w:lastRowFirstColumn="0" w:lastRowLastColumn="0"/>
            <w:tcW w:w="1841" w:type="dxa"/>
          </w:tcPr>
          <w:p w14:paraId="6CA0D9D6" w14:textId="77777777" w:rsidR="00CE686F" w:rsidRPr="00982AA7" w:rsidRDefault="00CE686F" w:rsidP="00CE686F">
            <w:pPr>
              <w:pStyle w:val="Body"/>
              <w:rPr>
                <w:b w:val="0"/>
                <w:bCs w:val="0"/>
                <w:color w:val="000000" w:themeColor="text1"/>
              </w:rPr>
            </w:pPr>
            <w:r w:rsidRPr="00982AA7">
              <w:rPr>
                <w:b w:val="0"/>
                <w:bCs w:val="0"/>
                <w:color w:val="000000" w:themeColor="text1"/>
              </w:rPr>
              <w:t>SR 2</w:t>
            </w:r>
          </w:p>
        </w:tc>
        <w:tc>
          <w:tcPr>
            <w:tcW w:w="1842" w:type="dxa"/>
          </w:tcPr>
          <w:p w14:paraId="71D1EA17" w14:textId="27D3754E" w:rsidR="00CE686F" w:rsidRPr="00982AA7" w:rsidRDefault="00CE686F"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842" w:type="dxa"/>
          </w:tcPr>
          <w:p w14:paraId="1D0E5E3B" w14:textId="7647FDC3" w:rsidR="00CE686F" w:rsidRPr="00982AA7" w:rsidRDefault="00CE686F"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842" w:type="dxa"/>
          </w:tcPr>
          <w:p w14:paraId="4B41CA3C" w14:textId="42DF062B" w:rsidR="00CE686F" w:rsidRPr="00982AA7" w:rsidRDefault="00CE686F"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1842" w:type="dxa"/>
          </w:tcPr>
          <w:p w14:paraId="35F8409B" w14:textId="00FC81DB" w:rsidR="00CE686F" w:rsidRPr="00982AA7" w:rsidRDefault="00CE686F" w:rsidP="00E940DA">
            <w:pPr>
              <w:pStyle w:val="Body"/>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982AA7">
              <w:rPr>
                <w:b/>
                <w:bCs/>
                <w:color w:val="000000" w:themeColor="text1"/>
              </w:rPr>
              <w:t>-</w:t>
            </w:r>
          </w:p>
        </w:tc>
      </w:tr>
      <w:tr w:rsidR="00CE686F" w:rsidRPr="00251A10" w14:paraId="124806C7"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37789CB0" w14:textId="77777777" w:rsidR="00CE686F" w:rsidRPr="00982AA7" w:rsidRDefault="00CE686F" w:rsidP="00CE686F">
            <w:pPr>
              <w:pStyle w:val="Body"/>
              <w:rPr>
                <w:b w:val="0"/>
                <w:bCs w:val="0"/>
                <w:color w:val="000000" w:themeColor="text1"/>
              </w:rPr>
            </w:pPr>
            <w:r w:rsidRPr="00982AA7">
              <w:rPr>
                <w:b w:val="0"/>
                <w:bCs w:val="0"/>
                <w:color w:val="000000" w:themeColor="text1"/>
              </w:rPr>
              <w:t>SR 3</w:t>
            </w:r>
          </w:p>
        </w:tc>
        <w:tc>
          <w:tcPr>
            <w:tcW w:w="1842" w:type="dxa"/>
          </w:tcPr>
          <w:p w14:paraId="291FD6A5" w14:textId="720E670D" w:rsidR="00CE686F"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457A2F17" w14:textId="2D945C47" w:rsidR="00CE686F"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7B6D5334" w14:textId="2FA4ED3B" w:rsidR="00CE686F"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1842" w:type="dxa"/>
          </w:tcPr>
          <w:p w14:paraId="2C1DE788" w14:textId="652DB750" w:rsidR="00CE686F"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w:t>
            </w:r>
          </w:p>
        </w:tc>
      </w:tr>
      <w:tr w:rsidR="00251A10" w:rsidRPr="00251A10" w14:paraId="3BEE03BB" w14:textId="77777777" w:rsidTr="00982AA7">
        <w:tc>
          <w:tcPr>
            <w:cnfStyle w:val="001000000000" w:firstRow="0" w:lastRow="0" w:firstColumn="1" w:lastColumn="0" w:oddVBand="0" w:evenVBand="0" w:oddHBand="0" w:evenHBand="0" w:firstRowFirstColumn="0" w:firstRowLastColumn="0" w:lastRowFirstColumn="0" w:lastRowLastColumn="0"/>
            <w:tcW w:w="1841" w:type="dxa"/>
          </w:tcPr>
          <w:p w14:paraId="7038C6DF" w14:textId="77777777" w:rsidR="00251A10" w:rsidRPr="00982AA7" w:rsidRDefault="00251A10" w:rsidP="00251A10">
            <w:pPr>
              <w:pStyle w:val="Body"/>
              <w:rPr>
                <w:b w:val="0"/>
                <w:bCs w:val="0"/>
                <w:color w:val="000000" w:themeColor="text1"/>
              </w:rPr>
            </w:pPr>
            <w:r w:rsidRPr="00982AA7">
              <w:rPr>
                <w:b w:val="0"/>
                <w:bCs w:val="0"/>
                <w:color w:val="000000" w:themeColor="text1"/>
              </w:rPr>
              <w:t>SR 4</w:t>
            </w:r>
          </w:p>
        </w:tc>
        <w:tc>
          <w:tcPr>
            <w:tcW w:w="1842" w:type="dxa"/>
          </w:tcPr>
          <w:p w14:paraId="4D325D42" w14:textId="4ACCFD6B" w:rsidR="00251A10" w:rsidRPr="00982AA7" w:rsidRDefault="00CE686F"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3</w:t>
            </w:r>
            <w:r w:rsidR="004E2E65" w:rsidRPr="00982AA7">
              <w:rPr>
                <w:color w:val="000000" w:themeColor="text1"/>
              </w:rPr>
              <w:t>8</w:t>
            </w:r>
          </w:p>
        </w:tc>
        <w:tc>
          <w:tcPr>
            <w:tcW w:w="1842" w:type="dxa"/>
          </w:tcPr>
          <w:p w14:paraId="20309DBF" w14:textId="3DC1FFB3" w:rsidR="00251A10" w:rsidRPr="00982AA7" w:rsidRDefault="00CE686F"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6</w:t>
            </w:r>
          </w:p>
        </w:tc>
        <w:tc>
          <w:tcPr>
            <w:tcW w:w="1842" w:type="dxa"/>
          </w:tcPr>
          <w:p w14:paraId="04206A07" w14:textId="22DEDD67" w:rsidR="00251A10" w:rsidRPr="00982AA7" w:rsidRDefault="00CE686F"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c>
          <w:tcPr>
            <w:tcW w:w="1842" w:type="dxa"/>
          </w:tcPr>
          <w:p w14:paraId="6A904683" w14:textId="28BFC817" w:rsidR="00251A10" w:rsidRPr="00982AA7" w:rsidRDefault="00CE686F" w:rsidP="00E940DA">
            <w:pPr>
              <w:pStyle w:val="Body"/>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982AA7">
              <w:rPr>
                <w:b/>
                <w:bCs/>
                <w:color w:val="000000" w:themeColor="text1"/>
              </w:rPr>
              <w:t>4</w:t>
            </w:r>
            <w:r w:rsidR="004E2E65" w:rsidRPr="00982AA7">
              <w:rPr>
                <w:b/>
                <w:bCs/>
                <w:color w:val="000000" w:themeColor="text1"/>
              </w:rPr>
              <w:t>5</w:t>
            </w:r>
          </w:p>
        </w:tc>
      </w:tr>
      <w:tr w:rsidR="00251A10" w:rsidRPr="00251A10" w14:paraId="035769F3"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1" w:type="dxa"/>
          </w:tcPr>
          <w:p w14:paraId="3511E53E" w14:textId="77777777" w:rsidR="00251A10" w:rsidRPr="00982AA7" w:rsidRDefault="00251A10" w:rsidP="00251A10">
            <w:pPr>
              <w:pStyle w:val="Body"/>
              <w:rPr>
                <w:b w:val="0"/>
                <w:bCs w:val="0"/>
                <w:color w:val="000000" w:themeColor="text1"/>
              </w:rPr>
            </w:pPr>
            <w:r w:rsidRPr="00982AA7">
              <w:rPr>
                <w:color w:val="000000" w:themeColor="text1"/>
              </w:rPr>
              <w:t>Total</w:t>
            </w:r>
          </w:p>
        </w:tc>
        <w:tc>
          <w:tcPr>
            <w:tcW w:w="1842" w:type="dxa"/>
          </w:tcPr>
          <w:p w14:paraId="0A9439DE" w14:textId="08D02298" w:rsidR="00251A10"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3</w:t>
            </w:r>
            <w:r w:rsidR="004E2E65" w:rsidRPr="00982AA7">
              <w:rPr>
                <w:b/>
                <w:bCs/>
                <w:color w:val="000000" w:themeColor="text1"/>
              </w:rPr>
              <w:t>8</w:t>
            </w:r>
          </w:p>
        </w:tc>
        <w:tc>
          <w:tcPr>
            <w:tcW w:w="1842" w:type="dxa"/>
          </w:tcPr>
          <w:p w14:paraId="737CB1EB" w14:textId="09D757AD" w:rsidR="00251A10"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6</w:t>
            </w:r>
          </w:p>
        </w:tc>
        <w:tc>
          <w:tcPr>
            <w:tcW w:w="1842" w:type="dxa"/>
          </w:tcPr>
          <w:p w14:paraId="11C26E06" w14:textId="04DDE28E" w:rsidR="00251A10"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1</w:t>
            </w:r>
          </w:p>
        </w:tc>
        <w:tc>
          <w:tcPr>
            <w:tcW w:w="1842" w:type="dxa"/>
          </w:tcPr>
          <w:p w14:paraId="6B039426" w14:textId="4280B09B" w:rsidR="00251A10" w:rsidRPr="00982AA7" w:rsidRDefault="00CE686F"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982AA7">
              <w:rPr>
                <w:b/>
                <w:bCs/>
                <w:color w:val="000000" w:themeColor="text1"/>
              </w:rPr>
              <w:t>4</w:t>
            </w:r>
            <w:r w:rsidR="004E2E65" w:rsidRPr="00982AA7">
              <w:rPr>
                <w:b/>
                <w:bCs/>
                <w:color w:val="000000" w:themeColor="text1"/>
              </w:rPr>
              <w:t>5</w:t>
            </w:r>
          </w:p>
        </w:tc>
      </w:tr>
    </w:tbl>
    <w:p w14:paraId="03BE976D" w14:textId="77777777" w:rsidR="009431A3" w:rsidRDefault="009431A3" w:rsidP="009431A3">
      <w:pPr>
        <w:pStyle w:val="Heading2"/>
      </w:pPr>
      <w:bookmarkStart w:id="61" w:name="_Toc136329770"/>
      <w:bookmarkStart w:id="62" w:name="_Toc174440004"/>
      <w:r w:rsidRPr="00092518">
        <w:t>Delayed serologic</w:t>
      </w:r>
      <w:r>
        <w:t xml:space="preserve"> transfusion reaction (DSTR)</w:t>
      </w:r>
      <w:bookmarkEnd w:id="61"/>
      <w:bookmarkEnd w:id="62"/>
    </w:p>
    <w:p w14:paraId="27D21054" w14:textId="169A86A3" w:rsidR="00FD75FB" w:rsidRDefault="00251A10" w:rsidP="00251A10">
      <w:pPr>
        <w:pStyle w:val="Body"/>
        <w:rPr>
          <w:bCs/>
        </w:rPr>
      </w:pPr>
      <w:r w:rsidRPr="00251A10">
        <w:rPr>
          <w:bCs/>
        </w:rPr>
        <w:t>DSTR is defined by STIR as occurring within 24 hours to three months after a transfusion, with demonstration of clinically significant antibodies against red blood cells (</w:t>
      </w:r>
      <w:r w:rsidR="00FD75FB">
        <w:rPr>
          <w:bCs/>
        </w:rPr>
        <w:t>d</w:t>
      </w:r>
      <w:r w:rsidR="00FD75FB" w:rsidRPr="00251A10">
        <w:rPr>
          <w:bCs/>
        </w:rPr>
        <w:t xml:space="preserve">escribed </w:t>
      </w:r>
      <w:r w:rsidRPr="00251A10">
        <w:rPr>
          <w:bCs/>
        </w:rPr>
        <w:t xml:space="preserve">in the </w:t>
      </w:r>
      <w:r w:rsidRPr="00251A10">
        <w:rPr>
          <w:bCs/>
          <w:i/>
          <w:iCs/>
        </w:rPr>
        <w:t xml:space="preserve">ANZSBT guidelines for transfusion and </w:t>
      </w:r>
      <w:proofErr w:type="spellStart"/>
      <w:r w:rsidRPr="00251A10">
        <w:rPr>
          <w:bCs/>
          <w:i/>
          <w:iCs/>
        </w:rPr>
        <w:t>immunohaematology</w:t>
      </w:r>
      <w:proofErr w:type="spellEnd"/>
      <w:r w:rsidRPr="00251A10">
        <w:rPr>
          <w:bCs/>
          <w:i/>
          <w:iCs/>
        </w:rPr>
        <w:t xml:space="preserve"> laboratory practice</w:t>
      </w:r>
      <w:r w:rsidRPr="00251A10">
        <w:rPr>
          <w:bCs/>
        </w:rPr>
        <w:t>, 1</w:t>
      </w:r>
      <w:r w:rsidRPr="00251A10">
        <w:rPr>
          <w:bCs/>
          <w:vertAlign w:val="superscript"/>
        </w:rPr>
        <w:t>st</w:t>
      </w:r>
      <w:r w:rsidRPr="00251A10">
        <w:rPr>
          <w:bCs/>
        </w:rPr>
        <w:t xml:space="preserve"> edition, revised January 2020). </w:t>
      </w:r>
    </w:p>
    <w:p w14:paraId="38BEABB0" w14:textId="126A40AC" w:rsidR="00251A10" w:rsidRPr="00251A10" w:rsidRDefault="00251A10" w:rsidP="00251A10">
      <w:pPr>
        <w:pStyle w:val="Body"/>
        <w:rPr>
          <w:bCs/>
        </w:rPr>
      </w:pPr>
      <w:r w:rsidRPr="00251A10">
        <w:rPr>
          <w:bCs/>
        </w:rPr>
        <w:t>For DSTR to be validated</w:t>
      </w:r>
      <w:r w:rsidR="00FD75FB">
        <w:rPr>
          <w:bCs/>
        </w:rPr>
        <w:t>,</w:t>
      </w:r>
      <w:r w:rsidRPr="00251A10">
        <w:rPr>
          <w:bCs/>
        </w:rPr>
        <w:t xml:space="preserve"> the implicated antibody is new</w:t>
      </w:r>
      <w:r w:rsidR="00FD75FB">
        <w:rPr>
          <w:bCs/>
        </w:rPr>
        <w:t>,</w:t>
      </w:r>
      <w:r w:rsidRPr="00251A10">
        <w:rPr>
          <w:bCs/>
        </w:rPr>
        <w:t xml:space="preserve"> and </w:t>
      </w:r>
      <w:r w:rsidRPr="00251A10">
        <w:t>there are no</w:t>
      </w:r>
      <w:r w:rsidRPr="00251A10">
        <w:rPr>
          <w:bCs/>
        </w:rPr>
        <w:t xml:space="preserve"> clinical or laboratory features of haemolysis. This term is synonymous with alloimmunisation.</w:t>
      </w:r>
    </w:p>
    <w:p w14:paraId="31CCB04F" w14:textId="0CD75454" w:rsidR="00F87515" w:rsidRDefault="00251A10" w:rsidP="00251A10">
      <w:pPr>
        <w:pStyle w:val="Body"/>
        <w:rPr>
          <w:bCs/>
        </w:rPr>
      </w:pPr>
      <w:r w:rsidRPr="00251A10">
        <w:rPr>
          <w:bCs/>
        </w:rPr>
        <w:t xml:space="preserve">Alloimmunisation can occur with any </w:t>
      </w:r>
      <w:r w:rsidR="0056661F">
        <w:rPr>
          <w:bCs/>
        </w:rPr>
        <w:t>RBC</w:t>
      </w:r>
      <w:r w:rsidRPr="00251A10">
        <w:rPr>
          <w:bCs/>
        </w:rPr>
        <w:t xml:space="preserve"> transfusion</w:t>
      </w:r>
      <w:r w:rsidR="0056661F">
        <w:rPr>
          <w:bCs/>
        </w:rPr>
        <w:t xml:space="preserve"> (and less commonly with platelet transfusion)</w:t>
      </w:r>
      <w:r w:rsidRPr="00251A10">
        <w:rPr>
          <w:bCs/>
        </w:rPr>
        <w:t xml:space="preserve">, and all events should be reported to STIR. </w:t>
      </w:r>
    </w:p>
    <w:p w14:paraId="5F22736D" w14:textId="192AA6DF" w:rsidR="00251A10" w:rsidRDefault="00251A10" w:rsidP="00251A10">
      <w:pPr>
        <w:pStyle w:val="Body"/>
        <w:rPr>
          <w:bCs/>
        </w:rPr>
      </w:pPr>
      <w:r w:rsidRPr="00251A10">
        <w:rPr>
          <w:bCs/>
        </w:rPr>
        <w:t xml:space="preserve">Table </w:t>
      </w:r>
      <w:r w:rsidR="00A9310D" w:rsidRPr="00251A10">
        <w:rPr>
          <w:bCs/>
        </w:rPr>
        <w:t>1</w:t>
      </w:r>
      <w:r w:rsidR="00A9310D">
        <w:rPr>
          <w:bCs/>
        </w:rPr>
        <w:t>9</w:t>
      </w:r>
      <w:r w:rsidR="00A9310D" w:rsidRPr="00251A10">
        <w:rPr>
          <w:bCs/>
        </w:rPr>
        <w:t xml:space="preserve"> </w:t>
      </w:r>
      <w:r w:rsidRPr="00251A10">
        <w:rPr>
          <w:bCs/>
        </w:rPr>
        <w:t>lists the antibodies that have been implicated in the reported DHTRs and DSTRs.</w:t>
      </w:r>
    </w:p>
    <w:p w14:paraId="3490802D" w14:textId="77777777" w:rsidR="00FD75FB" w:rsidRDefault="00B345A5" w:rsidP="00251A10">
      <w:pPr>
        <w:pStyle w:val="Body"/>
        <w:rPr>
          <w:bCs/>
        </w:rPr>
      </w:pPr>
      <w:r>
        <w:rPr>
          <w:bCs/>
        </w:rPr>
        <w:t>Kell</w:t>
      </w:r>
      <w:r w:rsidR="006C4B77">
        <w:rPr>
          <w:bCs/>
        </w:rPr>
        <w:t xml:space="preserve"> (K</w:t>
      </w:r>
      <w:r w:rsidR="0056661F">
        <w:rPr>
          <w:bCs/>
        </w:rPr>
        <w:t xml:space="preserve"> and Kp</w:t>
      </w:r>
      <w:r w:rsidR="0056661F" w:rsidRPr="003927B3">
        <w:rPr>
          <w:bCs/>
          <w:vertAlign w:val="superscript"/>
        </w:rPr>
        <w:t>a</w:t>
      </w:r>
      <w:r w:rsidR="006C4B77">
        <w:rPr>
          <w:bCs/>
        </w:rPr>
        <w:t>)</w:t>
      </w:r>
      <w:r>
        <w:rPr>
          <w:bCs/>
        </w:rPr>
        <w:t xml:space="preserve"> antibodies are the </w:t>
      </w:r>
      <w:proofErr w:type="gramStart"/>
      <w:r>
        <w:rPr>
          <w:bCs/>
        </w:rPr>
        <w:t>most commonly reported</w:t>
      </w:r>
      <w:proofErr w:type="gramEnd"/>
      <w:r>
        <w:rPr>
          <w:bCs/>
        </w:rPr>
        <w:t xml:space="preserve">, followed by anti-E. </w:t>
      </w:r>
    </w:p>
    <w:p w14:paraId="447555CC" w14:textId="145085D1" w:rsidR="00FD75FB" w:rsidRDefault="00B345A5" w:rsidP="00251A10">
      <w:pPr>
        <w:pStyle w:val="Body"/>
        <w:rPr>
          <w:bCs/>
        </w:rPr>
      </w:pPr>
      <w:r>
        <w:rPr>
          <w:bCs/>
        </w:rPr>
        <w:t>Kell antibodies can be clinically significant</w:t>
      </w:r>
      <w:r w:rsidR="00FD75FB">
        <w:rPr>
          <w:bCs/>
        </w:rPr>
        <w:t>,</w:t>
      </w:r>
      <w:r>
        <w:rPr>
          <w:bCs/>
        </w:rPr>
        <w:t xml:space="preserve"> causing transfusion reactions and haemolytic disease of the newborn. </w:t>
      </w:r>
    </w:p>
    <w:p w14:paraId="1D3A0A17" w14:textId="702A5D5E" w:rsidR="00B345A5" w:rsidRDefault="00B345A5" w:rsidP="00251A10">
      <w:pPr>
        <w:pStyle w:val="Body"/>
        <w:rPr>
          <w:bCs/>
        </w:rPr>
      </w:pPr>
      <w:r>
        <w:rPr>
          <w:bCs/>
        </w:rPr>
        <w:t xml:space="preserve">In this reporting period, </w:t>
      </w:r>
      <w:r w:rsidR="00FD75FB">
        <w:rPr>
          <w:bCs/>
        </w:rPr>
        <w:t xml:space="preserve">5 </w:t>
      </w:r>
      <w:r>
        <w:rPr>
          <w:bCs/>
        </w:rPr>
        <w:t>of the p</w:t>
      </w:r>
      <w:r w:rsidR="0057636C">
        <w:rPr>
          <w:bCs/>
        </w:rPr>
        <w:t>atients</w:t>
      </w:r>
      <w:r>
        <w:rPr>
          <w:bCs/>
        </w:rPr>
        <w:t xml:space="preserve"> who developed Kell antibodies were women, but all </w:t>
      </w:r>
      <w:r w:rsidR="009610DD">
        <w:rPr>
          <w:bCs/>
        </w:rPr>
        <w:t>were over 50 years of age</w:t>
      </w:r>
      <w:r w:rsidR="0056661F">
        <w:rPr>
          <w:bCs/>
        </w:rPr>
        <w:t xml:space="preserve"> (not of child-bearing potential therefore not at risk of HDFN)</w:t>
      </w:r>
      <w:r w:rsidR="009610DD">
        <w:rPr>
          <w:bCs/>
        </w:rPr>
        <w:t>.</w:t>
      </w:r>
    </w:p>
    <w:p w14:paraId="330A8671" w14:textId="3249E6A7" w:rsidR="00FD75FB" w:rsidRDefault="009610DD" w:rsidP="00251A10">
      <w:pPr>
        <w:pStyle w:val="Body"/>
        <w:rPr>
          <w:bCs/>
        </w:rPr>
      </w:pPr>
      <w:r>
        <w:rPr>
          <w:bCs/>
        </w:rPr>
        <w:t>Anti-E, C, c and D are all part of the Rh blood group system</w:t>
      </w:r>
      <w:r w:rsidR="00FD75FB">
        <w:rPr>
          <w:bCs/>
        </w:rPr>
        <w:t>. T</w:t>
      </w:r>
      <w:r>
        <w:rPr>
          <w:bCs/>
        </w:rPr>
        <w:t>ogether</w:t>
      </w:r>
      <w:r w:rsidR="00FD75FB">
        <w:rPr>
          <w:bCs/>
        </w:rPr>
        <w:t>, they</w:t>
      </w:r>
      <w:r>
        <w:rPr>
          <w:bCs/>
        </w:rPr>
        <w:t xml:space="preserve"> are the next most common antibod</w:t>
      </w:r>
      <w:r w:rsidR="0057636C">
        <w:rPr>
          <w:bCs/>
        </w:rPr>
        <w:t>ies</w:t>
      </w:r>
      <w:r>
        <w:rPr>
          <w:bCs/>
        </w:rPr>
        <w:t xml:space="preserve"> reported, with anti-E being the most common</w:t>
      </w:r>
      <w:r w:rsidR="00CF32D3">
        <w:rPr>
          <w:bCs/>
        </w:rPr>
        <w:t xml:space="preserve"> within the group</w:t>
      </w:r>
      <w:r>
        <w:rPr>
          <w:bCs/>
        </w:rPr>
        <w:t xml:space="preserve">. </w:t>
      </w:r>
    </w:p>
    <w:p w14:paraId="18012670" w14:textId="58226657" w:rsidR="009610DD" w:rsidRDefault="009610DD" w:rsidP="00251A10">
      <w:pPr>
        <w:pStyle w:val="Body"/>
        <w:rPr>
          <w:bCs/>
        </w:rPr>
      </w:pPr>
      <w:r>
        <w:rPr>
          <w:bCs/>
        </w:rPr>
        <w:t xml:space="preserve">The one incident of </w:t>
      </w:r>
      <w:r w:rsidR="00782A85">
        <w:rPr>
          <w:bCs/>
        </w:rPr>
        <w:t xml:space="preserve">development of </w:t>
      </w:r>
      <w:r>
        <w:rPr>
          <w:bCs/>
        </w:rPr>
        <w:t>an anti</w:t>
      </w:r>
      <w:r w:rsidR="0056661F">
        <w:rPr>
          <w:bCs/>
        </w:rPr>
        <w:t>-</w:t>
      </w:r>
      <w:r>
        <w:rPr>
          <w:bCs/>
        </w:rPr>
        <w:t xml:space="preserve">D occurred in a male who had received two bags of </w:t>
      </w:r>
      <w:r w:rsidR="0056661F">
        <w:rPr>
          <w:bCs/>
        </w:rPr>
        <w:t>Rh</w:t>
      </w:r>
      <w:r>
        <w:rPr>
          <w:bCs/>
        </w:rPr>
        <w:t>D</w:t>
      </w:r>
      <w:r w:rsidR="00FD75FB">
        <w:rPr>
          <w:bCs/>
        </w:rPr>
        <w:t>-</w:t>
      </w:r>
      <w:r>
        <w:rPr>
          <w:bCs/>
        </w:rPr>
        <w:t>positive platelets in a critical bleeding event.</w:t>
      </w:r>
    </w:p>
    <w:p w14:paraId="0E84790C" w14:textId="248A2F67" w:rsidR="009610DD" w:rsidRPr="00251A10" w:rsidRDefault="009610DD" w:rsidP="00251A10">
      <w:pPr>
        <w:pStyle w:val="Body"/>
        <w:rPr>
          <w:bCs/>
        </w:rPr>
      </w:pPr>
      <w:proofErr w:type="spellStart"/>
      <w:r>
        <w:rPr>
          <w:bCs/>
        </w:rPr>
        <w:lastRenderedPageBreak/>
        <w:t>Jk</w:t>
      </w:r>
      <w:r w:rsidRPr="00D92A4C">
        <w:rPr>
          <w:bCs/>
          <w:vertAlign w:val="superscript"/>
        </w:rPr>
        <w:t>b</w:t>
      </w:r>
      <w:proofErr w:type="spellEnd"/>
      <w:r>
        <w:rPr>
          <w:bCs/>
        </w:rPr>
        <w:t xml:space="preserve"> antibodies were associated with haemolytic reactions, whereas </w:t>
      </w:r>
      <w:r w:rsidR="00D57431">
        <w:rPr>
          <w:bCs/>
        </w:rPr>
        <w:t xml:space="preserve">this was less common for </w:t>
      </w:r>
      <w:proofErr w:type="spellStart"/>
      <w:r>
        <w:rPr>
          <w:bCs/>
        </w:rPr>
        <w:t>Jk</w:t>
      </w:r>
      <w:r w:rsidRPr="00D92A4C">
        <w:rPr>
          <w:bCs/>
          <w:vertAlign w:val="superscript"/>
        </w:rPr>
        <w:t>a</w:t>
      </w:r>
      <w:proofErr w:type="spellEnd"/>
      <w:r>
        <w:rPr>
          <w:bCs/>
        </w:rPr>
        <w:t xml:space="preserve"> antibodies </w:t>
      </w:r>
      <w:r w:rsidR="00D92A4C">
        <w:rPr>
          <w:bCs/>
        </w:rPr>
        <w:t xml:space="preserve">(both part of the Kidd blood group system). </w:t>
      </w:r>
      <w:proofErr w:type="spellStart"/>
      <w:r w:rsidR="00D92A4C">
        <w:rPr>
          <w:bCs/>
        </w:rPr>
        <w:t>Jk</w:t>
      </w:r>
      <w:r w:rsidR="00D92A4C" w:rsidRPr="00D92A4C">
        <w:rPr>
          <w:bCs/>
          <w:vertAlign w:val="superscript"/>
        </w:rPr>
        <w:t>a</w:t>
      </w:r>
      <w:proofErr w:type="spellEnd"/>
      <w:r w:rsidR="00D92A4C">
        <w:rPr>
          <w:bCs/>
        </w:rPr>
        <w:t xml:space="preserve"> is usually associated with less severe DHTRs and </w:t>
      </w:r>
      <w:proofErr w:type="spellStart"/>
      <w:r w:rsidR="00D92A4C">
        <w:rPr>
          <w:bCs/>
        </w:rPr>
        <w:t>Jk</w:t>
      </w:r>
      <w:r w:rsidR="00D92A4C" w:rsidRPr="00D92A4C">
        <w:rPr>
          <w:bCs/>
          <w:vertAlign w:val="superscript"/>
        </w:rPr>
        <w:t>b</w:t>
      </w:r>
      <w:proofErr w:type="spellEnd"/>
      <w:r w:rsidR="00D92A4C">
        <w:rPr>
          <w:bCs/>
        </w:rPr>
        <w:t xml:space="preserve"> with more severe DHTRs.</w:t>
      </w:r>
    </w:p>
    <w:p w14:paraId="7E8C1E6E" w14:textId="3AD6CE0A" w:rsidR="009431A3" w:rsidRDefault="009431A3" w:rsidP="00CE55B3">
      <w:pPr>
        <w:pStyle w:val="Tablecaption"/>
      </w:pPr>
      <w:r w:rsidRPr="00092518">
        <w:t xml:space="preserve">Table </w:t>
      </w:r>
      <w:r w:rsidR="00A9310D">
        <w:t>19:</w:t>
      </w:r>
      <w:r w:rsidRPr="00092518">
        <w:t xml:space="preserve"> Antibodies implicated in delayed </w:t>
      </w:r>
      <w:r w:rsidRPr="00FD75FB">
        <w:t>haemolytic</w:t>
      </w:r>
      <w:r w:rsidRPr="00092518">
        <w:t xml:space="preserve"> and serologic reactions</w:t>
      </w:r>
    </w:p>
    <w:tbl>
      <w:tblPr>
        <w:tblStyle w:val="GridTable6Colorful-Accent2"/>
        <w:tblW w:w="0" w:type="auto"/>
        <w:tblLook w:val="04A0" w:firstRow="1" w:lastRow="0" w:firstColumn="1" w:lastColumn="0" w:noHBand="0" w:noVBand="1"/>
      </w:tblPr>
      <w:tblGrid>
        <w:gridCol w:w="3096"/>
        <w:gridCol w:w="3096"/>
        <w:gridCol w:w="3096"/>
      </w:tblGrid>
      <w:tr w:rsidR="00251A10" w:rsidRPr="00251A10" w14:paraId="4E5FD3FA"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4D0B798" w14:textId="77777777" w:rsidR="00251A10" w:rsidRPr="003B51BE" w:rsidRDefault="00251A10" w:rsidP="00CE55B3">
            <w:pPr>
              <w:pStyle w:val="Tablecolhead"/>
              <w:rPr>
                <w:bCs w:val="0"/>
              </w:rPr>
            </w:pPr>
            <w:r w:rsidRPr="00CE55B3">
              <w:rPr>
                <w:b/>
              </w:rPr>
              <w:t>Antibody</w:t>
            </w:r>
          </w:p>
        </w:tc>
        <w:tc>
          <w:tcPr>
            <w:tcW w:w="0" w:type="dxa"/>
          </w:tcPr>
          <w:p w14:paraId="261FFAF1" w14:textId="136A8A34" w:rsidR="00251A10" w:rsidRPr="00CE55B3" w:rsidRDefault="00251A10" w:rsidP="00CE55B3">
            <w:pPr>
              <w:pStyle w:val="Tablecolhead"/>
              <w:cnfStyle w:val="100000000000" w:firstRow="1" w:lastRow="0" w:firstColumn="0" w:lastColumn="0" w:oddVBand="0" w:evenVBand="0" w:oddHBand="0" w:evenHBand="0" w:firstRowFirstColumn="0" w:firstRowLastColumn="0" w:lastRowFirstColumn="0" w:lastRowLastColumn="0"/>
              <w:rPr>
                <w:bCs w:val="0"/>
              </w:rPr>
            </w:pPr>
            <w:r w:rsidRPr="00CE55B3">
              <w:rPr>
                <w:b/>
              </w:rPr>
              <w:t>Haemolytic (</w:t>
            </w:r>
            <w:r w:rsidR="00B91DB1" w:rsidRPr="00CE55B3">
              <w:rPr>
                <w:b/>
              </w:rPr>
              <w:t>n = 4</w:t>
            </w:r>
            <w:r w:rsidRPr="00CE55B3">
              <w:rPr>
                <w:b/>
              </w:rPr>
              <w:t>)</w:t>
            </w:r>
          </w:p>
        </w:tc>
        <w:tc>
          <w:tcPr>
            <w:tcW w:w="0" w:type="dxa"/>
          </w:tcPr>
          <w:p w14:paraId="33EAB649" w14:textId="7944AE86" w:rsidR="00251A10" w:rsidRPr="00CE55B3" w:rsidRDefault="00251A10" w:rsidP="00CE55B3">
            <w:pPr>
              <w:pStyle w:val="Tablecolhead"/>
              <w:cnfStyle w:val="100000000000" w:firstRow="1" w:lastRow="0" w:firstColumn="0" w:lastColumn="0" w:oddVBand="0" w:evenVBand="0" w:oddHBand="0" w:evenHBand="0" w:firstRowFirstColumn="0" w:firstRowLastColumn="0" w:lastRowFirstColumn="0" w:lastRowLastColumn="0"/>
              <w:rPr>
                <w:bCs w:val="0"/>
              </w:rPr>
            </w:pPr>
            <w:r w:rsidRPr="00CE55B3">
              <w:rPr>
                <w:b/>
              </w:rPr>
              <w:t>Serologic (</w:t>
            </w:r>
            <w:r w:rsidR="00B91DB1" w:rsidRPr="00CE55B3">
              <w:rPr>
                <w:b/>
              </w:rPr>
              <w:t>n = 4</w:t>
            </w:r>
            <w:r w:rsidR="004E2E65" w:rsidRPr="00CE55B3">
              <w:rPr>
                <w:b/>
              </w:rPr>
              <w:t>5</w:t>
            </w:r>
            <w:r w:rsidRPr="00CE55B3">
              <w:rPr>
                <w:b/>
              </w:rPr>
              <w:t>)</w:t>
            </w:r>
          </w:p>
        </w:tc>
      </w:tr>
      <w:tr w:rsidR="00251A10" w:rsidRPr="00251A10" w14:paraId="01B93172"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D540645" w14:textId="77777777" w:rsidR="00251A10" w:rsidRPr="00E91AAA" w:rsidRDefault="00251A10" w:rsidP="00251A10">
            <w:pPr>
              <w:pStyle w:val="Body"/>
              <w:rPr>
                <w:b w:val="0"/>
                <w:bCs w:val="0"/>
                <w:color w:val="000000" w:themeColor="text1"/>
              </w:rPr>
            </w:pPr>
            <w:proofErr w:type="spellStart"/>
            <w:r w:rsidRPr="00E91AAA">
              <w:rPr>
                <w:b w:val="0"/>
                <w:bCs w:val="0"/>
                <w:color w:val="000000" w:themeColor="text1"/>
              </w:rPr>
              <w:t>Jk</w:t>
            </w:r>
            <w:r w:rsidRPr="00E91AAA">
              <w:rPr>
                <w:b w:val="0"/>
                <w:bCs w:val="0"/>
                <w:color w:val="000000" w:themeColor="text1"/>
                <w:vertAlign w:val="superscript"/>
              </w:rPr>
              <w:t>a</w:t>
            </w:r>
            <w:proofErr w:type="spellEnd"/>
          </w:p>
        </w:tc>
        <w:tc>
          <w:tcPr>
            <w:tcW w:w="3096" w:type="dxa"/>
          </w:tcPr>
          <w:p w14:paraId="2B8166D9" w14:textId="0925ADB4"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w:t>
            </w:r>
          </w:p>
        </w:tc>
        <w:tc>
          <w:tcPr>
            <w:tcW w:w="3096" w:type="dxa"/>
          </w:tcPr>
          <w:p w14:paraId="1E536E3F" w14:textId="44E3CA59"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10</w:t>
            </w:r>
          </w:p>
        </w:tc>
      </w:tr>
      <w:tr w:rsidR="00251A10" w:rsidRPr="00251A10" w14:paraId="3123D593" w14:textId="77777777" w:rsidTr="00982AA7">
        <w:tc>
          <w:tcPr>
            <w:cnfStyle w:val="001000000000" w:firstRow="0" w:lastRow="0" w:firstColumn="1" w:lastColumn="0" w:oddVBand="0" w:evenVBand="0" w:oddHBand="0" w:evenHBand="0" w:firstRowFirstColumn="0" w:firstRowLastColumn="0" w:lastRowFirstColumn="0" w:lastRowLastColumn="0"/>
            <w:tcW w:w="3096" w:type="dxa"/>
          </w:tcPr>
          <w:p w14:paraId="38AA8BA0" w14:textId="77777777" w:rsidR="00251A10" w:rsidRPr="00E91AAA" w:rsidRDefault="00251A10" w:rsidP="00251A10">
            <w:pPr>
              <w:pStyle w:val="Body"/>
              <w:rPr>
                <w:b w:val="0"/>
                <w:bCs w:val="0"/>
                <w:color w:val="000000" w:themeColor="text1"/>
              </w:rPr>
            </w:pPr>
            <w:proofErr w:type="spellStart"/>
            <w:r w:rsidRPr="00E91AAA">
              <w:rPr>
                <w:b w:val="0"/>
                <w:bCs w:val="0"/>
                <w:color w:val="000000" w:themeColor="text1"/>
              </w:rPr>
              <w:t>Jk</w:t>
            </w:r>
            <w:r w:rsidRPr="00E91AAA">
              <w:rPr>
                <w:b w:val="0"/>
                <w:bCs w:val="0"/>
                <w:color w:val="000000" w:themeColor="text1"/>
                <w:vertAlign w:val="superscript"/>
              </w:rPr>
              <w:t>b</w:t>
            </w:r>
            <w:proofErr w:type="spellEnd"/>
          </w:p>
        </w:tc>
        <w:tc>
          <w:tcPr>
            <w:tcW w:w="3096" w:type="dxa"/>
          </w:tcPr>
          <w:p w14:paraId="01BB4F39" w14:textId="058575C3" w:rsidR="00251A10" w:rsidRPr="00982AA7" w:rsidRDefault="00B345A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w:t>
            </w:r>
          </w:p>
        </w:tc>
        <w:tc>
          <w:tcPr>
            <w:tcW w:w="3096" w:type="dxa"/>
          </w:tcPr>
          <w:p w14:paraId="09DAFCE0" w14:textId="2F91180E" w:rsidR="00251A10" w:rsidRPr="00982AA7" w:rsidRDefault="00991B9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r>
      <w:tr w:rsidR="00251A10" w:rsidRPr="00251A10" w14:paraId="73508871"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46C53BB7" w14:textId="77777777" w:rsidR="00251A10" w:rsidRPr="00E91AAA" w:rsidRDefault="00251A10" w:rsidP="00251A10">
            <w:pPr>
              <w:pStyle w:val="Body"/>
              <w:rPr>
                <w:b w:val="0"/>
                <w:bCs w:val="0"/>
                <w:color w:val="000000" w:themeColor="text1"/>
              </w:rPr>
            </w:pPr>
            <w:r w:rsidRPr="00E91AAA">
              <w:rPr>
                <w:b w:val="0"/>
                <w:bCs w:val="0"/>
                <w:color w:val="000000" w:themeColor="text1"/>
              </w:rPr>
              <w:t>E</w:t>
            </w:r>
          </w:p>
        </w:tc>
        <w:tc>
          <w:tcPr>
            <w:tcW w:w="3096" w:type="dxa"/>
          </w:tcPr>
          <w:p w14:paraId="1790A57A" w14:textId="4F22BA1F"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w:t>
            </w:r>
          </w:p>
        </w:tc>
        <w:tc>
          <w:tcPr>
            <w:tcW w:w="3096" w:type="dxa"/>
          </w:tcPr>
          <w:p w14:paraId="2328E7C7" w14:textId="16ECCC53"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14</w:t>
            </w:r>
          </w:p>
        </w:tc>
      </w:tr>
      <w:tr w:rsidR="00251A10" w:rsidRPr="00251A10" w14:paraId="20992EC9" w14:textId="77777777" w:rsidTr="00982AA7">
        <w:tc>
          <w:tcPr>
            <w:cnfStyle w:val="001000000000" w:firstRow="0" w:lastRow="0" w:firstColumn="1" w:lastColumn="0" w:oddVBand="0" w:evenVBand="0" w:oddHBand="0" w:evenHBand="0" w:firstRowFirstColumn="0" w:firstRowLastColumn="0" w:lastRowFirstColumn="0" w:lastRowLastColumn="0"/>
            <w:tcW w:w="3096" w:type="dxa"/>
          </w:tcPr>
          <w:p w14:paraId="738F5E5E" w14:textId="77777777" w:rsidR="00251A10" w:rsidRPr="00E91AAA" w:rsidRDefault="00251A10" w:rsidP="00251A10">
            <w:pPr>
              <w:pStyle w:val="Body"/>
              <w:rPr>
                <w:b w:val="0"/>
                <w:bCs w:val="0"/>
                <w:color w:val="000000" w:themeColor="text1"/>
              </w:rPr>
            </w:pPr>
            <w:r w:rsidRPr="00E91AAA">
              <w:rPr>
                <w:b w:val="0"/>
                <w:bCs w:val="0"/>
                <w:color w:val="000000" w:themeColor="text1"/>
              </w:rPr>
              <w:t>c</w:t>
            </w:r>
          </w:p>
        </w:tc>
        <w:tc>
          <w:tcPr>
            <w:tcW w:w="3096" w:type="dxa"/>
          </w:tcPr>
          <w:p w14:paraId="5E243E26" w14:textId="6C03631F" w:rsidR="00251A10" w:rsidRPr="00982AA7" w:rsidRDefault="00B345A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c>
          <w:tcPr>
            <w:tcW w:w="3096" w:type="dxa"/>
          </w:tcPr>
          <w:p w14:paraId="2F711757" w14:textId="1567482D" w:rsidR="00251A10" w:rsidRPr="00982AA7" w:rsidRDefault="00B345A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r>
      <w:tr w:rsidR="00251A10" w:rsidRPr="00251A10" w14:paraId="338053A6"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2FA4A81E" w14:textId="77777777" w:rsidR="00251A10" w:rsidRPr="00E91AAA" w:rsidRDefault="00251A10" w:rsidP="00251A10">
            <w:pPr>
              <w:pStyle w:val="Body"/>
              <w:rPr>
                <w:b w:val="0"/>
                <w:bCs w:val="0"/>
                <w:color w:val="000000" w:themeColor="text1"/>
              </w:rPr>
            </w:pPr>
            <w:r w:rsidRPr="00E91AAA">
              <w:rPr>
                <w:b w:val="0"/>
                <w:bCs w:val="0"/>
                <w:color w:val="000000" w:themeColor="text1"/>
              </w:rPr>
              <w:t>C</w:t>
            </w:r>
          </w:p>
        </w:tc>
        <w:tc>
          <w:tcPr>
            <w:tcW w:w="3096" w:type="dxa"/>
          </w:tcPr>
          <w:p w14:paraId="5AD24B3B" w14:textId="292BA4A9" w:rsidR="00251A10" w:rsidRPr="00982AA7" w:rsidRDefault="00991B9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3096" w:type="dxa"/>
          </w:tcPr>
          <w:p w14:paraId="509D0973" w14:textId="36489D6C"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2</w:t>
            </w:r>
          </w:p>
        </w:tc>
      </w:tr>
      <w:tr w:rsidR="00251A10" w:rsidRPr="00251A10" w14:paraId="67679697" w14:textId="77777777" w:rsidTr="00982AA7">
        <w:tc>
          <w:tcPr>
            <w:cnfStyle w:val="001000000000" w:firstRow="0" w:lastRow="0" w:firstColumn="1" w:lastColumn="0" w:oddVBand="0" w:evenVBand="0" w:oddHBand="0" w:evenHBand="0" w:firstRowFirstColumn="0" w:firstRowLastColumn="0" w:lastRowFirstColumn="0" w:lastRowLastColumn="0"/>
            <w:tcW w:w="3096" w:type="dxa"/>
          </w:tcPr>
          <w:p w14:paraId="35F992FB" w14:textId="77777777" w:rsidR="00251A10" w:rsidRPr="00E91AAA" w:rsidRDefault="00251A10" w:rsidP="00251A10">
            <w:pPr>
              <w:pStyle w:val="Body"/>
              <w:rPr>
                <w:b w:val="0"/>
                <w:bCs w:val="0"/>
                <w:color w:val="000000" w:themeColor="text1"/>
              </w:rPr>
            </w:pPr>
            <w:r w:rsidRPr="00E91AAA">
              <w:rPr>
                <w:b w:val="0"/>
                <w:bCs w:val="0"/>
                <w:color w:val="000000" w:themeColor="text1"/>
              </w:rPr>
              <w:t>D</w:t>
            </w:r>
          </w:p>
        </w:tc>
        <w:tc>
          <w:tcPr>
            <w:tcW w:w="3096" w:type="dxa"/>
          </w:tcPr>
          <w:p w14:paraId="42887350" w14:textId="2BB8DDAF" w:rsidR="00251A10" w:rsidRPr="00982AA7" w:rsidRDefault="00991B9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3096" w:type="dxa"/>
          </w:tcPr>
          <w:p w14:paraId="07BC8C86" w14:textId="1F06F54C" w:rsidR="00251A10" w:rsidRPr="00982AA7" w:rsidRDefault="00B345A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r>
      <w:tr w:rsidR="00251A10" w:rsidRPr="00251A10" w14:paraId="18F4482D"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3FBEFFF8" w14:textId="77777777" w:rsidR="00251A10" w:rsidRPr="00E91AAA" w:rsidRDefault="00251A10" w:rsidP="00251A10">
            <w:pPr>
              <w:pStyle w:val="Body"/>
              <w:rPr>
                <w:b w:val="0"/>
                <w:bCs w:val="0"/>
                <w:color w:val="000000" w:themeColor="text1"/>
              </w:rPr>
            </w:pPr>
            <w:proofErr w:type="spellStart"/>
            <w:r w:rsidRPr="00E91AAA">
              <w:rPr>
                <w:b w:val="0"/>
                <w:bCs w:val="0"/>
                <w:color w:val="000000" w:themeColor="text1"/>
              </w:rPr>
              <w:t>Fy</w:t>
            </w:r>
            <w:r w:rsidRPr="00E91AAA">
              <w:rPr>
                <w:b w:val="0"/>
                <w:bCs w:val="0"/>
                <w:color w:val="000000" w:themeColor="text1"/>
                <w:vertAlign w:val="superscript"/>
              </w:rPr>
              <w:t>a</w:t>
            </w:r>
            <w:proofErr w:type="spellEnd"/>
          </w:p>
        </w:tc>
        <w:tc>
          <w:tcPr>
            <w:tcW w:w="3096" w:type="dxa"/>
          </w:tcPr>
          <w:p w14:paraId="1D6EB433" w14:textId="23D78C4F" w:rsidR="00251A10" w:rsidRPr="00982AA7" w:rsidRDefault="00991B9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3096" w:type="dxa"/>
          </w:tcPr>
          <w:p w14:paraId="3B03B99B" w14:textId="51862AAC"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4</w:t>
            </w:r>
          </w:p>
        </w:tc>
      </w:tr>
      <w:tr w:rsidR="00B345A5" w:rsidRPr="00251A10" w14:paraId="602088AF" w14:textId="77777777" w:rsidTr="00982AA7">
        <w:tc>
          <w:tcPr>
            <w:cnfStyle w:val="001000000000" w:firstRow="0" w:lastRow="0" w:firstColumn="1" w:lastColumn="0" w:oddVBand="0" w:evenVBand="0" w:oddHBand="0" w:evenHBand="0" w:firstRowFirstColumn="0" w:firstRowLastColumn="0" w:lastRowFirstColumn="0" w:lastRowLastColumn="0"/>
            <w:tcW w:w="3096" w:type="dxa"/>
          </w:tcPr>
          <w:p w14:paraId="75CFC22B" w14:textId="7D3A0D7B" w:rsidR="00B345A5" w:rsidRPr="00E91AAA" w:rsidRDefault="00B345A5" w:rsidP="00251A10">
            <w:pPr>
              <w:pStyle w:val="Body"/>
              <w:rPr>
                <w:b w:val="0"/>
                <w:bCs w:val="0"/>
                <w:color w:val="000000" w:themeColor="text1"/>
              </w:rPr>
            </w:pPr>
            <w:proofErr w:type="spellStart"/>
            <w:r w:rsidRPr="00E91AAA">
              <w:rPr>
                <w:b w:val="0"/>
                <w:bCs w:val="0"/>
                <w:color w:val="000000" w:themeColor="text1"/>
              </w:rPr>
              <w:t>Fy</w:t>
            </w:r>
            <w:r w:rsidRPr="00E91AAA">
              <w:rPr>
                <w:b w:val="0"/>
                <w:bCs w:val="0"/>
                <w:color w:val="000000" w:themeColor="text1"/>
                <w:vertAlign w:val="superscript"/>
              </w:rPr>
              <w:t>b</w:t>
            </w:r>
            <w:proofErr w:type="spellEnd"/>
          </w:p>
        </w:tc>
        <w:tc>
          <w:tcPr>
            <w:tcW w:w="3096" w:type="dxa"/>
          </w:tcPr>
          <w:p w14:paraId="3E58DB31" w14:textId="75F58E1A" w:rsidR="00B345A5" w:rsidRPr="00982AA7" w:rsidRDefault="00991B9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3096" w:type="dxa"/>
          </w:tcPr>
          <w:p w14:paraId="71DDAC1B" w14:textId="37242078" w:rsidR="00B345A5" w:rsidRPr="00982AA7" w:rsidRDefault="00B345A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r>
      <w:tr w:rsidR="00251A10" w:rsidRPr="00251A10" w14:paraId="3AC76100"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6E81AA28" w14:textId="77777777" w:rsidR="00251A10" w:rsidRPr="00E91AAA" w:rsidRDefault="00251A10" w:rsidP="00251A10">
            <w:pPr>
              <w:pStyle w:val="Body"/>
              <w:rPr>
                <w:b w:val="0"/>
                <w:bCs w:val="0"/>
                <w:color w:val="000000" w:themeColor="text1"/>
              </w:rPr>
            </w:pPr>
            <w:r w:rsidRPr="00E91AAA">
              <w:rPr>
                <w:b w:val="0"/>
                <w:bCs w:val="0"/>
                <w:color w:val="000000" w:themeColor="text1"/>
              </w:rPr>
              <w:t>K</w:t>
            </w:r>
          </w:p>
        </w:tc>
        <w:tc>
          <w:tcPr>
            <w:tcW w:w="3096" w:type="dxa"/>
          </w:tcPr>
          <w:p w14:paraId="7F69A921" w14:textId="58FE9FAF"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w:t>
            </w:r>
          </w:p>
        </w:tc>
        <w:tc>
          <w:tcPr>
            <w:tcW w:w="3096" w:type="dxa"/>
          </w:tcPr>
          <w:p w14:paraId="138A46B6" w14:textId="6C43A06B"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15</w:t>
            </w:r>
          </w:p>
        </w:tc>
      </w:tr>
      <w:tr w:rsidR="00251A10" w:rsidRPr="00251A10" w14:paraId="0F840153" w14:textId="77777777" w:rsidTr="00982AA7">
        <w:tc>
          <w:tcPr>
            <w:cnfStyle w:val="001000000000" w:firstRow="0" w:lastRow="0" w:firstColumn="1" w:lastColumn="0" w:oddVBand="0" w:evenVBand="0" w:oddHBand="0" w:evenHBand="0" w:firstRowFirstColumn="0" w:firstRowLastColumn="0" w:lastRowFirstColumn="0" w:lastRowLastColumn="0"/>
            <w:tcW w:w="3096" w:type="dxa"/>
          </w:tcPr>
          <w:p w14:paraId="0DE10F46" w14:textId="77777777" w:rsidR="00251A10" w:rsidRPr="00E91AAA" w:rsidRDefault="00251A10" w:rsidP="00251A10">
            <w:pPr>
              <w:pStyle w:val="Body"/>
              <w:rPr>
                <w:b w:val="0"/>
                <w:bCs w:val="0"/>
                <w:color w:val="000000" w:themeColor="text1"/>
              </w:rPr>
            </w:pPr>
            <w:r w:rsidRPr="00E91AAA">
              <w:rPr>
                <w:b w:val="0"/>
                <w:bCs w:val="0"/>
                <w:color w:val="000000" w:themeColor="text1"/>
              </w:rPr>
              <w:t>Kp</w:t>
            </w:r>
            <w:r w:rsidRPr="00E91AAA">
              <w:rPr>
                <w:b w:val="0"/>
                <w:bCs w:val="0"/>
                <w:color w:val="000000" w:themeColor="text1"/>
                <w:vertAlign w:val="superscript"/>
              </w:rPr>
              <w:t>a</w:t>
            </w:r>
          </w:p>
        </w:tc>
        <w:tc>
          <w:tcPr>
            <w:tcW w:w="3096" w:type="dxa"/>
          </w:tcPr>
          <w:p w14:paraId="0E13B4D8" w14:textId="4D44344D" w:rsidR="00251A10" w:rsidRPr="00982AA7" w:rsidRDefault="00991B9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3096" w:type="dxa"/>
          </w:tcPr>
          <w:p w14:paraId="250D6FBA" w14:textId="796E0F98" w:rsidR="00251A10" w:rsidRPr="00982AA7" w:rsidRDefault="00B345A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1</w:t>
            </w:r>
          </w:p>
        </w:tc>
      </w:tr>
      <w:tr w:rsidR="00251A10" w:rsidRPr="00251A10" w14:paraId="30C42CCF"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56337CF5" w14:textId="77777777" w:rsidR="00251A10" w:rsidRPr="00E91AAA" w:rsidRDefault="00251A10" w:rsidP="00251A10">
            <w:pPr>
              <w:pStyle w:val="Body"/>
              <w:rPr>
                <w:b w:val="0"/>
                <w:bCs w:val="0"/>
                <w:color w:val="000000" w:themeColor="text1"/>
              </w:rPr>
            </w:pPr>
            <w:r w:rsidRPr="00E91AAA">
              <w:rPr>
                <w:b w:val="0"/>
                <w:bCs w:val="0"/>
                <w:color w:val="000000" w:themeColor="text1"/>
              </w:rPr>
              <w:t>Lu</w:t>
            </w:r>
            <w:r w:rsidRPr="00E91AAA">
              <w:rPr>
                <w:b w:val="0"/>
                <w:bCs w:val="0"/>
                <w:color w:val="000000" w:themeColor="text1"/>
                <w:vertAlign w:val="superscript"/>
              </w:rPr>
              <w:t>a</w:t>
            </w:r>
          </w:p>
        </w:tc>
        <w:tc>
          <w:tcPr>
            <w:tcW w:w="3096" w:type="dxa"/>
          </w:tcPr>
          <w:p w14:paraId="104D9880" w14:textId="727B0D6E" w:rsidR="00251A10" w:rsidRPr="00982AA7" w:rsidRDefault="00991B9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3096" w:type="dxa"/>
          </w:tcPr>
          <w:p w14:paraId="0BE023A5" w14:textId="0E593BA0"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4</w:t>
            </w:r>
          </w:p>
        </w:tc>
      </w:tr>
      <w:tr w:rsidR="00251A10" w:rsidRPr="00251A10" w14:paraId="0C5E3054" w14:textId="77777777" w:rsidTr="00982AA7">
        <w:tc>
          <w:tcPr>
            <w:cnfStyle w:val="001000000000" w:firstRow="0" w:lastRow="0" w:firstColumn="1" w:lastColumn="0" w:oddVBand="0" w:evenVBand="0" w:oddHBand="0" w:evenHBand="0" w:firstRowFirstColumn="0" w:firstRowLastColumn="0" w:lastRowFirstColumn="0" w:lastRowLastColumn="0"/>
            <w:tcW w:w="3096" w:type="dxa"/>
          </w:tcPr>
          <w:p w14:paraId="70F7E00E" w14:textId="5ECC81ED" w:rsidR="00251A10" w:rsidRPr="00E91AAA" w:rsidRDefault="00B345A5" w:rsidP="00251A10">
            <w:pPr>
              <w:pStyle w:val="Body"/>
              <w:rPr>
                <w:b w:val="0"/>
                <w:bCs w:val="0"/>
                <w:color w:val="000000" w:themeColor="text1"/>
              </w:rPr>
            </w:pPr>
            <w:r w:rsidRPr="00E91AAA">
              <w:rPr>
                <w:b w:val="0"/>
                <w:bCs w:val="0"/>
                <w:color w:val="000000" w:themeColor="text1"/>
              </w:rPr>
              <w:t>S</w:t>
            </w:r>
          </w:p>
        </w:tc>
        <w:tc>
          <w:tcPr>
            <w:tcW w:w="3096" w:type="dxa"/>
          </w:tcPr>
          <w:p w14:paraId="705B77A3" w14:textId="2A75876E" w:rsidR="00251A10" w:rsidRPr="00982AA7" w:rsidRDefault="00991B9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w:t>
            </w:r>
          </w:p>
        </w:tc>
        <w:tc>
          <w:tcPr>
            <w:tcW w:w="3096" w:type="dxa"/>
          </w:tcPr>
          <w:p w14:paraId="0009A07B" w14:textId="5697AA3B" w:rsidR="00251A10" w:rsidRPr="00982AA7" w:rsidRDefault="00B345A5" w:rsidP="00B345A5">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82AA7">
              <w:rPr>
                <w:color w:val="000000" w:themeColor="text1"/>
              </w:rPr>
              <w:t>2</w:t>
            </w:r>
          </w:p>
        </w:tc>
      </w:tr>
      <w:tr w:rsidR="00251A10" w:rsidRPr="00251A10" w14:paraId="2F9F79E8" w14:textId="77777777" w:rsidTr="00982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6" w:type="dxa"/>
          </w:tcPr>
          <w:p w14:paraId="1470CF5A" w14:textId="77777777" w:rsidR="00251A10" w:rsidRPr="00E91AAA" w:rsidRDefault="00251A10" w:rsidP="00251A10">
            <w:pPr>
              <w:pStyle w:val="Body"/>
              <w:rPr>
                <w:b w:val="0"/>
                <w:bCs w:val="0"/>
                <w:color w:val="000000" w:themeColor="text1"/>
              </w:rPr>
            </w:pPr>
            <w:r w:rsidRPr="00E91AAA">
              <w:rPr>
                <w:b w:val="0"/>
                <w:bCs w:val="0"/>
                <w:color w:val="000000" w:themeColor="text1"/>
              </w:rPr>
              <w:t>Not documented</w:t>
            </w:r>
          </w:p>
        </w:tc>
        <w:tc>
          <w:tcPr>
            <w:tcW w:w="3096" w:type="dxa"/>
          </w:tcPr>
          <w:p w14:paraId="46CF5FBE" w14:textId="57D77BA2" w:rsidR="00251A10" w:rsidRPr="00982AA7" w:rsidRDefault="00991B9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w:t>
            </w:r>
          </w:p>
        </w:tc>
        <w:tc>
          <w:tcPr>
            <w:tcW w:w="3096" w:type="dxa"/>
          </w:tcPr>
          <w:p w14:paraId="1C98DE93" w14:textId="1102A5CC" w:rsidR="00251A10" w:rsidRPr="00982AA7" w:rsidRDefault="00B345A5" w:rsidP="00B345A5">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982AA7">
              <w:rPr>
                <w:color w:val="000000" w:themeColor="text1"/>
              </w:rPr>
              <w:t>1</w:t>
            </w:r>
          </w:p>
        </w:tc>
      </w:tr>
    </w:tbl>
    <w:p w14:paraId="2BE4F5F5" w14:textId="4D156CE7" w:rsidR="00251A10" w:rsidRPr="00251A10" w:rsidRDefault="00251A10" w:rsidP="00CE55B3">
      <w:pPr>
        <w:pStyle w:val="Tablefigurenote"/>
      </w:pPr>
      <w:r w:rsidRPr="003E4548">
        <w:t xml:space="preserve">Note: </w:t>
      </w:r>
      <w:r w:rsidR="0056661F" w:rsidRPr="003E4548">
        <w:t xml:space="preserve">More than one antibody </w:t>
      </w:r>
      <w:r w:rsidR="0056661F" w:rsidRPr="00FD75FB">
        <w:t>identified</w:t>
      </w:r>
      <w:r w:rsidR="0056661F" w:rsidRPr="003E4548">
        <w:t xml:space="preserve"> in some cases</w:t>
      </w:r>
      <w:r w:rsidR="0056661F">
        <w:t>.</w:t>
      </w:r>
    </w:p>
    <w:p w14:paraId="44CF9A05" w14:textId="77777777" w:rsidR="009431A3" w:rsidRDefault="009431A3" w:rsidP="009431A3">
      <w:pPr>
        <w:pStyle w:val="Heading2"/>
      </w:pPr>
      <w:bookmarkStart w:id="63" w:name="_Toc136329771"/>
      <w:bookmarkStart w:id="64" w:name="_Toc174440005"/>
      <w:proofErr w:type="spellStart"/>
      <w:r>
        <w:t>RhD</w:t>
      </w:r>
      <w:proofErr w:type="spellEnd"/>
      <w:r>
        <w:t xml:space="preserve"> isoimmunisation</w:t>
      </w:r>
      <w:bookmarkEnd w:id="63"/>
      <w:bookmarkEnd w:id="64"/>
    </w:p>
    <w:p w14:paraId="3CA209D0" w14:textId="77777777" w:rsidR="00FD75FB" w:rsidRDefault="00B21948" w:rsidP="00495C75">
      <w:pPr>
        <w:pStyle w:val="Body"/>
      </w:pPr>
      <w:r>
        <w:t xml:space="preserve">There </w:t>
      </w:r>
      <w:r w:rsidRPr="008B070F">
        <w:t>w</w:t>
      </w:r>
      <w:r w:rsidR="00F87515">
        <w:t>ere no</w:t>
      </w:r>
      <w:r w:rsidRPr="008B070F">
        <w:t xml:space="preserve"> report</w:t>
      </w:r>
      <w:r w:rsidR="00F87515">
        <w:t>s</w:t>
      </w:r>
      <w:r>
        <w:t xml:space="preserve"> of </w:t>
      </w:r>
      <w:proofErr w:type="spellStart"/>
      <w:r>
        <w:t>RhD</w:t>
      </w:r>
      <w:proofErr w:type="spellEnd"/>
      <w:r>
        <w:t xml:space="preserve"> isoimmunisation in this reporting period. </w:t>
      </w:r>
    </w:p>
    <w:p w14:paraId="70D62C20" w14:textId="6A234253" w:rsidR="00FD75FB" w:rsidRDefault="00B21948" w:rsidP="00495C75">
      <w:pPr>
        <w:pStyle w:val="Body"/>
      </w:pPr>
      <w:r>
        <w:t xml:space="preserve">Reports of </w:t>
      </w:r>
      <w:proofErr w:type="spellStart"/>
      <w:r>
        <w:t>RhD</w:t>
      </w:r>
      <w:proofErr w:type="spellEnd"/>
      <w:r>
        <w:t xml:space="preserve"> isoimmunisation are p</w:t>
      </w:r>
      <w:r w:rsidR="00F87515">
        <w:t>ossi</w:t>
      </w:r>
      <w:r>
        <w:t>bly under</w:t>
      </w:r>
      <w:r w:rsidR="00FD75FB">
        <w:t>-</w:t>
      </w:r>
      <w:r>
        <w:t xml:space="preserve">reported. </w:t>
      </w:r>
    </w:p>
    <w:p w14:paraId="0B6F384D" w14:textId="520B3D24" w:rsidR="009431A3" w:rsidRDefault="00B21948" w:rsidP="00495C75">
      <w:pPr>
        <w:pStyle w:val="Body"/>
      </w:pPr>
      <w:r>
        <w:t>Some occur due to errors in providing prophylaxis for women at risk, but a number occur despite appropriate prophylaxis.</w:t>
      </w:r>
    </w:p>
    <w:p w14:paraId="24DF56E5" w14:textId="77777777" w:rsidR="00390291" w:rsidRDefault="00B21948" w:rsidP="00495C75">
      <w:pPr>
        <w:pStyle w:val="Body"/>
      </w:pPr>
      <w:r>
        <w:t xml:space="preserve">The supply of </w:t>
      </w:r>
      <w:proofErr w:type="spellStart"/>
      <w:r>
        <w:t>RhD</w:t>
      </w:r>
      <w:proofErr w:type="spellEnd"/>
      <w:r>
        <w:t xml:space="preserve"> immunoglobulin is affected by its own success in preventing immunisation. </w:t>
      </w:r>
    </w:p>
    <w:p w14:paraId="5FA9C161" w14:textId="1039E92B" w:rsidR="003321DB" w:rsidRDefault="00B21948" w:rsidP="00495C75">
      <w:pPr>
        <w:pStyle w:val="Body"/>
      </w:pPr>
      <w:r>
        <w:t xml:space="preserve">Donors to the </w:t>
      </w:r>
      <w:proofErr w:type="spellStart"/>
      <w:r>
        <w:t>RhD</w:t>
      </w:r>
      <w:proofErr w:type="spellEnd"/>
      <w:r>
        <w:t xml:space="preserve"> program are ag</w:t>
      </w:r>
      <w:r w:rsidR="00390291">
        <w:t>e</w:t>
      </w:r>
      <w:r>
        <w:t xml:space="preserve">ing out of the ability to donate. New donors, </w:t>
      </w:r>
      <w:r w:rsidR="00852731">
        <w:t xml:space="preserve">with </w:t>
      </w:r>
      <w:proofErr w:type="spellStart"/>
      <w:r w:rsidR="00852731">
        <w:t>RhD</w:t>
      </w:r>
      <w:proofErr w:type="spellEnd"/>
      <w:r w:rsidR="00852731">
        <w:t xml:space="preserve"> antibodies (anti-D), are rare. </w:t>
      </w:r>
      <w:hyperlink r:id="rId31" w:history="1">
        <w:r w:rsidR="003321DB" w:rsidRPr="003321DB">
          <w:rPr>
            <w:rStyle w:val="Hyperlink"/>
          </w:rPr>
          <w:t>Lifeblood’s anti-D program</w:t>
        </w:r>
      </w:hyperlink>
      <w:r w:rsidR="00390291">
        <w:rPr>
          <w:rStyle w:val="FootnoteReference"/>
          <w:color w:val="004C97"/>
          <w:u w:val="dotted"/>
        </w:rPr>
        <w:footnoteReference w:id="8"/>
      </w:r>
      <w:r w:rsidR="003321DB">
        <w:t xml:space="preserve"> has a small pool of around 115 donors who me</w:t>
      </w:r>
      <w:r w:rsidR="0056661F">
        <w:t>e</w:t>
      </w:r>
      <w:r w:rsidR="003321DB">
        <w:t>t specific criteria:</w:t>
      </w:r>
    </w:p>
    <w:p w14:paraId="52B977CF" w14:textId="143563CD" w:rsidR="003321DB" w:rsidRPr="00FD75FB" w:rsidRDefault="00FD75FB" w:rsidP="00CE55B3">
      <w:pPr>
        <w:pStyle w:val="Bullet1"/>
      </w:pPr>
      <w:r>
        <w:t>m</w:t>
      </w:r>
      <w:r w:rsidRPr="00FD75FB">
        <w:t>en</w:t>
      </w:r>
      <w:r w:rsidR="003321DB" w:rsidRPr="00FD75FB">
        <w:t xml:space="preserve">, or women past childbearing years who are </w:t>
      </w:r>
      <w:proofErr w:type="spellStart"/>
      <w:r w:rsidR="003321DB" w:rsidRPr="00FD75FB">
        <w:t>RhD</w:t>
      </w:r>
      <w:proofErr w:type="spellEnd"/>
      <w:r w:rsidR="003321DB" w:rsidRPr="00FD75FB">
        <w:t xml:space="preserve"> negative</w:t>
      </w:r>
    </w:p>
    <w:p w14:paraId="6C1A3E51" w14:textId="0FAFE367" w:rsidR="003321DB" w:rsidRPr="00FD75FB" w:rsidRDefault="00FD75FB" w:rsidP="00CE55B3">
      <w:pPr>
        <w:pStyle w:val="Bullet1"/>
      </w:pPr>
      <w:r>
        <w:t>a</w:t>
      </w:r>
      <w:r w:rsidRPr="00FD75FB">
        <w:t xml:space="preserve">ble </w:t>
      </w:r>
      <w:r w:rsidR="00852731" w:rsidRPr="00FD75FB">
        <w:t xml:space="preserve">to donate plasma. </w:t>
      </w:r>
    </w:p>
    <w:p w14:paraId="45DEB407" w14:textId="591AD5B3" w:rsidR="00B21948" w:rsidRDefault="00852731" w:rsidP="00CE55B3">
      <w:pPr>
        <w:pStyle w:val="Bodyafterbullets"/>
        <w:rPr>
          <w:rFonts w:cs="Arial"/>
        </w:rPr>
      </w:pPr>
      <w:r w:rsidRPr="00852731">
        <w:t xml:space="preserve">To maintain their anti-D levels, </w:t>
      </w:r>
      <w:r w:rsidR="003321DB">
        <w:t>donors</w:t>
      </w:r>
      <w:r w:rsidR="003321DB" w:rsidRPr="00852731">
        <w:t xml:space="preserve"> </w:t>
      </w:r>
      <w:r w:rsidRPr="00852731">
        <w:t xml:space="preserve">receive regular boosting injections of extensively screened and carefully matched </w:t>
      </w:r>
      <w:proofErr w:type="spellStart"/>
      <w:r w:rsidRPr="00852731">
        <w:t>RhD</w:t>
      </w:r>
      <w:proofErr w:type="spellEnd"/>
      <w:r w:rsidRPr="00852731">
        <w:t xml:space="preserve"> positive</w:t>
      </w:r>
      <w:r w:rsidR="00734EFA">
        <w:t xml:space="preserve"> </w:t>
      </w:r>
      <w:r w:rsidR="0056661F">
        <w:t>RBC</w:t>
      </w:r>
      <w:r w:rsidR="00390291" w:rsidRPr="00852731">
        <w:t>.</w:t>
      </w:r>
      <w:r w:rsidR="00390291">
        <w:t xml:space="preserve"> </w:t>
      </w:r>
      <w:r>
        <w:rPr>
          <w:rFonts w:cs="Arial"/>
        </w:rPr>
        <w:t xml:space="preserve">Lifeblood </w:t>
      </w:r>
      <w:r w:rsidR="00390291">
        <w:rPr>
          <w:rFonts w:cs="Arial"/>
        </w:rPr>
        <w:t xml:space="preserve">is </w:t>
      </w:r>
      <w:r>
        <w:rPr>
          <w:rFonts w:cs="Arial"/>
        </w:rPr>
        <w:t xml:space="preserve">always looking </w:t>
      </w:r>
      <w:r w:rsidR="00782A85">
        <w:rPr>
          <w:rFonts w:cs="Arial"/>
        </w:rPr>
        <w:t>to rec</w:t>
      </w:r>
      <w:r w:rsidR="00041DB3">
        <w:rPr>
          <w:rFonts w:cs="Arial"/>
        </w:rPr>
        <w:t>r</w:t>
      </w:r>
      <w:r w:rsidR="00782A85">
        <w:rPr>
          <w:rFonts w:cs="Arial"/>
        </w:rPr>
        <w:t>uit</w:t>
      </w:r>
      <w:r>
        <w:rPr>
          <w:rFonts w:cs="Arial"/>
        </w:rPr>
        <w:t xml:space="preserve"> new donors. </w:t>
      </w:r>
      <w:r w:rsidR="00DA37D6">
        <w:rPr>
          <w:rFonts w:cs="Arial"/>
        </w:rPr>
        <w:t xml:space="preserve">Go to </w:t>
      </w:r>
      <w:r w:rsidR="00390291">
        <w:rPr>
          <w:rFonts w:cs="Arial"/>
        </w:rPr>
        <w:t xml:space="preserve">Lifeblood’s </w:t>
      </w:r>
      <w:hyperlink r:id="rId32" w:history="1">
        <w:r w:rsidR="00390291" w:rsidRPr="00DA37D6">
          <w:rPr>
            <w:rStyle w:val="Hyperlink"/>
            <w:rFonts w:cs="Arial"/>
          </w:rPr>
          <w:t>p</w:t>
        </w:r>
        <w:r w:rsidR="00DA37D6" w:rsidRPr="00DA37D6">
          <w:rPr>
            <w:rStyle w:val="Hyperlink"/>
            <w:rFonts w:cs="Arial"/>
          </w:rPr>
          <w:t>regnancy, anti</w:t>
        </w:r>
        <w:r w:rsidR="00390291">
          <w:rPr>
            <w:rStyle w:val="Hyperlink"/>
            <w:rFonts w:cs="Arial"/>
          </w:rPr>
          <w:t>-</w:t>
        </w:r>
        <w:r w:rsidR="00DA37D6" w:rsidRPr="00DA37D6">
          <w:rPr>
            <w:rStyle w:val="Hyperlink"/>
            <w:rFonts w:cs="Arial"/>
          </w:rPr>
          <w:t>D and plasma</w:t>
        </w:r>
      </w:hyperlink>
      <w:r w:rsidR="00390291">
        <w:rPr>
          <w:rStyle w:val="FootnoteReference"/>
          <w:rFonts w:cs="Arial"/>
          <w:color w:val="004C97"/>
          <w:u w:val="dotted"/>
        </w:rPr>
        <w:footnoteReference w:id="9"/>
      </w:r>
      <w:r w:rsidR="00DA37D6">
        <w:rPr>
          <w:rFonts w:cs="Arial"/>
        </w:rPr>
        <w:t xml:space="preserve"> </w:t>
      </w:r>
      <w:r w:rsidR="00390291">
        <w:rPr>
          <w:rFonts w:cs="Arial"/>
        </w:rPr>
        <w:t xml:space="preserve">page </w:t>
      </w:r>
      <w:r w:rsidR="00DA37D6">
        <w:rPr>
          <w:rFonts w:cs="Arial"/>
        </w:rPr>
        <w:t>if you, or someone you know can help.</w:t>
      </w:r>
    </w:p>
    <w:p w14:paraId="3D091F37" w14:textId="3F2FF2FA" w:rsidR="00390291" w:rsidRDefault="00407557" w:rsidP="00407557">
      <w:pPr>
        <w:pStyle w:val="Body"/>
        <w:rPr>
          <w:rFonts w:cs="Arial"/>
        </w:rPr>
      </w:pPr>
      <w:r>
        <w:rPr>
          <w:rFonts w:cs="Arial"/>
        </w:rPr>
        <w:lastRenderedPageBreak/>
        <w:t xml:space="preserve">The </w:t>
      </w:r>
      <w:hyperlink r:id="rId33" w:history="1">
        <w:r w:rsidRPr="00407557">
          <w:rPr>
            <w:rStyle w:val="Hyperlink"/>
            <w:rFonts w:cs="Arial"/>
          </w:rPr>
          <w:t xml:space="preserve">Guidelines for the prophylactic use of </w:t>
        </w:r>
        <w:proofErr w:type="spellStart"/>
        <w:r w:rsidRPr="00407557">
          <w:rPr>
            <w:rStyle w:val="Hyperlink"/>
            <w:rFonts w:cs="Arial"/>
          </w:rPr>
          <w:t>RhD</w:t>
        </w:r>
        <w:proofErr w:type="spellEnd"/>
        <w:r w:rsidRPr="00407557">
          <w:rPr>
            <w:rStyle w:val="Hyperlink"/>
            <w:rFonts w:cs="Arial"/>
          </w:rPr>
          <w:t xml:space="preserve"> immunoglobulin in pregnancy care</w:t>
        </w:r>
      </w:hyperlink>
      <w:r w:rsidR="00390291" w:rsidRPr="00CE55B3">
        <w:rPr>
          <w:sz w:val="20"/>
          <w:szCs w:val="18"/>
          <w:vertAlign w:val="superscript"/>
        </w:rPr>
        <w:footnoteReference w:id="10"/>
      </w:r>
      <w:r w:rsidRPr="00390291">
        <w:t xml:space="preserve"> </w:t>
      </w:r>
      <w:r>
        <w:rPr>
          <w:rFonts w:cs="Arial"/>
        </w:rPr>
        <w:t xml:space="preserve">recommend </w:t>
      </w:r>
      <w:r w:rsidR="00734EFA">
        <w:rPr>
          <w:rFonts w:cs="Arial"/>
        </w:rPr>
        <w:t>n</w:t>
      </w:r>
      <w:r w:rsidR="004A2709">
        <w:rPr>
          <w:rFonts w:cs="Arial"/>
        </w:rPr>
        <w:t xml:space="preserve">on-invasive prenatal </w:t>
      </w:r>
      <w:r w:rsidR="003321DB">
        <w:rPr>
          <w:rFonts w:cs="Arial"/>
        </w:rPr>
        <w:t xml:space="preserve">testing </w:t>
      </w:r>
      <w:r w:rsidR="004A2709">
        <w:rPr>
          <w:rFonts w:cs="Arial"/>
        </w:rPr>
        <w:t>(</w:t>
      </w:r>
      <w:r>
        <w:rPr>
          <w:rFonts w:cs="Arial"/>
        </w:rPr>
        <w:t>NIP</w:t>
      </w:r>
      <w:r w:rsidR="003321DB">
        <w:rPr>
          <w:rFonts w:cs="Arial"/>
        </w:rPr>
        <w:t>T</w:t>
      </w:r>
      <w:r w:rsidR="004A2709">
        <w:rPr>
          <w:rFonts w:cs="Arial"/>
        </w:rPr>
        <w:t>)</w:t>
      </w:r>
      <w:r>
        <w:rPr>
          <w:rFonts w:cs="Arial"/>
        </w:rPr>
        <w:t xml:space="preserve"> testing for all </w:t>
      </w:r>
      <w:proofErr w:type="spellStart"/>
      <w:r>
        <w:rPr>
          <w:rFonts w:cs="Arial"/>
        </w:rPr>
        <w:t>RhD</w:t>
      </w:r>
      <w:proofErr w:type="spellEnd"/>
      <w:r>
        <w:rPr>
          <w:rFonts w:cs="Arial"/>
        </w:rPr>
        <w:t xml:space="preserve"> negative women </w:t>
      </w:r>
      <w:r w:rsidRPr="008E4331">
        <w:rPr>
          <w:rFonts w:cs="Arial"/>
        </w:rPr>
        <w:t>from 11 weeks</w:t>
      </w:r>
      <w:r w:rsidR="00734EFA">
        <w:rPr>
          <w:rFonts w:cs="Arial"/>
        </w:rPr>
        <w:t xml:space="preserve"> (Lifeblood </w:t>
      </w:r>
      <w:r w:rsidR="00390291">
        <w:rPr>
          <w:rFonts w:cs="Arial"/>
        </w:rPr>
        <w:t xml:space="preserve">recommends </w:t>
      </w:r>
      <w:r w:rsidR="00734EFA">
        <w:rPr>
          <w:rFonts w:cs="Arial"/>
        </w:rPr>
        <w:t>12 weeks)</w:t>
      </w:r>
      <w:r w:rsidR="00991B95">
        <w:rPr>
          <w:rFonts w:cs="Arial"/>
        </w:rPr>
        <w:t xml:space="preserve"> to determine </w:t>
      </w:r>
      <w:proofErr w:type="spellStart"/>
      <w:r w:rsidR="00991B95">
        <w:rPr>
          <w:rFonts w:cs="Arial"/>
        </w:rPr>
        <w:t>fetal</w:t>
      </w:r>
      <w:proofErr w:type="spellEnd"/>
      <w:r w:rsidR="00991B95">
        <w:rPr>
          <w:rFonts w:cs="Arial"/>
        </w:rPr>
        <w:t xml:space="preserve"> </w:t>
      </w:r>
      <w:proofErr w:type="spellStart"/>
      <w:r w:rsidR="00991B95">
        <w:rPr>
          <w:rFonts w:cs="Arial"/>
        </w:rPr>
        <w:t>RhD</w:t>
      </w:r>
      <w:proofErr w:type="spellEnd"/>
      <w:r w:rsidR="00991B95">
        <w:rPr>
          <w:rFonts w:cs="Arial"/>
        </w:rPr>
        <w:t xml:space="preserve"> genotype</w:t>
      </w:r>
      <w:r>
        <w:rPr>
          <w:rFonts w:cs="Arial"/>
        </w:rPr>
        <w:t xml:space="preserve">. </w:t>
      </w:r>
    </w:p>
    <w:p w14:paraId="4A58A604" w14:textId="1CAEDBE3" w:rsidR="00407557" w:rsidRDefault="00407557" w:rsidP="00407557">
      <w:pPr>
        <w:pStyle w:val="Body"/>
        <w:rPr>
          <w:rFonts w:cs="Arial"/>
        </w:rPr>
      </w:pPr>
      <w:r>
        <w:rPr>
          <w:rFonts w:cs="Arial"/>
        </w:rPr>
        <w:t xml:space="preserve">This would allow for </w:t>
      </w:r>
      <w:r w:rsidR="0072792F">
        <w:rPr>
          <w:rFonts w:cs="Arial"/>
        </w:rPr>
        <w:t xml:space="preserve">targeted </w:t>
      </w:r>
      <w:r>
        <w:rPr>
          <w:rFonts w:cs="Arial"/>
        </w:rPr>
        <w:t xml:space="preserve">use of </w:t>
      </w:r>
      <w:proofErr w:type="spellStart"/>
      <w:r>
        <w:rPr>
          <w:rFonts w:cs="Arial"/>
        </w:rPr>
        <w:t>RhD</w:t>
      </w:r>
      <w:proofErr w:type="spellEnd"/>
      <w:r>
        <w:rPr>
          <w:rFonts w:cs="Arial"/>
        </w:rPr>
        <w:t xml:space="preserve"> immunoglobulin in </w:t>
      </w:r>
      <w:proofErr w:type="spellStart"/>
      <w:r w:rsidR="009C415B">
        <w:rPr>
          <w:rFonts w:cs="Arial"/>
        </w:rPr>
        <w:t>RhD</w:t>
      </w:r>
      <w:proofErr w:type="spellEnd"/>
      <w:r w:rsidR="009C415B">
        <w:rPr>
          <w:rFonts w:cs="Arial"/>
        </w:rPr>
        <w:t xml:space="preserve"> negative </w:t>
      </w:r>
      <w:r>
        <w:rPr>
          <w:rFonts w:cs="Arial"/>
        </w:rPr>
        <w:t xml:space="preserve">women shown to have a </w:t>
      </w:r>
      <w:proofErr w:type="spellStart"/>
      <w:r>
        <w:rPr>
          <w:rFonts w:cs="Arial"/>
        </w:rPr>
        <w:t>RhD</w:t>
      </w:r>
      <w:proofErr w:type="spellEnd"/>
      <w:r>
        <w:rPr>
          <w:rFonts w:cs="Arial"/>
        </w:rPr>
        <w:t xml:space="preserve"> positive </w:t>
      </w:r>
      <w:r w:rsidR="00EA71E9">
        <w:rPr>
          <w:rFonts w:cs="Arial"/>
        </w:rPr>
        <w:t>foetus</w:t>
      </w:r>
      <w:r w:rsidR="00390291">
        <w:rPr>
          <w:rFonts w:cs="Arial"/>
        </w:rPr>
        <w:t>,</w:t>
      </w:r>
      <w:r>
        <w:rPr>
          <w:rFonts w:cs="Arial"/>
        </w:rPr>
        <w:t xml:space="preserve"> or those </w:t>
      </w:r>
      <w:r w:rsidR="00390291">
        <w:rPr>
          <w:rFonts w:cs="Arial"/>
        </w:rPr>
        <w:t xml:space="preserve">for whom </w:t>
      </w:r>
      <w:r>
        <w:rPr>
          <w:rFonts w:cs="Arial"/>
        </w:rPr>
        <w:t>the testing is inconclusive</w:t>
      </w:r>
      <w:r w:rsidR="00390291">
        <w:rPr>
          <w:rFonts w:cs="Arial"/>
        </w:rPr>
        <w:t>. It would reduce</w:t>
      </w:r>
      <w:r>
        <w:rPr>
          <w:rFonts w:cs="Arial"/>
        </w:rPr>
        <w:t xml:space="preserve"> </w:t>
      </w:r>
      <w:r w:rsidR="0072792F">
        <w:rPr>
          <w:rFonts w:cs="Arial"/>
        </w:rPr>
        <w:t xml:space="preserve">demand </w:t>
      </w:r>
      <w:r>
        <w:rPr>
          <w:rFonts w:cs="Arial"/>
        </w:rPr>
        <w:t xml:space="preserve">for </w:t>
      </w:r>
      <w:r w:rsidR="0072792F">
        <w:rPr>
          <w:rFonts w:cs="Arial"/>
        </w:rPr>
        <w:t xml:space="preserve">limited </w:t>
      </w:r>
      <w:proofErr w:type="spellStart"/>
      <w:r w:rsidR="00EA71E9">
        <w:rPr>
          <w:rFonts w:cs="Arial"/>
        </w:rPr>
        <w:t>RhD</w:t>
      </w:r>
      <w:proofErr w:type="spellEnd"/>
      <w:r w:rsidR="00EA71E9">
        <w:rPr>
          <w:rFonts w:cs="Arial"/>
        </w:rPr>
        <w:t xml:space="preserve"> immunoglobulin</w:t>
      </w:r>
      <w:r w:rsidR="0072792F">
        <w:rPr>
          <w:rFonts w:cs="Arial"/>
        </w:rPr>
        <w:t xml:space="preserve"> resource</w:t>
      </w:r>
      <w:r w:rsidR="00390291">
        <w:rPr>
          <w:rFonts w:cs="Arial"/>
        </w:rPr>
        <w:t>s</w:t>
      </w:r>
      <w:r w:rsidR="00EA71E9">
        <w:rPr>
          <w:rFonts w:cs="Arial"/>
        </w:rPr>
        <w:t>.</w:t>
      </w:r>
    </w:p>
    <w:p w14:paraId="3B82862C" w14:textId="53CC4B44" w:rsidR="00DA37D6" w:rsidRDefault="00407557" w:rsidP="00495C75">
      <w:pPr>
        <w:pStyle w:val="Body"/>
        <w:rPr>
          <w:rFonts w:cs="Arial"/>
        </w:rPr>
      </w:pPr>
      <w:r>
        <w:rPr>
          <w:rFonts w:cs="Arial"/>
        </w:rPr>
        <w:t xml:space="preserve">However, </w:t>
      </w:r>
      <w:r w:rsidR="00DA37D6">
        <w:rPr>
          <w:rFonts w:cs="Arial"/>
        </w:rPr>
        <w:t xml:space="preserve">Lifeblood is </w:t>
      </w:r>
      <w:r w:rsidR="0056661F">
        <w:rPr>
          <w:rFonts w:cs="Arial"/>
        </w:rPr>
        <w:t xml:space="preserve">only </w:t>
      </w:r>
      <w:r w:rsidR="00DA37D6">
        <w:rPr>
          <w:rFonts w:cs="Arial"/>
        </w:rPr>
        <w:t xml:space="preserve">currently funded to provide </w:t>
      </w:r>
      <w:r w:rsidR="003321DB">
        <w:rPr>
          <w:rFonts w:cs="Arial"/>
        </w:rPr>
        <w:t>non-invasive prenatal analysis (</w:t>
      </w:r>
      <w:r w:rsidR="00DA37D6">
        <w:rPr>
          <w:rFonts w:cs="Arial"/>
        </w:rPr>
        <w:t>NIP</w:t>
      </w:r>
      <w:r w:rsidR="000132FC">
        <w:rPr>
          <w:rFonts w:cs="Arial"/>
        </w:rPr>
        <w:t xml:space="preserve">A) for </w:t>
      </w:r>
      <w:proofErr w:type="spellStart"/>
      <w:r w:rsidR="000132FC">
        <w:rPr>
          <w:rFonts w:cs="Arial"/>
        </w:rPr>
        <w:t>RhD</w:t>
      </w:r>
      <w:proofErr w:type="spellEnd"/>
      <w:r w:rsidR="00AF5359">
        <w:rPr>
          <w:rFonts w:cs="Arial"/>
        </w:rPr>
        <w:t xml:space="preserve"> </w:t>
      </w:r>
      <w:r w:rsidR="00390291">
        <w:rPr>
          <w:rFonts w:cs="Arial"/>
        </w:rPr>
        <w:t xml:space="preserve">in </w:t>
      </w:r>
      <w:r w:rsidR="00DA37D6">
        <w:rPr>
          <w:rFonts w:cs="Arial"/>
        </w:rPr>
        <w:t xml:space="preserve">the following </w:t>
      </w:r>
      <w:r w:rsidR="00DA37D6" w:rsidRPr="00DA37D6">
        <w:rPr>
          <w:rFonts w:cs="Arial"/>
        </w:rPr>
        <w:t>high-risk pregnancies</w:t>
      </w:r>
      <w:r w:rsidR="00DA37D6">
        <w:rPr>
          <w:rFonts w:cs="Arial"/>
        </w:rPr>
        <w:t>:</w:t>
      </w:r>
    </w:p>
    <w:p w14:paraId="6319BE2E" w14:textId="5F704C8A" w:rsidR="00DA37D6" w:rsidRPr="00DA37D6" w:rsidRDefault="00DA37D6" w:rsidP="00CE55B3">
      <w:pPr>
        <w:pStyle w:val="Numberdigit"/>
      </w:pPr>
      <w:proofErr w:type="spellStart"/>
      <w:r w:rsidRPr="00DA37D6">
        <w:t>RhD</w:t>
      </w:r>
      <w:proofErr w:type="spellEnd"/>
      <w:r w:rsidRPr="00DA37D6">
        <w:t xml:space="preserve"> negative pregnant women who are anti-D </w:t>
      </w:r>
      <w:proofErr w:type="spellStart"/>
      <w:r w:rsidRPr="00DA37D6">
        <w:t>alloimmunised</w:t>
      </w:r>
      <w:proofErr w:type="spellEnd"/>
    </w:p>
    <w:p w14:paraId="6DA1CB71" w14:textId="723525FE" w:rsidR="00DA37D6" w:rsidRPr="00DA37D6" w:rsidRDefault="00DA37D6" w:rsidP="00CE55B3">
      <w:pPr>
        <w:pStyle w:val="Numberdigit"/>
      </w:pPr>
      <w:proofErr w:type="spellStart"/>
      <w:r w:rsidRPr="00DA37D6">
        <w:t>RhD</w:t>
      </w:r>
      <w:proofErr w:type="spellEnd"/>
      <w:r w:rsidRPr="00DA37D6">
        <w:t xml:space="preserve"> negative pregnant women with obstetric indications</w:t>
      </w:r>
      <w:r w:rsidR="00390291">
        <w:t>,</w:t>
      </w:r>
      <w:r w:rsidRPr="00DA37D6">
        <w:t xml:space="preserve"> such as severe </w:t>
      </w:r>
      <w:proofErr w:type="spellStart"/>
      <w:r w:rsidR="009C415B" w:rsidRPr="00DA37D6">
        <w:t>fetal</w:t>
      </w:r>
      <w:proofErr w:type="spellEnd"/>
      <w:r w:rsidRPr="00DA37D6">
        <w:t xml:space="preserve"> maternal haemorrhage during pregnancy</w:t>
      </w:r>
    </w:p>
    <w:p w14:paraId="4EF1DCA1" w14:textId="7BFF75A2" w:rsidR="00F72E2C" w:rsidRPr="00557DC2" w:rsidRDefault="00390291" w:rsidP="00CE55B3">
      <w:pPr>
        <w:pStyle w:val="Numberdigit"/>
      </w:pPr>
      <w:r>
        <w:t>o</w:t>
      </w:r>
      <w:r w:rsidRPr="00DA37D6">
        <w:t xml:space="preserve">ther </w:t>
      </w:r>
      <w:r w:rsidR="00DA37D6" w:rsidRPr="00DA37D6">
        <w:t xml:space="preserve">unusual but rare scenarios such as allergy to the </w:t>
      </w:r>
      <w:proofErr w:type="spellStart"/>
      <w:r w:rsidR="00782A85">
        <w:t>RhD</w:t>
      </w:r>
      <w:proofErr w:type="spellEnd"/>
      <w:r w:rsidR="00DA37D6" w:rsidRPr="00DA37D6">
        <w:t xml:space="preserve"> immunoglobulin.</w:t>
      </w:r>
    </w:p>
    <w:p w14:paraId="54C8E4EC" w14:textId="3D347E43" w:rsidR="009431A3" w:rsidRDefault="009431A3" w:rsidP="009431A3">
      <w:pPr>
        <w:pStyle w:val="Heading2"/>
      </w:pPr>
      <w:bookmarkStart w:id="65" w:name="_Toc136329772"/>
      <w:bookmarkStart w:id="66" w:name="_Toc174440006"/>
      <w:r w:rsidRPr="00C873DB">
        <w:t>Transfusion</w:t>
      </w:r>
      <w:r w:rsidR="008B5CD7">
        <w:t>-</w:t>
      </w:r>
      <w:r w:rsidRPr="00C873DB">
        <w:t>associated circulatory overload (TACO)</w:t>
      </w:r>
      <w:bookmarkEnd w:id="65"/>
      <w:bookmarkEnd w:id="66"/>
    </w:p>
    <w:p w14:paraId="677773DB" w14:textId="77777777" w:rsidR="00390291" w:rsidRDefault="00AD3FC5" w:rsidP="005B782F">
      <w:pPr>
        <w:pStyle w:val="Body"/>
      </w:pPr>
      <w:r>
        <w:t xml:space="preserve">As in previous years, TACO is one of the more commonly reported clinical reactions to STIR, with 34 events validated for FY23. </w:t>
      </w:r>
    </w:p>
    <w:p w14:paraId="15325A83" w14:textId="5AA0D77B" w:rsidR="005B782F" w:rsidRDefault="005B782F" w:rsidP="005B782F">
      <w:pPr>
        <w:pStyle w:val="Body"/>
      </w:pPr>
      <w:r>
        <w:t xml:space="preserve">This </w:t>
      </w:r>
      <w:r w:rsidR="00AF5359">
        <w:t xml:space="preserve">may </w:t>
      </w:r>
      <w:r>
        <w:t xml:space="preserve">not represent the true incidence of TACO in health services, as less serious cases are </w:t>
      </w:r>
      <w:r w:rsidR="0056661F">
        <w:t xml:space="preserve">not required to be </w:t>
      </w:r>
      <w:r>
        <w:t xml:space="preserve">reported. </w:t>
      </w:r>
    </w:p>
    <w:p w14:paraId="241F75B6" w14:textId="77777777" w:rsidR="00390291" w:rsidRDefault="005B782F" w:rsidP="005B782F">
      <w:pPr>
        <w:pStyle w:val="Body"/>
      </w:pPr>
      <w:r>
        <w:t xml:space="preserve">Clinical staff prescribing and administering blood </w:t>
      </w:r>
      <w:r w:rsidR="00782A85">
        <w:t>components and products should</w:t>
      </w:r>
      <w:r>
        <w:t xml:space="preserve"> be aware of the factors that </w:t>
      </w:r>
      <w:r w:rsidR="00AF5359">
        <w:t xml:space="preserve">increase </w:t>
      </w:r>
      <w:r w:rsidR="00782A85">
        <w:t>a</w:t>
      </w:r>
      <w:r>
        <w:t xml:space="preserve"> patient</w:t>
      </w:r>
      <w:r w:rsidR="00AF5359">
        <w:t>’s</w:t>
      </w:r>
      <w:r>
        <w:t xml:space="preserve"> risk of developing TACO. </w:t>
      </w:r>
    </w:p>
    <w:p w14:paraId="2F000719" w14:textId="2BDCAA53" w:rsidR="005B782F" w:rsidRDefault="005B782F" w:rsidP="005B782F">
      <w:pPr>
        <w:pStyle w:val="Body"/>
      </w:pPr>
      <w:r>
        <w:t>Blood Matters</w:t>
      </w:r>
      <w:r w:rsidR="00390291">
        <w:t xml:space="preserve"> provides a</w:t>
      </w:r>
      <w:r>
        <w:t xml:space="preserve"> </w:t>
      </w:r>
      <w:hyperlink r:id="rId34" w:history="1">
        <w:r w:rsidRPr="00390291">
          <w:rPr>
            <w:rStyle w:val="Hyperlink"/>
          </w:rPr>
          <w:t>TACO checklist</w:t>
        </w:r>
        <w:r w:rsidR="00AF5359" w:rsidRPr="00390291">
          <w:rPr>
            <w:rStyle w:val="Hyperlink"/>
          </w:rPr>
          <w:t>,</w:t>
        </w:r>
        <w:r w:rsidRPr="00390291">
          <w:rPr>
            <w:rStyle w:val="Hyperlink"/>
          </w:rPr>
          <w:t xml:space="preserve"> swing</w:t>
        </w:r>
        <w:r w:rsidR="00AF5359" w:rsidRPr="00390291">
          <w:rPr>
            <w:rStyle w:val="Hyperlink"/>
          </w:rPr>
          <w:t>-</w:t>
        </w:r>
        <w:r w:rsidRPr="00390291">
          <w:rPr>
            <w:rStyle w:val="Hyperlink"/>
          </w:rPr>
          <w:t>tags and poster</w:t>
        </w:r>
      </w:hyperlink>
      <w:r w:rsidR="00390291">
        <w:rPr>
          <w:rStyle w:val="FootnoteReference"/>
        </w:rPr>
        <w:footnoteReference w:id="11"/>
      </w:r>
      <w:r w:rsidR="00390291">
        <w:t xml:space="preserve"> that health services can use</w:t>
      </w:r>
      <w:r>
        <w:t xml:space="preserve"> to increase </w:t>
      </w:r>
      <w:r w:rsidR="00AF5359">
        <w:t xml:space="preserve">staff </w:t>
      </w:r>
      <w:r>
        <w:t xml:space="preserve">awareness. </w:t>
      </w:r>
    </w:p>
    <w:p w14:paraId="70059171" w14:textId="4F870DAB" w:rsidR="005B782F" w:rsidRDefault="005B782F" w:rsidP="005B782F">
      <w:pPr>
        <w:pStyle w:val="Body"/>
      </w:pPr>
      <w:r>
        <w:t xml:space="preserve">Table </w:t>
      </w:r>
      <w:r w:rsidR="00A9310D">
        <w:t xml:space="preserve">20 </w:t>
      </w:r>
      <w:r>
        <w:t>shows the characteristics of</w:t>
      </w:r>
      <w:r w:rsidR="00AF5359">
        <w:t xml:space="preserve"> the patients</w:t>
      </w:r>
      <w:r>
        <w:t xml:space="preserve"> </w:t>
      </w:r>
      <w:r w:rsidR="00AF5359">
        <w:t>reported to STIR with TACO</w:t>
      </w:r>
      <w:r w:rsidR="00390291">
        <w:t>.</w:t>
      </w:r>
      <w:r w:rsidR="00DC1CD5">
        <w:t xml:space="preserve"> </w:t>
      </w:r>
      <w:r w:rsidR="00E124A2">
        <w:t>T</w:t>
      </w:r>
      <w:r w:rsidR="00DC1CD5">
        <w:t xml:space="preserve">able </w:t>
      </w:r>
      <w:r w:rsidR="00A9310D">
        <w:t xml:space="preserve">21 </w:t>
      </w:r>
      <w:r w:rsidR="00DC1CD5">
        <w:t xml:space="preserve">shows the severity ratings associated with </w:t>
      </w:r>
      <w:r w:rsidR="00AF5359">
        <w:t>these</w:t>
      </w:r>
      <w:r w:rsidR="00DC1CD5">
        <w:t xml:space="preserve"> events</w:t>
      </w:r>
      <w:r>
        <w:t>.</w:t>
      </w:r>
    </w:p>
    <w:p w14:paraId="2E9B1B16" w14:textId="17F16655" w:rsidR="00390291" w:rsidRDefault="0093792E" w:rsidP="00557DC2">
      <w:pPr>
        <w:pStyle w:val="Body"/>
      </w:pPr>
      <w:r>
        <w:t>The</w:t>
      </w:r>
      <w:r w:rsidR="000C67BC">
        <w:t xml:space="preserve"> Serious Hazards of Transfusion</w:t>
      </w:r>
      <w:r>
        <w:t xml:space="preserve"> </w:t>
      </w:r>
      <w:r w:rsidR="000C67BC">
        <w:t>(</w:t>
      </w:r>
      <w:r>
        <w:t>SHOT</w:t>
      </w:r>
      <w:r w:rsidR="000C67BC">
        <w:t>)</w:t>
      </w:r>
      <w:r>
        <w:t xml:space="preserve"> 2022 report had the highest number of </w:t>
      </w:r>
      <w:r w:rsidR="00782A85">
        <w:t xml:space="preserve">TACO </w:t>
      </w:r>
      <w:r>
        <w:t>reports to date</w:t>
      </w:r>
      <w:r w:rsidR="00CF32D3">
        <w:t xml:space="preserve"> (160, an increase of 29 over the previous year</w:t>
      </w:r>
      <w:r w:rsidR="00390291">
        <w:t xml:space="preserve">). </w:t>
      </w:r>
      <w:r>
        <w:t>TACO continu</w:t>
      </w:r>
      <w:r w:rsidR="00390291">
        <w:t>ed</w:t>
      </w:r>
      <w:r>
        <w:t xml:space="preserve"> to be a major cause of morbidity and mortality.</w:t>
      </w:r>
    </w:p>
    <w:p w14:paraId="692AD13E" w14:textId="6AD5D8D4" w:rsidR="00390291" w:rsidRDefault="00390291" w:rsidP="00390291">
      <w:pPr>
        <w:pStyle w:val="Body"/>
        <w:rPr>
          <w:lang w:val="en-GB"/>
        </w:rPr>
      </w:pPr>
      <w:r>
        <w:t>In the UK, the Medicines and Healthcare Products Regulatory Agency issued a patient safety alert regarding</w:t>
      </w:r>
      <w:r w:rsidR="00AF5359">
        <w:t xml:space="preserve"> </w:t>
      </w:r>
      <w:hyperlink r:id="rId35" w:history="1">
        <w:r>
          <w:rPr>
            <w:rStyle w:val="Hyperlink"/>
          </w:rPr>
          <w:t>re</w:t>
        </w:r>
        <w:r w:rsidR="00AF5359" w:rsidRPr="00D215EA">
          <w:rPr>
            <w:rStyle w:val="Hyperlink"/>
          </w:rPr>
          <w:t>ducing risks for transfusion-associated circulatory overload</w:t>
        </w:r>
      </w:hyperlink>
      <w:r w:rsidRPr="00CE55B3">
        <w:footnoteReference w:id="12"/>
      </w:r>
      <w:r>
        <w:rPr>
          <w:rStyle w:val="Hyperlink"/>
        </w:rPr>
        <w:t xml:space="preserve"> </w:t>
      </w:r>
      <w:r w:rsidR="0093792E" w:rsidRPr="0093792E">
        <w:rPr>
          <w:lang w:val="en-GB"/>
        </w:rPr>
        <w:t>to address the rising deaths from TACO</w:t>
      </w:r>
      <w:r w:rsidR="00AF5359">
        <w:rPr>
          <w:lang w:val="en-GB"/>
        </w:rPr>
        <w:t>.</w:t>
      </w:r>
      <w:r w:rsidR="0093792E" w:rsidRPr="0093792E">
        <w:rPr>
          <w:lang w:val="en-GB"/>
        </w:rPr>
        <w:t xml:space="preserve"> </w:t>
      </w:r>
    </w:p>
    <w:p w14:paraId="73E4F32E" w14:textId="28EC21F2" w:rsidR="00390291" w:rsidRDefault="0093792E" w:rsidP="00390291">
      <w:pPr>
        <w:pStyle w:val="Body"/>
        <w:rPr>
          <w:lang w:val="en-GB"/>
        </w:rPr>
      </w:pPr>
      <w:r>
        <w:rPr>
          <w:lang w:val="en-GB"/>
        </w:rPr>
        <w:t>This advi</w:t>
      </w:r>
      <w:r w:rsidR="00A2713B">
        <w:rPr>
          <w:lang w:val="en-GB"/>
        </w:rPr>
        <w:t>s</w:t>
      </w:r>
      <w:r>
        <w:rPr>
          <w:lang w:val="en-GB"/>
        </w:rPr>
        <w:t xml:space="preserve">es health services of the risks for TACO and </w:t>
      </w:r>
      <w:r w:rsidR="00390291">
        <w:rPr>
          <w:lang w:val="en-GB"/>
        </w:rPr>
        <w:t>the things they can do to address these risks</w:t>
      </w:r>
      <w:r w:rsidR="00557DC2">
        <w:rPr>
          <w:lang w:val="en-GB"/>
        </w:rPr>
        <w:t xml:space="preserve">. </w:t>
      </w:r>
    </w:p>
    <w:p w14:paraId="5B5F4E81" w14:textId="19B946FC" w:rsidR="0093792E" w:rsidRDefault="00557DC2" w:rsidP="00390291">
      <w:pPr>
        <w:pStyle w:val="Body"/>
        <w:rPr>
          <w:lang w:val="en-GB"/>
        </w:rPr>
      </w:pPr>
      <w:r>
        <w:rPr>
          <w:lang w:val="en-GB"/>
        </w:rPr>
        <w:t>Some of these</w:t>
      </w:r>
      <w:r w:rsidR="00AF5359">
        <w:rPr>
          <w:lang w:val="en-GB"/>
        </w:rPr>
        <w:t xml:space="preserve"> includ</w:t>
      </w:r>
      <w:r>
        <w:rPr>
          <w:lang w:val="en-GB"/>
        </w:rPr>
        <w:t xml:space="preserve">e </w:t>
      </w:r>
      <w:r w:rsidR="003927B3">
        <w:rPr>
          <w:lang w:val="en-GB"/>
        </w:rPr>
        <w:t>review and</w:t>
      </w:r>
      <w:r w:rsidR="0093792E">
        <w:rPr>
          <w:lang w:val="en-GB"/>
        </w:rPr>
        <w:t xml:space="preserve"> update</w:t>
      </w:r>
      <w:r>
        <w:rPr>
          <w:lang w:val="en-GB"/>
        </w:rPr>
        <w:t xml:space="preserve"> of</w:t>
      </w:r>
      <w:r w:rsidR="0093792E">
        <w:rPr>
          <w:lang w:val="en-GB"/>
        </w:rPr>
        <w:t xml:space="preserve"> policies</w:t>
      </w:r>
      <w:r w:rsidR="00ED38F0">
        <w:rPr>
          <w:lang w:val="en-GB"/>
        </w:rPr>
        <w:t>,</w:t>
      </w:r>
      <w:r w:rsidR="0093792E">
        <w:rPr>
          <w:lang w:val="en-GB"/>
        </w:rPr>
        <w:t xml:space="preserve"> procedures and training programs </w:t>
      </w:r>
      <w:r>
        <w:rPr>
          <w:lang w:val="en-GB"/>
        </w:rPr>
        <w:t xml:space="preserve">and </w:t>
      </w:r>
      <w:r w:rsidR="0093792E">
        <w:rPr>
          <w:lang w:val="en-GB"/>
        </w:rPr>
        <w:t>undertak</w:t>
      </w:r>
      <w:r>
        <w:rPr>
          <w:lang w:val="en-GB"/>
        </w:rPr>
        <w:t>ing</w:t>
      </w:r>
      <w:r w:rsidR="0093792E">
        <w:rPr>
          <w:lang w:val="en-GB"/>
        </w:rPr>
        <w:t xml:space="preserve"> regular audits of procedures.</w:t>
      </w:r>
    </w:p>
    <w:p w14:paraId="2FAC9D78" w14:textId="592F4583" w:rsidR="009431A3" w:rsidRDefault="009431A3" w:rsidP="00CE55B3">
      <w:pPr>
        <w:pStyle w:val="Tablecaption"/>
      </w:pPr>
      <w:r w:rsidRPr="00DA4A93">
        <w:lastRenderedPageBreak/>
        <w:t xml:space="preserve">Table </w:t>
      </w:r>
      <w:r w:rsidR="00A9310D">
        <w:t>20:</w:t>
      </w:r>
      <w:r w:rsidRPr="00DA4A93">
        <w:t xml:space="preserve"> Data summary – TACO</w:t>
      </w:r>
    </w:p>
    <w:tbl>
      <w:tblPr>
        <w:tblStyle w:val="GridTable6Colorful-Accent2"/>
        <w:tblW w:w="0" w:type="auto"/>
        <w:tblLook w:val="04A0" w:firstRow="1" w:lastRow="0" w:firstColumn="1" w:lastColumn="0" w:noHBand="0" w:noVBand="1"/>
      </w:tblPr>
      <w:tblGrid>
        <w:gridCol w:w="4106"/>
        <w:gridCol w:w="2591"/>
      </w:tblGrid>
      <w:tr w:rsidR="005B782F" w:rsidRPr="005B782F" w14:paraId="3D13DBEE"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5553622" w14:textId="77777777" w:rsidR="005B782F" w:rsidRPr="00390291" w:rsidRDefault="005B782F" w:rsidP="00CE55B3">
            <w:pPr>
              <w:pStyle w:val="Tablecolhead"/>
              <w:keepNext/>
              <w:keepLines/>
              <w:rPr>
                <w:b/>
                <w:bCs w:val="0"/>
              </w:rPr>
            </w:pPr>
            <w:r w:rsidRPr="00390291">
              <w:rPr>
                <w:b/>
                <w:bCs w:val="0"/>
              </w:rPr>
              <w:t>Characteristic</w:t>
            </w:r>
          </w:p>
        </w:tc>
        <w:tc>
          <w:tcPr>
            <w:tcW w:w="0" w:type="dxa"/>
          </w:tcPr>
          <w:p w14:paraId="710A8EC4" w14:textId="03CE460C" w:rsidR="005B782F" w:rsidRPr="00390291" w:rsidRDefault="005B782F" w:rsidP="00CE55B3">
            <w:pPr>
              <w:pStyle w:val="Tablecolhead"/>
              <w:keepNext/>
              <w:keepLines/>
              <w:cnfStyle w:val="100000000000" w:firstRow="1" w:lastRow="0" w:firstColumn="0" w:lastColumn="0" w:oddVBand="0" w:evenVBand="0" w:oddHBand="0" w:evenHBand="0" w:firstRowFirstColumn="0" w:firstRowLastColumn="0" w:lastRowFirstColumn="0" w:lastRowLastColumn="0"/>
              <w:rPr>
                <w:b/>
                <w:bCs w:val="0"/>
              </w:rPr>
            </w:pPr>
            <w:r w:rsidRPr="00390291">
              <w:rPr>
                <w:b/>
                <w:bCs w:val="0"/>
              </w:rPr>
              <w:t xml:space="preserve">TACO, n = </w:t>
            </w:r>
            <w:r w:rsidR="007332DD" w:rsidRPr="00390291">
              <w:rPr>
                <w:b/>
                <w:bCs w:val="0"/>
              </w:rPr>
              <w:t xml:space="preserve">34 </w:t>
            </w:r>
            <w:r w:rsidRPr="00390291">
              <w:rPr>
                <w:b/>
                <w:bCs w:val="0"/>
              </w:rPr>
              <w:t>(%)</w:t>
            </w:r>
          </w:p>
        </w:tc>
      </w:tr>
      <w:tr w:rsidR="005B782F" w:rsidRPr="005B782F" w14:paraId="50EE2B95"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DE91480" w14:textId="77777777" w:rsidR="005B782F" w:rsidRPr="00E91AAA" w:rsidRDefault="005B782F" w:rsidP="00CE55B3">
            <w:pPr>
              <w:pStyle w:val="Body"/>
              <w:keepNext/>
              <w:keepLines/>
              <w:spacing w:line="240" w:lineRule="auto"/>
              <w:rPr>
                <w:b w:val="0"/>
                <w:bCs w:val="0"/>
                <w:color w:val="000000" w:themeColor="text1"/>
              </w:rPr>
            </w:pPr>
            <w:r w:rsidRPr="00E91AAA">
              <w:rPr>
                <w:b w:val="0"/>
                <w:bCs w:val="0"/>
                <w:color w:val="000000" w:themeColor="text1"/>
              </w:rPr>
              <w:t>Age: &lt; 1 year</w:t>
            </w:r>
          </w:p>
        </w:tc>
        <w:tc>
          <w:tcPr>
            <w:tcW w:w="2591" w:type="dxa"/>
          </w:tcPr>
          <w:p w14:paraId="31C44094" w14:textId="5FC3E4AF" w:rsidR="005B782F" w:rsidRPr="00E91AAA" w:rsidRDefault="007332DD" w:rsidP="00CE55B3">
            <w:pPr>
              <w:pStyle w:val="Body"/>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w:t>
            </w:r>
          </w:p>
        </w:tc>
      </w:tr>
      <w:tr w:rsidR="005B782F" w:rsidRPr="005B782F" w14:paraId="0A098DCC" w14:textId="77777777" w:rsidTr="00E91AAA">
        <w:tc>
          <w:tcPr>
            <w:cnfStyle w:val="001000000000" w:firstRow="0" w:lastRow="0" w:firstColumn="1" w:lastColumn="0" w:oddVBand="0" w:evenVBand="0" w:oddHBand="0" w:evenHBand="0" w:firstRowFirstColumn="0" w:firstRowLastColumn="0" w:lastRowFirstColumn="0" w:lastRowLastColumn="0"/>
            <w:tcW w:w="4106" w:type="dxa"/>
          </w:tcPr>
          <w:p w14:paraId="5C0AC759" w14:textId="77777777" w:rsidR="005B782F" w:rsidRPr="00E91AAA" w:rsidRDefault="005B782F" w:rsidP="00CE55B3">
            <w:pPr>
              <w:pStyle w:val="Body"/>
              <w:keepNext/>
              <w:keepLines/>
              <w:spacing w:line="240" w:lineRule="auto"/>
              <w:rPr>
                <w:b w:val="0"/>
                <w:bCs w:val="0"/>
                <w:color w:val="000000" w:themeColor="text1"/>
              </w:rPr>
            </w:pPr>
            <w:r w:rsidRPr="00E91AAA">
              <w:rPr>
                <w:b w:val="0"/>
                <w:bCs w:val="0"/>
                <w:color w:val="000000" w:themeColor="text1"/>
              </w:rPr>
              <w:t>Age: 1–18 years</w:t>
            </w:r>
          </w:p>
        </w:tc>
        <w:tc>
          <w:tcPr>
            <w:tcW w:w="2591" w:type="dxa"/>
          </w:tcPr>
          <w:p w14:paraId="248E8178" w14:textId="51F9F2ED" w:rsidR="005B782F" w:rsidRPr="00E91AAA" w:rsidRDefault="007332DD" w:rsidP="00CE55B3">
            <w:pPr>
              <w:pStyle w:val="Body"/>
              <w:keepNext/>
              <w:keepLine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7</w:t>
            </w:r>
            <w:r w:rsidR="00EC6222" w:rsidRPr="00E91AAA">
              <w:rPr>
                <w:color w:val="000000" w:themeColor="text1"/>
              </w:rPr>
              <w:t xml:space="preserve"> (21)</w:t>
            </w:r>
          </w:p>
        </w:tc>
      </w:tr>
      <w:tr w:rsidR="005B782F" w:rsidRPr="005B782F" w14:paraId="147C3C9E"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B917D3D" w14:textId="77777777" w:rsidR="005B782F" w:rsidRPr="00E91AAA" w:rsidRDefault="005B782F" w:rsidP="00A2713B">
            <w:pPr>
              <w:pStyle w:val="Body"/>
              <w:keepNext/>
              <w:rPr>
                <w:b w:val="0"/>
                <w:bCs w:val="0"/>
                <w:color w:val="000000" w:themeColor="text1"/>
              </w:rPr>
            </w:pPr>
            <w:r w:rsidRPr="00E91AAA">
              <w:rPr>
                <w:b w:val="0"/>
                <w:bCs w:val="0"/>
                <w:color w:val="000000" w:themeColor="text1"/>
              </w:rPr>
              <w:t>Age: 19–29 years</w:t>
            </w:r>
          </w:p>
        </w:tc>
        <w:tc>
          <w:tcPr>
            <w:tcW w:w="2591" w:type="dxa"/>
          </w:tcPr>
          <w:p w14:paraId="077E547F" w14:textId="407545E5" w:rsidR="005B782F" w:rsidRPr="00E91AAA" w:rsidRDefault="007332DD"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2</w:t>
            </w:r>
            <w:r w:rsidR="00EC6222" w:rsidRPr="00E91AAA">
              <w:rPr>
                <w:color w:val="000000" w:themeColor="text1"/>
              </w:rPr>
              <w:t xml:space="preserve"> (6)</w:t>
            </w:r>
          </w:p>
        </w:tc>
      </w:tr>
      <w:tr w:rsidR="005B782F" w:rsidRPr="005B782F" w14:paraId="14C799A2" w14:textId="77777777" w:rsidTr="00E91AAA">
        <w:tc>
          <w:tcPr>
            <w:cnfStyle w:val="001000000000" w:firstRow="0" w:lastRow="0" w:firstColumn="1" w:lastColumn="0" w:oddVBand="0" w:evenVBand="0" w:oddHBand="0" w:evenHBand="0" w:firstRowFirstColumn="0" w:firstRowLastColumn="0" w:lastRowFirstColumn="0" w:lastRowLastColumn="0"/>
            <w:tcW w:w="4106" w:type="dxa"/>
          </w:tcPr>
          <w:p w14:paraId="7D2E40E0" w14:textId="77777777" w:rsidR="005B782F" w:rsidRPr="00E91AAA" w:rsidRDefault="005B782F" w:rsidP="00A2713B">
            <w:pPr>
              <w:pStyle w:val="Body"/>
              <w:keepNext/>
              <w:rPr>
                <w:b w:val="0"/>
                <w:bCs w:val="0"/>
                <w:color w:val="000000" w:themeColor="text1"/>
              </w:rPr>
            </w:pPr>
            <w:r w:rsidRPr="00E91AAA">
              <w:rPr>
                <w:b w:val="0"/>
                <w:bCs w:val="0"/>
                <w:color w:val="000000" w:themeColor="text1"/>
              </w:rPr>
              <w:t>Age: 30–49 years</w:t>
            </w:r>
          </w:p>
        </w:tc>
        <w:tc>
          <w:tcPr>
            <w:tcW w:w="2591" w:type="dxa"/>
          </w:tcPr>
          <w:p w14:paraId="727BDC84" w14:textId="26842C5A" w:rsidR="005B782F" w:rsidRPr="00E91AAA" w:rsidRDefault="007332DD"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3</w:t>
            </w:r>
            <w:r w:rsidR="00EC6222" w:rsidRPr="00E91AAA">
              <w:rPr>
                <w:color w:val="000000" w:themeColor="text1"/>
              </w:rPr>
              <w:t xml:space="preserve"> (9)</w:t>
            </w:r>
          </w:p>
        </w:tc>
      </w:tr>
      <w:tr w:rsidR="005B782F" w:rsidRPr="005B782F" w14:paraId="7E8A827D"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85DA20F" w14:textId="77777777" w:rsidR="005B782F" w:rsidRPr="00E91AAA" w:rsidRDefault="005B782F" w:rsidP="00A2713B">
            <w:pPr>
              <w:pStyle w:val="Body"/>
              <w:keepNext/>
              <w:rPr>
                <w:b w:val="0"/>
                <w:bCs w:val="0"/>
                <w:color w:val="000000" w:themeColor="text1"/>
              </w:rPr>
            </w:pPr>
            <w:r w:rsidRPr="00E91AAA">
              <w:rPr>
                <w:b w:val="0"/>
                <w:bCs w:val="0"/>
                <w:color w:val="000000" w:themeColor="text1"/>
              </w:rPr>
              <w:t>Age: 50–69 years</w:t>
            </w:r>
          </w:p>
        </w:tc>
        <w:tc>
          <w:tcPr>
            <w:tcW w:w="2591" w:type="dxa"/>
          </w:tcPr>
          <w:p w14:paraId="4B1EFADB" w14:textId="715C117B" w:rsidR="005B782F" w:rsidRPr="00E91AAA" w:rsidRDefault="007332DD"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7</w:t>
            </w:r>
            <w:r w:rsidR="00EC6222" w:rsidRPr="00E91AAA">
              <w:rPr>
                <w:color w:val="000000" w:themeColor="text1"/>
              </w:rPr>
              <w:t xml:space="preserve"> (21)</w:t>
            </w:r>
          </w:p>
        </w:tc>
      </w:tr>
      <w:tr w:rsidR="005B782F" w:rsidRPr="005B782F" w14:paraId="04366C20" w14:textId="77777777" w:rsidTr="00E91AAA">
        <w:tc>
          <w:tcPr>
            <w:cnfStyle w:val="001000000000" w:firstRow="0" w:lastRow="0" w:firstColumn="1" w:lastColumn="0" w:oddVBand="0" w:evenVBand="0" w:oddHBand="0" w:evenHBand="0" w:firstRowFirstColumn="0" w:firstRowLastColumn="0" w:lastRowFirstColumn="0" w:lastRowLastColumn="0"/>
            <w:tcW w:w="4106" w:type="dxa"/>
          </w:tcPr>
          <w:p w14:paraId="22BCFAEF" w14:textId="77777777" w:rsidR="005B782F" w:rsidRPr="00E91AAA" w:rsidRDefault="005B782F" w:rsidP="00A2713B">
            <w:pPr>
              <w:pStyle w:val="Body"/>
              <w:keepNext/>
              <w:rPr>
                <w:b w:val="0"/>
                <w:bCs w:val="0"/>
                <w:color w:val="000000" w:themeColor="text1"/>
              </w:rPr>
            </w:pPr>
            <w:r w:rsidRPr="00E91AAA">
              <w:rPr>
                <w:b w:val="0"/>
                <w:bCs w:val="0"/>
                <w:color w:val="000000" w:themeColor="text1"/>
              </w:rPr>
              <w:t>Age: 70–79 years</w:t>
            </w:r>
          </w:p>
        </w:tc>
        <w:tc>
          <w:tcPr>
            <w:tcW w:w="2591" w:type="dxa"/>
          </w:tcPr>
          <w:p w14:paraId="46F370AD" w14:textId="0BB54E0C" w:rsidR="005B782F" w:rsidRPr="00E91AAA" w:rsidRDefault="007332DD"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9</w:t>
            </w:r>
            <w:r w:rsidR="00EC6222" w:rsidRPr="00E91AAA">
              <w:rPr>
                <w:color w:val="000000" w:themeColor="text1"/>
              </w:rPr>
              <w:t xml:space="preserve"> (26)</w:t>
            </w:r>
          </w:p>
        </w:tc>
      </w:tr>
      <w:tr w:rsidR="005B782F" w:rsidRPr="005B782F" w14:paraId="39FEE073"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6DEC1D8" w14:textId="77777777" w:rsidR="005B782F" w:rsidRPr="00E91AAA" w:rsidRDefault="005B782F" w:rsidP="00A2713B">
            <w:pPr>
              <w:pStyle w:val="Body"/>
              <w:keepNext/>
              <w:rPr>
                <w:b w:val="0"/>
                <w:bCs w:val="0"/>
                <w:color w:val="000000" w:themeColor="text1"/>
              </w:rPr>
            </w:pPr>
            <w:r w:rsidRPr="00E91AAA">
              <w:rPr>
                <w:b w:val="0"/>
                <w:bCs w:val="0"/>
                <w:color w:val="000000" w:themeColor="text1"/>
              </w:rPr>
              <w:t>Age: 80+ years</w:t>
            </w:r>
          </w:p>
        </w:tc>
        <w:tc>
          <w:tcPr>
            <w:tcW w:w="2591" w:type="dxa"/>
          </w:tcPr>
          <w:p w14:paraId="1ABF5A7B" w14:textId="739A814A" w:rsidR="005B782F" w:rsidRPr="00E91AAA" w:rsidRDefault="007332DD"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6</w:t>
            </w:r>
            <w:r w:rsidR="00EC6222" w:rsidRPr="00E91AAA">
              <w:rPr>
                <w:color w:val="000000" w:themeColor="text1"/>
              </w:rPr>
              <w:t xml:space="preserve"> (18)</w:t>
            </w:r>
          </w:p>
        </w:tc>
      </w:tr>
      <w:tr w:rsidR="005B782F" w:rsidRPr="005B782F" w14:paraId="7495C9A7" w14:textId="77777777" w:rsidTr="00E91AAA">
        <w:tc>
          <w:tcPr>
            <w:cnfStyle w:val="001000000000" w:firstRow="0" w:lastRow="0" w:firstColumn="1" w:lastColumn="0" w:oddVBand="0" w:evenVBand="0" w:oddHBand="0" w:evenHBand="0" w:firstRowFirstColumn="0" w:firstRowLastColumn="0" w:lastRowFirstColumn="0" w:lastRowLastColumn="0"/>
            <w:tcW w:w="4106" w:type="dxa"/>
          </w:tcPr>
          <w:p w14:paraId="01F5655C" w14:textId="77777777" w:rsidR="005B782F" w:rsidRPr="00E91AAA" w:rsidRDefault="005B782F" w:rsidP="00A2713B">
            <w:pPr>
              <w:pStyle w:val="Body"/>
              <w:keepNext/>
              <w:rPr>
                <w:b w:val="0"/>
                <w:bCs w:val="0"/>
                <w:color w:val="000000" w:themeColor="text1"/>
              </w:rPr>
            </w:pPr>
            <w:r w:rsidRPr="00E91AAA">
              <w:rPr>
                <w:b w:val="0"/>
                <w:bCs w:val="0"/>
                <w:color w:val="000000" w:themeColor="text1"/>
              </w:rPr>
              <w:t>Sex: male</w:t>
            </w:r>
          </w:p>
        </w:tc>
        <w:tc>
          <w:tcPr>
            <w:tcW w:w="2591" w:type="dxa"/>
          </w:tcPr>
          <w:p w14:paraId="3E3E3C22" w14:textId="7D316A62" w:rsidR="005B782F" w:rsidRPr="00E91AAA" w:rsidRDefault="007332DD"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16</w:t>
            </w:r>
            <w:r w:rsidR="00EC6222" w:rsidRPr="00E91AAA">
              <w:rPr>
                <w:color w:val="000000" w:themeColor="text1"/>
              </w:rPr>
              <w:t xml:space="preserve"> (47)</w:t>
            </w:r>
          </w:p>
        </w:tc>
      </w:tr>
      <w:tr w:rsidR="005B782F" w:rsidRPr="005B782F" w14:paraId="5F25E5C1"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16612B1" w14:textId="77777777" w:rsidR="005B782F" w:rsidRPr="00E91AAA" w:rsidRDefault="005B782F" w:rsidP="00A2713B">
            <w:pPr>
              <w:pStyle w:val="Body"/>
              <w:keepNext/>
              <w:rPr>
                <w:b w:val="0"/>
                <w:bCs w:val="0"/>
                <w:color w:val="000000" w:themeColor="text1"/>
              </w:rPr>
            </w:pPr>
            <w:r w:rsidRPr="00E91AAA">
              <w:rPr>
                <w:b w:val="0"/>
                <w:bCs w:val="0"/>
                <w:color w:val="000000" w:themeColor="text1"/>
              </w:rPr>
              <w:t>Sex: female</w:t>
            </w:r>
          </w:p>
        </w:tc>
        <w:tc>
          <w:tcPr>
            <w:tcW w:w="2591" w:type="dxa"/>
          </w:tcPr>
          <w:p w14:paraId="33E7D011" w14:textId="1C2CA38A" w:rsidR="005B782F" w:rsidRPr="00E91AAA" w:rsidRDefault="007332DD"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18</w:t>
            </w:r>
            <w:r w:rsidR="00EC6222" w:rsidRPr="00E91AAA">
              <w:rPr>
                <w:color w:val="000000" w:themeColor="text1"/>
              </w:rPr>
              <w:t xml:space="preserve"> (53)</w:t>
            </w:r>
          </w:p>
        </w:tc>
      </w:tr>
      <w:tr w:rsidR="005B782F" w:rsidRPr="005B782F" w14:paraId="03BA2DAF" w14:textId="77777777" w:rsidTr="00E91AAA">
        <w:tc>
          <w:tcPr>
            <w:cnfStyle w:val="001000000000" w:firstRow="0" w:lastRow="0" w:firstColumn="1" w:lastColumn="0" w:oddVBand="0" w:evenVBand="0" w:oddHBand="0" w:evenHBand="0" w:firstRowFirstColumn="0" w:firstRowLastColumn="0" w:lastRowFirstColumn="0" w:lastRowLastColumn="0"/>
            <w:tcW w:w="4106" w:type="dxa"/>
          </w:tcPr>
          <w:p w14:paraId="4BEC0530" w14:textId="05D761F5" w:rsidR="005B782F" w:rsidRPr="00E91AAA" w:rsidRDefault="005B782F" w:rsidP="00A2713B">
            <w:pPr>
              <w:pStyle w:val="Body"/>
              <w:keepNext/>
              <w:rPr>
                <w:b w:val="0"/>
                <w:bCs w:val="0"/>
                <w:color w:val="000000" w:themeColor="text1"/>
              </w:rPr>
            </w:pPr>
            <w:r w:rsidRPr="00E91AAA">
              <w:rPr>
                <w:b w:val="0"/>
                <w:bCs w:val="0"/>
                <w:color w:val="000000" w:themeColor="text1"/>
              </w:rPr>
              <w:t xml:space="preserve">Implicated blood component: </w:t>
            </w:r>
            <w:r w:rsidR="0056661F" w:rsidRPr="00E91AAA">
              <w:rPr>
                <w:b w:val="0"/>
                <w:bCs w:val="0"/>
                <w:color w:val="000000" w:themeColor="text1"/>
              </w:rPr>
              <w:t>RBC</w:t>
            </w:r>
          </w:p>
        </w:tc>
        <w:tc>
          <w:tcPr>
            <w:tcW w:w="2591" w:type="dxa"/>
          </w:tcPr>
          <w:p w14:paraId="388FE7BE" w14:textId="529F92E6" w:rsidR="005B782F" w:rsidRPr="00E91AAA" w:rsidRDefault="006C43E4"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28</w:t>
            </w:r>
            <w:r w:rsidR="00EC6222" w:rsidRPr="00E91AAA">
              <w:rPr>
                <w:color w:val="000000" w:themeColor="text1"/>
              </w:rPr>
              <w:t xml:space="preserve"> (82)</w:t>
            </w:r>
          </w:p>
        </w:tc>
      </w:tr>
      <w:tr w:rsidR="005B782F" w:rsidRPr="005B782F" w14:paraId="79E86D1E"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87734E5" w14:textId="77777777" w:rsidR="005B782F" w:rsidRPr="00E91AAA" w:rsidRDefault="005B782F" w:rsidP="00A2713B">
            <w:pPr>
              <w:pStyle w:val="Body"/>
              <w:keepNext/>
              <w:rPr>
                <w:b w:val="0"/>
                <w:bCs w:val="0"/>
                <w:color w:val="000000" w:themeColor="text1"/>
              </w:rPr>
            </w:pPr>
            <w:r w:rsidRPr="00E91AAA">
              <w:rPr>
                <w:b w:val="0"/>
                <w:bCs w:val="0"/>
                <w:color w:val="000000" w:themeColor="text1"/>
              </w:rPr>
              <w:t>Implicated blood component: platelets</w:t>
            </w:r>
          </w:p>
        </w:tc>
        <w:tc>
          <w:tcPr>
            <w:tcW w:w="2591" w:type="dxa"/>
          </w:tcPr>
          <w:p w14:paraId="3034F003" w14:textId="3D640A09" w:rsidR="005B782F" w:rsidRPr="00E91AAA" w:rsidRDefault="006C43E4"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6</w:t>
            </w:r>
            <w:r w:rsidR="00EC6222" w:rsidRPr="00E91AAA">
              <w:rPr>
                <w:color w:val="000000" w:themeColor="text1"/>
              </w:rPr>
              <w:t xml:space="preserve"> (18)</w:t>
            </w:r>
          </w:p>
        </w:tc>
      </w:tr>
      <w:tr w:rsidR="007332DD" w:rsidRPr="005B782F" w14:paraId="78323ED0" w14:textId="77777777" w:rsidTr="00E91AAA">
        <w:tc>
          <w:tcPr>
            <w:cnfStyle w:val="001000000000" w:firstRow="0" w:lastRow="0" w:firstColumn="1" w:lastColumn="0" w:oddVBand="0" w:evenVBand="0" w:oddHBand="0" w:evenHBand="0" w:firstRowFirstColumn="0" w:firstRowLastColumn="0" w:lastRowFirstColumn="0" w:lastRowLastColumn="0"/>
            <w:tcW w:w="4106" w:type="dxa"/>
          </w:tcPr>
          <w:p w14:paraId="61CDCFC6" w14:textId="044F1763" w:rsidR="007332DD" w:rsidRPr="00E91AAA" w:rsidRDefault="007332DD" w:rsidP="00A2713B">
            <w:pPr>
              <w:pStyle w:val="Body"/>
              <w:keepNext/>
              <w:rPr>
                <w:b w:val="0"/>
                <w:bCs w:val="0"/>
                <w:color w:val="000000" w:themeColor="text1"/>
              </w:rPr>
            </w:pPr>
            <w:r w:rsidRPr="00E91AAA">
              <w:rPr>
                <w:b w:val="0"/>
                <w:bCs w:val="0"/>
                <w:color w:val="000000" w:themeColor="text1"/>
              </w:rPr>
              <w:t>Implicated blood component: FFP</w:t>
            </w:r>
          </w:p>
        </w:tc>
        <w:tc>
          <w:tcPr>
            <w:tcW w:w="2591" w:type="dxa"/>
          </w:tcPr>
          <w:p w14:paraId="2FA8C249" w14:textId="19452FDD" w:rsidR="007332DD" w:rsidRPr="00E91AAA" w:rsidRDefault="007332DD" w:rsidP="00E940DA">
            <w:pPr>
              <w:pStyle w:val="Body"/>
              <w:keepNex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4</w:t>
            </w:r>
            <w:r w:rsidR="00EC6222" w:rsidRPr="00E91AAA">
              <w:rPr>
                <w:color w:val="000000" w:themeColor="text1"/>
              </w:rPr>
              <w:t xml:space="preserve"> (12)</w:t>
            </w:r>
          </w:p>
        </w:tc>
      </w:tr>
      <w:tr w:rsidR="005B782F" w:rsidRPr="005B782F" w14:paraId="41986156"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4AF036B" w14:textId="78B06BC1" w:rsidR="005B782F" w:rsidRPr="00E91AAA" w:rsidRDefault="005B782F" w:rsidP="00A2713B">
            <w:pPr>
              <w:pStyle w:val="Body"/>
              <w:keepNext/>
              <w:rPr>
                <w:b w:val="0"/>
                <w:bCs w:val="0"/>
                <w:color w:val="000000" w:themeColor="text1"/>
              </w:rPr>
            </w:pPr>
            <w:r w:rsidRPr="00E91AAA">
              <w:rPr>
                <w:b w:val="0"/>
                <w:bCs w:val="0"/>
                <w:color w:val="000000" w:themeColor="text1"/>
              </w:rPr>
              <w:t xml:space="preserve">Implicated blood component: </w:t>
            </w:r>
            <w:r w:rsidR="006C43E4" w:rsidRPr="00E91AAA">
              <w:rPr>
                <w:b w:val="0"/>
                <w:bCs w:val="0"/>
                <w:color w:val="000000" w:themeColor="text1"/>
              </w:rPr>
              <w:t>other</w:t>
            </w:r>
          </w:p>
        </w:tc>
        <w:tc>
          <w:tcPr>
            <w:tcW w:w="2591" w:type="dxa"/>
          </w:tcPr>
          <w:p w14:paraId="292312E3" w14:textId="3C296AD7" w:rsidR="005B782F" w:rsidRPr="00E91AAA" w:rsidRDefault="006C43E4" w:rsidP="00E940DA">
            <w:pPr>
              <w:pStyle w:val="Body"/>
              <w:keepNext/>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1</w:t>
            </w:r>
            <w:r w:rsidR="00EC6222" w:rsidRPr="00E91AAA">
              <w:rPr>
                <w:color w:val="000000" w:themeColor="text1"/>
              </w:rPr>
              <w:t xml:space="preserve"> (3)</w:t>
            </w:r>
          </w:p>
        </w:tc>
      </w:tr>
    </w:tbl>
    <w:p w14:paraId="0BBAA758" w14:textId="388136B3" w:rsidR="009431A3" w:rsidRDefault="009431A3" w:rsidP="00CE55B3">
      <w:pPr>
        <w:pStyle w:val="Tablecaption"/>
      </w:pPr>
      <w:bookmarkStart w:id="67" w:name="_Hlk108005409"/>
      <w:r w:rsidRPr="00DA4A93">
        <w:t xml:space="preserve">Table </w:t>
      </w:r>
      <w:r w:rsidR="00A9310D" w:rsidRPr="00390291">
        <w:t>21</w:t>
      </w:r>
      <w:r w:rsidR="00A9310D">
        <w:t>:</w:t>
      </w:r>
      <w:r w:rsidRPr="00DA4A93">
        <w:t xml:space="preserve"> Severity rating and </w:t>
      </w:r>
      <w:proofErr w:type="spellStart"/>
      <w:r w:rsidRPr="00DA4A93">
        <w:t>imputability</w:t>
      </w:r>
      <w:bookmarkEnd w:id="67"/>
      <w:proofErr w:type="spellEnd"/>
      <w:r>
        <w:t xml:space="preserve"> </w:t>
      </w:r>
      <w:r w:rsidR="00E124A2" w:rsidRPr="00E124A2">
        <w:t>– TACO</w:t>
      </w:r>
    </w:p>
    <w:tbl>
      <w:tblPr>
        <w:tblStyle w:val="GridTable6Colorful-Accent2"/>
        <w:tblW w:w="0" w:type="auto"/>
        <w:tblLook w:val="04A0" w:firstRow="1" w:lastRow="0" w:firstColumn="1" w:lastColumn="0" w:noHBand="0" w:noVBand="1"/>
      </w:tblPr>
      <w:tblGrid>
        <w:gridCol w:w="1546"/>
        <w:gridCol w:w="1669"/>
        <w:gridCol w:w="1669"/>
        <w:gridCol w:w="1669"/>
        <w:gridCol w:w="1446"/>
      </w:tblGrid>
      <w:tr w:rsidR="005B782F" w:rsidRPr="005B782F" w14:paraId="462F58B7"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DA5FD0F" w14:textId="77777777" w:rsidR="005B782F" w:rsidRPr="00CE55B3" w:rsidRDefault="005B782F" w:rsidP="00390291">
            <w:pPr>
              <w:pStyle w:val="Tablecolhead"/>
              <w:rPr>
                <w:b/>
                <w:bCs w:val="0"/>
              </w:rPr>
            </w:pPr>
            <w:r w:rsidRPr="00CE55B3">
              <w:t>Severity rating</w:t>
            </w:r>
          </w:p>
        </w:tc>
        <w:tc>
          <w:tcPr>
            <w:tcW w:w="0" w:type="dxa"/>
          </w:tcPr>
          <w:p w14:paraId="53E9FFBD" w14:textId="77777777" w:rsidR="005B782F" w:rsidRPr="00CE55B3" w:rsidRDefault="005B782F"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certainly</w:t>
            </w:r>
          </w:p>
        </w:tc>
        <w:tc>
          <w:tcPr>
            <w:tcW w:w="0" w:type="dxa"/>
          </w:tcPr>
          <w:p w14:paraId="5304E6F3" w14:textId="77777777" w:rsidR="005B782F" w:rsidRPr="00CE55B3" w:rsidRDefault="005B782F"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probably</w:t>
            </w:r>
          </w:p>
        </w:tc>
        <w:tc>
          <w:tcPr>
            <w:tcW w:w="0" w:type="dxa"/>
          </w:tcPr>
          <w:p w14:paraId="7E1CEAB0" w14:textId="77777777" w:rsidR="005B782F" w:rsidRPr="00CE55B3" w:rsidRDefault="005B782F"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proofErr w:type="spellStart"/>
            <w:r w:rsidRPr="00CE55B3">
              <w:t>Imputability</w:t>
            </w:r>
            <w:proofErr w:type="spellEnd"/>
            <w:r w:rsidRPr="00CE55B3">
              <w:t>:</w:t>
            </w:r>
            <w:r w:rsidRPr="00CE55B3">
              <w:br/>
              <w:t>possibly</w:t>
            </w:r>
          </w:p>
        </w:tc>
        <w:tc>
          <w:tcPr>
            <w:tcW w:w="0" w:type="dxa"/>
          </w:tcPr>
          <w:p w14:paraId="36647027" w14:textId="77777777" w:rsidR="005B782F" w:rsidRPr="00CE55B3" w:rsidRDefault="005B782F"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Total</w:t>
            </w:r>
          </w:p>
        </w:tc>
      </w:tr>
      <w:tr w:rsidR="005B782F" w:rsidRPr="005B782F" w14:paraId="6B1235AC"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14:paraId="216B4870" w14:textId="77777777" w:rsidR="005B782F" w:rsidRPr="00E91AAA" w:rsidRDefault="005B782F" w:rsidP="005B782F">
            <w:pPr>
              <w:pStyle w:val="Body"/>
              <w:rPr>
                <w:b w:val="0"/>
                <w:bCs w:val="0"/>
                <w:color w:val="000000" w:themeColor="text1"/>
              </w:rPr>
            </w:pPr>
            <w:r w:rsidRPr="00E91AAA">
              <w:rPr>
                <w:b w:val="0"/>
                <w:bCs w:val="0"/>
                <w:color w:val="000000" w:themeColor="text1"/>
              </w:rPr>
              <w:t>SR 1</w:t>
            </w:r>
          </w:p>
        </w:tc>
        <w:tc>
          <w:tcPr>
            <w:tcW w:w="1669" w:type="dxa"/>
          </w:tcPr>
          <w:p w14:paraId="2BC6B001" w14:textId="77F8C536"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w:t>
            </w:r>
          </w:p>
        </w:tc>
        <w:tc>
          <w:tcPr>
            <w:tcW w:w="1669" w:type="dxa"/>
          </w:tcPr>
          <w:p w14:paraId="005ADC80" w14:textId="4A0E294A"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1</w:t>
            </w:r>
          </w:p>
        </w:tc>
        <w:tc>
          <w:tcPr>
            <w:tcW w:w="1669" w:type="dxa"/>
          </w:tcPr>
          <w:p w14:paraId="38C9CE93" w14:textId="468B618C"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w:t>
            </w:r>
          </w:p>
        </w:tc>
        <w:tc>
          <w:tcPr>
            <w:tcW w:w="1446" w:type="dxa"/>
          </w:tcPr>
          <w:p w14:paraId="3106C076" w14:textId="5E09B9D4"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E91AAA">
              <w:rPr>
                <w:b/>
                <w:bCs/>
                <w:color w:val="000000" w:themeColor="text1"/>
              </w:rPr>
              <w:t>1</w:t>
            </w:r>
          </w:p>
        </w:tc>
      </w:tr>
      <w:tr w:rsidR="005B782F" w:rsidRPr="005B782F" w14:paraId="5F218AB0" w14:textId="77777777" w:rsidTr="00E91AAA">
        <w:tc>
          <w:tcPr>
            <w:cnfStyle w:val="001000000000" w:firstRow="0" w:lastRow="0" w:firstColumn="1" w:lastColumn="0" w:oddVBand="0" w:evenVBand="0" w:oddHBand="0" w:evenHBand="0" w:firstRowFirstColumn="0" w:firstRowLastColumn="0" w:lastRowFirstColumn="0" w:lastRowLastColumn="0"/>
            <w:tcW w:w="1546" w:type="dxa"/>
          </w:tcPr>
          <w:p w14:paraId="34A1FA47" w14:textId="77777777" w:rsidR="005B782F" w:rsidRPr="00E91AAA" w:rsidRDefault="005B782F" w:rsidP="005B782F">
            <w:pPr>
              <w:pStyle w:val="Body"/>
              <w:rPr>
                <w:b w:val="0"/>
                <w:bCs w:val="0"/>
                <w:color w:val="000000" w:themeColor="text1"/>
              </w:rPr>
            </w:pPr>
            <w:r w:rsidRPr="00E91AAA">
              <w:rPr>
                <w:b w:val="0"/>
                <w:bCs w:val="0"/>
                <w:color w:val="000000" w:themeColor="text1"/>
              </w:rPr>
              <w:t>SR 2</w:t>
            </w:r>
          </w:p>
        </w:tc>
        <w:tc>
          <w:tcPr>
            <w:tcW w:w="1669" w:type="dxa"/>
          </w:tcPr>
          <w:p w14:paraId="450B33C2" w14:textId="7AF623DC" w:rsidR="005B782F" w:rsidRPr="00E91AAA" w:rsidRDefault="006C43E4"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2</w:t>
            </w:r>
          </w:p>
        </w:tc>
        <w:tc>
          <w:tcPr>
            <w:tcW w:w="1669" w:type="dxa"/>
          </w:tcPr>
          <w:p w14:paraId="59CD7BA2" w14:textId="5796AEFA" w:rsidR="005B782F" w:rsidRPr="00E91AAA" w:rsidRDefault="006C43E4"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5</w:t>
            </w:r>
          </w:p>
        </w:tc>
        <w:tc>
          <w:tcPr>
            <w:tcW w:w="1669" w:type="dxa"/>
          </w:tcPr>
          <w:p w14:paraId="3B0CCDBE" w14:textId="14436030" w:rsidR="005B782F" w:rsidRPr="00E91AAA" w:rsidRDefault="006C43E4"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4</w:t>
            </w:r>
          </w:p>
        </w:tc>
        <w:tc>
          <w:tcPr>
            <w:tcW w:w="1446" w:type="dxa"/>
          </w:tcPr>
          <w:p w14:paraId="753DCE55" w14:textId="26076F96" w:rsidR="005B782F" w:rsidRPr="00E91AAA" w:rsidRDefault="006C43E4" w:rsidP="00E940DA">
            <w:pPr>
              <w:pStyle w:val="Body"/>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E91AAA">
              <w:rPr>
                <w:b/>
                <w:bCs/>
                <w:color w:val="000000" w:themeColor="text1"/>
              </w:rPr>
              <w:t>11</w:t>
            </w:r>
          </w:p>
        </w:tc>
      </w:tr>
      <w:tr w:rsidR="005B782F" w:rsidRPr="005B782F" w14:paraId="52D6A6E7"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14:paraId="24D26CDD" w14:textId="77777777" w:rsidR="005B782F" w:rsidRPr="00E91AAA" w:rsidRDefault="005B782F" w:rsidP="005B782F">
            <w:pPr>
              <w:pStyle w:val="Body"/>
              <w:rPr>
                <w:b w:val="0"/>
                <w:bCs w:val="0"/>
                <w:color w:val="000000" w:themeColor="text1"/>
              </w:rPr>
            </w:pPr>
            <w:r w:rsidRPr="00E91AAA">
              <w:rPr>
                <w:b w:val="0"/>
                <w:bCs w:val="0"/>
                <w:color w:val="000000" w:themeColor="text1"/>
              </w:rPr>
              <w:t>SR 3</w:t>
            </w:r>
          </w:p>
        </w:tc>
        <w:tc>
          <w:tcPr>
            <w:tcW w:w="1669" w:type="dxa"/>
          </w:tcPr>
          <w:p w14:paraId="37A7157B" w14:textId="6C9ED4B2"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2</w:t>
            </w:r>
          </w:p>
        </w:tc>
        <w:tc>
          <w:tcPr>
            <w:tcW w:w="1669" w:type="dxa"/>
          </w:tcPr>
          <w:p w14:paraId="1FEFD632" w14:textId="7B5D25A5"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13</w:t>
            </w:r>
          </w:p>
        </w:tc>
        <w:tc>
          <w:tcPr>
            <w:tcW w:w="1669" w:type="dxa"/>
          </w:tcPr>
          <w:p w14:paraId="4EF8ECB8" w14:textId="0754A867"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E91AAA">
              <w:rPr>
                <w:color w:val="000000" w:themeColor="text1"/>
              </w:rPr>
              <w:t>6</w:t>
            </w:r>
          </w:p>
        </w:tc>
        <w:tc>
          <w:tcPr>
            <w:tcW w:w="1446" w:type="dxa"/>
          </w:tcPr>
          <w:p w14:paraId="3E9E1D4B" w14:textId="7D8A299A"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E91AAA">
              <w:rPr>
                <w:b/>
                <w:bCs/>
                <w:color w:val="000000" w:themeColor="text1"/>
              </w:rPr>
              <w:t>21</w:t>
            </w:r>
          </w:p>
        </w:tc>
      </w:tr>
      <w:tr w:rsidR="005B782F" w:rsidRPr="005B782F" w14:paraId="18A8D874" w14:textId="77777777" w:rsidTr="00E91AAA">
        <w:tc>
          <w:tcPr>
            <w:cnfStyle w:val="001000000000" w:firstRow="0" w:lastRow="0" w:firstColumn="1" w:lastColumn="0" w:oddVBand="0" w:evenVBand="0" w:oddHBand="0" w:evenHBand="0" w:firstRowFirstColumn="0" w:firstRowLastColumn="0" w:lastRowFirstColumn="0" w:lastRowLastColumn="0"/>
            <w:tcW w:w="1546" w:type="dxa"/>
          </w:tcPr>
          <w:p w14:paraId="0FCDD1E6" w14:textId="77777777" w:rsidR="005B782F" w:rsidRPr="00E91AAA" w:rsidRDefault="005B782F" w:rsidP="005B782F">
            <w:pPr>
              <w:pStyle w:val="Body"/>
              <w:rPr>
                <w:b w:val="0"/>
                <w:bCs w:val="0"/>
                <w:color w:val="000000" w:themeColor="text1"/>
              </w:rPr>
            </w:pPr>
            <w:r w:rsidRPr="00E91AAA">
              <w:rPr>
                <w:b w:val="0"/>
                <w:bCs w:val="0"/>
                <w:color w:val="000000" w:themeColor="text1"/>
              </w:rPr>
              <w:t>SR 4</w:t>
            </w:r>
          </w:p>
        </w:tc>
        <w:tc>
          <w:tcPr>
            <w:tcW w:w="1669" w:type="dxa"/>
          </w:tcPr>
          <w:p w14:paraId="65FA2032" w14:textId="5698E47C" w:rsidR="005B782F" w:rsidRPr="00E91AAA" w:rsidRDefault="006C43E4"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w:t>
            </w:r>
          </w:p>
        </w:tc>
        <w:tc>
          <w:tcPr>
            <w:tcW w:w="1669" w:type="dxa"/>
          </w:tcPr>
          <w:p w14:paraId="47B20E7B" w14:textId="6A149E7F" w:rsidR="005B782F" w:rsidRPr="00E91AAA" w:rsidRDefault="006C43E4"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1</w:t>
            </w:r>
          </w:p>
        </w:tc>
        <w:tc>
          <w:tcPr>
            <w:tcW w:w="1669" w:type="dxa"/>
          </w:tcPr>
          <w:p w14:paraId="14E2693E" w14:textId="496DA2A1" w:rsidR="005B782F" w:rsidRPr="00E91AAA" w:rsidRDefault="006C43E4" w:rsidP="00E940DA">
            <w:pPr>
              <w:pStyle w:val="Body"/>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E91AAA">
              <w:rPr>
                <w:color w:val="000000" w:themeColor="text1"/>
              </w:rPr>
              <w:t>-</w:t>
            </w:r>
          </w:p>
        </w:tc>
        <w:tc>
          <w:tcPr>
            <w:tcW w:w="1446" w:type="dxa"/>
          </w:tcPr>
          <w:p w14:paraId="4CEC19DC" w14:textId="7CC8D097" w:rsidR="005B782F" w:rsidRPr="00E91AAA" w:rsidRDefault="006C43E4" w:rsidP="00E940DA">
            <w:pPr>
              <w:pStyle w:val="Body"/>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r w:rsidRPr="00E91AAA">
              <w:rPr>
                <w:b/>
                <w:bCs/>
                <w:color w:val="000000" w:themeColor="text1"/>
              </w:rPr>
              <w:t>1</w:t>
            </w:r>
          </w:p>
        </w:tc>
      </w:tr>
      <w:tr w:rsidR="005B782F" w:rsidRPr="005B782F" w14:paraId="42A3A3CA"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Pr>
          <w:p w14:paraId="20849137" w14:textId="77777777" w:rsidR="005B782F" w:rsidRPr="00E91AAA" w:rsidRDefault="005B782F" w:rsidP="005B782F">
            <w:pPr>
              <w:pStyle w:val="Body"/>
              <w:rPr>
                <w:b w:val="0"/>
                <w:bCs w:val="0"/>
                <w:color w:val="000000" w:themeColor="text1"/>
              </w:rPr>
            </w:pPr>
            <w:r w:rsidRPr="00E91AAA">
              <w:rPr>
                <w:color w:val="000000" w:themeColor="text1"/>
              </w:rPr>
              <w:t>Total</w:t>
            </w:r>
          </w:p>
        </w:tc>
        <w:tc>
          <w:tcPr>
            <w:tcW w:w="1669" w:type="dxa"/>
          </w:tcPr>
          <w:p w14:paraId="18C3B1DE" w14:textId="1E2E5145"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E91AAA">
              <w:rPr>
                <w:b/>
                <w:bCs/>
                <w:color w:val="000000" w:themeColor="text1"/>
              </w:rPr>
              <w:t>4</w:t>
            </w:r>
          </w:p>
        </w:tc>
        <w:tc>
          <w:tcPr>
            <w:tcW w:w="1669" w:type="dxa"/>
          </w:tcPr>
          <w:p w14:paraId="268B3EAF" w14:textId="5D9BE388"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E91AAA">
              <w:rPr>
                <w:b/>
                <w:bCs/>
                <w:color w:val="000000" w:themeColor="text1"/>
              </w:rPr>
              <w:t>20</w:t>
            </w:r>
          </w:p>
        </w:tc>
        <w:tc>
          <w:tcPr>
            <w:tcW w:w="1669" w:type="dxa"/>
          </w:tcPr>
          <w:p w14:paraId="46F0796B" w14:textId="42EEEAA2"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E91AAA">
              <w:rPr>
                <w:b/>
                <w:bCs/>
                <w:color w:val="000000" w:themeColor="text1"/>
              </w:rPr>
              <w:t>10</w:t>
            </w:r>
          </w:p>
        </w:tc>
        <w:tc>
          <w:tcPr>
            <w:tcW w:w="1446" w:type="dxa"/>
          </w:tcPr>
          <w:p w14:paraId="126EE068" w14:textId="572D9EE6" w:rsidR="005B782F" w:rsidRPr="00E91AAA" w:rsidRDefault="006C43E4" w:rsidP="00E940DA">
            <w:pPr>
              <w:pStyle w:val="Body"/>
              <w:jc w:val="center"/>
              <w:cnfStyle w:val="000000100000" w:firstRow="0" w:lastRow="0" w:firstColumn="0" w:lastColumn="0" w:oddVBand="0" w:evenVBand="0" w:oddHBand="1" w:evenHBand="0" w:firstRowFirstColumn="0" w:firstRowLastColumn="0" w:lastRowFirstColumn="0" w:lastRowLastColumn="0"/>
              <w:rPr>
                <w:b/>
                <w:bCs/>
                <w:color w:val="000000" w:themeColor="text1"/>
              </w:rPr>
            </w:pPr>
            <w:r w:rsidRPr="00E91AAA">
              <w:rPr>
                <w:b/>
                <w:bCs/>
                <w:color w:val="000000" w:themeColor="text1"/>
              </w:rPr>
              <w:t>34</w:t>
            </w:r>
          </w:p>
        </w:tc>
      </w:tr>
    </w:tbl>
    <w:p w14:paraId="1F60AE29" w14:textId="77777777" w:rsidR="00D215EA" w:rsidRDefault="00D215EA" w:rsidP="00062C83">
      <w:pPr>
        <w:pStyle w:val="Body"/>
      </w:pPr>
    </w:p>
    <w:tbl>
      <w:tblPr>
        <w:tblStyle w:val="TableGrid"/>
        <w:tblW w:w="0" w:type="auto"/>
        <w:tblLook w:val="04A0" w:firstRow="1" w:lastRow="0" w:firstColumn="1" w:lastColumn="0" w:noHBand="0" w:noVBand="1"/>
      </w:tblPr>
      <w:tblGrid>
        <w:gridCol w:w="9288"/>
      </w:tblGrid>
      <w:tr w:rsidR="00390291" w14:paraId="2D45F1F9" w14:textId="77777777" w:rsidTr="00390291">
        <w:tc>
          <w:tcPr>
            <w:tcW w:w="9288" w:type="dxa"/>
          </w:tcPr>
          <w:p w14:paraId="265099EA" w14:textId="77777777" w:rsidR="00390291" w:rsidRPr="00DC1CD5" w:rsidRDefault="00390291" w:rsidP="00CE55B3">
            <w:pPr>
              <w:pStyle w:val="Boxheading"/>
              <w:keepNext w:val="0"/>
              <w:keepLines w:val="0"/>
            </w:pPr>
            <w:bookmarkStart w:id="68" w:name="_Toc174439919"/>
            <w:r w:rsidRPr="00D215EA">
              <w:t>Case study</w:t>
            </w:r>
            <w:r>
              <w:t xml:space="preserve"> 5: Probable TACO with other </w:t>
            </w:r>
            <w:r w:rsidRPr="00390291">
              <w:t>potential</w:t>
            </w:r>
            <w:r>
              <w:t xml:space="preserve"> causes of respiratory signs</w:t>
            </w:r>
            <w:bookmarkEnd w:id="68"/>
          </w:p>
          <w:p w14:paraId="4665695C" w14:textId="566EF281" w:rsidR="00390291" w:rsidRDefault="00390291" w:rsidP="00390291">
            <w:pPr>
              <w:pStyle w:val="Body"/>
              <w:rPr>
                <w:bCs/>
              </w:rPr>
            </w:pPr>
            <w:r w:rsidRPr="00062C83">
              <w:t xml:space="preserve">A patient with </w:t>
            </w:r>
            <w:r>
              <w:t xml:space="preserve">a </w:t>
            </w:r>
            <w:r w:rsidRPr="00062C83">
              <w:t>previous history of respiratory</w:t>
            </w:r>
            <w:r>
              <w:t xml:space="preserve"> and cardiac</w:t>
            </w:r>
            <w:r w:rsidRPr="00062C83">
              <w:t xml:space="preserve"> disease</w:t>
            </w:r>
            <w:r w:rsidRPr="00062C83">
              <w:rPr>
                <w:bCs/>
              </w:rPr>
              <w:t xml:space="preserve"> presented with </w:t>
            </w:r>
            <w:r>
              <w:rPr>
                <w:bCs/>
              </w:rPr>
              <w:t xml:space="preserve">a complicated medical condition </w:t>
            </w:r>
            <w:r w:rsidRPr="00062C83">
              <w:rPr>
                <w:bCs/>
              </w:rPr>
              <w:t>for investigation and m</w:t>
            </w:r>
            <w:r>
              <w:rPr>
                <w:bCs/>
              </w:rPr>
              <w:t>an</w:t>
            </w:r>
            <w:r w:rsidRPr="00062C83">
              <w:rPr>
                <w:bCs/>
              </w:rPr>
              <w:t xml:space="preserve">agement. </w:t>
            </w:r>
          </w:p>
          <w:p w14:paraId="4A0EFC54" w14:textId="77777777" w:rsidR="00390291" w:rsidRDefault="00390291" w:rsidP="00390291">
            <w:pPr>
              <w:pStyle w:val="Body"/>
              <w:rPr>
                <w:bCs/>
              </w:rPr>
            </w:pPr>
            <w:r w:rsidRPr="00062C83">
              <w:rPr>
                <w:bCs/>
              </w:rPr>
              <w:t>The</w:t>
            </w:r>
            <w:r>
              <w:rPr>
                <w:bCs/>
              </w:rPr>
              <w:t xml:space="preserve"> patient</w:t>
            </w:r>
            <w:r w:rsidRPr="00062C83">
              <w:rPr>
                <w:bCs/>
              </w:rPr>
              <w:t xml:space="preserve"> had a prolonged admission during which </w:t>
            </w:r>
            <w:r>
              <w:rPr>
                <w:bCs/>
              </w:rPr>
              <w:t>they</w:t>
            </w:r>
            <w:r w:rsidRPr="00062C83">
              <w:rPr>
                <w:bCs/>
              </w:rPr>
              <w:t xml:space="preserve"> </w:t>
            </w:r>
            <w:r>
              <w:rPr>
                <w:bCs/>
              </w:rPr>
              <w:t>were</w:t>
            </w:r>
            <w:r w:rsidRPr="00062C83">
              <w:rPr>
                <w:bCs/>
              </w:rPr>
              <w:t xml:space="preserve"> transfused two units of </w:t>
            </w:r>
            <w:r>
              <w:rPr>
                <w:bCs/>
              </w:rPr>
              <w:t>RBC</w:t>
            </w:r>
            <w:r w:rsidRPr="00062C83">
              <w:rPr>
                <w:bCs/>
              </w:rPr>
              <w:t xml:space="preserve"> on the ward. </w:t>
            </w:r>
          </w:p>
          <w:p w14:paraId="7D2D714F" w14:textId="0638A3D9" w:rsidR="00390291" w:rsidRPr="00062C83" w:rsidRDefault="00390291" w:rsidP="00390291">
            <w:pPr>
              <w:pStyle w:val="Body"/>
              <w:rPr>
                <w:bCs/>
              </w:rPr>
            </w:pPr>
            <w:r>
              <w:rPr>
                <w:bCs/>
              </w:rPr>
              <w:t>T</w:t>
            </w:r>
            <w:r w:rsidRPr="00062C83">
              <w:rPr>
                <w:bCs/>
              </w:rPr>
              <w:t>hey receiv</w:t>
            </w:r>
            <w:r>
              <w:rPr>
                <w:bCs/>
              </w:rPr>
              <w:t>ed</w:t>
            </w:r>
            <w:r w:rsidRPr="00062C83">
              <w:rPr>
                <w:bCs/>
              </w:rPr>
              <w:t xml:space="preserve"> </w:t>
            </w:r>
            <w:r>
              <w:rPr>
                <w:bCs/>
              </w:rPr>
              <w:t>IV</w:t>
            </w:r>
            <w:r w:rsidRPr="00062C83">
              <w:rPr>
                <w:bCs/>
              </w:rPr>
              <w:t xml:space="preserve"> fluids in the 24 hours prior to transfusion</w:t>
            </w:r>
            <w:r>
              <w:rPr>
                <w:bCs/>
              </w:rPr>
              <w:t>. However, no f</w:t>
            </w:r>
            <w:r w:rsidRPr="00062C83">
              <w:rPr>
                <w:bCs/>
              </w:rPr>
              <w:t xml:space="preserve">luid balance </w:t>
            </w:r>
            <w:r>
              <w:rPr>
                <w:bCs/>
              </w:rPr>
              <w:t>n</w:t>
            </w:r>
            <w:r w:rsidRPr="00062C83">
              <w:rPr>
                <w:bCs/>
              </w:rPr>
              <w:t xml:space="preserve">or weight gains were recorded. </w:t>
            </w:r>
          </w:p>
          <w:p w14:paraId="50365CB9" w14:textId="77777777" w:rsidR="00390291" w:rsidRDefault="00390291" w:rsidP="00390291">
            <w:pPr>
              <w:pStyle w:val="Body"/>
              <w:rPr>
                <w:bCs/>
              </w:rPr>
            </w:pPr>
            <w:r w:rsidRPr="00062C83">
              <w:rPr>
                <w:bCs/>
              </w:rPr>
              <w:t xml:space="preserve">Ten minutes into the second unit of </w:t>
            </w:r>
            <w:r>
              <w:rPr>
                <w:bCs/>
              </w:rPr>
              <w:t>RBC</w:t>
            </w:r>
            <w:r w:rsidRPr="00062C83">
              <w:rPr>
                <w:bCs/>
              </w:rPr>
              <w:t xml:space="preserve"> the patient developed reduced oxygen saturation, with no document</w:t>
            </w:r>
            <w:r>
              <w:rPr>
                <w:bCs/>
              </w:rPr>
              <w:t xml:space="preserve">ed </w:t>
            </w:r>
            <w:r w:rsidRPr="00062C83">
              <w:rPr>
                <w:bCs/>
              </w:rPr>
              <w:t xml:space="preserve">other signs or symptoms. </w:t>
            </w:r>
          </w:p>
          <w:p w14:paraId="5360D298" w14:textId="773F3DE4" w:rsidR="00390291" w:rsidRPr="00062C83" w:rsidRDefault="00390291" w:rsidP="00390291">
            <w:pPr>
              <w:pStyle w:val="Body"/>
              <w:rPr>
                <w:bCs/>
              </w:rPr>
            </w:pPr>
            <w:r w:rsidRPr="00062C83">
              <w:rPr>
                <w:bCs/>
              </w:rPr>
              <w:t>The patient was treated with assisted ventilation, oxygen and diuretics and required ICU admission.</w:t>
            </w:r>
          </w:p>
          <w:p w14:paraId="0E8D6743" w14:textId="77777777" w:rsidR="00390291" w:rsidRDefault="00390291" w:rsidP="00390291">
            <w:pPr>
              <w:pStyle w:val="Body"/>
            </w:pPr>
            <w:r w:rsidRPr="00062C83">
              <w:rPr>
                <w:bCs/>
              </w:rPr>
              <w:lastRenderedPageBreak/>
              <w:t>Investigations included</w:t>
            </w:r>
            <w:r>
              <w:rPr>
                <w:bCs/>
              </w:rPr>
              <w:t xml:space="preserve"> a</w:t>
            </w:r>
            <w:r w:rsidRPr="00062C83">
              <w:rPr>
                <w:bCs/>
              </w:rPr>
              <w:t xml:space="preserve"> chest </w:t>
            </w:r>
            <w:r>
              <w:rPr>
                <w:bCs/>
              </w:rPr>
              <w:t>X</w:t>
            </w:r>
            <w:r w:rsidRPr="00062C83">
              <w:rPr>
                <w:bCs/>
              </w:rPr>
              <w:t xml:space="preserve">-ray which showed </w:t>
            </w:r>
            <w:r>
              <w:rPr>
                <w:bCs/>
              </w:rPr>
              <w:t>‘</w:t>
            </w:r>
            <w:r w:rsidRPr="00062C83">
              <w:t>interval development of extensive bilateral consolidation</w:t>
            </w:r>
            <w:r>
              <w:t>’</w:t>
            </w:r>
            <w:r w:rsidRPr="00062C83">
              <w:t xml:space="preserve">. </w:t>
            </w:r>
          </w:p>
          <w:p w14:paraId="1EA21E63" w14:textId="77777777" w:rsidR="00390291" w:rsidRDefault="00390291" w:rsidP="00390291">
            <w:pPr>
              <w:pStyle w:val="Body"/>
            </w:pPr>
            <w:r w:rsidRPr="00062C83">
              <w:t xml:space="preserve">Brain natriuretic peptide (BNP) </w:t>
            </w:r>
            <w:r>
              <w:t xml:space="preserve">was </w:t>
            </w:r>
            <w:r w:rsidRPr="00062C83">
              <w:t>3</w:t>
            </w:r>
            <w:r>
              <w:t>,</w:t>
            </w:r>
            <w:r w:rsidRPr="00062C83">
              <w:t>345</w:t>
            </w:r>
            <w:r>
              <w:t xml:space="preserve"> </w:t>
            </w:r>
            <w:proofErr w:type="spellStart"/>
            <w:r>
              <w:t>pg</w:t>
            </w:r>
            <w:proofErr w:type="spellEnd"/>
            <w:r>
              <w:t>/mL</w:t>
            </w:r>
            <w:r w:rsidRPr="00062C83">
              <w:t xml:space="preserve"> (decreased from 17</w:t>
            </w:r>
            <w:r>
              <w:t>,</w:t>
            </w:r>
            <w:r w:rsidRPr="00062C83">
              <w:t>462</w:t>
            </w:r>
            <w:r>
              <w:t xml:space="preserve"> </w:t>
            </w:r>
            <w:proofErr w:type="spellStart"/>
            <w:r>
              <w:t>pg</w:t>
            </w:r>
            <w:proofErr w:type="spellEnd"/>
            <w:r>
              <w:t>/mL</w:t>
            </w:r>
            <w:r w:rsidRPr="00062C83">
              <w:t xml:space="preserve"> earlier in admission). </w:t>
            </w:r>
          </w:p>
          <w:p w14:paraId="447BE477" w14:textId="51D03CB2" w:rsidR="00390291" w:rsidRPr="00062C83" w:rsidRDefault="00390291" w:rsidP="00390291">
            <w:pPr>
              <w:pStyle w:val="Body"/>
              <w:rPr>
                <w:bCs/>
              </w:rPr>
            </w:pPr>
            <w:r w:rsidRPr="00062C83">
              <w:rPr>
                <w:bCs/>
              </w:rPr>
              <w:t>Computed tomography pulmonary angiogram showed residual pulmonary embolism, right heart strain, extensive bilateral lung parenchymal changes suggestive of</w:t>
            </w:r>
            <w:r>
              <w:rPr>
                <w:bCs/>
              </w:rPr>
              <w:t xml:space="preserve"> acute respiratory distress syndrome</w:t>
            </w:r>
            <w:r w:rsidRPr="00062C83">
              <w:rPr>
                <w:bCs/>
              </w:rPr>
              <w:t>.</w:t>
            </w:r>
          </w:p>
          <w:p w14:paraId="5FF87B80" w14:textId="54224F43" w:rsidR="00390291" w:rsidRPr="00062C83" w:rsidRDefault="00390291" w:rsidP="00390291">
            <w:pPr>
              <w:pStyle w:val="Body"/>
              <w:rPr>
                <w:bCs/>
              </w:rPr>
            </w:pPr>
            <w:r w:rsidRPr="00062C83">
              <w:rPr>
                <w:bCs/>
              </w:rPr>
              <w:t xml:space="preserve">Unfortunately, the patient </w:t>
            </w:r>
            <w:proofErr w:type="gramStart"/>
            <w:r w:rsidRPr="00062C83">
              <w:rPr>
                <w:bCs/>
              </w:rPr>
              <w:t>died</w:t>
            </w:r>
            <w:proofErr w:type="gramEnd"/>
            <w:r>
              <w:rPr>
                <w:bCs/>
              </w:rPr>
              <w:t xml:space="preserve"> and documentation</w:t>
            </w:r>
            <w:r w:rsidRPr="00062C83">
              <w:rPr>
                <w:bCs/>
              </w:rPr>
              <w:t xml:space="preserve"> indicated the transfusion reaction</w:t>
            </w:r>
            <w:r>
              <w:rPr>
                <w:bCs/>
              </w:rPr>
              <w:t xml:space="preserve"> contributed</w:t>
            </w:r>
            <w:r w:rsidRPr="00062C83">
              <w:rPr>
                <w:bCs/>
              </w:rPr>
              <w:t>.</w:t>
            </w:r>
          </w:p>
          <w:p w14:paraId="52343C15" w14:textId="77777777" w:rsidR="00390291" w:rsidRPr="00CE55B3" w:rsidRDefault="00390291" w:rsidP="00390291">
            <w:pPr>
              <w:pStyle w:val="Body"/>
              <w:rPr>
                <w:b/>
              </w:rPr>
            </w:pPr>
            <w:r w:rsidRPr="00CE55B3">
              <w:rPr>
                <w:b/>
              </w:rPr>
              <w:t>Expert Group determination: TACO, probably, SR1</w:t>
            </w:r>
          </w:p>
          <w:p w14:paraId="5AA6C846" w14:textId="054904D3" w:rsidR="00390291" w:rsidRPr="00062C83" w:rsidRDefault="00390291" w:rsidP="00390291">
            <w:pPr>
              <w:pStyle w:val="Body"/>
            </w:pPr>
            <w:r>
              <w:t>The</w:t>
            </w:r>
            <w:r w:rsidRPr="00062C83">
              <w:t xml:space="preserve"> STIR </w:t>
            </w:r>
            <w:r>
              <w:t>E</w:t>
            </w:r>
            <w:r w:rsidRPr="00062C83">
              <w:t xml:space="preserve">xpert </w:t>
            </w:r>
            <w:r>
              <w:t>G</w:t>
            </w:r>
            <w:r w:rsidRPr="00062C83">
              <w:t xml:space="preserve">roup noted this was a multimorbid patient with multiple possible causes for dyspnoea/hypoxia. TACO </w:t>
            </w:r>
            <w:r w:rsidR="0056284A">
              <w:t xml:space="preserve">was </w:t>
            </w:r>
            <w:r w:rsidRPr="00062C83">
              <w:t xml:space="preserve">at least contributory, </w:t>
            </w:r>
            <w:r w:rsidR="0056284A">
              <w:t xml:space="preserve">however </w:t>
            </w:r>
            <w:r>
              <w:t>transfusion-related acute lung injury (</w:t>
            </w:r>
            <w:r w:rsidRPr="00062C83">
              <w:t>TRALI</w:t>
            </w:r>
            <w:r>
              <w:t>)</w:t>
            </w:r>
            <w:r w:rsidRPr="00062C83">
              <w:t xml:space="preserve"> cannot be excluded.</w:t>
            </w:r>
          </w:p>
          <w:p w14:paraId="2F149C44" w14:textId="77777777" w:rsidR="00390291" w:rsidRDefault="00390291" w:rsidP="00390291">
            <w:pPr>
              <w:pStyle w:val="Body"/>
            </w:pPr>
            <w:r w:rsidRPr="00062C83">
              <w:t xml:space="preserve">It is sometimes not straightforward </w:t>
            </w:r>
            <w:r>
              <w:t>to</w:t>
            </w:r>
            <w:r w:rsidRPr="00062C83">
              <w:t xml:space="preserve"> determin</w:t>
            </w:r>
            <w:r>
              <w:t>e</w:t>
            </w:r>
            <w:r w:rsidRPr="00062C83">
              <w:t xml:space="preserve"> if a </w:t>
            </w:r>
            <w:r>
              <w:t>‘</w:t>
            </w:r>
            <w:r w:rsidRPr="00062C83">
              <w:t>reaction</w:t>
            </w:r>
            <w:r>
              <w:t>’</w:t>
            </w:r>
            <w:r w:rsidRPr="00062C83">
              <w:t xml:space="preserve"> is related to the transfusion or not. </w:t>
            </w:r>
          </w:p>
          <w:p w14:paraId="027F52B6" w14:textId="77777777" w:rsidR="00390291" w:rsidRDefault="00390291" w:rsidP="00390291">
            <w:pPr>
              <w:pStyle w:val="Body"/>
            </w:pPr>
            <w:r>
              <w:t>In</w:t>
            </w:r>
            <w:r w:rsidRPr="00062C83">
              <w:t xml:space="preserve"> this case</w:t>
            </w:r>
            <w:r>
              <w:t>,</w:t>
            </w:r>
            <w:r w:rsidRPr="00062C83">
              <w:t xml:space="preserve"> the patient had multiple medical problems that may have contributed to their dyspnoea/hypoxia, with TACO or TRALI being in the mix and possibly contributory. </w:t>
            </w:r>
          </w:p>
          <w:p w14:paraId="0CDD9FBE" w14:textId="3081E6C8" w:rsidR="00390291" w:rsidRDefault="00390291" w:rsidP="00390291">
            <w:pPr>
              <w:pStyle w:val="Body"/>
            </w:pPr>
            <w:r>
              <w:t>Treatment at the time of the reaction appears to have been appropriate.</w:t>
            </w:r>
          </w:p>
        </w:tc>
      </w:tr>
    </w:tbl>
    <w:p w14:paraId="04891006" w14:textId="0FF752B5" w:rsidR="009431A3" w:rsidRDefault="009431A3" w:rsidP="009431A3">
      <w:pPr>
        <w:pStyle w:val="Heading2"/>
      </w:pPr>
      <w:bookmarkStart w:id="69" w:name="_Toc136329773"/>
      <w:bookmarkStart w:id="70" w:name="_Toc174440007"/>
      <w:r w:rsidRPr="00DA4A93">
        <w:lastRenderedPageBreak/>
        <w:t>Transfusion related acute lung injury (TRALI)</w:t>
      </w:r>
      <w:bookmarkEnd w:id="69"/>
      <w:bookmarkEnd w:id="70"/>
    </w:p>
    <w:p w14:paraId="69F7CA86" w14:textId="53B4F8EF" w:rsidR="00390291" w:rsidRDefault="00DC1CD5" w:rsidP="00495C75">
      <w:pPr>
        <w:pStyle w:val="Body"/>
      </w:pPr>
      <w:r w:rsidRPr="00DC1CD5">
        <w:t xml:space="preserve">TRALI </w:t>
      </w:r>
      <w:r>
        <w:t>reports are uncommon to</w:t>
      </w:r>
      <w:r w:rsidRPr="00DC1CD5">
        <w:t xml:space="preserve"> STIR. </w:t>
      </w:r>
      <w:r>
        <w:t>In FY23</w:t>
      </w:r>
      <w:r w:rsidR="00390291">
        <w:t>,</w:t>
      </w:r>
      <w:r>
        <w:t xml:space="preserve"> STIR received </w:t>
      </w:r>
      <w:r w:rsidR="00390291">
        <w:t xml:space="preserve">5 </w:t>
      </w:r>
      <w:r>
        <w:t xml:space="preserve">notifications of TRALI events. </w:t>
      </w:r>
    </w:p>
    <w:p w14:paraId="6DD96502" w14:textId="14A89E1E" w:rsidR="00292375" w:rsidRDefault="00DC1CD5" w:rsidP="00495C75">
      <w:pPr>
        <w:pStyle w:val="Body"/>
      </w:pPr>
      <w:r w:rsidRPr="00DC1CD5">
        <w:t xml:space="preserve">Where </w:t>
      </w:r>
      <w:r>
        <w:t>TRALI</w:t>
      </w:r>
      <w:r w:rsidRPr="00DC1CD5">
        <w:t xml:space="preserve"> is reported, cross-validation with Lifeblood is undertaken. </w:t>
      </w:r>
      <w:r>
        <w:t xml:space="preserve">Of </w:t>
      </w:r>
      <w:r w:rsidRPr="008E4331">
        <w:t xml:space="preserve">the </w:t>
      </w:r>
      <w:r w:rsidR="00390291">
        <w:t>5</w:t>
      </w:r>
      <w:r w:rsidR="00390291" w:rsidRPr="008E4331">
        <w:t xml:space="preserve"> </w:t>
      </w:r>
      <w:r w:rsidRPr="008E4331">
        <w:t>notifications</w:t>
      </w:r>
      <w:r>
        <w:t xml:space="preserve">, </w:t>
      </w:r>
      <w:r w:rsidR="00900E23">
        <w:t xml:space="preserve">none </w:t>
      </w:r>
      <w:r w:rsidR="00390291">
        <w:t xml:space="preserve">was </w:t>
      </w:r>
      <w:r>
        <w:t>validated as likely to be TRALI</w:t>
      </w:r>
      <w:r w:rsidR="00E83886">
        <w:t xml:space="preserve"> and all </w:t>
      </w:r>
      <w:r w:rsidR="00390291">
        <w:t xml:space="preserve">were </w:t>
      </w:r>
      <w:r w:rsidR="00E83886">
        <w:t>reclassified as TACO</w:t>
      </w:r>
      <w:r>
        <w:t>.</w:t>
      </w:r>
    </w:p>
    <w:p w14:paraId="15C5E116" w14:textId="77777777" w:rsidR="00292375" w:rsidRDefault="00292375" w:rsidP="00292375">
      <w:pPr>
        <w:pStyle w:val="Heading2"/>
      </w:pPr>
      <w:bookmarkStart w:id="71" w:name="_Toc136329774"/>
      <w:bookmarkStart w:id="72" w:name="_Toc174440008"/>
      <w:r w:rsidRPr="00DA4A93">
        <w:t>Transfusion associated dyspnoea (TAD)</w:t>
      </w:r>
      <w:bookmarkEnd w:id="71"/>
      <w:bookmarkEnd w:id="72"/>
    </w:p>
    <w:p w14:paraId="2FE7DB53" w14:textId="23C6A51D" w:rsidR="00390291" w:rsidRDefault="00DC1CD5" w:rsidP="00DC1CD5">
      <w:pPr>
        <w:pStyle w:val="Body"/>
      </w:pPr>
      <w:r w:rsidRPr="00DC1CD5">
        <w:t xml:space="preserve">STIR defines TAD as respiratory distress (the most prominent clinical feature) within 24 hours of transfusion that does not meet the criteria of TRALI, TACO or allergic reaction. </w:t>
      </w:r>
    </w:p>
    <w:p w14:paraId="20AECB83" w14:textId="77777777" w:rsidR="00390291" w:rsidRDefault="0056661F" w:rsidP="00DC1CD5">
      <w:pPr>
        <w:pStyle w:val="Body"/>
      </w:pPr>
      <w:r>
        <w:t>Respiratory symptoms</w:t>
      </w:r>
      <w:r w:rsidRPr="00DC1CD5">
        <w:t xml:space="preserve"> </w:t>
      </w:r>
      <w:r w:rsidR="00DC1CD5" w:rsidRPr="00DC1CD5">
        <w:t xml:space="preserve">should not be explained by the patient’s underlying condition or any other known cause. </w:t>
      </w:r>
    </w:p>
    <w:p w14:paraId="023E9583" w14:textId="77E677F1" w:rsidR="00390291" w:rsidRDefault="00DC1CD5" w:rsidP="00DC1CD5">
      <w:pPr>
        <w:pStyle w:val="Body"/>
      </w:pPr>
      <w:r w:rsidRPr="00DC1CD5">
        <w:t>Confirming TAD is difficult in most instances</w:t>
      </w:r>
      <w:r w:rsidR="00390291">
        <w:t xml:space="preserve">, and we receive </w:t>
      </w:r>
      <w:r w:rsidRPr="00DC1CD5">
        <w:t>few reports</w:t>
      </w:r>
      <w:r w:rsidR="00390291">
        <w:t xml:space="preserve"> of it</w:t>
      </w:r>
      <w:r w:rsidRPr="00DC1CD5">
        <w:t xml:space="preserve">. </w:t>
      </w:r>
    </w:p>
    <w:p w14:paraId="10D75921" w14:textId="5F9459CD" w:rsidR="00390291" w:rsidRDefault="00DC1CD5" w:rsidP="00DC1CD5">
      <w:pPr>
        <w:pStyle w:val="Body"/>
      </w:pPr>
      <w:r w:rsidRPr="00DC1CD5">
        <w:t>There are no clear diagnostic markers to differentiate TAD from other causes</w:t>
      </w:r>
      <w:r w:rsidR="00390291">
        <w:t>.</w:t>
      </w:r>
      <w:r w:rsidRPr="00DC1CD5">
        <w:t xml:space="preserve"> </w:t>
      </w:r>
      <w:r w:rsidR="00390291">
        <w:t>It</w:t>
      </w:r>
      <w:r w:rsidR="00390291" w:rsidRPr="00DC1CD5">
        <w:t xml:space="preserve"> </w:t>
      </w:r>
      <w:r w:rsidRPr="00DC1CD5">
        <w:t xml:space="preserve">is a diagnosis of exclusion. </w:t>
      </w:r>
    </w:p>
    <w:p w14:paraId="30AF3539" w14:textId="5B3B8984" w:rsidR="001A1861" w:rsidRDefault="00900E23" w:rsidP="00CE55B3">
      <w:pPr>
        <w:pStyle w:val="Body"/>
      </w:pPr>
      <w:r>
        <w:t>For this reporting period</w:t>
      </w:r>
      <w:r w:rsidR="00390291">
        <w:t>,</w:t>
      </w:r>
      <w:r>
        <w:t xml:space="preserve"> </w:t>
      </w:r>
      <w:r w:rsidR="00390291">
        <w:t xml:space="preserve">we received 3 </w:t>
      </w:r>
      <w:r>
        <w:t>TAD notifications</w:t>
      </w:r>
      <w:r w:rsidR="00390291">
        <w:t xml:space="preserve">. One was </w:t>
      </w:r>
      <w:r w:rsidR="00854D16">
        <w:t xml:space="preserve">reclassified as ATR (allergic) and the other </w:t>
      </w:r>
      <w:r w:rsidR="00390291">
        <w:t xml:space="preserve">2 </w:t>
      </w:r>
      <w:r w:rsidR="00854D16">
        <w:t>as TACO.</w:t>
      </w:r>
    </w:p>
    <w:p w14:paraId="1045AB17" w14:textId="16178345" w:rsidR="00292375" w:rsidRDefault="00292375" w:rsidP="00292375">
      <w:pPr>
        <w:pStyle w:val="Heading2"/>
      </w:pPr>
      <w:bookmarkStart w:id="73" w:name="_Toc174440009"/>
      <w:r w:rsidRPr="00DA4A93">
        <w:t>Transfusion</w:t>
      </w:r>
      <w:r w:rsidR="00390291">
        <w:t>-</w:t>
      </w:r>
      <w:r w:rsidRPr="00DA4A93">
        <w:t>transmitted infection, bacterial</w:t>
      </w:r>
      <w:bookmarkEnd w:id="73"/>
    </w:p>
    <w:p w14:paraId="7EEBAFF2" w14:textId="77777777" w:rsidR="00390291" w:rsidRDefault="008E4331" w:rsidP="00495C75">
      <w:pPr>
        <w:pStyle w:val="Body"/>
      </w:pPr>
      <w:bookmarkStart w:id="74" w:name="_Hlk164782292"/>
      <w:r>
        <w:t xml:space="preserve">There were no validated reports of bacterial infection associated with transfusion in this period. </w:t>
      </w:r>
      <w:bookmarkEnd w:id="74"/>
    </w:p>
    <w:p w14:paraId="54CF1BFC" w14:textId="67E3C077" w:rsidR="00390291" w:rsidRDefault="00F72E2C" w:rsidP="00495C75">
      <w:pPr>
        <w:pStyle w:val="Body"/>
      </w:pPr>
      <w:r>
        <w:t xml:space="preserve">When fever is the predominant sign in a transfusion reaction, </w:t>
      </w:r>
      <w:r w:rsidR="00390291">
        <w:t xml:space="preserve">bacterial infection </w:t>
      </w:r>
      <w:r>
        <w:t xml:space="preserve">should always be suspected. </w:t>
      </w:r>
    </w:p>
    <w:p w14:paraId="17362E21" w14:textId="73C12C58" w:rsidR="00390291" w:rsidRDefault="00F72E2C" w:rsidP="00495C75">
      <w:pPr>
        <w:pStyle w:val="Body"/>
      </w:pPr>
      <w:r>
        <w:t xml:space="preserve">Bacterial culture of both the patient and product will assist in determining if bacterial contamination is likely. </w:t>
      </w:r>
    </w:p>
    <w:p w14:paraId="54C2A0F0" w14:textId="6D97B000" w:rsidR="00F72E2C" w:rsidRDefault="00390291" w:rsidP="00495C75">
      <w:pPr>
        <w:pStyle w:val="Body"/>
      </w:pPr>
      <w:r>
        <w:lastRenderedPageBreak/>
        <w:t xml:space="preserve">If </w:t>
      </w:r>
      <w:r w:rsidR="00F72E2C">
        <w:t>a health service suspects bacterial contamination of a unit, they should contact Lifeblood at the first opportunity</w:t>
      </w:r>
      <w:r>
        <w:t>. Lifeblood will need to investigate</w:t>
      </w:r>
      <w:r w:rsidR="0056661F">
        <w:t xml:space="preserve"> other associated components from the donation</w:t>
      </w:r>
      <w:r w:rsidR="00F72E2C">
        <w:t xml:space="preserve">. </w:t>
      </w:r>
    </w:p>
    <w:p w14:paraId="56CF3CB2" w14:textId="6F47E602" w:rsidR="00292375" w:rsidRDefault="00292375" w:rsidP="00292375">
      <w:pPr>
        <w:pStyle w:val="Heading2"/>
      </w:pPr>
      <w:bookmarkStart w:id="75" w:name="_Toc136329776"/>
      <w:bookmarkStart w:id="76" w:name="_Toc174440010"/>
      <w:r w:rsidRPr="00DA4A93">
        <w:t>Transfusion</w:t>
      </w:r>
      <w:r w:rsidR="00390291">
        <w:t>-</w:t>
      </w:r>
      <w:r w:rsidRPr="00DA4A93">
        <w:t>transmitted infection, other</w:t>
      </w:r>
      <w:bookmarkEnd w:id="75"/>
      <w:bookmarkEnd w:id="76"/>
    </w:p>
    <w:p w14:paraId="32AA003D" w14:textId="70ACAA72" w:rsidR="00F72E2C" w:rsidRPr="00F72E2C" w:rsidRDefault="00F72E2C" w:rsidP="00F72E2C">
      <w:pPr>
        <w:pStyle w:val="Body"/>
      </w:pPr>
      <w:r w:rsidRPr="00F72E2C">
        <w:t xml:space="preserve">There were no validated reports of </w:t>
      </w:r>
      <w:r>
        <w:t>other</w:t>
      </w:r>
      <w:r w:rsidRPr="00F72E2C">
        <w:t xml:space="preserve"> infection associated with transfusion in this period. </w:t>
      </w:r>
    </w:p>
    <w:p w14:paraId="3C7E48E8" w14:textId="77777777" w:rsidR="00292375" w:rsidRDefault="00292375" w:rsidP="00292375">
      <w:pPr>
        <w:pStyle w:val="Heading2"/>
      </w:pPr>
      <w:bookmarkStart w:id="77" w:name="_Toc136329777"/>
      <w:bookmarkStart w:id="78" w:name="_Toc174440011"/>
      <w:r w:rsidRPr="00706EBD">
        <w:t>Transfusion associated graft vs host disease (TA-GVHD)</w:t>
      </w:r>
      <w:bookmarkEnd w:id="77"/>
      <w:bookmarkEnd w:id="78"/>
    </w:p>
    <w:p w14:paraId="1C2FA9DB" w14:textId="77777777" w:rsidR="00390291" w:rsidRDefault="00E362C6" w:rsidP="00495C75">
      <w:pPr>
        <w:pStyle w:val="Body"/>
      </w:pPr>
      <w:bookmarkStart w:id="79" w:name="_Hlk153954658"/>
      <w:r>
        <w:t xml:space="preserve">There have been no reports of TA-GVHD in this or previous years. </w:t>
      </w:r>
    </w:p>
    <w:p w14:paraId="395B913A" w14:textId="3E58EEA7" w:rsidR="00E362C6" w:rsidRDefault="00E362C6" w:rsidP="00495C75">
      <w:pPr>
        <w:pStyle w:val="Body"/>
      </w:pPr>
      <w:r>
        <w:t>However, each year we receive reports of a small number of patients receiving non-irradiated products when the health service has determined the patient fits criteria that make an irradiated product appropriate</w:t>
      </w:r>
      <w:r w:rsidR="0056661F">
        <w:t xml:space="preserve"> (incorrect blood component transfused)</w:t>
      </w:r>
      <w:r>
        <w:t>.</w:t>
      </w:r>
    </w:p>
    <w:p w14:paraId="12FDDB62" w14:textId="353A0031" w:rsidR="00292375" w:rsidRDefault="00E362C6" w:rsidP="00495C75">
      <w:pPr>
        <w:pStyle w:val="Body"/>
      </w:pPr>
      <w:r>
        <w:t xml:space="preserve">The new </w:t>
      </w:r>
      <w:bookmarkEnd w:id="79"/>
      <w:r w:rsidR="00292375">
        <w:t xml:space="preserve">ANZSBT </w:t>
      </w:r>
      <w:hyperlink r:id="rId36" w:history="1">
        <w:r w:rsidRPr="00BE1F2C">
          <w:rPr>
            <w:rStyle w:val="Hyperlink"/>
          </w:rPr>
          <w:t xml:space="preserve">Guideline for the </w:t>
        </w:r>
        <w:r w:rsidR="00390291">
          <w:rPr>
            <w:rStyle w:val="Hyperlink"/>
          </w:rPr>
          <w:t>p</w:t>
        </w:r>
        <w:r w:rsidR="00390291" w:rsidRPr="00BE1F2C">
          <w:rPr>
            <w:rStyle w:val="Hyperlink"/>
          </w:rPr>
          <w:t xml:space="preserve">revention </w:t>
        </w:r>
        <w:r w:rsidRPr="00BE1F2C">
          <w:rPr>
            <w:rStyle w:val="Hyperlink"/>
          </w:rPr>
          <w:t xml:space="preserve">of </w:t>
        </w:r>
        <w:r w:rsidR="00390291" w:rsidRPr="00BE1F2C">
          <w:rPr>
            <w:rStyle w:val="Hyperlink"/>
          </w:rPr>
          <w:t>transfusion-associated graft-versus-host disease</w:t>
        </w:r>
      </w:hyperlink>
      <w:r w:rsidR="00390291" w:rsidRPr="00CE55B3">
        <w:rPr>
          <w:vertAlign w:val="superscript"/>
        </w:rPr>
        <w:footnoteReference w:id="13"/>
      </w:r>
      <w:r w:rsidRPr="00CE55B3">
        <w:rPr>
          <w:vertAlign w:val="superscript"/>
        </w:rPr>
        <w:t xml:space="preserve"> </w:t>
      </w:r>
      <w:r>
        <w:t>(</w:t>
      </w:r>
      <w:r w:rsidR="00BE1F2C">
        <w:t>January</w:t>
      </w:r>
      <w:r>
        <w:t xml:space="preserve"> 2024) </w:t>
      </w:r>
      <w:r w:rsidR="006562BE">
        <w:t>note</w:t>
      </w:r>
      <w:r w:rsidR="00390291">
        <w:t>s</w:t>
      </w:r>
      <w:r w:rsidR="006562BE">
        <w:t xml:space="preserve"> the following preventative factors for TA-GVHD:</w:t>
      </w:r>
    </w:p>
    <w:p w14:paraId="0C1FB3F8" w14:textId="0D263A1C" w:rsidR="006562BE" w:rsidRDefault="00390291" w:rsidP="00CE55B3">
      <w:pPr>
        <w:pStyle w:val="Bullet1"/>
      </w:pPr>
      <w:r>
        <w:t>t</w:t>
      </w:r>
      <w:r w:rsidR="006562BE">
        <w:t>ransfusions should only be administered in accordance with evidence-based recommendations to prevent complications of unnecessary transfusions</w:t>
      </w:r>
    </w:p>
    <w:p w14:paraId="2CB13C76" w14:textId="6CC7E242" w:rsidR="006562BE" w:rsidRDefault="00390291" w:rsidP="00CE55B3">
      <w:pPr>
        <w:pStyle w:val="Bullet1"/>
      </w:pPr>
      <w:r>
        <w:t xml:space="preserve">while </w:t>
      </w:r>
      <w:r w:rsidR="006562BE">
        <w:t xml:space="preserve">leucodepletion removes substantial numbers of leucocytes and the T-lymphocytes responsible for the development of TA-GVHD, it is not considered equivalent to irradiation (either gamma or </w:t>
      </w:r>
      <w:r>
        <w:t>X-</w:t>
      </w:r>
      <w:r w:rsidR="006562BE">
        <w:t xml:space="preserve">ray irradiation). </w:t>
      </w:r>
      <w:r w:rsidR="006562BE" w:rsidRPr="006562BE">
        <w:t>Pre</w:t>
      </w:r>
      <w:r>
        <w:t>-</w:t>
      </w:r>
      <w:r w:rsidR="006562BE" w:rsidRPr="006562BE">
        <w:t>storage leucocyte depletion reduces the risk of TA</w:t>
      </w:r>
      <w:r w:rsidR="00F72E2C">
        <w:t>-</w:t>
      </w:r>
      <w:r w:rsidR="006562BE" w:rsidRPr="006562BE">
        <w:t>GVHD but is not recommended as an alternative to irradiation</w:t>
      </w:r>
    </w:p>
    <w:p w14:paraId="5D7CB13D" w14:textId="4B3FF2B7" w:rsidR="006562BE" w:rsidRDefault="00390291" w:rsidP="00CE55B3">
      <w:pPr>
        <w:pStyle w:val="Bullet1"/>
      </w:pPr>
      <w:r>
        <w:t xml:space="preserve">cold </w:t>
      </w:r>
      <w:r w:rsidR="006562BE">
        <w:t>stored RBC in storage for &gt;</w:t>
      </w:r>
      <w:r>
        <w:t xml:space="preserve"> </w:t>
      </w:r>
      <w:r w:rsidR="006562BE">
        <w:t xml:space="preserve">21 days </w:t>
      </w:r>
      <w:proofErr w:type="gramStart"/>
      <w:r w:rsidR="006562BE">
        <w:t>are</w:t>
      </w:r>
      <w:proofErr w:type="gramEnd"/>
      <w:r w:rsidR="006562BE">
        <w:t xml:space="preserve"> irradiation equivalent. </w:t>
      </w:r>
      <w:r w:rsidR="006562BE" w:rsidRPr="006562BE">
        <w:t>By day 21</w:t>
      </w:r>
      <w:r>
        <w:t>,</w:t>
      </w:r>
      <w:r w:rsidR="006562BE" w:rsidRPr="006562BE">
        <w:t xml:space="preserve"> T</w:t>
      </w:r>
      <w:r w:rsidR="006562BE">
        <w:t>-</w:t>
      </w:r>
      <w:r w:rsidR="006562BE" w:rsidRPr="006562BE">
        <w:t xml:space="preserve">cell proliferative capacity </w:t>
      </w:r>
      <w:r w:rsidR="00F72E2C">
        <w:t>i</w:t>
      </w:r>
      <w:r w:rsidR="006562BE" w:rsidRPr="006562BE">
        <w:t>s below that thought to be required to induce TA-GVHD.</w:t>
      </w:r>
      <w:r w:rsidR="006562BE">
        <w:t xml:space="preserve"> </w:t>
      </w:r>
      <w:proofErr w:type="gramStart"/>
      <w:r w:rsidR="006562BE">
        <w:t>The majority of</w:t>
      </w:r>
      <w:proofErr w:type="gramEnd"/>
      <w:r w:rsidR="006562BE">
        <w:t xml:space="preserve"> cases of TA-GVHD cases occur in fresher products, generally &lt;10 days of storage. </w:t>
      </w:r>
      <w:r w:rsidR="00BE1F2C">
        <w:t>The same does not apply for platelets stored at room temperature for up to seven days.</w:t>
      </w:r>
    </w:p>
    <w:p w14:paraId="451335BA" w14:textId="26D953AD" w:rsidR="00292375" w:rsidRDefault="00BE1F2C" w:rsidP="00CE55B3">
      <w:pPr>
        <w:pStyle w:val="Bodyafterbullets"/>
      </w:pPr>
      <w:r>
        <w:t xml:space="preserve">The age of the product as well as the pre-storage leucodepletion that all RBC undergo may reduce the risk of TA-GVHD. It may also be that a small number of reports </w:t>
      </w:r>
      <w:r w:rsidR="00A64CE3">
        <w:t xml:space="preserve">of non-irradiated product being supplied </w:t>
      </w:r>
      <w:r>
        <w:t>are associated with patients who once required irradiation but no longer do. Irradiation is not necessarily a lifetime requirement for all patients.</w:t>
      </w:r>
    </w:p>
    <w:p w14:paraId="5979B853" w14:textId="77777777" w:rsidR="00292375" w:rsidRDefault="00292375" w:rsidP="00292375">
      <w:pPr>
        <w:pStyle w:val="Heading2"/>
      </w:pPr>
      <w:bookmarkStart w:id="80" w:name="_Toc136329778"/>
      <w:bookmarkStart w:id="81" w:name="_Toc174440012"/>
      <w:r w:rsidRPr="00706EBD">
        <w:t>Post-transfusion purpura</w:t>
      </w:r>
      <w:bookmarkEnd w:id="80"/>
      <w:r>
        <w:t xml:space="preserve"> (PTP)</w:t>
      </w:r>
      <w:bookmarkEnd w:id="81"/>
    </w:p>
    <w:p w14:paraId="11F0F9EE" w14:textId="066D873E" w:rsidR="00292375" w:rsidRDefault="00BE1F2C" w:rsidP="00495C75">
      <w:pPr>
        <w:pStyle w:val="Body"/>
      </w:pPr>
      <w:r>
        <w:t>There have been no reports of post-transfusion purpura this year to STIR.</w:t>
      </w:r>
    </w:p>
    <w:p w14:paraId="595DE490" w14:textId="1EF6B4A9" w:rsidR="00BE1F2C" w:rsidRDefault="00A64CE3" w:rsidP="00495C75">
      <w:pPr>
        <w:pStyle w:val="Body"/>
      </w:pPr>
      <w:r>
        <w:t xml:space="preserve">PTP </w:t>
      </w:r>
      <w:r w:rsidR="00BE1F2C">
        <w:t>is a rare event</w:t>
      </w:r>
      <w:r w:rsidR="00AD6888">
        <w:t xml:space="preserve">. Both the </w:t>
      </w:r>
      <w:r w:rsidR="0056661F">
        <w:t>NBA</w:t>
      </w:r>
      <w:r w:rsidR="00AD6888">
        <w:t xml:space="preserve"> Australian Haemovigilance reports and SHOT in the UK</w:t>
      </w:r>
      <w:r w:rsidR="00401576">
        <w:t xml:space="preserve"> have few reports recorded</w:t>
      </w:r>
      <w:r w:rsidR="00BF295B">
        <w:t>. SHOT had one case reported in 2022, with the last one prior to this in 2018.</w:t>
      </w:r>
    </w:p>
    <w:p w14:paraId="17B140CF" w14:textId="284FE508" w:rsidR="00BF295B" w:rsidRDefault="00BF295B" w:rsidP="00495C75">
      <w:pPr>
        <w:pStyle w:val="Body"/>
      </w:pPr>
      <w:r>
        <w:t>For further information</w:t>
      </w:r>
      <w:r w:rsidR="00390291">
        <w:t>,</w:t>
      </w:r>
      <w:r>
        <w:t xml:space="preserve"> </w:t>
      </w:r>
      <w:r w:rsidR="00390291">
        <w:t>visit</w:t>
      </w:r>
      <w:r>
        <w:t xml:space="preserve"> </w:t>
      </w:r>
      <w:hyperlink r:id="rId37" w:history="1">
        <w:r w:rsidRPr="00390291">
          <w:rPr>
            <w:rStyle w:val="Hyperlink"/>
          </w:rPr>
          <w:t>Lifeblood</w:t>
        </w:r>
        <w:r w:rsidR="00390291" w:rsidRPr="00390291">
          <w:rPr>
            <w:rStyle w:val="Hyperlink"/>
          </w:rPr>
          <w:t>’s PTP page</w:t>
        </w:r>
      </w:hyperlink>
      <w:r>
        <w:t>.</w:t>
      </w:r>
      <w:r w:rsidR="00390291">
        <w:rPr>
          <w:rStyle w:val="FootnoteReference"/>
        </w:rPr>
        <w:footnoteReference w:id="14"/>
      </w:r>
    </w:p>
    <w:p w14:paraId="3035D3C1" w14:textId="77777777" w:rsidR="00390291" w:rsidRDefault="00390291">
      <w:pPr>
        <w:spacing w:after="0" w:line="240" w:lineRule="auto"/>
        <w:rPr>
          <w:rFonts w:eastAsia="MS Gothic" w:cs="Arial"/>
          <w:bCs/>
          <w:color w:val="AF272F"/>
          <w:kern w:val="32"/>
          <w:sz w:val="44"/>
          <w:szCs w:val="44"/>
        </w:rPr>
      </w:pPr>
      <w:bookmarkStart w:id="82" w:name="_Toc112679060"/>
      <w:bookmarkStart w:id="83" w:name="_Toc136329779"/>
      <w:r>
        <w:br w:type="page"/>
      </w:r>
    </w:p>
    <w:p w14:paraId="2F0D7AB9" w14:textId="3998A66F" w:rsidR="00292375" w:rsidRDefault="00292375" w:rsidP="00292375">
      <w:pPr>
        <w:pStyle w:val="Heading1"/>
      </w:pPr>
      <w:bookmarkStart w:id="84" w:name="_Toc174440013"/>
      <w:r w:rsidRPr="009A1C61">
        <w:lastRenderedPageBreak/>
        <w:t>Procedural reports</w:t>
      </w:r>
      <w:bookmarkEnd w:id="82"/>
      <w:bookmarkEnd w:id="83"/>
      <w:bookmarkEnd w:id="84"/>
    </w:p>
    <w:p w14:paraId="7CC2148C" w14:textId="75F8A008" w:rsidR="00390291" w:rsidRDefault="00BC1DA9" w:rsidP="00BC1DA9">
      <w:pPr>
        <w:pStyle w:val="Body"/>
      </w:pPr>
      <w:r>
        <w:t xml:space="preserve">Procedural events made up </w:t>
      </w:r>
      <w:r w:rsidR="00854D16">
        <w:t>33</w:t>
      </w:r>
      <w:r w:rsidR="00FD75FB">
        <w:t>%</w:t>
      </w:r>
      <w:r>
        <w:t xml:space="preserve"> (n = </w:t>
      </w:r>
      <w:r w:rsidR="00854D16">
        <w:t>68</w:t>
      </w:r>
      <w:r>
        <w:t>)</w:t>
      </w:r>
      <w:r w:rsidR="00854D16">
        <w:t xml:space="preserve"> </w:t>
      </w:r>
      <w:r>
        <w:t>of validated investigations this year, with wrong blood in tube (WBIT) being the largest number.</w:t>
      </w:r>
    </w:p>
    <w:p w14:paraId="2D350A40" w14:textId="5E204060" w:rsidR="00BC1DA9" w:rsidRDefault="00BC1DA9" w:rsidP="00BC1DA9">
      <w:pPr>
        <w:pStyle w:val="Body"/>
      </w:pPr>
      <w:r>
        <w:t xml:space="preserve">Figure </w:t>
      </w:r>
      <w:r w:rsidR="00A9310D">
        <w:t xml:space="preserve">4 </w:t>
      </w:r>
      <w:r>
        <w:t>shows the number and types of procedural reports validated.</w:t>
      </w:r>
    </w:p>
    <w:p w14:paraId="355A208C" w14:textId="77777777" w:rsidR="00390291" w:rsidRDefault="0097597E" w:rsidP="00BC1DA9">
      <w:pPr>
        <w:pStyle w:val="Body"/>
      </w:pPr>
      <w:r>
        <w:t xml:space="preserve">Circumstances </w:t>
      </w:r>
      <w:r w:rsidR="004707C2">
        <w:t>contributing to t</w:t>
      </w:r>
      <w:r w:rsidR="00BC1DA9">
        <w:t>hese events require</w:t>
      </w:r>
      <w:r w:rsidR="004707C2">
        <w:t xml:space="preserve"> thorough</w:t>
      </w:r>
      <w:r w:rsidR="00BC1DA9">
        <w:t xml:space="preserve"> investigation </w:t>
      </w:r>
      <w:r w:rsidR="004707C2">
        <w:t>(</w:t>
      </w:r>
      <w:r w:rsidR="00BC1DA9">
        <w:t xml:space="preserve">local, case review or </w:t>
      </w:r>
      <w:r w:rsidR="00147500">
        <w:t>root cause analysis</w:t>
      </w:r>
      <w:r w:rsidR="004707C2">
        <w:t>)</w:t>
      </w:r>
      <w:r w:rsidR="00147500">
        <w:t xml:space="preserve">. </w:t>
      </w:r>
    </w:p>
    <w:p w14:paraId="2991F74F" w14:textId="77777777" w:rsidR="00390291" w:rsidRDefault="00147500" w:rsidP="00BC1DA9">
      <w:pPr>
        <w:pStyle w:val="Body"/>
      </w:pPr>
      <w:r>
        <w:t xml:space="preserve">Learning from these events helps to </w:t>
      </w:r>
      <w:r w:rsidR="00F42BFF">
        <w:t>identify</w:t>
      </w:r>
      <w:r>
        <w:t xml:space="preserve"> where things can go wrong and </w:t>
      </w:r>
      <w:r w:rsidR="00A64CE3">
        <w:t>improve</w:t>
      </w:r>
      <w:r>
        <w:t xml:space="preserve"> systems </w:t>
      </w:r>
      <w:r w:rsidR="00A64CE3">
        <w:t xml:space="preserve">to </w:t>
      </w:r>
      <w:r>
        <w:t xml:space="preserve">prevent or minimise recurrence. </w:t>
      </w:r>
    </w:p>
    <w:p w14:paraId="0298E8F2" w14:textId="5B31DA91" w:rsidR="00292375" w:rsidRDefault="00292375" w:rsidP="00CE55B3">
      <w:pPr>
        <w:pStyle w:val="Figurecaption"/>
      </w:pPr>
      <w:r w:rsidRPr="009A1C61">
        <w:t xml:space="preserve">Figure </w:t>
      </w:r>
      <w:r w:rsidR="00A9310D">
        <w:t>4:</w:t>
      </w:r>
      <w:r w:rsidRPr="009A1C61">
        <w:t xml:space="preserve"> Validated procedural </w:t>
      </w:r>
      <w:r w:rsidRPr="00390291">
        <w:t>reports</w:t>
      </w:r>
      <w:r w:rsidRPr="009A1C61">
        <w:t xml:space="preserve"> FY2</w:t>
      </w:r>
      <w:r w:rsidR="00BC1DA9">
        <w:t>3</w:t>
      </w:r>
    </w:p>
    <w:p w14:paraId="08A8E5F6" w14:textId="229AD953" w:rsidR="00292375" w:rsidRDefault="00390291" w:rsidP="00495C75">
      <w:pPr>
        <w:pStyle w:val="Body"/>
      </w:pPr>
      <w:r>
        <w:rPr>
          <w:noProof/>
        </w:rPr>
        <w:drawing>
          <wp:inline distT="0" distB="0" distL="0" distR="0" wp14:anchorId="28D20D20" wp14:editId="56353080">
            <wp:extent cx="5904230" cy="3209925"/>
            <wp:effectExtent l="0" t="0" r="1270" b="3175"/>
            <wp:docPr id="927151333" name="Picture 21" descr="The figure shows a pie chart showing:&#10;27 WBIT&#10;9 Near-miss&#10;10 IBCT&#10;15 RhD-admin&#10;7 Procedural -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151333" name="Picture 21" descr="The figure shows a pie chart showing:&#10;27 WBIT&#10;9 Near-miss&#10;10 IBCT&#10;15 RhD-admin&#10;7 Procedural - other"/>
                    <pic:cNvPicPr/>
                  </pic:nvPicPr>
                  <pic:blipFill>
                    <a:blip r:embed="rId38"/>
                    <a:stretch>
                      <a:fillRect/>
                    </a:stretch>
                  </pic:blipFill>
                  <pic:spPr>
                    <a:xfrm>
                      <a:off x="0" y="0"/>
                      <a:ext cx="5904230" cy="3209925"/>
                    </a:xfrm>
                    <a:prstGeom prst="rect">
                      <a:avLst/>
                    </a:prstGeom>
                  </pic:spPr>
                </pic:pic>
              </a:graphicData>
            </a:graphic>
          </wp:inline>
        </w:drawing>
      </w:r>
    </w:p>
    <w:p w14:paraId="7B410357" w14:textId="77777777" w:rsidR="00292375" w:rsidRDefault="00292375" w:rsidP="00292375">
      <w:pPr>
        <w:pStyle w:val="Heading2"/>
      </w:pPr>
      <w:bookmarkStart w:id="85" w:name="_Toc136329780"/>
      <w:bookmarkStart w:id="86" w:name="_Toc174440014"/>
      <w:r w:rsidRPr="009A1C61">
        <w:t>Incorrect blood component transfused</w:t>
      </w:r>
      <w:r>
        <w:t xml:space="preserve"> (IBCT)</w:t>
      </w:r>
      <w:bookmarkEnd w:id="85"/>
      <w:bookmarkEnd w:id="86"/>
    </w:p>
    <w:p w14:paraId="0125382A" w14:textId="0105E422" w:rsidR="00390291" w:rsidRDefault="0059792B" w:rsidP="00147500">
      <w:pPr>
        <w:pStyle w:val="Body"/>
      </w:pPr>
      <w:r>
        <w:t xml:space="preserve">While there are fewer IBCT events validated this year, there have been errors involving </w:t>
      </w:r>
      <w:r w:rsidR="004477F3">
        <w:t xml:space="preserve">failure of </w:t>
      </w:r>
      <w:r>
        <w:t>bedside checks</w:t>
      </w:r>
      <w:r w:rsidR="004F2C46">
        <w:t xml:space="preserve"> </w:t>
      </w:r>
      <w:r w:rsidR="004477F3">
        <w:t>in detecting</w:t>
      </w:r>
      <w:r w:rsidR="004F2C46">
        <w:t xml:space="preserve"> discrepancies in patient or </w:t>
      </w:r>
      <w:r w:rsidR="004F3888">
        <w:t xml:space="preserve">component </w:t>
      </w:r>
      <w:r w:rsidR="004F2C46">
        <w:t xml:space="preserve">details (see case studies). </w:t>
      </w:r>
    </w:p>
    <w:p w14:paraId="2E45C45A" w14:textId="747D2C9B" w:rsidR="0059792B" w:rsidRDefault="004F2C46" w:rsidP="00147500">
      <w:pPr>
        <w:pStyle w:val="Body"/>
      </w:pPr>
      <w:r>
        <w:t>Fortunately, these have not resulted in serious</w:t>
      </w:r>
      <w:r w:rsidR="00A64CE3">
        <w:t xml:space="preserve"> adverse</w:t>
      </w:r>
      <w:r>
        <w:t xml:space="preserve"> outcomes to patients. However, these should always be treated as serious events.</w:t>
      </w:r>
    </w:p>
    <w:p w14:paraId="78488792" w14:textId="7AAC989E" w:rsidR="00BC1DA9" w:rsidRDefault="004F2C46" w:rsidP="00BC1DA9">
      <w:pPr>
        <w:pStyle w:val="Body"/>
      </w:pPr>
      <w:r>
        <w:t>The STIR expert group produced a bulletin (</w:t>
      </w:r>
      <w:hyperlink r:id="rId39" w:history="1">
        <w:r w:rsidR="00BC1DA9" w:rsidRPr="004F2C46">
          <w:rPr>
            <w:rStyle w:val="Hyperlink"/>
          </w:rPr>
          <w:t>STIR Bulletin 9 Blood product checking</w:t>
        </w:r>
      </w:hyperlink>
      <w:r>
        <w:t>)</w:t>
      </w:r>
      <w:r w:rsidR="00390291">
        <w:rPr>
          <w:rStyle w:val="FootnoteReference"/>
        </w:rPr>
        <w:footnoteReference w:id="15"/>
      </w:r>
      <w:r>
        <w:t xml:space="preserve"> </w:t>
      </w:r>
      <w:r w:rsidR="004477F3">
        <w:t xml:space="preserve">to highlight </w:t>
      </w:r>
      <w:r>
        <w:t xml:space="preserve">errors </w:t>
      </w:r>
      <w:r w:rsidR="004477F3">
        <w:t xml:space="preserve">in bedside checking </w:t>
      </w:r>
      <w:r>
        <w:t>and recommendations for</w:t>
      </w:r>
      <w:r w:rsidR="00A64CE3">
        <w:t xml:space="preserve"> assist</w:t>
      </w:r>
      <w:r w:rsidR="00E268E4">
        <w:t>ing</w:t>
      </w:r>
      <w:r>
        <w:t xml:space="preserve"> health services to</w:t>
      </w:r>
      <w:r w:rsidR="004477F3">
        <w:t xml:space="preserve"> avoid errors</w:t>
      </w:r>
      <w:r>
        <w:t>.</w:t>
      </w:r>
    </w:p>
    <w:p w14:paraId="73A0A8ED" w14:textId="0D8FC5E7" w:rsidR="00390291" w:rsidRDefault="00D24AE8" w:rsidP="00BC1DA9">
      <w:pPr>
        <w:pStyle w:val="Body"/>
      </w:pPr>
      <w:r>
        <w:t xml:space="preserve">Figure </w:t>
      </w:r>
      <w:r w:rsidR="00A9310D">
        <w:t xml:space="preserve">5 </w:t>
      </w:r>
      <w:r>
        <w:t xml:space="preserve">shows the types of IBCT errors reported </w:t>
      </w:r>
      <w:r w:rsidR="00DA7ADF">
        <w:t>since 2010</w:t>
      </w:r>
      <w:r>
        <w:t xml:space="preserve"> and Table </w:t>
      </w:r>
      <w:r w:rsidR="00A9310D">
        <w:t xml:space="preserve">23 </w:t>
      </w:r>
      <w:r>
        <w:t xml:space="preserve">shows the error types for </w:t>
      </w:r>
      <w:r w:rsidR="00DA7ADF">
        <w:t xml:space="preserve">FY23 </w:t>
      </w:r>
      <w:r>
        <w:t xml:space="preserve">validated reports. </w:t>
      </w:r>
    </w:p>
    <w:p w14:paraId="5C33A584" w14:textId="5FA7DF52" w:rsidR="00D24AE8" w:rsidRDefault="003208FB" w:rsidP="00BC1DA9">
      <w:pPr>
        <w:pStyle w:val="Body"/>
      </w:pPr>
      <w:r>
        <w:t>There are no ABO incompatible transfusions reported for FY23</w:t>
      </w:r>
      <w:r w:rsidR="003B51A7">
        <w:t>.</w:t>
      </w:r>
      <w:r w:rsidR="00401576">
        <w:t xml:space="preserve"> </w:t>
      </w:r>
      <w:r w:rsidR="00D24AE8">
        <w:t xml:space="preserve">Table </w:t>
      </w:r>
      <w:r w:rsidR="00A9310D">
        <w:t xml:space="preserve">24 </w:t>
      </w:r>
      <w:r w:rsidR="00D24AE8">
        <w:t xml:space="preserve">shows </w:t>
      </w:r>
      <w:r w:rsidR="008307E1">
        <w:t xml:space="preserve">which location within the health service the </w:t>
      </w:r>
      <w:r w:rsidR="00D24AE8">
        <w:t>events occurred.</w:t>
      </w:r>
    </w:p>
    <w:p w14:paraId="7DA64C86" w14:textId="462F33AA" w:rsidR="00D24AE8" w:rsidRPr="00D24AE8" w:rsidRDefault="00D24AE8" w:rsidP="003B51A7">
      <w:pPr>
        <w:pStyle w:val="Body"/>
        <w:keepNext/>
        <w:rPr>
          <w:b/>
        </w:rPr>
      </w:pPr>
      <w:r w:rsidRPr="00D24AE8">
        <w:rPr>
          <w:b/>
        </w:rPr>
        <w:lastRenderedPageBreak/>
        <w:t xml:space="preserve">Figure </w:t>
      </w:r>
      <w:r w:rsidR="00A9310D">
        <w:rPr>
          <w:b/>
        </w:rPr>
        <w:t>5</w:t>
      </w:r>
      <w:r w:rsidRPr="00D24AE8">
        <w:rPr>
          <w:b/>
        </w:rPr>
        <w:t xml:space="preserve">: </w:t>
      </w:r>
      <w:bookmarkStart w:id="87" w:name="_Hlk144731652"/>
      <w:r w:rsidRPr="00D24AE8">
        <w:rPr>
          <w:b/>
        </w:rPr>
        <w:t>Reported IBCT categories – FY10–FY2</w:t>
      </w:r>
      <w:bookmarkEnd w:id="87"/>
      <w:r>
        <w:rPr>
          <w:b/>
        </w:rPr>
        <w:t>3</w:t>
      </w:r>
    </w:p>
    <w:p w14:paraId="6FD5F37E" w14:textId="1BDDE9A9" w:rsidR="00F04A10" w:rsidRPr="00CE55B3" w:rsidRDefault="00390291" w:rsidP="00BC1DA9">
      <w:pPr>
        <w:pStyle w:val="Body"/>
      </w:pPr>
      <w:r>
        <w:rPr>
          <w:noProof/>
        </w:rPr>
        <w:drawing>
          <wp:inline distT="0" distB="0" distL="0" distR="0" wp14:anchorId="34D7277D" wp14:editId="102B4A9C">
            <wp:extent cx="5904230" cy="3415665"/>
            <wp:effectExtent l="0" t="0" r="1270" b="635"/>
            <wp:docPr id="1272315531" name="Picture 22" descr="Bar graph showing IBCT categories reported over time. Contact STIR for the source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15531" name="Picture 22" descr="Bar graph showing IBCT categories reported over time. Contact STIR for the source data. "/>
                    <pic:cNvPicPr/>
                  </pic:nvPicPr>
                  <pic:blipFill>
                    <a:blip r:embed="rId40"/>
                    <a:stretch>
                      <a:fillRect/>
                    </a:stretch>
                  </pic:blipFill>
                  <pic:spPr>
                    <a:xfrm>
                      <a:off x="0" y="0"/>
                      <a:ext cx="5904230" cy="3415665"/>
                    </a:xfrm>
                    <a:prstGeom prst="rect">
                      <a:avLst/>
                    </a:prstGeom>
                  </pic:spPr>
                </pic:pic>
              </a:graphicData>
            </a:graphic>
          </wp:inline>
        </w:drawing>
      </w:r>
    </w:p>
    <w:p w14:paraId="33FC3F21" w14:textId="2441A296" w:rsidR="004F2C46" w:rsidRPr="003E4548" w:rsidRDefault="00390291" w:rsidP="00CE55B3">
      <w:pPr>
        <w:pStyle w:val="Tablefigurenote"/>
      </w:pPr>
      <w:r>
        <w:t>‘</w:t>
      </w:r>
      <w:r w:rsidR="00F04A10" w:rsidRPr="00390291">
        <w:t>Inappropriate</w:t>
      </w:r>
      <w:r>
        <w:t>’</w:t>
      </w:r>
      <w:r w:rsidR="00F04A10" w:rsidRPr="003E4548">
        <w:t xml:space="preserve"> was redefined in FY19, with some events being categorised into </w:t>
      </w:r>
      <w:r>
        <w:t>‘</w:t>
      </w:r>
      <w:r w:rsidR="00F04A10" w:rsidRPr="003E4548">
        <w:t>procedural – other</w:t>
      </w:r>
      <w:r>
        <w:t>’</w:t>
      </w:r>
      <w:r w:rsidRPr="003E4548">
        <w:t>.</w:t>
      </w:r>
    </w:p>
    <w:p w14:paraId="6D013E22" w14:textId="7A53808E" w:rsidR="00292375" w:rsidRDefault="00292375" w:rsidP="00CE55B3">
      <w:pPr>
        <w:pStyle w:val="Tablecaption"/>
      </w:pPr>
      <w:r w:rsidRPr="009A1C61">
        <w:t xml:space="preserve">Table </w:t>
      </w:r>
      <w:r w:rsidR="00A9310D">
        <w:t>23:</w:t>
      </w:r>
      <w:r w:rsidRPr="009A1C61">
        <w:t xml:space="preserve"> Types of </w:t>
      </w:r>
      <w:r w:rsidRPr="00390291">
        <w:t>IBCT</w:t>
      </w:r>
      <w:r w:rsidRPr="009A1C61">
        <w:t xml:space="preserve"> events FY2</w:t>
      </w:r>
      <w:r w:rsidR="004F2C46">
        <w:t>3</w:t>
      </w:r>
    </w:p>
    <w:tbl>
      <w:tblPr>
        <w:tblStyle w:val="GridTable6Colorful-Accent2"/>
        <w:tblW w:w="0" w:type="auto"/>
        <w:tblLook w:val="04A0" w:firstRow="1" w:lastRow="0" w:firstColumn="1" w:lastColumn="0" w:noHBand="0" w:noVBand="1"/>
      </w:tblPr>
      <w:tblGrid>
        <w:gridCol w:w="4644"/>
        <w:gridCol w:w="2864"/>
      </w:tblGrid>
      <w:tr w:rsidR="00D24AE8" w:rsidRPr="00D24AE8" w14:paraId="090D5416"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715B262" w14:textId="77777777" w:rsidR="00D24AE8" w:rsidRPr="00CE55B3" w:rsidRDefault="00D24AE8" w:rsidP="00390291">
            <w:pPr>
              <w:pStyle w:val="Tablecolhead"/>
              <w:rPr>
                <w:b/>
                <w:bCs w:val="0"/>
              </w:rPr>
            </w:pPr>
            <w:r w:rsidRPr="00CE55B3">
              <w:t>Event</w:t>
            </w:r>
          </w:p>
        </w:tc>
        <w:tc>
          <w:tcPr>
            <w:tcW w:w="0" w:type="dxa"/>
          </w:tcPr>
          <w:p w14:paraId="066919BE" w14:textId="77777777" w:rsidR="00D24AE8" w:rsidRPr="00CE55B3" w:rsidRDefault="00D24AE8"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Count</w:t>
            </w:r>
          </w:p>
        </w:tc>
      </w:tr>
      <w:tr w:rsidR="00D24AE8" w:rsidRPr="00D24AE8" w14:paraId="0D093564"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5F5F7D19" w14:textId="77777777" w:rsidR="00D24AE8" w:rsidRPr="00E91AAA" w:rsidRDefault="00D24AE8" w:rsidP="00D24AE8">
            <w:pPr>
              <w:pStyle w:val="Body"/>
              <w:rPr>
                <w:b w:val="0"/>
                <w:color w:val="000000" w:themeColor="text1"/>
              </w:rPr>
            </w:pPr>
            <w:r w:rsidRPr="00E91AAA">
              <w:rPr>
                <w:b w:val="0"/>
                <w:color w:val="000000" w:themeColor="text1"/>
              </w:rPr>
              <w:t>ABO incompatible</w:t>
            </w:r>
          </w:p>
        </w:tc>
        <w:tc>
          <w:tcPr>
            <w:tcW w:w="2864" w:type="dxa"/>
          </w:tcPr>
          <w:p w14:paraId="6D4F0F41" w14:textId="4FCF9D77" w:rsidR="00D24AE8" w:rsidRPr="00E91AAA" w:rsidRDefault="00043F8A" w:rsidP="00E940DA">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w:t>
            </w:r>
          </w:p>
        </w:tc>
      </w:tr>
      <w:tr w:rsidR="00D24AE8" w:rsidRPr="00D24AE8" w14:paraId="16F0940E"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3551EBB6" w14:textId="77777777" w:rsidR="00D24AE8" w:rsidRPr="00E91AAA" w:rsidRDefault="00D24AE8" w:rsidP="00D24AE8">
            <w:pPr>
              <w:pStyle w:val="Body"/>
              <w:rPr>
                <w:b w:val="0"/>
                <w:color w:val="000000" w:themeColor="text1"/>
              </w:rPr>
            </w:pPr>
            <w:r w:rsidRPr="00E91AAA">
              <w:rPr>
                <w:b w:val="0"/>
                <w:color w:val="000000" w:themeColor="text1"/>
              </w:rPr>
              <w:t>ABO compatible</w:t>
            </w:r>
          </w:p>
        </w:tc>
        <w:tc>
          <w:tcPr>
            <w:tcW w:w="2864" w:type="dxa"/>
          </w:tcPr>
          <w:p w14:paraId="22CC694E" w14:textId="151298DA" w:rsidR="00D24AE8" w:rsidRPr="00E91AAA" w:rsidRDefault="0089567D" w:rsidP="00E940DA">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2</w:t>
            </w:r>
          </w:p>
        </w:tc>
      </w:tr>
      <w:tr w:rsidR="00D24AE8" w:rsidRPr="00D24AE8" w14:paraId="25E96614"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66C91D6" w14:textId="77777777" w:rsidR="00D24AE8" w:rsidRPr="00E91AAA" w:rsidRDefault="00D24AE8" w:rsidP="00D24AE8">
            <w:pPr>
              <w:pStyle w:val="Body"/>
              <w:rPr>
                <w:b w:val="0"/>
                <w:color w:val="000000" w:themeColor="text1"/>
              </w:rPr>
            </w:pPr>
            <w:r w:rsidRPr="00E91AAA">
              <w:rPr>
                <w:b w:val="0"/>
                <w:color w:val="000000" w:themeColor="text1"/>
              </w:rPr>
              <w:t>Specific requirements not met</w:t>
            </w:r>
          </w:p>
        </w:tc>
        <w:tc>
          <w:tcPr>
            <w:tcW w:w="2864" w:type="dxa"/>
          </w:tcPr>
          <w:p w14:paraId="2E2393CA" w14:textId="5CEE9E31" w:rsidR="00D24AE8" w:rsidRPr="00E91AAA" w:rsidRDefault="00043F8A" w:rsidP="00E940DA">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2</w:t>
            </w:r>
          </w:p>
        </w:tc>
      </w:tr>
      <w:tr w:rsidR="00D24AE8" w:rsidRPr="00D24AE8" w14:paraId="4AB1FBBA"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05FDE1DD" w14:textId="77777777" w:rsidR="00D24AE8" w:rsidRPr="00E91AAA" w:rsidRDefault="00D24AE8" w:rsidP="00D24AE8">
            <w:pPr>
              <w:pStyle w:val="Body"/>
              <w:rPr>
                <w:b w:val="0"/>
                <w:color w:val="000000" w:themeColor="text1"/>
              </w:rPr>
            </w:pPr>
            <w:r w:rsidRPr="00E91AAA">
              <w:rPr>
                <w:b w:val="0"/>
                <w:color w:val="000000" w:themeColor="text1"/>
              </w:rPr>
              <w:t xml:space="preserve">Antigen-antibody incompatibility, including </w:t>
            </w:r>
            <w:proofErr w:type="spellStart"/>
            <w:r w:rsidRPr="00E91AAA">
              <w:rPr>
                <w:b w:val="0"/>
                <w:color w:val="000000" w:themeColor="text1"/>
              </w:rPr>
              <w:t>RhD</w:t>
            </w:r>
            <w:proofErr w:type="spellEnd"/>
          </w:p>
        </w:tc>
        <w:tc>
          <w:tcPr>
            <w:tcW w:w="2864" w:type="dxa"/>
          </w:tcPr>
          <w:p w14:paraId="77CE9188" w14:textId="184DAACF" w:rsidR="00D24AE8" w:rsidRPr="00E91AAA" w:rsidRDefault="00043F8A" w:rsidP="00E940DA">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4</w:t>
            </w:r>
          </w:p>
        </w:tc>
      </w:tr>
      <w:tr w:rsidR="00D24AE8" w:rsidRPr="00D24AE8" w14:paraId="70CCDB70"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2912E903" w14:textId="30982F60" w:rsidR="00D24AE8" w:rsidRPr="00E91AAA" w:rsidRDefault="00D24AE8" w:rsidP="00D24AE8">
            <w:pPr>
              <w:pStyle w:val="Body"/>
              <w:rPr>
                <w:b w:val="0"/>
                <w:color w:val="000000" w:themeColor="text1"/>
              </w:rPr>
            </w:pPr>
            <w:r w:rsidRPr="00E91AAA">
              <w:rPr>
                <w:b w:val="0"/>
                <w:color w:val="000000" w:themeColor="text1"/>
              </w:rPr>
              <w:t>Inappropriate</w:t>
            </w:r>
            <w:r w:rsidR="00043F8A" w:rsidRPr="00E91AAA">
              <w:rPr>
                <w:b w:val="0"/>
                <w:color w:val="000000" w:themeColor="text1"/>
              </w:rPr>
              <w:t xml:space="preserve"> (no clinical need)</w:t>
            </w:r>
          </w:p>
        </w:tc>
        <w:tc>
          <w:tcPr>
            <w:tcW w:w="2864" w:type="dxa"/>
          </w:tcPr>
          <w:p w14:paraId="5581D4C8" w14:textId="355875C7" w:rsidR="00D24AE8" w:rsidRPr="00E91AAA" w:rsidRDefault="00043F8A" w:rsidP="00E940DA">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2</w:t>
            </w:r>
          </w:p>
        </w:tc>
      </w:tr>
    </w:tbl>
    <w:p w14:paraId="1715F44A" w14:textId="271A55C0" w:rsidR="00292375" w:rsidRDefault="00292375" w:rsidP="00CE55B3">
      <w:pPr>
        <w:pStyle w:val="Tablecaption"/>
      </w:pPr>
      <w:bookmarkStart w:id="88" w:name="_Hlk108005750"/>
      <w:r w:rsidRPr="009A1C61">
        <w:t xml:space="preserve">Table </w:t>
      </w:r>
      <w:r w:rsidR="00A9310D">
        <w:t>24:</w:t>
      </w:r>
      <w:r w:rsidRPr="009A1C61">
        <w:t xml:space="preserve"> Where </w:t>
      </w:r>
      <w:r w:rsidR="00D24AE8" w:rsidRPr="00390291">
        <w:t>IBCT</w:t>
      </w:r>
      <w:r w:rsidR="00D24AE8">
        <w:t xml:space="preserve"> </w:t>
      </w:r>
      <w:r w:rsidRPr="009A1C61">
        <w:t>events occurred</w:t>
      </w:r>
      <w:bookmarkEnd w:id="88"/>
    </w:p>
    <w:tbl>
      <w:tblPr>
        <w:tblStyle w:val="GridTable6Colorful-Accent2"/>
        <w:tblW w:w="0" w:type="auto"/>
        <w:tblLook w:val="04A0" w:firstRow="1" w:lastRow="0" w:firstColumn="1" w:lastColumn="0" w:noHBand="0" w:noVBand="1"/>
      </w:tblPr>
      <w:tblGrid>
        <w:gridCol w:w="4644"/>
        <w:gridCol w:w="2864"/>
      </w:tblGrid>
      <w:tr w:rsidR="00D24AE8" w:rsidRPr="00D24AE8" w14:paraId="46E45A8C"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9602B9A" w14:textId="77777777" w:rsidR="00D24AE8" w:rsidRPr="00CE55B3" w:rsidRDefault="00D24AE8" w:rsidP="00390291">
            <w:pPr>
              <w:pStyle w:val="Tablecolhead"/>
              <w:rPr>
                <w:b/>
                <w:bCs w:val="0"/>
              </w:rPr>
            </w:pPr>
            <w:r w:rsidRPr="00CE55B3">
              <w:t>Location</w:t>
            </w:r>
          </w:p>
        </w:tc>
        <w:tc>
          <w:tcPr>
            <w:tcW w:w="0" w:type="dxa"/>
          </w:tcPr>
          <w:p w14:paraId="19755FAE" w14:textId="385877AC" w:rsidR="00D24AE8" w:rsidRPr="00CE55B3" w:rsidRDefault="00D24AE8"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Count</w:t>
            </w:r>
            <w:r w:rsidR="00390291">
              <w:rPr>
                <w:rStyle w:val="FootnoteReference"/>
                <w:b/>
                <w:bCs w:val="0"/>
              </w:rPr>
              <w:footnoteReference w:id="16"/>
            </w:r>
          </w:p>
        </w:tc>
      </w:tr>
      <w:tr w:rsidR="00D24AE8" w:rsidRPr="00D24AE8" w14:paraId="7456A9A8"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1727983" w14:textId="77777777" w:rsidR="00D24AE8" w:rsidRPr="00E91AAA" w:rsidRDefault="00D24AE8" w:rsidP="00D24AE8">
            <w:pPr>
              <w:pStyle w:val="Body"/>
              <w:rPr>
                <w:b w:val="0"/>
                <w:color w:val="000000" w:themeColor="text1"/>
              </w:rPr>
            </w:pPr>
            <w:r w:rsidRPr="00E91AAA">
              <w:rPr>
                <w:b w:val="0"/>
                <w:color w:val="000000" w:themeColor="text1"/>
              </w:rPr>
              <w:t>Ward</w:t>
            </w:r>
          </w:p>
        </w:tc>
        <w:tc>
          <w:tcPr>
            <w:tcW w:w="2864" w:type="dxa"/>
          </w:tcPr>
          <w:p w14:paraId="5FAC6975" w14:textId="0307DF27" w:rsidR="00D24AE8" w:rsidRPr="00E91AAA" w:rsidRDefault="00C349EA" w:rsidP="00E940DA">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4</w:t>
            </w:r>
          </w:p>
        </w:tc>
      </w:tr>
      <w:tr w:rsidR="00D24AE8" w:rsidRPr="00D24AE8" w14:paraId="49AA1D30"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3BB79169" w14:textId="2078D683" w:rsidR="00D24AE8" w:rsidRPr="00E91AAA" w:rsidRDefault="00D24AE8" w:rsidP="00D24AE8">
            <w:pPr>
              <w:pStyle w:val="Body"/>
              <w:rPr>
                <w:b w:val="0"/>
                <w:color w:val="000000" w:themeColor="text1"/>
              </w:rPr>
            </w:pPr>
            <w:r w:rsidRPr="00E91AAA">
              <w:rPr>
                <w:b w:val="0"/>
                <w:color w:val="000000" w:themeColor="text1"/>
              </w:rPr>
              <w:t>Emergency department</w:t>
            </w:r>
            <w:r w:rsidR="004B1672" w:rsidRPr="00E91AAA">
              <w:rPr>
                <w:b w:val="0"/>
                <w:color w:val="000000" w:themeColor="text1"/>
              </w:rPr>
              <w:t xml:space="preserve"> (ED)</w:t>
            </w:r>
          </w:p>
        </w:tc>
        <w:tc>
          <w:tcPr>
            <w:tcW w:w="2864" w:type="dxa"/>
          </w:tcPr>
          <w:p w14:paraId="0C523AE5" w14:textId="3EA54079" w:rsidR="00D24AE8" w:rsidRPr="00E91AAA" w:rsidRDefault="008079EA" w:rsidP="00E940DA">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3</w:t>
            </w:r>
          </w:p>
        </w:tc>
      </w:tr>
      <w:tr w:rsidR="00D24AE8" w:rsidRPr="00D24AE8" w14:paraId="7A158694"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E2E848B" w14:textId="77777777" w:rsidR="00D24AE8" w:rsidRPr="00E91AAA" w:rsidRDefault="00D24AE8" w:rsidP="00D24AE8">
            <w:pPr>
              <w:pStyle w:val="Body"/>
              <w:rPr>
                <w:b w:val="0"/>
                <w:color w:val="000000" w:themeColor="text1"/>
              </w:rPr>
            </w:pPr>
            <w:r w:rsidRPr="00E91AAA">
              <w:rPr>
                <w:b w:val="0"/>
                <w:color w:val="000000" w:themeColor="text1"/>
              </w:rPr>
              <w:t>ICU</w:t>
            </w:r>
          </w:p>
        </w:tc>
        <w:tc>
          <w:tcPr>
            <w:tcW w:w="2864" w:type="dxa"/>
          </w:tcPr>
          <w:p w14:paraId="799F949F" w14:textId="7AC47C35" w:rsidR="00D24AE8" w:rsidRPr="00E91AAA" w:rsidRDefault="00043F8A" w:rsidP="00E940DA">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1</w:t>
            </w:r>
          </w:p>
        </w:tc>
      </w:tr>
      <w:tr w:rsidR="00D24AE8" w:rsidRPr="00D24AE8" w14:paraId="5D07C624"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26D8CE7C" w14:textId="77777777" w:rsidR="00D24AE8" w:rsidRPr="00E91AAA" w:rsidRDefault="00D24AE8" w:rsidP="00D24AE8">
            <w:pPr>
              <w:pStyle w:val="Body"/>
              <w:rPr>
                <w:b w:val="0"/>
                <w:color w:val="000000" w:themeColor="text1"/>
              </w:rPr>
            </w:pPr>
            <w:r w:rsidRPr="00E91AAA">
              <w:rPr>
                <w:b w:val="0"/>
                <w:color w:val="000000" w:themeColor="text1"/>
              </w:rPr>
              <w:t>Day unit</w:t>
            </w:r>
          </w:p>
        </w:tc>
        <w:tc>
          <w:tcPr>
            <w:tcW w:w="2864" w:type="dxa"/>
          </w:tcPr>
          <w:p w14:paraId="6676221E" w14:textId="32BBA8F7" w:rsidR="00D24AE8" w:rsidRPr="00E91AAA" w:rsidRDefault="00043F8A" w:rsidP="00E940DA">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1</w:t>
            </w:r>
          </w:p>
        </w:tc>
      </w:tr>
      <w:tr w:rsidR="00D24AE8" w:rsidRPr="00D24AE8" w14:paraId="2EF385CF"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E494CD7" w14:textId="77777777" w:rsidR="00D24AE8" w:rsidRPr="00E91AAA" w:rsidRDefault="00D24AE8" w:rsidP="00D24AE8">
            <w:pPr>
              <w:pStyle w:val="Body"/>
              <w:rPr>
                <w:b w:val="0"/>
                <w:color w:val="000000" w:themeColor="text1"/>
              </w:rPr>
            </w:pPr>
            <w:r w:rsidRPr="00E91AAA">
              <w:rPr>
                <w:b w:val="0"/>
                <w:color w:val="000000" w:themeColor="text1"/>
              </w:rPr>
              <w:t>Operating theatre</w:t>
            </w:r>
          </w:p>
        </w:tc>
        <w:tc>
          <w:tcPr>
            <w:tcW w:w="2864" w:type="dxa"/>
          </w:tcPr>
          <w:p w14:paraId="2D158DF4" w14:textId="7D690164" w:rsidR="00D24AE8" w:rsidRPr="00E91AAA" w:rsidRDefault="008079EA" w:rsidP="00E940DA">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1</w:t>
            </w:r>
          </w:p>
        </w:tc>
      </w:tr>
      <w:tr w:rsidR="0089567D" w:rsidRPr="00D24AE8" w14:paraId="510D44A1"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6B6B6758" w14:textId="2FB8079C" w:rsidR="0089567D" w:rsidRPr="00E91AAA" w:rsidRDefault="0089567D" w:rsidP="00D24AE8">
            <w:pPr>
              <w:pStyle w:val="Body"/>
              <w:rPr>
                <w:b w:val="0"/>
                <w:color w:val="000000" w:themeColor="text1"/>
              </w:rPr>
            </w:pPr>
            <w:r w:rsidRPr="00E91AAA">
              <w:rPr>
                <w:b w:val="0"/>
                <w:color w:val="000000" w:themeColor="text1"/>
              </w:rPr>
              <w:t>Other -urgent care unit</w:t>
            </w:r>
          </w:p>
        </w:tc>
        <w:tc>
          <w:tcPr>
            <w:tcW w:w="2864" w:type="dxa"/>
          </w:tcPr>
          <w:p w14:paraId="12689448" w14:textId="4208B45A" w:rsidR="0089567D" w:rsidRPr="00E91AAA" w:rsidRDefault="0089567D" w:rsidP="00E940DA">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1</w:t>
            </w:r>
          </w:p>
        </w:tc>
      </w:tr>
    </w:tbl>
    <w:p w14:paraId="689364D7" w14:textId="767543F7" w:rsidR="00566F66" w:rsidRDefault="00566F66" w:rsidP="00390291">
      <w:pPr>
        <w:pStyle w:val="Body"/>
        <w:rPr>
          <w:noProof/>
        </w:rPr>
      </w:pPr>
    </w:p>
    <w:tbl>
      <w:tblPr>
        <w:tblStyle w:val="TableGrid"/>
        <w:tblW w:w="0" w:type="auto"/>
        <w:tblLook w:val="04A0" w:firstRow="1" w:lastRow="0" w:firstColumn="1" w:lastColumn="0" w:noHBand="0" w:noVBand="1"/>
      </w:tblPr>
      <w:tblGrid>
        <w:gridCol w:w="9288"/>
      </w:tblGrid>
      <w:tr w:rsidR="00390291" w14:paraId="6358E0E3" w14:textId="77777777" w:rsidTr="00390291">
        <w:tc>
          <w:tcPr>
            <w:tcW w:w="9288" w:type="dxa"/>
          </w:tcPr>
          <w:p w14:paraId="4ABFCD73" w14:textId="7AB2506E" w:rsidR="00390291" w:rsidRDefault="00390291" w:rsidP="00CE55B3">
            <w:pPr>
              <w:pStyle w:val="Boxheading"/>
            </w:pPr>
            <w:bookmarkStart w:id="89" w:name="_Toc174439921"/>
            <w:r w:rsidRPr="00CE3AD4">
              <w:lastRenderedPageBreak/>
              <w:t>Case stud</w:t>
            </w:r>
            <w:r>
              <w:t>y 6</w:t>
            </w:r>
            <w:r w:rsidRPr="00CE3AD4">
              <w:t>:</w:t>
            </w:r>
            <w:r>
              <w:t xml:space="preserve"> Two-person (double) </w:t>
            </w:r>
            <w:r w:rsidRPr="00390291">
              <w:t>independent</w:t>
            </w:r>
            <w:r>
              <w:t xml:space="preserve"> checks not followed correctly</w:t>
            </w:r>
            <w:bookmarkEnd w:id="89"/>
          </w:p>
          <w:p w14:paraId="3B39A4DF" w14:textId="7EB82ACB" w:rsidR="00390291" w:rsidRPr="00CE3AD4" w:rsidRDefault="00390291" w:rsidP="00390291">
            <w:pPr>
              <w:pStyle w:val="Body"/>
            </w:pPr>
            <w:r w:rsidRPr="00CE3AD4">
              <w:t xml:space="preserve">This event was initially reported as </w:t>
            </w:r>
            <w:r>
              <w:t>p</w:t>
            </w:r>
            <w:r w:rsidRPr="00CE3AD4">
              <w:t>rocedural</w:t>
            </w:r>
            <w:r>
              <w:t xml:space="preserve"> –</w:t>
            </w:r>
            <w:r w:rsidRPr="00CE3AD4">
              <w:t xml:space="preserve"> other. However, the patient received a unit of </w:t>
            </w:r>
            <w:r>
              <w:t>RBC</w:t>
            </w:r>
            <w:r w:rsidRPr="00CE3AD4">
              <w:t xml:space="preserve"> labelled and intended for a different patient</w:t>
            </w:r>
            <w:r>
              <w:t>. The Expert Group therefore reclassified the event.</w:t>
            </w:r>
          </w:p>
          <w:p w14:paraId="0C3637FB" w14:textId="7A4EB091" w:rsidR="00390291" w:rsidRDefault="00390291" w:rsidP="00390291">
            <w:pPr>
              <w:pStyle w:val="Body"/>
            </w:pPr>
            <w:r w:rsidRPr="00CE3AD4">
              <w:t xml:space="preserve">A nurse collected </w:t>
            </w:r>
            <w:r>
              <w:t>RBC</w:t>
            </w:r>
            <w:r w:rsidRPr="00CE3AD4">
              <w:t xml:space="preserve"> from</w:t>
            </w:r>
            <w:r>
              <w:t xml:space="preserve"> the </w:t>
            </w:r>
            <w:r w:rsidRPr="00CE3AD4">
              <w:t>blood bank for patient X</w:t>
            </w:r>
            <w:r>
              <w:t xml:space="preserve">, </w:t>
            </w:r>
            <w:r w:rsidRPr="00CE3AD4">
              <w:t xml:space="preserve">unit group A </w:t>
            </w:r>
            <w:proofErr w:type="spellStart"/>
            <w:r>
              <w:t>RhD</w:t>
            </w:r>
            <w:proofErr w:type="spellEnd"/>
            <w:r>
              <w:t xml:space="preserve"> </w:t>
            </w:r>
            <w:r w:rsidRPr="00CE3AD4">
              <w:t>neg</w:t>
            </w:r>
            <w:r>
              <w:t>,</w:t>
            </w:r>
            <w:r w:rsidRPr="00CE3AD4">
              <w:t xml:space="preserve"> as documented on</w:t>
            </w:r>
            <w:r>
              <w:t xml:space="preserve"> the associated</w:t>
            </w:r>
            <w:r w:rsidRPr="00CE3AD4">
              <w:t xml:space="preserve"> paperwork. </w:t>
            </w:r>
          </w:p>
          <w:p w14:paraId="2D76CEA9" w14:textId="37D8B093" w:rsidR="00390291" w:rsidRPr="00CE3AD4" w:rsidRDefault="00390291" w:rsidP="00390291">
            <w:pPr>
              <w:pStyle w:val="Body"/>
            </w:pPr>
            <w:r w:rsidRPr="00CE3AD4">
              <w:t xml:space="preserve">After delivery to the ward, </w:t>
            </w:r>
            <w:r>
              <w:t xml:space="preserve">2 </w:t>
            </w:r>
            <w:r w:rsidRPr="00CE3AD4">
              <w:t xml:space="preserve">nurses took the </w:t>
            </w:r>
            <w:r>
              <w:t>RBC unit</w:t>
            </w:r>
            <w:r w:rsidRPr="00CE3AD4">
              <w:t xml:space="preserve"> to the patient side to perform checks and administer.</w:t>
            </w:r>
          </w:p>
          <w:p w14:paraId="41E30675" w14:textId="0EFAC1A9" w:rsidR="00390291" w:rsidRPr="00CE3AD4" w:rsidRDefault="00390291" w:rsidP="00390291">
            <w:pPr>
              <w:pStyle w:val="Body"/>
            </w:pPr>
            <w:r w:rsidRPr="00CE3AD4">
              <w:t xml:space="preserve">The nurses did not perform </w:t>
            </w:r>
            <w:r>
              <w:t>2</w:t>
            </w:r>
            <w:r w:rsidRPr="005D3437">
              <w:t xml:space="preserve">-person (double) </w:t>
            </w:r>
            <w:r w:rsidRPr="00CE3AD4">
              <w:t>independent checks. One nurse checked the relevant prescription while the other nurse checked the pat</w:t>
            </w:r>
            <w:r>
              <w:t>i</w:t>
            </w:r>
            <w:r w:rsidRPr="00CE3AD4">
              <w:t>ent identification band.</w:t>
            </w:r>
          </w:p>
          <w:p w14:paraId="1B260810" w14:textId="1046D6DE" w:rsidR="00390291" w:rsidRDefault="00390291" w:rsidP="00390291">
            <w:pPr>
              <w:pStyle w:val="Body"/>
            </w:pPr>
            <w:r w:rsidRPr="00CE3AD4">
              <w:t xml:space="preserve">One nurse stated they had trouble pronouncing the surname of the patient </w:t>
            </w:r>
            <w:r>
              <w:t>as per the RBC unit compatibility label. They spelled</w:t>
            </w:r>
            <w:r w:rsidRPr="00CE3AD4">
              <w:t xml:space="preserve"> the surname out several times to the second nurse</w:t>
            </w:r>
            <w:r>
              <w:t>,</w:t>
            </w:r>
            <w:r w:rsidRPr="00CE3AD4">
              <w:t xml:space="preserve"> who answered </w:t>
            </w:r>
            <w:r>
              <w:t>‘</w:t>
            </w:r>
            <w:r w:rsidRPr="00CE3AD4">
              <w:t>yes</w:t>
            </w:r>
            <w:r>
              <w:t>’</w:t>
            </w:r>
            <w:r w:rsidRPr="00CE3AD4">
              <w:t xml:space="preserve">, when asked if that was the correct patient. </w:t>
            </w:r>
          </w:p>
          <w:p w14:paraId="3D7B80E8" w14:textId="08ADB754" w:rsidR="00390291" w:rsidRPr="00CE3AD4" w:rsidRDefault="00390291" w:rsidP="00390291">
            <w:pPr>
              <w:pStyle w:val="Body"/>
            </w:pPr>
            <w:r w:rsidRPr="00CE3AD4">
              <w:t>The first nurse did not look to see that the details were correct.</w:t>
            </w:r>
          </w:p>
          <w:p w14:paraId="460D2C48" w14:textId="77777777" w:rsidR="00390291" w:rsidRPr="00CE3AD4" w:rsidRDefault="00390291" w:rsidP="00390291">
            <w:pPr>
              <w:pStyle w:val="Body"/>
            </w:pPr>
            <w:r w:rsidRPr="00CE3AD4">
              <w:t xml:space="preserve">There were no comments on the checking </w:t>
            </w:r>
            <w:r>
              <w:t xml:space="preserve">if the patient details matched the details on the RBC compatibility label. If this check was done, no </w:t>
            </w:r>
            <w:r w:rsidRPr="00CE3AD4">
              <w:t>discrepancy in patient name</w:t>
            </w:r>
            <w:r>
              <w:t xml:space="preserve"> was noted.</w:t>
            </w:r>
          </w:p>
          <w:p w14:paraId="4F119DE1" w14:textId="0B5EB93B" w:rsidR="00390291" w:rsidRDefault="00390291" w:rsidP="00390291">
            <w:pPr>
              <w:pStyle w:val="Body"/>
            </w:pPr>
            <w:r w:rsidRPr="00CE3AD4">
              <w:t>Approximately 100</w:t>
            </w:r>
            <w:r>
              <w:t xml:space="preserve"> </w:t>
            </w:r>
            <w:r w:rsidRPr="00CE3AD4">
              <w:t xml:space="preserve">mL of </w:t>
            </w:r>
            <w:r>
              <w:t>RBC</w:t>
            </w:r>
            <w:r w:rsidRPr="00CE3AD4">
              <w:t xml:space="preserve"> </w:t>
            </w:r>
            <w:r>
              <w:t>was</w:t>
            </w:r>
            <w:r w:rsidRPr="00CE3AD4">
              <w:t xml:space="preserve"> </w:t>
            </w:r>
            <w:r>
              <w:t>transfused</w:t>
            </w:r>
            <w:r w:rsidRPr="00CE3AD4">
              <w:t xml:space="preserve"> prior to staff finding the mismatch in identification between the patient wristband and compatibility label on the unit. </w:t>
            </w:r>
          </w:p>
          <w:p w14:paraId="0268A47F" w14:textId="1D3D2DC5" w:rsidR="00390291" w:rsidRPr="00CE3AD4" w:rsidRDefault="00390291" w:rsidP="00390291">
            <w:pPr>
              <w:pStyle w:val="Body"/>
            </w:pPr>
            <w:r w:rsidRPr="00CE3AD4">
              <w:t>The error was picked up by a third nurse performing checks during round</w:t>
            </w:r>
            <w:r>
              <w:t>s</w:t>
            </w:r>
            <w:r w:rsidRPr="00CE3AD4">
              <w:t xml:space="preserve">. </w:t>
            </w:r>
          </w:p>
          <w:p w14:paraId="037B438E" w14:textId="1814F7FF" w:rsidR="00390291" w:rsidRPr="00CE3AD4" w:rsidRDefault="00390291" w:rsidP="00390291">
            <w:pPr>
              <w:pStyle w:val="Body"/>
            </w:pPr>
            <w:r w:rsidRPr="00CE3AD4">
              <w:t>The transfusion was immediately ceased, and the patient</w:t>
            </w:r>
            <w:r>
              <w:t xml:space="preserve"> was</w:t>
            </w:r>
            <w:r w:rsidRPr="00CE3AD4">
              <w:t xml:space="preserve"> informed of the error. </w:t>
            </w:r>
          </w:p>
          <w:p w14:paraId="2ADB4088" w14:textId="757CA117" w:rsidR="00390291" w:rsidRPr="00CE3AD4" w:rsidRDefault="00390291" w:rsidP="00390291">
            <w:pPr>
              <w:pStyle w:val="Body"/>
            </w:pPr>
            <w:r w:rsidRPr="00CE3AD4">
              <w:t>During investigation</w:t>
            </w:r>
            <w:r>
              <w:t>,</w:t>
            </w:r>
            <w:r w:rsidRPr="00CE3AD4">
              <w:t xml:space="preserve"> it was noted that the patient said to the nurses that the blood was not intended for them.</w:t>
            </w:r>
            <w:r>
              <w:t xml:space="preserve"> </w:t>
            </w:r>
            <w:r w:rsidRPr="00CE3AD4">
              <w:t xml:space="preserve">Fortunately, the unit was </w:t>
            </w:r>
            <w:r>
              <w:t xml:space="preserve">ABO </w:t>
            </w:r>
            <w:r w:rsidRPr="00CE3AD4">
              <w:t>compatible with the patient who received it.</w:t>
            </w:r>
          </w:p>
          <w:p w14:paraId="384776BF" w14:textId="68113F21" w:rsidR="00390291" w:rsidRPr="00CE3AD4" w:rsidRDefault="00390291" w:rsidP="00390291">
            <w:pPr>
              <w:pStyle w:val="Body"/>
            </w:pPr>
            <w:r w:rsidRPr="00CE3AD4">
              <w:t>The health service is investigating the use of simulation training to educate staff on the correct</w:t>
            </w:r>
            <w:r>
              <w:t xml:space="preserve"> 2</w:t>
            </w:r>
            <w:r w:rsidRPr="00CE55B3">
              <w:noBreakHyphen/>
            </w:r>
            <w:r w:rsidRPr="005D3437">
              <w:t xml:space="preserve">person (double) </w:t>
            </w:r>
            <w:r w:rsidRPr="00CE3AD4">
              <w:t>independent checking procedure.</w:t>
            </w:r>
          </w:p>
          <w:p w14:paraId="28A34B50" w14:textId="2BE3AB51" w:rsidR="00390291" w:rsidRPr="00CE55B3" w:rsidRDefault="00390291" w:rsidP="00390291">
            <w:pPr>
              <w:pStyle w:val="Body"/>
              <w:rPr>
                <w:b/>
                <w:bCs/>
              </w:rPr>
            </w:pPr>
            <w:r w:rsidRPr="00CE55B3">
              <w:rPr>
                <w:b/>
                <w:bCs/>
              </w:rPr>
              <w:t xml:space="preserve">Expert </w:t>
            </w:r>
            <w:r>
              <w:rPr>
                <w:b/>
                <w:bCs/>
              </w:rPr>
              <w:t>G</w:t>
            </w:r>
            <w:r w:rsidRPr="00CE55B3">
              <w:rPr>
                <w:b/>
                <w:bCs/>
              </w:rPr>
              <w:t>roup determination: IBCT SR3</w:t>
            </w:r>
            <w:r>
              <w:rPr>
                <w:b/>
                <w:bCs/>
              </w:rPr>
              <w:t>,</w:t>
            </w:r>
            <w:r w:rsidRPr="00CE55B3">
              <w:rPr>
                <w:b/>
                <w:bCs/>
              </w:rPr>
              <w:t xml:space="preserve"> certainly</w:t>
            </w:r>
            <w:r w:rsidR="00A63672">
              <w:rPr>
                <w:b/>
                <w:bCs/>
              </w:rPr>
              <w:t>,</w:t>
            </w:r>
            <w:r w:rsidRPr="00CE55B3">
              <w:rPr>
                <w:b/>
                <w:bCs/>
              </w:rPr>
              <w:t xml:space="preserve"> ABO compatible</w:t>
            </w:r>
          </w:p>
          <w:p w14:paraId="1B8D124F" w14:textId="583009E8" w:rsidR="00390291" w:rsidRPr="00CE3AD4" w:rsidRDefault="00390291" w:rsidP="00390291">
            <w:pPr>
              <w:pStyle w:val="Body"/>
            </w:pPr>
            <w:r w:rsidRPr="00CE3AD4">
              <w:t>The health service noted that while there was no physical reaction from this event, the patient did suffer some psychological distress.</w:t>
            </w:r>
          </w:p>
          <w:p w14:paraId="3A5516D4" w14:textId="45F8EE0F" w:rsidR="00390291" w:rsidRDefault="00390291" w:rsidP="00390291">
            <w:pPr>
              <w:pStyle w:val="Body"/>
            </w:pPr>
            <w:r w:rsidRPr="00CE3AD4">
              <w:t xml:space="preserve">Learnings: The </w:t>
            </w:r>
            <w:r>
              <w:t>2</w:t>
            </w:r>
            <w:r w:rsidRPr="005D3437">
              <w:t xml:space="preserve">-person (double) </w:t>
            </w:r>
            <w:r w:rsidRPr="00CE3AD4">
              <w:t xml:space="preserve">independent check is still not routinely performed or understood. </w:t>
            </w:r>
          </w:p>
          <w:p w14:paraId="6ECC8C25" w14:textId="79D19B0C" w:rsidR="00390291" w:rsidRDefault="00390291" w:rsidP="00390291">
            <w:pPr>
              <w:pStyle w:val="Body"/>
            </w:pPr>
            <w:r w:rsidRPr="00CE3AD4">
              <w:t xml:space="preserve">Education on the process is important to ensure correct </w:t>
            </w:r>
            <w:r>
              <w:t>component/</w:t>
            </w:r>
            <w:r w:rsidRPr="00CE3AD4">
              <w:t>product to patient. Simulation training may be a good way to work through the process.</w:t>
            </w:r>
            <w:r>
              <w:t xml:space="preserve"> It is important to include t</w:t>
            </w:r>
            <w:r w:rsidRPr="00CE3AD4">
              <w:t xml:space="preserve">he patient as part of the checking process (National Standards). </w:t>
            </w:r>
          </w:p>
          <w:p w14:paraId="5EC7D492" w14:textId="77777777" w:rsidR="00390291" w:rsidRDefault="00390291" w:rsidP="00390291">
            <w:pPr>
              <w:pStyle w:val="Body"/>
            </w:pPr>
            <w:r w:rsidRPr="00CE3AD4">
              <w:t xml:space="preserve">The patient should have been asked to state their name and date of birth, which would have minimised the concern about the </w:t>
            </w:r>
            <w:r>
              <w:t xml:space="preserve">pronunciation of the </w:t>
            </w:r>
            <w:r w:rsidRPr="00CE3AD4">
              <w:t xml:space="preserve">name. </w:t>
            </w:r>
          </w:p>
          <w:p w14:paraId="329A3ECA" w14:textId="77777777" w:rsidR="00390291" w:rsidRDefault="00390291" w:rsidP="00390291">
            <w:pPr>
              <w:pStyle w:val="Body"/>
            </w:pPr>
            <w:r>
              <w:t>The staff involved did not follow up the reported assertion by the patient that the blood was not for them.</w:t>
            </w:r>
            <w:r w:rsidRPr="00CE3AD4">
              <w:t xml:space="preserve"> </w:t>
            </w:r>
          </w:p>
          <w:p w14:paraId="1E61882A" w14:textId="7936273F" w:rsidR="00390291" w:rsidRDefault="00390291" w:rsidP="00390291">
            <w:pPr>
              <w:pStyle w:val="Body"/>
            </w:pPr>
            <w:r w:rsidRPr="00CE3AD4">
              <w:t>Patients may at times be able to help prevent errors and are certainly an important part of the checking process.</w:t>
            </w:r>
          </w:p>
          <w:p w14:paraId="3DE70934" w14:textId="0704E7D4" w:rsidR="00390291" w:rsidRDefault="00390291" w:rsidP="00390291">
            <w:pPr>
              <w:pStyle w:val="Body"/>
              <w:rPr>
                <w:noProof/>
              </w:rPr>
            </w:pPr>
            <w:r>
              <w:t>Patient identification</w:t>
            </w:r>
            <w:r w:rsidRPr="00CE3AD4">
              <w:t xml:space="preserve"> </w:t>
            </w:r>
            <w:r>
              <w:t xml:space="preserve">checks </w:t>
            </w:r>
            <w:r w:rsidRPr="00CE3AD4">
              <w:t>need</w:t>
            </w:r>
            <w:r>
              <w:t xml:space="preserve"> to be conducted </w:t>
            </w:r>
            <w:r w:rsidRPr="00CE3AD4">
              <w:t xml:space="preserve">with the patient, </w:t>
            </w:r>
            <w:r>
              <w:t xml:space="preserve">where possible and </w:t>
            </w:r>
            <w:r w:rsidRPr="00CE3AD4">
              <w:t>not to the patient.</w:t>
            </w:r>
          </w:p>
        </w:tc>
      </w:tr>
    </w:tbl>
    <w:p w14:paraId="3B179198" w14:textId="77777777" w:rsidR="00390291" w:rsidRDefault="00390291" w:rsidP="00390291">
      <w:pPr>
        <w:pStyle w:val="Body"/>
      </w:pPr>
    </w:p>
    <w:tbl>
      <w:tblPr>
        <w:tblStyle w:val="TableGrid"/>
        <w:tblW w:w="0" w:type="auto"/>
        <w:tblLook w:val="04A0" w:firstRow="1" w:lastRow="0" w:firstColumn="1" w:lastColumn="0" w:noHBand="0" w:noVBand="1"/>
      </w:tblPr>
      <w:tblGrid>
        <w:gridCol w:w="9288"/>
      </w:tblGrid>
      <w:tr w:rsidR="00390291" w14:paraId="04F1A8A9" w14:textId="77777777" w:rsidTr="00390291">
        <w:tc>
          <w:tcPr>
            <w:tcW w:w="9288" w:type="dxa"/>
          </w:tcPr>
          <w:p w14:paraId="7C3272CE" w14:textId="77777777" w:rsidR="00390291" w:rsidRDefault="00390291" w:rsidP="00CE55B3">
            <w:pPr>
              <w:pStyle w:val="Boxheading"/>
              <w:keepNext w:val="0"/>
              <w:keepLines w:val="0"/>
            </w:pPr>
            <w:bookmarkStart w:id="90" w:name="_Toc174439922"/>
            <w:r>
              <w:t xml:space="preserve">Case study 7: Specific requirements for </w:t>
            </w:r>
            <w:r w:rsidRPr="00390291">
              <w:t>unit</w:t>
            </w:r>
            <w:r>
              <w:t xml:space="preserve"> transfused not met</w:t>
            </w:r>
            <w:bookmarkEnd w:id="90"/>
          </w:p>
          <w:p w14:paraId="615DA8B3" w14:textId="77777777" w:rsidR="00390291" w:rsidRDefault="00390291" w:rsidP="00390291">
            <w:pPr>
              <w:pStyle w:val="Body"/>
            </w:pPr>
            <w:r w:rsidRPr="001427DA">
              <w:t xml:space="preserve">A patient with </w:t>
            </w:r>
            <w:r>
              <w:t xml:space="preserve">a </w:t>
            </w:r>
            <w:r w:rsidRPr="001427DA">
              <w:t xml:space="preserve">history of </w:t>
            </w:r>
            <w:r>
              <w:t>acute leukaemia</w:t>
            </w:r>
            <w:r w:rsidRPr="001427DA">
              <w:t xml:space="preserve"> required a neurosurgical procedure. </w:t>
            </w:r>
          </w:p>
          <w:p w14:paraId="2F3E6B77" w14:textId="77777777" w:rsidR="00390291" w:rsidRDefault="00390291" w:rsidP="00390291">
            <w:pPr>
              <w:pStyle w:val="Body"/>
            </w:pPr>
            <w:r w:rsidRPr="001427DA">
              <w:t xml:space="preserve">The patient was found to be anaemic and required </w:t>
            </w:r>
            <w:proofErr w:type="gramStart"/>
            <w:r w:rsidRPr="001427DA">
              <w:t>a</w:t>
            </w:r>
            <w:proofErr w:type="gramEnd"/>
            <w:r w:rsidRPr="001427DA">
              <w:t xml:space="preserve"> </w:t>
            </w:r>
            <w:r>
              <w:t>RBC</w:t>
            </w:r>
            <w:r w:rsidRPr="001427DA">
              <w:t xml:space="preserve"> transfusion. </w:t>
            </w:r>
          </w:p>
          <w:p w14:paraId="366B47FD" w14:textId="6D056472" w:rsidR="00390291" w:rsidRPr="001427DA" w:rsidRDefault="00390291" w:rsidP="00390291">
            <w:pPr>
              <w:pStyle w:val="Body"/>
            </w:pPr>
            <w:r w:rsidRPr="001427DA">
              <w:t xml:space="preserve">The </w:t>
            </w:r>
            <w:r>
              <w:t>RBC</w:t>
            </w:r>
            <w:r w:rsidRPr="001427DA">
              <w:t xml:space="preserve"> unit administered was not irradiated</w:t>
            </w:r>
            <w:r>
              <w:t>,</w:t>
            </w:r>
            <w:r w:rsidRPr="001427DA">
              <w:t xml:space="preserve"> </w:t>
            </w:r>
            <w:r>
              <w:t>which</w:t>
            </w:r>
            <w:r w:rsidRPr="001427DA">
              <w:t xml:space="preserve"> the health service policy required for a patient with </w:t>
            </w:r>
            <w:r>
              <w:t>acute leukaemia</w:t>
            </w:r>
            <w:r w:rsidRPr="001427DA">
              <w:t>.</w:t>
            </w:r>
          </w:p>
          <w:p w14:paraId="06E740A6" w14:textId="77777777" w:rsidR="00390291" w:rsidRDefault="00390291" w:rsidP="00390291">
            <w:pPr>
              <w:pStyle w:val="Body"/>
            </w:pPr>
            <w:r w:rsidRPr="001427DA">
              <w:t xml:space="preserve">The prescription did not include the need for irradiation. </w:t>
            </w:r>
          </w:p>
          <w:p w14:paraId="4CB59831" w14:textId="12CFF0E9" w:rsidR="00390291" w:rsidRPr="001427DA" w:rsidRDefault="00390291" w:rsidP="00390291">
            <w:pPr>
              <w:pStyle w:val="Body"/>
            </w:pPr>
            <w:r w:rsidRPr="001427DA">
              <w:t>Nursing staff do not always understand when special requirements such as irradiation o</w:t>
            </w:r>
            <w:r>
              <w:t>r</w:t>
            </w:r>
            <w:r w:rsidRPr="001427DA">
              <w:t xml:space="preserve"> a </w:t>
            </w:r>
            <w:r>
              <w:t xml:space="preserve">cytomegalovirus </w:t>
            </w:r>
            <w:r w:rsidRPr="001427DA">
              <w:t>seronegative product are needed</w:t>
            </w:r>
            <w:r>
              <w:t>.</w:t>
            </w:r>
            <w:r w:rsidRPr="001427DA">
              <w:t xml:space="preserve"> </w:t>
            </w:r>
            <w:r>
              <w:t>T</w:t>
            </w:r>
            <w:r w:rsidRPr="001427DA">
              <w:t xml:space="preserve">he prescription </w:t>
            </w:r>
            <w:r>
              <w:t>should</w:t>
            </w:r>
            <w:r w:rsidRPr="001427DA">
              <w:t xml:space="preserve"> indicate these requirements.</w:t>
            </w:r>
          </w:p>
          <w:p w14:paraId="5DEF899D" w14:textId="77777777" w:rsidR="00390291" w:rsidRDefault="00390291" w:rsidP="00390291">
            <w:pPr>
              <w:pStyle w:val="Body"/>
            </w:pPr>
            <w:r w:rsidRPr="001427DA">
              <w:t xml:space="preserve">The laboratory had apparently missed the requirement for irradiation for this patient. </w:t>
            </w:r>
          </w:p>
          <w:p w14:paraId="2A730D6C" w14:textId="77777777" w:rsidR="00390291" w:rsidRDefault="00390291" w:rsidP="00390291">
            <w:pPr>
              <w:pStyle w:val="Body"/>
            </w:pPr>
            <w:r w:rsidRPr="001427DA">
              <w:t>Either the requirement was not noted in the laboratory information system</w:t>
            </w:r>
            <w:r>
              <w:t xml:space="preserve"> (LIS),</w:t>
            </w:r>
            <w:r w:rsidRPr="001427DA">
              <w:t xml:space="preserve"> or the patient was new to the service and information on previous </w:t>
            </w:r>
            <w:r>
              <w:t>acute leukaemia</w:t>
            </w:r>
            <w:r w:rsidRPr="001427DA">
              <w:t xml:space="preserve"> was not communicated. </w:t>
            </w:r>
          </w:p>
          <w:p w14:paraId="7A8F2B7C" w14:textId="77777777" w:rsidR="00390291" w:rsidRDefault="00390291" w:rsidP="00390291">
            <w:pPr>
              <w:pStyle w:val="Body"/>
            </w:pPr>
            <w:r w:rsidRPr="001427DA">
              <w:t>System</w:t>
            </w:r>
            <w:r>
              <w:t xml:space="preserve"> warnings</w:t>
            </w:r>
            <w:r w:rsidRPr="001427DA">
              <w:t xml:space="preserve"> within the laboratory need to be </w:t>
            </w:r>
            <w:r>
              <w:t>easily seen and followed</w:t>
            </w:r>
            <w:r w:rsidRPr="001427DA">
              <w:t xml:space="preserve"> when the scientist is </w:t>
            </w:r>
            <w:r>
              <w:t>selecting components</w:t>
            </w:r>
            <w:r w:rsidRPr="001427DA">
              <w:t xml:space="preserve"> for a patient. </w:t>
            </w:r>
          </w:p>
          <w:p w14:paraId="5AF88380" w14:textId="77777777" w:rsidR="00390291" w:rsidRDefault="00390291" w:rsidP="00390291">
            <w:pPr>
              <w:pStyle w:val="Body"/>
            </w:pPr>
            <w:r>
              <w:t>E</w:t>
            </w:r>
            <w:r w:rsidRPr="001427DA">
              <w:t>very</w:t>
            </w:r>
            <w:r>
              <w:t xml:space="preserve"> blood component</w:t>
            </w:r>
            <w:r w:rsidRPr="001427DA">
              <w:t xml:space="preserve"> request to the laboratory for a patient should </w:t>
            </w:r>
            <w:r>
              <w:t>include</w:t>
            </w:r>
            <w:r w:rsidRPr="001427DA">
              <w:t xml:space="preserve"> special requirements to avoid dispens</w:t>
            </w:r>
            <w:r>
              <w:t>ing</w:t>
            </w:r>
            <w:r w:rsidRPr="001427DA">
              <w:t xml:space="preserve"> inappropriate product</w:t>
            </w:r>
            <w:r>
              <w:t>s</w:t>
            </w:r>
            <w:r w:rsidRPr="001427DA">
              <w:t xml:space="preserve">. </w:t>
            </w:r>
          </w:p>
          <w:p w14:paraId="6D9C5D20" w14:textId="5DB86D8D" w:rsidR="00390291" w:rsidRPr="001427DA" w:rsidRDefault="00390291" w:rsidP="00390291">
            <w:pPr>
              <w:pStyle w:val="Body"/>
            </w:pPr>
            <w:r>
              <w:t>Electronic medical records (</w:t>
            </w:r>
            <w:r w:rsidRPr="001427DA">
              <w:t>EMR</w:t>
            </w:r>
            <w:r>
              <w:t>)</w:t>
            </w:r>
            <w:r w:rsidRPr="001427DA">
              <w:t xml:space="preserve"> are one way health services </w:t>
            </w:r>
            <w:r>
              <w:t>can</w:t>
            </w:r>
            <w:r w:rsidRPr="001427DA">
              <w:t xml:space="preserve"> highlight to clinical staff special requirement</w:t>
            </w:r>
            <w:r>
              <w:t xml:space="preserve"> indications</w:t>
            </w:r>
            <w:r w:rsidRPr="001427DA">
              <w:t xml:space="preserve"> and communicate these to the laboratory.</w:t>
            </w:r>
          </w:p>
          <w:p w14:paraId="22AD7FD9" w14:textId="1EF91493" w:rsidR="00390291" w:rsidRPr="00CE55B3" w:rsidRDefault="00390291" w:rsidP="00390291">
            <w:pPr>
              <w:pStyle w:val="Body"/>
              <w:rPr>
                <w:b/>
                <w:bCs/>
              </w:rPr>
            </w:pPr>
            <w:r w:rsidRPr="00CE55B3">
              <w:rPr>
                <w:b/>
                <w:bCs/>
              </w:rPr>
              <w:t>Expert group determination: IBCT (specific requirements not met), certainly</w:t>
            </w:r>
            <w:r w:rsidR="00A63672">
              <w:rPr>
                <w:b/>
                <w:bCs/>
              </w:rPr>
              <w:t>,</w:t>
            </w:r>
            <w:r w:rsidRPr="00CE55B3">
              <w:rPr>
                <w:b/>
                <w:bCs/>
              </w:rPr>
              <w:t xml:space="preserve"> SR4</w:t>
            </w:r>
          </w:p>
          <w:p w14:paraId="06772F0B" w14:textId="77777777" w:rsidR="00390291" w:rsidRDefault="00390291" w:rsidP="00390291">
            <w:pPr>
              <w:pStyle w:val="Body"/>
            </w:pPr>
            <w:r w:rsidRPr="001427DA">
              <w:t xml:space="preserve">ANZSBT have published updated </w:t>
            </w:r>
            <w:hyperlink r:id="rId41" w:history="1">
              <w:r w:rsidRPr="001427DA">
                <w:rPr>
                  <w:rStyle w:val="Hyperlink"/>
                </w:rPr>
                <w:t>guidelines for the prevention of transfusion-associated graft versus host disease</w:t>
              </w:r>
            </w:hyperlink>
            <w:r>
              <w:rPr>
                <w:rStyle w:val="FootnoteReference"/>
              </w:rPr>
              <w:footnoteReference w:id="17"/>
            </w:r>
            <w:r>
              <w:rPr>
                <w:rStyle w:val="Hyperlink"/>
              </w:rPr>
              <w:t xml:space="preserve"> </w:t>
            </w:r>
            <w:r w:rsidRPr="001427DA">
              <w:t xml:space="preserve">in January 2024. </w:t>
            </w:r>
          </w:p>
          <w:p w14:paraId="46D82C32" w14:textId="77777777" w:rsidR="00390291" w:rsidRDefault="00390291" w:rsidP="00390291">
            <w:pPr>
              <w:pStyle w:val="Body"/>
            </w:pPr>
            <w:r w:rsidRPr="001427DA">
              <w:t>Health service</w:t>
            </w:r>
            <w:r>
              <w:t xml:space="preserve">s </w:t>
            </w:r>
            <w:r w:rsidRPr="001427DA">
              <w:t xml:space="preserve">should review their policies and guidelines to ensure </w:t>
            </w:r>
            <w:r>
              <w:t>any necessary changes are made</w:t>
            </w:r>
            <w:r w:rsidRPr="001427DA">
              <w:t xml:space="preserve">. </w:t>
            </w:r>
          </w:p>
          <w:p w14:paraId="750E7EF9" w14:textId="10953327" w:rsidR="00390291" w:rsidRDefault="00390291" w:rsidP="00390291">
            <w:pPr>
              <w:pStyle w:val="Body"/>
            </w:pPr>
            <w:r w:rsidRPr="001427DA">
              <w:t xml:space="preserve">The new guidelines indicate when irradiated products </w:t>
            </w:r>
            <w:r>
              <w:t>may no longer be needed for</w:t>
            </w:r>
            <w:r w:rsidRPr="001427DA">
              <w:t xml:space="preserve"> some patient</w:t>
            </w:r>
            <w:r>
              <w:t xml:space="preserve"> groups. </w:t>
            </w:r>
          </w:p>
          <w:p w14:paraId="75E17A09" w14:textId="77777777" w:rsidR="00390291" w:rsidRDefault="00390291" w:rsidP="00390291">
            <w:pPr>
              <w:pStyle w:val="Body"/>
            </w:pPr>
            <w:r>
              <w:t>There was insufficient</w:t>
            </w:r>
            <w:r w:rsidRPr="001427DA">
              <w:t xml:space="preserve"> information </w:t>
            </w:r>
            <w:r>
              <w:t>to determine</w:t>
            </w:r>
            <w:r w:rsidRPr="001427DA">
              <w:t xml:space="preserve"> if this patient still required irradiated products. </w:t>
            </w:r>
          </w:p>
          <w:p w14:paraId="4829F9D0" w14:textId="3E163AFB" w:rsidR="00390291" w:rsidRPr="001427DA" w:rsidRDefault="00390291" w:rsidP="00390291">
            <w:pPr>
              <w:pStyle w:val="Body"/>
            </w:pPr>
            <w:r w:rsidRPr="001427DA">
              <w:t>However, health service policy was not followed.</w:t>
            </w:r>
          </w:p>
          <w:p w14:paraId="3F207738" w14:textId="77777777" w:rsidR="00390291" w:rsidRDefault="00390291" w:rsidP="00390291">
            <w:pPr>
              <w:pStyle w:val="Body"/>
            </w:pPr>
            <w:r>
              <w:t xml:space="preserve">As noted previously, STIR regularly receives reports of patients not receiving irradiated products when policy indicates they are needed. </w:t>
            </w:r>
          </w:p>
          <w:p w14:paraId="619AA67B" w14:textId="0C554ABA" w:rsidR="00390291" w:rsidRDefault="00390291" w:rsidP="00390291">
            <w:pPr>
              <w:pStyle w:val="Body"/>
            </w:pPr>
            <w:r>
              <w:t>Despite this no reports of TA-GVHD have ever been received to STIR.</w:t>
            </w:r>
          </w:p>
        </w:tc>
      </w:tr>
    </w:tbl>
    <w:p w14:paraId="3A884F4D" w14:textId="77777777" w:rsidR="00292375" w:rsidRDefault="00292375" w:rsidP="00292375">
      <w:pPr>
        <w:pStyle w:val="Heading2"/>
      </w:pPr>
      <w:bookmarkStart w:id="91" w:name="_Toc136329781"/>
      <w:bookmarkStart w:id="92" w:name="_Toc174440015"/>
      <w:r>
        <w:t>Procedural – other</w:t>
      </w:r>
      <w:bookmarkEnd w:id="91"/>
      <w:bookmarkEnd w:id="92"/>
    </w:p>
    <w:p w14:paraId="131540F8" w14:textId="7ED6F7E9" w:rsidR="00390291" w:rsidRDefault="00340281" w:rsidP="00340281">
      <w:pPr>
        <w:pStyle w:val="Body"/>
      </w:pPr>
      <w:r w:rsidRPr="00340281">
        <w:t xml:space="preserve">This category includes reports of events as shown in Table </w:t>
      </w:r>
      <w:r w:rsidR="00A9310D">
        <w:t>25</w:t>
      </w:r>
      <w:r w:rsidRPr="00340281">
        <w:t>. This year</w:t>
      </w:r>
      <w:r w:rsidR="00390291">
        <w:t>,</w:t>
      </w:r>
      <w:r w:rsidRPr="00340281">
        <w:t xml:space="preserve"> there were </w:t>
      </w:r>
      <w:r w:rsidR="00390291">
        <w:t>7</w:t>
      </w:r>
      <w:r w:rsidR="00390291" w:rsidRPr="00340281">
        <w:t xml:space="preserve"> </w:t>
      </w:r>
      <w:r w:rsidRPr="00340281">
        <w:t>validated procedural – other reports.</w:t>
      </w:r>
      <w:r>
        <w:t xml:space="preserve"> These are events that </w:t>
      </w:r>
      <w:r w:rsidR="0013023F">
        <w:t>have patient care implications</w:t>
      </w:r>
      <w:r>
        <w:t xml:space="preserve">, but do not fit into the other categories of events for STIR. </w:t>
      </w:r>
    </w:p>
    <w:p w14:paraId="0BD94831" w14:textId="3546F374" w:rsidR="00E21A95" w:rsidRDefault="00340281" w:rsidP="00340281">
      <w:pPr>
        <w:pStyle w:val="Body"/>
      </w:pPr>
      <w:r>
        <w:lastRenderedPageBreak/>
        <w:t xml:space="preserve">There have been </w:t>
      </w:r>
      <w:r w:rsidR="00390291">
        <w:t xml:space="preserve">2 </w:t>
      </w:r>
      <w:r w:rsidR="00E21A95">
        <w:t>e</w:t>
      </w:r>
      <w:r>
        <w:t xml:space="preserve">vents reported as </w:t>
      </w:r>
      <w:r w:rsidR="00CA08B9">
        <w:t xml:space="preserve">procedural </w:t>
      </w:r>
      <w:r w:rsidR="00390291">
        <w:t>–</w:t>
      </w:r>
      <w:r w:rsidR="00CA08B9">
        <w:t xml:space="preserve"> </w:t>
      </w:r>
      <w:r>
        <w:t xml:space="preserve">other, but after review changed </w:t>
      </w:r>
      <w:r w:rsidR="00E21A95">
        <w:t>to</w:t>
      </w:r>
      <w:r>
        <w:t xml:space="preserve"> IBCT.</w:t>
      </w:r>
      <w:r w:rsidR="000C6856">
        <w:t xml:space="preserve"> </w:t>
      </w:r>
      <w:r w:rsidR="00E21A95">
        <w:t xml:space="preserve">One event was reported as a near miss but validated as procedural </w:t>
      </w:r>
      <w:r w:rsidR="00390291">
        <w:t>–</w:t>
      </w:r>
      <w:r w:rsidR="00E21A95">
        <w:t xml:space="preserve"> other. </w:t>
      </w:r>
    </w:p>
    <w:p w14:paraId="0A47144D" w14:textId="7DF681A1" w:rsidR="00390291" w:rsidRDefault="000C6856" w:rsidP="00340281">
      <w:pPr>
        <w:pStyle w:val="Body"/>
      </w:pPr>
      <w:r w:rsidRPr="000C6856">
        <w:t xml:space="preserve">This category includes reports of events as shown in Table </w:t>
      </w:r>
      <w:r w:rsidR="00A9310D">
        <w:t>25</w:t>
      </w:r>
      <w:r w:rsidRPr="000C6856">
        <w:t xml:space="preserve">. </w:t>
      </w:r>
    </w:p>
    <w:p w14:paraId="2AF99765" w14:textId="74D7EB2E" w:rsidR="00340281" w:rsidRPr="00340281" w:rsidRDefault="000C6856" w:rsidP="00340281">
      <w:pPr>
        <w:pStyle w:val="Body"/>
      </w:pPr>
      <w:r w:rsidRPr="000C6856">
        <w:t xml:space="preserve">Right blood, right patient events occur where a patient was transfused correctly despite one or more serious identification (ID) or prescription errors </w:t>
      </w:r>
      <w:r w:rsidR="00390291">
        <w:t>that</w:t>
      </w:r>
      <w:r w:rsidR="00390291" w:rsidRPr="000C6856">
        <w:t xml:space="preserve"> </w:t>
      </w:r>
      <w:r w:rsidRPr="000C6856">
        <w:t>in other circumstances might have led to an IBCT.</w:t>
      </w:r>
    </w:p>
    <w:p w14:paraId="666DDDAA" w14:textId="12DBF5D9" w:rsidR="00292375" w:rsidRDefault="00292375" w:rsidP="00CE55B3">
      <w:pPr>
        <w:pStyle w:val="Tablecaption"/>
      </w:pPr>
      <w:bookmarkStart w:id="93" w:name="_Hlk108006764"/>
      <w:r w:rsidRPr="00A361B7">
        <w:t xml:space="preserve">Table </w:t>
      </w:r>
      <w:r w:rsidR="00A9310D">
        <w:t>25:</w:t>
      </w:r>
      <w:r w:rsidRPr="00A361B7">
        <w:t xml:space="preserve"> Types of </w:t>
      </w:r>
      <w:r w:rsidRPr="00390291">
        <w:t>validated</w:t>
      </w:r>
      <w:r w:rsidRPr="00A361B7">
        <w:t xml:space="preserve"> procedural other events </w:t>
      </w:r>
      <w:bookmarkEnd w:id="93"/>
      <w:r w:rsidRPr="00A361B7">
        <w:t>FY2</w:t>
      </w:r>
      <w:r w:rsidR="00E4208C">
        <w:t>3</w:t>
      </w:r>
    </w:p>
    <w:tbl>
      <w:tblPr>
        <w:tblStyle w:val="GridTable6Colorful-Accent2"/>
        <w:tblW w:w="0" w:type="auto"/>
        <w:tblLook w:val="04A0" w:firstRow="1" w:lastRow="0" w:firstColumn="1" w:lastColumn="0" w:noHBand="0" w:noVBand="1"/>
      </w:tblPr>
      <w:tblGrid>
        <w:gridCol w:w="4644"/>
        <w:gridCol w:w="2722"/>
      </w:tblGrid>
      <w:tr w:rsidR="00340281" w:rsidRPr="00340281" w14:paraId="09C2BC20"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D96C65E" w14:textId="77777777" w:rsidR="00340281" w:rsidRPr="00CE55B3" w:rsidRDefault="00340281" w:rsidP="00390291">
            <w:pPr>
              <w:pStyle w:val="Tablecolhead"/>
              <w:rPr>
                <w:b/>
                <w:bCs w:val="0"/>
              </w:rPr>
            </w:pPr>
            <w:r w:rsidRPr="00CE55B3">
              <w:t>Category</w:t>
            </w:r>
          </w:p>
        </w:tc>
        <w:tc>
          <w:tcPr>
            <w:tcW w:w="0" w:type="dxa"/>
          </w:tcPr>
          <w:p w14:paraId="4C44E2EF" w14:textId="77777777" w:rsidR="00340281" w:rsidRPr="00CE55B3" w:rsidRDefault="00340281"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Number</w:t>
            </w:r>
          </w:p>
        </w:tc>
      </w:tr>
      <w:tr w:rsidR="00340281" w:rsidRPr="00340281" w14:paraId="48C22BCE"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0EB7CE2D" w14:textId="77777777" w:rsidR="00340281" w:rsidRPr="00E91AAA" w:rsidRDefault="00340281" w:rsidP="00EA599E">
            <w:pPr>
              <w:pStyle w:val="Body"/>
              <w:keepNext/>
              <w:rPr>
                <w:b w:val="0"/>
                <w:color w:val="000000" w:themeColor="text1"/>
              </w:rPr>
            </w:pPr>
            <w:r w:rsidRPr="00E91AAA">
              <w:rPr>
                <w:b w:val="0"/>
                <w:color w:val="000000" w:themeColor="text1"/>
              </w:rPr>
              <w:t>Delayed, under or over transfusion</w:t>
            </w:r>
          </w:p>
        </w:tc>
        <w:tc>
          <w:tcPr>
            <w:tcW w:w="2722" w:type="dxa"/>
          </w:tcPr>
          <w:p w14:paraId="3C6D50D1" w14:textId="45AFA6F2" w:rsidR="00340281" w:rsidRPr="00E91AAA" w:rsidRDefault="000042CC" w:rsidP="00E940DA">
            <w:pPr>
              <w:pStyle w:val="Body"/>
              <w:keepN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1</w:t>
            </w:r>
          </w:p>
        </w:tc>
      </w:tr>
      <w:tr w:rsidR="00340281" w:rsidRPr="00340281" w14:paraId="34B6CB3D"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5C175B6C" w14:textId="77777777" w:rsidR="00340281" w:rsidRPr="00E91AAA" w:rsidRDefault="00340281" w:rsidP="00EA599E">
            <w:pPr>
              <w:pStyle w:val="Body"/>
              <w:keepNext/>
              <w:rPr>
                <w:b w:val="0"/>
                <w:color w:val="000000" w:themeColor="text1"/>
              </w:rPr>
            </w:pPr>
            <w:r w:rsidRPr="00E91AAA">
              <w:rPr>
                <w:b w:val="0"/>
                <w:color w:val="000000" w:themeColor="text1"/>
              </w:rPr>
              <w:t>Right blood, right patient (RBRP)</w:t>
            </w:r>
          </w:p>
        </w:tc>
        <w:tc>
          <w:tcPr>
            <w:tcW w:w="2722" w:type="dxa"/>
          </w:tcPr>
          <w:p w14:paraId="071B130F" w14:textId="2482C522" w:rsidR="00340281" w:rsidRPr="00E91AAA" w:rsidRDefault="000042CC" w:rsidP="00E940DA">
            <w:pPr>
              <w:pStyle w:val="Body"/>
              <w:keepNext/>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4</w:t>
            </w:r>
          </w:p>
        </w:tc>
      </w:tr>
      <w:tr w:rsidR="00340281" w:rsidRPr="00340281" w14:paraId="6BEA3D7C"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639FC41E" w14:textId="77777777" w:rsidR="00340281" w:rsidRPr="00E91AAA" w:rsidRDefault="00340281" w:rsidP="00EA599E">
            <w:pPr>
              <w:pStyle w:val="Body"/>
              <w:keepNext/>
              <w:rPr>
                <w:b w:val="0"/>
                <w:color w:val="000000" w:themeColor="text1"/>
              </w:rPr>
            </w:pPr>
            <w:r w:rsidRPr="00E91AAA">
              <w:rPr>
                <w:b w:val="0"/>
                <w:color w:val="000000" w:themeColor="text1"/>
              </w:rPr>
              <w:t>Handling and storage errors (HSE)</w:t>
            </w:r>
          </w:p>
        </w:tc>
        <w:tc>
          <w:tcPr>
            <w:tcW w:w="2722" w:type="dxa"/>
          </w:tcPr>
          <w:p w14:paraId="03338E64" w14:textId="52C23B83" w:rsidR="00340281" w:rsidRPr="00E91AAA" w:rsidRDefault="000042CC" w:rsidP="00E940DA">
            <w:pPr>
              <w:pStyle w:val="Body"/>
              <w:keepN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2</w:t>
            </w:r>
          </w:p>
        </w:tc>
      </w:tr>
    </w:tbl>
    <w:p w14:paraId="76D80EC3" w14:textId="67BAA17A" w:rsidR="00292375" w:rsidRDefault="00292375" w:rsidP="00495C75">
      <w:pPr>
        <w:pStyle w:val="Body"/>
      </w:pPr>
    </w:p>
    <w:tbl>
      <w:tblPr>
        <w:tblStyle w:val="TableGrid"/>
        <w:tblW w:w="0" w:type="auto"/>
        <w:tblLook w:val="04A0" w:firstRow="1" w:lastRow="0" w:firstColumn="1" w:lastColumn="0" w:noHBand="0" w:noVBand="1"/>
      </w:tblPr>
      <w:tblGrid>
        <w:gridCol w:w="9288"/>
      </w:tblGrid>
      <w:tr w:rsidR="00390291" w14:paraId="29A55687" w14:textId="77777777" w:rsidTr="00390291">
        <w:tc>
          <w:tcPr>
            <w:tcW w:w="9288" w:type="dxa"/>
          </w:tcPr>
          <w:p w14:paraId="7FA0576A" w14:textId="77777777" w:rsidR="00390291" w:rsidRDefault="00390291" w:rsidP="00CE55B3">
            <w:pPr>
              <w:pStyle w:val="Boxheading"/>
            </w:pPr>
            <w:bookmarkStart w:id="94" w:name="_Toc174439923"/>
            <w:r w:rsidRPr="009C0B1B">
              <w:t>Case study</w:t>
            </w:r>
            <w:r>
              <w:t xml:space="preserve"> 8: </w:t>
            </w:r>
            <w:r w:rsidRPr="00390291">
              <w:t>Unclear</w:t>
            </w:r>
            <w:r>
              <w:t xml:space="preserve"> communication leads to unnecessary transfusion</w:t>
            </w:r>
            <w:bookmarkEnd w:id="94"/>
          </w:p>
          <w:p w14:paraId="60F41B43" w14:textId="77777777" w:rsidR="00390291" w:rsidRDefault="00390291" w:rsidP="00390291">
            <w:pPr>
              <w:pStyle w:val="Body"/>
            </w:pPr>
            <w:r w:rsidRPr="009C0B1B">
              <w:t xml:space="preserve">A patient was transferred to the ward from ICU. </w:t>
            </w:r>
          </w:p>
          <w:p w14:paraId="06047AF4" w14:textId="319B0FC0" w:rsidR="00390291" w:rsidRDefault="00390291" w:rsidP="00390291">
            <w:pPr>
              <w:pStyle w:val="Body"/>
            </w:pPr>
            <w:r w:rsidRPr="009C0B1B">
              <w:t>On the wa</w:t>
            </w:r>
            <w:r>
              <w:t>rd, a full blood examination (FBE)</w:t>
            </w:r>
            <w:r w:rsidRPr="009C0B1B">
              <w:t xml:space="preserve"> was taken</w:t>
            </w:r>
            <w:r>
              <w:t>.</w:t>
            </w:r>
            <w:r w:rsidRPr="009C0B1B">
              <w:t xml:space="preserve"> </w:t>
            </w:r>
            <w:r>
              <w:t>However, be</w:t>
            </w:r>
            <w:r w:rsidRPr="009C0B1B">
              <w:t>fore these results were available</w:t>
            </w:r>
            <w:r>
              <w:t>,</w:t>
            </w:r>
            <w:r w:rsidRPr="009C0B1B">
              <w:t xml:space="preserve"> a decision was made to transfuse the patient </w:t>
            </w:r>
            <w:r>
              <w:t xml:space="preserve">based </w:t>
            </w:r>
            <w:r w:rsidRPr="009C0B1B">
              <w:t>on a previous result (Hb 71</w:t>
            </w:r>
            <w:r>
              <w:t xml:space="preserve"> </w:t>
            </w:r>
            <w:r w:rsidRPr="009C0B1B">
              <w:t xml:space="preserve">g/L). </w:t>
            </w:r>
          </w:p>
          <w:p w14:paraId="5C6E6BD2" w14:textId="77777777" w:rsidR="00390291" w:rsidRDefault="00390291" w:rsidP="00390291">
            <w:pPr>
              <w:pStyle w:val="Body"/>
            </w:pPr>
            <w:r w:rsidRPr="009C0B1B">
              <w:t xml:space="preserve">After the unit had been transfused the medical team became aware that the patient had </w:t>
            </w:r>
            <w:r>
              <w:t>in fact</w:t>
            </w:r>
            <w:r w:rsidRPr="009C0B1B">
              <w:t xml:space="preserve"> been transfused in ICU prior to the transfer. </w:t>
            </w:r>
          </w:p>
          <w:p w14:paraId="454680DB" w14:textId="24B806D4" w:rsidR="00390291" w:rsidRPr="009C0B1B" w:rsidRDefault="00390291" w:rsidP="00390291">
            <w:pPr>
              <w:pStyle w:val="Body"/>
            </w:pPr>
            <w:r w:rsidRPr="009C0B1B">
              <w:t xml:space="preserve">Results from the FBE taken on the ward showed Hb was now 91g/L and transfusion was not actually required. </w:t>
            </w:r>
          </w:p>
          <w:p w14:paraId="3CCA3B6F" w14:textId="42EAB0D5" w:rsidR="00390291" w:rsidRPr="00CE55B3" w:rsidRDefault="00390291" w:rsidP="00390291">
            <w:pPr>
              <w:pStyle w:val="Body"/>
              <w:rPr>
                <w:b/>
                <w:bCs/>
              </w:rPr>
            </w:pPr>
            <w:r w:rsidRPr="00CE55B3">
              <w:rPr>
                <w:b/>
                <w:bCs/>
              </w:rPr>
              <w:t xml:space="preserve">Expert </w:t>
            </w:r>
            <w:r>
              <w:rPr>
                <w:b/>
                <w:bCs/>
              </w:rPr>
              <w:t>G</w:t>
            </w:r>
            <w:r w:rsidRPr="00CE55B3">
              <w:rPr>
                <w:b/>
                <w:bCs/>
              </w:rPr>
              <w:t>roup determination: Procedural-other, over-transfusion</w:t>
            </w:r>
          </w:p>
          <w:p w14:paraId="51FE7397" w14:textId="408EAF99" w:rsidR="00390291" w:rsidRDefault="00390291" w:rsidP="00390291">
            <w:pPr>
              <w:pStyle w:val="Body"/>
            </w:pPr>
            <w:r w:rsidRPr="009C0B1B">
              <w:t>It is important the communication of transfusion events is part of any hand over and that the decision to transfuse is based on the patients’ clinical condition and not only a Hb result.</w:t>
            </w:r>
          </w:p>
        </w:tc>
      </w:tr>
    </w:tbl>
    <w:p w14:paraId="082D76BA" w14:textId="77777777" w:rsidR="00390291" w:rsidRDefault="00390291" w:rsidP="00495C75">
      <w:pPr>
        <w:pStyle w:val="Body"/>
      </w:pPr>
    </w:p>
    <w:tbl>
      <w:tblPr>
        <w:tblStyle w:val="TableGrid"/>
        <w:tblW w:w="0" w:type="auto"/>
        <w:tblLook w:val="04A0" w:firstRow="1" w:lastRow="0" w:firstColumn="1" w:lastColumn="0" w:noHBand="0" w:noVBand="1"/>
      </w:tblPr>
      <w:tblGrid>
        <w:gridCol w:w="9288"/>
      </w:tblGrid>
      <w:tr w:rsidR="00390291" w14:paraId="753E4D4D" w14:textId="77777777" w:rsidTr="00390291">
        <w:tc>
          <w:tcPr>
            <w:tcW w:w="9288" w:type="dxa"/>
          </w:tcPr>
          <w:p w14:paraId="3E98BC54" w14:textId="77777777" w:rsidR="00390291" w:rsidRDefault="00390291" w:rsidP="00CE55B3">
            <w:pPr>
              <w:pStyle w:val="Boxheading"/>
            </w:pPr>
            <w:bookmarkStart w:id="95" w:name="_Toc174439924"/>
            <w:r>
              <w:t xml:space="preserve">Case study 9: Incomplete </w:t>
            </w:r>
            <w:r w:rsidRPr="00390291">
              <w:t>blood</w:t>
            </w:r>
            <w:r>
              <w:t xml:space="preserve"> component/product checks</w:t>
            </w:r>
            <w:bookmarkEnd w:id="95"/>
          </w:p>
          <w:p w14:paraId="0609E469" w14:textId="77777777" w:rsidR="00390291" w:rsidRDefault="00390291" w:rsidP="00390291">
            <w:pPr>
              <w:pStyle w:val="Body"/>
            </w:pPr>
            <w:r>
              <w:t>Staff c</w:t>
            </w:r>
            <w:r w:rsidRPr="009C0B1B">
              <w:t xml:space="preserve">hecking a second unit of </w:t>
            </w:r>
            <w:r>
              <w:t>RBC to a patient</w:t>
            </w:r>
            <w:r w:rsidRPr="009C0B1B">
              <w:t xml:space="preserve"> found the unit number on the </w:t>
            </w:r>
            <w:r>
              <w:t>compatibility report</w:t>
            </w:r>
            <w:r w:rsidRPr="009C0B1B">
              <w:t xml:space="preserve"> did not match the details on the </w:t>
            </w:r>
            <w:r>
              <w:t>RBC</w:t>
            </w:r>
            <w:r w:rsidRPr="009C0B1B">
              <w:t xml:space="preserve"> bag. </w:t>
            </w:r>
          </w:p>
          <w:p w14:paraId="25A29A0C" w14:textId="77777777" w:rsidR="00390291" w:rsidRDefault="00390291" w:rsidP="00390291">
            <w:pPr>
              <w:pStyle w:val="Body"/>
            </w:pPr>
            <w:r w:rsidRPr="009C0B1B">
              <w:t xml:space="preserve">The laboratory had switched </w:t>
            </w:r>
            <w:r>
              <w:t xml:space="preserve">compatibility </w:t>
            </w:r>
            <w:r w:rsidRPr="009C0B1B">
              <w:t xml:space="preserve">labels </w:t>
            </w:r>
            <w:r>
              <w:t>on the RBC</w:t>
            </w:r>
            <w:r w:rsidRPr="009C0B1B">
              <w:t xml:space="preserve"> when preparing the two </w:t>
            </w:r>
            <w:r>
              <w:t xml:space="preserve">RBC </w:t>
            </w:r>
            <w:r w:rsidRPr="009C0B1B">
              <w:t xml:space="preserve">units for the patient. </w:t>
            </w:r>
          </w:p>
          <w:p w14:paraId="047DB192" w14:textId="19CE97CF" w:rsidR="00390291" w:rsidRPr="009C0B1B" w:rsidRDefault="00390291" w:rsidP="00390291">
            <w:pPr>
              <w:pStyle w:val="Body"/>
            </w:pPr>
            <w:r w:rsidRPr="009C0B1B">
              <w:t xml:space="preserve">The clinical staff performing the bedside checks did not pick up the discrepancy with </w:t>
            </w:r>
            <w:r>
              <w:t xml:space="preserve">the </w:t>
            </w:r>
            <w:r w:rsidRPr="009C0B1B">
              <w:t>first unit and administered the unit.</w:t>
            </w:r>
          </w:p>
          <w:p w14:paraId="6511D35A" w14:textId="77777777" w:rsidR="00390291" w:rsidRPr="00CE55B3" w:rsidRDefault="00390291" w:rsidP="00390291">
            <w:pPr>
              <w:pStyle w:val="Body"/>
              <w:rPr>
                <w:b/>
                <w:bCs/>
              </w:rPr>
            </w:pPr>
            <w:r w:rsidRPr="00CE55B3">
              <w:rPr>
                <w:b/>
                <w:bCs/>
              </w:rPr>
              <w:t>Expert group determination: Procedural-other, right blood, right patient, certainly, SR4</w:t>
            </w:r>
          </w:p>
          <w:p w14:paraId="4AE95A69" w14:textId="119070A2" w:rsidR="00390291" w:rsidRDefault="00390291" w:rsidP="00390291">
            <w:pPr>
              <w:pStyle w:val="Body"/>
            </w:pPr>
            <w:r>
              <w:t>Bedside checks are the final chance to pick up errors earlier in the transfusion chain. Despite 2</w:t>
            </w:r>
            <w:r w:rsidRPr="009839B3">
              <w:noBreakHyphen/>
            </w:r>
            <w:r w:rsidRPr="005D3437">
              <w:t xml:space="preserve">person </w:t>
            </w:r>
            <w:r>
              <w:t>checks the error was not noted.</w:t>
            </w:r>
          </w:p>
        </w:tc>
      </w:tr>
    </w:tbl>
    <w:p w14:paraId="5FABB890" w14:textId="77777777" w:rsidR="00390291" w:rsidRDefault="00390291" w:rsidP="00495C75">
      <w:pPr>
        <w:pStyle w:val="Body"/>
      </w:pPr>
    </w:p>
    <w:tbl>
      <w:tblPr>
        <w:tblStyle w:val="TableGrid"/>
        <w:tblW w:w="0" w:type="auto"/>
        <w:tblLook w:val="04A0" w:firstRow="1" w:lastRow="0" w:firstColumn="1" w:lastColumn="0" w:noHBand="0" w:noVBand="1"/>
      </w:tblPr>
      <w:tblGrid>
        <w:gridCol w:w="9288"/>
      </w:tblGrid>
      <w:tr w:rsidR="00390291" w14:paraId="32794F9F" w14:textId="77777777" w:rsidTr="00390291">
        <w:tc>
          <w:tcPr>
            <w:tcW w:w="9288" w:type="dxa"/>
          </w:tcPr>
          <w:p w14:paraId="228827FF" w14:textId="77777777" w:rsidR="00390291" w:rsidRDefault="00390291" w:rsidP="00CE55B3">
            <w:pPr>
              <w:pStyle w:val="Boxheading"/>
            </w:pPr>
            <w:bookmarkStart w:id="96" w:name="_Toc174439925"/>
            <w:bookmarkStart w:id="97" w:name="_Hlk153965105"/>
            <w:r>
              <w:lastRenderedPageBreak/>
              <w:t xml:space="preserve">Case study 10: </w:t>
            </w:r>
            <w:r w:rsidRPr="00390291">
              <w:t>Documentation</w:t>
            </w:r>
            <w:r>
              <w:t xml:space="preserve"> of removal and return to blood fridge</w:t>
            </w:r>
            <w:bookmarkEnd w:id="96"/>
          </w:p>
          <w:p w14:paraId="17B7C87E" w14:textId="77777777" w:rsidR="00390291" w:rsidRDefault="00390291" w:rsidP="00390291">
            <w:pPr>
              <w:pStyle w:val="Body"/>
            </w:pPr>
            <w:r w:rsidRPr="009C0B1B">
              <w:t xml:space="preserve">A unit of </w:t>
            </w:r>
            <w:r>
              <w:t>RBC</w:t>
            </w:r>
            <w:r w:rsidRPr="009C0B1B">
              <w:t xml:space="preserve"> was returned to the blood fridge more than 30</w:t>
            </w:r>
            <w:r>
              <w:t xml:space="preserve"> </w:t>
            </w:r>
            <w:r w:rsidRPr="009C0B1B">
              <w:t xml:space="preserve">minutes after it had initially been removed. </w:t>
            </w:r>
          </w:p>
          <w:p w14:paraId="5C732C0A" w14:textId="5F10847E" w:rsidR="00390291" w:rsidRPr="009C0B1B" w:rsidRDefault="00390291" w:rsidP="00390291">
            <w:pPr>
              <w:pStyle w:val="Body"/>
            </w:pPr>
            <w:r w:rsidRPr="009C0B1B">
              <w:t xml:space="preserve">A second staff member later removed and used the </w:t>
            </w:r>
            <w:r>
              <w:t xml:space="preserve">RBC </w:t>
            </w:r>
            <w:r w:rsidRPr="009C0B1B">
              <w:t>unit for th</w:t>
            </w:r>
            <w:r>
              <w:t>e</w:t>
            </w:r>
            <w:r w:rsidRPr="009C0B1B">
              <w:t xml:space="preserve"> patient</w:t>
            </w:r>
            <w:r>
              <w:t>, unaware it was no longer appropriate to be used</w:t>
            </w:r>
            <w:r w:rsidRPr="009C0B1B">
              <w:t>.</w:t>
            </w:r>
          </w:p>
          <w:p w14:paraId="496D63A2" w14:textId="023847D4" w:rsidR="00390291" w:rsidRPr="00CE55B3" w:rsidRDefault="00390291" w:rsidP="00390291">
            <w:pPr>
              <w:pStyle w:val="Body"/>
              <w:rPr>
                <w:b/>
                <w:bCs/>
              </w:rPr>
            </w:pPr>
            <w:r w:rsidRPr="00CE55B3">
              <w:rPr>
                <w:b/>
                <w:bCs/>
              </w:rPr>
              <w:t xml:space="preserve">Expert </w:t>
            </w:r>
            <w:r>
              <w:rPr>
                <w:b/>
                <w:bCs/>
              </w:rPr>
              <w:t>G</w:t>
            </w:r>
            <w:r w:rsidRPr="00CE55B3">
              <w:rPr>
                <w:b/>
                <w:bCs/>
              </w:rPr>
              <w:t xml:space="preserve">roup determination: Procedural other, handling and storage errors, certainly, SR4 </w:t>
            </w:r>
          </w:p>
          <w:p w14:paraId="76A93B35" w14:textId="77777777" w:rsidR="00390291" w:rsidRDefault="00390291" w:rsidP="00390291">
            <w:pPr>
              <w:pStyle w:val="Body"/>
            </w:pPr>
            <w:r>
              <w:t xml:space="preserve">Health services with blood fridges </w:t>
            </w:r>
            <w:r w:rsidRPr="009C0B1B">
              <w:t xml:space="preserve">need to </w:t>
            </w:r>
            <w:r>
              <w:t>have</w:t>
            </w:r>
            <w:r w:rsidRPr="009C0B1B">
              <w:t xml:space="preserve"> clear </w:t>
            </w:r>
            <w:r>
              <w:t>instructions</w:t>
            </w:r>
            <w:r w:rsidRPr="009C0B1B">
              <w:t xml:space="preserve"> for staff about what to do if returning blood to a blood fridge after 30 minutes</w:t>
            </w:r>
            <w:r>
              <w:t xml:space="preserve">. </w:t>
            </w:r>
          </w:p>
          <w:p w14:paraId="04941C31" w14:textId="2249720E" w:rsidR="00390291" w:rsidRDefault="00390291" w:rsidP="00390291">
            <w:pPr>
              <w:pStyle w:val="Body"/>
            </w:pPr>
            <w:r>
              <w:t>This includes</w:t>
            </w:r>
            <w:r w:rsidRPr="009C0B1B">
              <w:t xml:space="preserve"> clear document</w:t>
            </w:r>
            <w:r>
              <w:t>ation of removal and return times with a method to highlight when the</w:t>
            </w:r>
            <w:r w:rsidRPr="009C0B1B">
              <w:t xml:space="preserve"> blood </w:t>
            </w:r>
            <w:r>
              <w:t xml:space="preserve">is no longer suitable for use. </w:t>
            </w:r>
          </w:p>
          <w:p w14:paraId="78455B09" w14:textId="77777777" w:rsidR="00390291" w:rsidRDefault="00390291" w:rsidP="00390291">
            <w:pPr>
              <w:pStyle w:val="Body"/>
            </w:pPr>
            <w:r>
              <w:t xml:space="preserve">Blood cannot be returned to storage after it has been out of the blood fridge for more than 30 minutes. </w:t>
            </w:r>
          </w:p>
          <w:p w14:paraId="5EF3F966" w14:textId="77777777" w:rsidR="00390291" w:rsidRDefault="00390291" w:rsidP="00390291">
            <w:pPr>
              <w:pStyle w:val="Body"/>
            </w:pPr>
            <w:r>
              <w:t xml:space="preserve">If it is still required for the patient, it should be kept visible at the patient bedside where it can be used within 4 hours of removal from storage. </w:t>
            </w:r>
          </w:p>
          <w:p w14:paraId="731CC9DE" w14:textId="591F1A06" w:rsidR="00390291" w:rsidRDefault="00390291" w:rsidP="00390291">
            <w:pPr>
              <w:pStyle w:val="Body"/>
            </w:pPr>
            <w:r>
              <w:t xml:space="preserve">Blood Matters has developed a </w:t>
            </w:r>
            <w:hyperlink r:id="rId42" w:history="1">
              <w:r w:rsidRPr="00D1183B">
                <w:rPr>
                  <w:rStyle w:val="Hyperlink"/>
                </w:rPr>
                <w:t>’30-min/4-hour’ rule poster</w:t>
              </w:r>
            </w:hyperlink>
            <w:r>
              <w:rPr>
                <w:rStyle w:val="FootnoteReference"/>
              </w:rPr>
              <w:footnoteReference w:id="18"/>
            </w:r>
            <w:r>
              <w:t xml:space="preserve"> to assist with interpretation of this rule.</w:t>
            </w:r>
          </w:p>
        </w:tc>
      </w:tr>
    </w:tbl>
    <w:p w14:paraId="061272F7" w14:textId="1F6B5E03" w:rsidR="00292375" w:rsidRDefault="00292375" w:rsidP="00292375">
      <w:pPr>
        <w:pStyle w:val="Heading2"/>
      </w:pPr>
      <w:bookmarkStart w:id="98" w:name="_Toc136329782"/>
      <w:bookmarkStart w:id="99" w:name="_Toc174440016"/>
      <w:bookmarkEnd w:id="97"/>
      <w:r w:rsidRPr="00A361B7">
        <w:t>Near miss</w:t>
      </w:r>
      <w:bookmarkEnd w:id="98"/>
      <w:bookmarkEnd w:id="99"/>
    </w:p>
    <w:p w14:paraId="39ED668D" w14:textId="3CD2C20A" w:rsidR="00E8359F" w:rsidRPr="00E8359F" w:rsidRDefault="00E8359F" w:rsidP="00E8359F">
      <w:pPr>
        <w:pStyle w:val="Body"/>
      </w:pPr>
      <w:r w:rsidRPr="00E8359F">
        <w:t>This year</w:t>
      </w:r>
      <w:r w:rsidR="00390291">
        <w:t>,</w:t>
      </w:r>
      <w:r w:rsidRPr="00E8359F">
        <w:t xml:space="preserve"> there were </w:t>
      </w:r>
      <w:r w:rsidR="00390291">
        <w:t>9</w:t>
      </w:r>
      <w:r w:rsidR="00390291" w:rsidRPr="00E8359F">
        <w:t xml:space="preserve"> </w:t>
      </w:r>
      <w:r w:rsidRPr="00E8359F">
        <w:t xml:space="preserve">reports of near-miss events as shown in Table </w:t>
      </w:r>
      <w:r w:rsidR="00A9310D" w:rsidRPr="00E8359F">
        <w:t>2</w:t>
      </w:r>
      <w:r w:rsidR="00A9310D">
        <w:t>6</w:t>
      </w:r>
      <w:r w:rsidRPr="00E8359F">
        <w:t>.</w:t>
      </w:r>
    </w:p>
    <w:p w14:paraId="45C88D9C" w14:textId="287E0CE4" w:rsidR="00E8359F" w:rsidRDefault="00E8359F" w:rsidP="00E8359F">
      <w:pPr>
        <w:pStyle w:val="Body"/>
      </w:pPr>
      <w:r>
        <w:t>Near</w:t>
      </w:r>
      <w:r w:rsidR="00390291">
        <w:t>-</w:t>
      </w:r>
      <w:r>
        <w:t xml:space="preserve">miss errors </w:t>
      </w:r>
      <w:r w:rsidR="00390291">
        <w:t xml:space="preserve">provide </w:t>
      </w:r>
      <w:r>
        <w:t xml:space="preserve">an opportunity to investigate </w:t>
      </w:r>
      <w:r w:rsidR="00FC7F45">
        <w:t>incorrect</w:t>
      </w:r>
      <w:r>
        <w:t xml:space="preserve"> </w:t>
      </w:r>
      <w:r w:rsidR="00C0363B">
        <w:t xml:space="preserve">or inadequate </w:t>
      </w:r>
      <w:r>
        <w:t xml:space="preserve">transfusion </w:t>
      </w:r>
      <w:r w:rsidR="00FC7F45">
        <w:t xml:space="preserve">processes </w:t>
      </w:r>
      <w:r>
        <w:t>and</w:t>
      </w:r>
      <w:r w:rsidR="00C0363B">
        <w:t xml:space="preserve"> identify factors </w:t>
      </w:r>
      <w:r w:rsidR="00390291">
        <w:t xml:space="preserve">that </w:t>
      </w:r>
      <w:r w:rsidR="00C0363B">
        <w:t xml:space="preserve">can </w:t>
      </w:r>
      <w:r w:rsidR="00390291">
        <w:t>harm to</w:t>
      </w:r>
      <w:r w:rsidR="00C0363B">
        <w:t xml:space="preserve"> the patient.</w:t>
      </w:r>
      <w:r>
        <w:t xml:space="preserve"> </w:t>
      </w:r>
    </w:p>
    <w:p w14:paraId="2994B5C1" w14:textId="3799F801" w:rsidR="00292375" w:rsidRPr="00A361B7" w:rsidRDefault="00292375" w:rsidP="00CE55B3">
      <w:pPr>
        <w:pStyle w:val="Tablecaption"/>
      </w:pPr>
      <w:r w:rsidRPr="00A361B7">
        <w:t xml:space="preserve">Table </w:t>
      </w:r>
      <w:r w:rsidR="00A9310D">
        <w:t>26:</w:t>
      </w:r>
      <w:r w:rsidRPr="00A361B7">
        <w:t xml:space="preserve"> Types of validated near miss events FY2</w:t>
      </w:r>
      <w:r w:rsidR="00340281">
        <w:t>3</w:t>
      </w:r>
    </w:p>
    <w:tbl>
      <w:tblPr>
        <w:tblStyle w:val="GridTable6Colorful-Accent2"/>
        <w:tblW w:w="0" w:type="auto"/>
        <w:tblLook w:val="04A0" w:firstRow="1" w:lastRow="0" w:firstColumn="1" w:lastColumn="0" w:noHBand="0" w:noVBand="1"/>
      </w:tblPr>
      <w:tblGrid>
        <w:gridCol w:w="4644"/>
        <w:gridCol w:w="2722"/>
      </w:tblGrid>
      <w:tr w:rsidR="00E8359F" w:rsidRPr="00E8359F" w14:paraId="0529C942"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A766A49" w14:textId="77777777" w:rsidR="00E8359F" w:rsidRPr="00CE55B3" w:rsidRDefault="00E8359F" w:rsidP="00390291">
            <w:pPr>
              <w:pStyle w:val="Tablecolhead"/>
              <w:rPr>
                <w:b/>
                <w:bCs w:val="0"/>
              </w:rPr>
            </w:pPr>
            <w:bookmarkStart w:id="100" w:name="_Hlk165547787"/>
            <w:r w:rsidRPr="00CE55B3">
              <w:t>Event</w:t>
            </w:r>
          </w:p>
        </w:tc>
        <w:tc>
          <w:tcPr>
            <w:tcW w:w="0" w:type="dxa"/>
          </w:tcPr>
          <w:p w14:paraId="0BD85461" w14:textId="77777777" w:rsidR="00E8359F" w:rsidRPr="00CE55B3" w:rsidRDefault="00E8359F"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Count</w:t>
            </w:r>
          </w:p>
        </w:tc>
      </w:tr>
      <w:tr w:rsidR="00EF0D11" w:rsidRPr="00E8359F" w14:paraId="651A965D"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76E7168" w14:textId="79992D2E" w:rsidR="00EF0D11" w:rsidRPr="00E91AAA" w:rsidRDefault="00EF0D11" w:rsidP="00EF0D11">
            <w:pPr>
              <w:pStyle w:val="Body"/>
              <w:rPr>
                <w:b w:val="0"/>
                <w:color w:val="000000" w:themeColor="text1"/>
              </w:rPr>
            </w:pPr>
            <w:r w:rsidRPr="00E91AAA">
              <w:rPr>
                <w:b w:val="0"/>
                <w:color w:val="000000" w:themeColor="text1"/>
              </w:rPr>
              <w:t>Administration</w:t>
            </w:r>
          </w:p>
        </w:tc>
        <w:tc>
          <w:tcPr>
            <w:tcW w:w="2722" w:type="dxa"/>
          </w:tcPr>
          <w:p w14:paraId="030154B0" w14:textId="76FEE8C7" w:rsidR="00EF0D11" w:rsidRPr="00E91AAA" w:rsidRDefault="00EF0D11" w:rsidP="00E940DA">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2</w:t>
            </w:r>
          </w:p>
        </w:tc>
      </w:tr>
      <w:tr w:rsidR="00E8359F" w:rsidRPr="00E8359F" w14:paraId="715DAE49"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2F1AAF69" w14:textId="77777777" w:rsidR="00E8359F" w:rsidRPr="00E91AAA" w:rsidRDefault="00E8359F" w:rsidP="00E8359F">
            <w:pPr>
              <w:pStyle w:val="Body"/>
              <w:rPr>
                <w:b w:val="0"/>
                <w:color w:val="000000" w:themeColor="text1"/>
              </w:rPr>
            </w:pPr>
            <w:r w:rsidRPr="00E91AAA">
              <w:rPr>
                <w:b w:val="0"/>
                <w:color w:val="000000" w:themeColor="text1"/>
              </w:rPr>
              <w:t>Labelling/documentation</w:t>
            </w:r>
          </w:p>
        </w:tc>
        <w:tc>
          <w:tcPr>
            <w:tcW w:w="2722" w:type="dxa"/>
          </w:tcPr>
          <w:p w14:paraId="2DC81F18" w14:textId="60B7254F" w:rsidR="00E8359F" w:rsidRPr="00E91AAA" w:rsidRDefault="00EF0D11" w:rsidP="00E940DA">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2</w:t>
            </w:r>
          </w:p>
        </w:tc>
      </w:tr>
      <w:tr w:rsidR="00E8359F" w:rsidRPr="00E8359F" w14:paraId="5BCEFB98"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1F42D2B" w14:textId="77777777" w:rsidR="00E8359F" w:rsidRPr="00E91AAA" w:rsidRDefault="00E8359F" w:rsidP="00E8359F">
            <w:pPr>
              <w:pStyle w:val="Body"/>
              <w:rPr>
                <w:b w:val="0"/>
                <w:color w:val="000000" w:themeColor="text1"/>
              </w:rPr>
            </w:pPr>
            <w:r w:rsidRPr="00E91AAA">
              <w:rPr>
                <w:b w:val="0"/>
                <w:color w:val="000000" w:themeColor="text1"/>
              </w:rPr>
              <w:t>Inappropriate component issued</w:t>
            </w:r>
          </w:p>
        </w:tc>
        <w:tc>
          <w:tcPr>
            <w:tcW w:w="2722" w:type="dxa"/>
          </w:tcPr>
          <w:p w14:paraId="7F758DD4" w14:textId="40A9F7BF" w:rsidR="00E8359F" w:rsidRPr="00E91AAA" w:rsidRDefault="00EF0D11" w:rsidP="00E940DA">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2</w:t>
            </w:r>
          </w:p>
        </w:tc>
      </w:tr>
      <w:tr w:rsidR="00EF0D11" w:rsidRPr="00E8359F" w14:paraId="57781C0F"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42AFA674" w14:textId="0DF28395" w:rsidR="00EF0D11" w:rsidRPr="00E91AAA" w:rsidRDefault="000C6856" w:rsidP="00E8359F">
            <w:pPr>
              <w:pStyle w:val="Body"/>
              <w:rPr>
                <w:b w:val="0"/>
                <w:color w:val="000000" w:themeColor="text1"/>
              </w:rPr>
            </w:pPr>
            <w:r w:rsidRPr="00E91AAA">
              <w:rPr>
                <w:b w:val="0"/>
                <w:color w:val="000000" w:themeColor="text1"/>
              </w:rPr>
              <w:t>Laboratory</w:t>
            </w:r>
          </w:p>
        </w:tc>
        <w:tc>
          <w:tcPr>
            <w:tcW w:w="2722" w:type="dxa"/>
          </w:tcPr>
          <w:p w14:paraId="679197C4" w14:textId="43F466AC" w:rsidR="00EF0D11" w:rsidRPr="00E91AAA" w:rsidRDefault="00EF0D11" w:rsidP="00E940DA">
            <w:pPr>
              <w:pStyle w:val="Body"/>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2</w:t>
            </w:r>
          </w:p>
        </w:tc>
      </w:tr>
      <w:tr w:rsidR="00EF0D11" w:rsidRPr="00E8359F" w14:paraId="674AF346"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AA96439" w14:textId="00C6064C" w:rsidR="00EF0D11" w:rsidRPr="00E91AAA" w:rsidRDefault="00EF0D11" w:rsidP="00E8359F">
            <w:pPr>
              <w:pStyle w:val="Body"/>
              <w:rPr>
                <w:b w:val="0"/>
                <w:color w:val="000000" w:themeColor="text1"/>
              </w:rPr>
            </w:pPr>
            <w:r w:rsidRPr="00E91AAA">
              <w:rPr>
                <w:b w:val="0"/>
                <w:color w:val="000000" w:themeColor="text1"/>
              </w:rPr>
              <w:t>Incorrect prescription or request for blood</w:t>
            </w:r>
          </w:p>
        </w:tc>
        <w:tc>
          <w:tcPr>
            <w:tcW w:w="2722" w:type="dxa"/>
          </w:tcPr>
          <w:p w14:paraId="5F76B001" w14:textId="60955425" w:rsidR="00EF0D11" w:rsidRPr="00E91AAA" w:rsidRDefault="00EF0D11" w:rsidP="00E940DA">
            <w:pPr>
              <w:pStyle w:val="Body"/>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1</w:t>
            </w:r>
          </w:p>
        </w:tc>
      </w:tr>
      <w:bookmarkEnd w:id="100"/>
    </w:tbl>
    <w:p w14:paraId="614097F5" w14:textId="77777777" w:rsidR="00292375" w:rsidRDefault="00292375" w:rsidP="00495C75">
      <w:pPr>
        <w:pStyle w:val="Body"/>
      </w:pPr>
    </w:p>
    <w:tbl>
      <w:tblPr>
        <w:tblStyle w:val="TableGrid"/>
        <w:tblW w:w="0" w:type="auto"/>
        <w:tblLook w:val="04A0" w:firstRow="1" w:lastRow="0" w:firstColumn="1" w:lastColumn="0" w:noHBand="0" w:noVBand="1"/>
      </w:tblPr>
      <w:tblGrid>
        <w:gridCol w:w="9288"/>
      </w:tblGrid>
      <w:tr w:rsidR="00390291" w14:paraId="6E02B27F" w14:textId="77777777" w:rsidTr="00390291">
        <w:tc>
          <w:tcPr>
            <w:tcW w:w="9288" w:type="dxa"/>
          </w:tcPr>
          <w:p w14:paraId="15F5CF36" w14:textId="77777777" w:rsidR="00390291" w:rsidRDefault="00390291" w:rsidP="00CE55B3">
            <w:pPr>
              <w:pStyle w:val="Boxheading"/>
            </w:pPr>
            <w:bookmarkStart w:id="101" w:name="_Toc174439926"/>
            <w:r w:rsidRPr="005A6EC2">
              <w:lastRenderedPageBreak/>
              <w:t>Case study 1</w:t>
            </w:r>
            <w:r>
              <w:t>1</w:t>
            </w:r>
            <w:r w:rsidRPr="005A6EC2">
              <w:t>:</w:t>
            </w:r>
            <w:r>
              <w:t xml:space="preserve"> </w:t>
            </w:r>
            <w:r w:rsidRPr="00390291">
              <w:t>Inappropriate</w:t>
            </w:r>
            <w:r>
              <w:t xml:space="preserve"> product issued and almost administered</w:t>
            </w:r>
            <w:bookmarkEnd w:id="101"/>
          </w:p>
          <w:p w14:paraId="121AFAB9" w14:textId="764FE4EF" w:rsidR="00390291" w:rsidRPr="005A6EC2" w:rsidRDefault="00390291" w:rsidP="00390291">
            <w:pPr>
              <w:pStyle w:val="Body"/>
            </w:pPr>
            <w:r w:rsidRPr="005A6EC2">
              <w:t>A patient had undergone a haemopoietic stem cell transplant</w:t>
            </w:r>
            <w:r>
              <w:t>.</w:t>
            </w:r>
            <w:r w:rsidRPr="005A6EC2">
              <w:t xml:space="preserve"> </w:t>
            </w:r>
            <w:r>
              <w:t>They</w:t>
            </w:r>
            <w:r w:rsidRPr="005A6EC2">
              <w:t xml:space="preserve"> developed graft failure</w:t>
            </w:r>
            <w:r>
              <w:t xml:space="preserve"> and</w:t>
            </w:r>
            <w:r w:rsidRPr="005A6EC2">
              <w:t xml:space="preserve"> </w:t>
            </w:r>
            <w:r>
              <w:t>required</w:t>
            </w:r>
            <w:r w:rsidRPr="005A6EC2">
              <w:t xml:space="preserve"> irradiated components. </w:t>
            </w:r>
          </w:p>
          <w:p w14:paraId="05FA6F7B" w14:textId="77777777" w:rsidR="00390291" w:rsidRDefault="00390291" w:rsidP="00390291">
            <w:pPr>
              <w:pStyle w:val="Body"/>
            </w:pPr>
            <w:r w:rsidRPr="005A6EC2">
              <w:t>The health service process for requesting irradiated components is to notify the blood bank, which then record</w:t>
            </w:r>
            <w:r>
              <w:t>s</w:t>
            </w:r>
            <w:r w:rsidRPr="005A6EC2">
              <w:t xml:space="preserve"> th</w:t>
            </w:r>
            <w:r>
              <w:t>e special requirement</w:t>
            </w:r>
            <w:r w:rsidRPr="005A6EC2">
              <w:t xml:space="preserve"> in the LIS. </w:t>
            </w:r>
          </w:p>
          <w:p w14:paraId="30115636" w14:textId="771F472D" w:rsidR="00390291" w:rsidRPr="005A6EC2" w:rsidRDefault="00390291" w:rsidP="00390291">
            <w:pPr>
              <w:pStyle w:val="Body"/>
            </w:pPr>
            <w:r w:rsidRPr="005A6EC2">
              <w:t xml:space="preserve">Clinical staff need to include the irradiation requirement in the prescription and the staff </w:t>
            </w:r>
            <w:r>
              <w:t xml:space="preserve">need to include this when </w:t>
            </w:r>
            <w:r w:rsidRPr="005A6EC2">
              <w:t>performing bedside checks. However, the health service note</w:t>
            </w:r>
            <w:r>
              <w:t>d</w:t>
            </w:r>
            <w:r w:rsidRPr="005A6EC2">
              <w:t xml:space="preserve"> that modifications, such as irradiation or CMV seronegative blood, are not easily visible in the EMR to perform this check. </w:t>
            </w:r>
          </w:p>
          <w:p w14:paraId="242528A4" w14:textId="77777777" w:rsidR="00390291" w:rsidRPr="005A6EC2" w:rsidRDefault="00390291" w:rsidP="00390291">
            <w:pPr>
              <w:pStyle w:val="Body"/>
            </w:pPr>
            <w:r w:rsidRPr="005A6EC2">
              <w:t xml:space="preserve">In this case the order to the blood bank did not include the need for irradiation and as the patient was </w:t>
            </w:r>
            <w:r>
              <w:t>admitted under a unit other than haematology</w:t>
            </w:r>
            <w:r w:rsidRPr="005A6EC2">
              <w:t xml:space="preserve">, the laboratory staff were not alerted and did not check the LIS. The staff administering the </w:t>
            </w:r>
            <w:r>
              <w:t>RBC</w:t>
            </w:r>
            <w:r w:rsidRPr="005A6EC2">
              <w:t xml:space="preserve"> were not familiar with the requirements for irradiation and without </w:t>
            </w:r>
            <w:r>
              <w:t>it being prescribed</w:t>
            </w:r>
            <w:r w:rsidRPr="005A6EC2">
              <w:t xml:space="preserve"> </w:t>
            </w:r>
            <w:r>
              <w:t>they</w:t>
            </w:r>
            <w:r w:rsidRPr="005A6EC2">
              <w:t xml:space="preserve"> did not know they had the wrong </w:t>
            </w:r>
            <w:r>
              <w:t>component</w:t>
            </w:r>
            <w:r w:rsidRPr="005A6EC2">
              <w:t xml:space="preserve">. </w:t>
            </w:r>
          </w:p>
          <w:p w14:paraId="4094D8F2" w14:textId="77777777" w:rsidR="00390291" w:rsidRPr="005A6EC2" w:rsidRDefault="00390291" w:rsidP="00390291">
            <w:pPr>
              <w:pStyle w:val="Body"/>
            </w:pPr>
            <w:r w:rsidRPr="005A6EC2">
              <w:t xml:space="preserve">Fortunately, the laboratory staff recognised the error quickly and recalled the </w:t>
            </w:r>
            <w:r>
              <w:t xml:space="preserve">RBC </w:t>
            </w:r>
            <w:r w:rsidRPr="005A6EC2">
              <w:t>units before they were administered.</w:t>
            </w:r>
          </w:p>
          <w:p w14:paraId="29538CB0" w14:textId="3617784A" w:rsidR="00390291" w:rsidRPr="00CE55B3" w:rsidRDefault="00390291" w:rsidP="00390291">
            <w:pPr>
              <w:pStyle w:val="Body"/>
              <w:rPr>
                <w:b/>
                <w:bCs/>
              </w:rPr>
            </w:pPr>
            <w:r w:rsidRPr="00CE55B3">
              <w:rPr>
                <w:b/>
                <w:bCs/>
              </w:rPr>
              <w:t xml:space="preserve">Expert </w:t>
            </w:r>
            <w:r>
              <w:rPr>
                <w:b/>
                <w:bCs/>
              </w:rPr>
              <w:t>G</w:t>
            </w:r>
            <w:r w:rsidRPr="00CE55B3">
              <w:rPr>
                <w:b/>
                <w:bCs/>
              </w:rPr>
              <w:t>roup determination</w:t>
            </w:r>
            <w:r w:rsidRPr="00CE55B3" w:rsidDel="00333EA5">
              <w:rPr>
                <w:b/>
                <w:bCs/>
              </w:rPr>
              <w:t>:</w:t>
            </w:r>
            <w:r w:rsidRPr="00CE55B3">
              <w:rPr>
                <w:b/>
                <w:bCs/>
              </w:rPr>
              <w:t xml:space="preserve"> near miss, certainly, inappropriate product issued</w:t>
            </w:r>
          </w:p>
          <w:p w14:paraId="79207A59" w14:textId="3D6E7FBB" w:rsidR="00390291" w:rsidRDefault="00390291" w:rsidP="00390291">
            <w:pPr>
              <w:pStyle w:val="Body"/>
            </w:pPr>
            <w:r w:rsidRPr="005A6EC2">
              <w:t>The health service is working with the EMR team to improve</w:t>
            </w:r>
            <w:r>
              <w:t xml:space="preserve"> visibility of required</w:t>
            </w:r>
            <w:r w:rsidRPr="005A6EC2">
              <w:t xml:space="preserve"> </w:t>
            </w:r>
            <w:r>
              <w:t xml:space="preserve">blood component </w:t>
            </w:r>
            <w:r w:rsidRPr="005A6EC2">
              <w:t xml:space="preserve">modifications within the </w:t>
            </w:r>
            <w:r>
              <w:t>prescription</w:t>
            </w:r>
            <w:r w:rsidRPr="005A6EC2">
              <w:t xml:space="preserve"> at the time of </w:t>
            </w:r>
            <w:r>
              <w:t>transfusion</w:t>
            </w:r>
            <w:r w:rsidRPr="005A6EC2">
              <w:t>.</w:t>
            </w:r>
          </w:p>
        </w:tc>
      </w:tr>
    </w:tbl>
    <w:p w14:paraId="105E7768" w14:textId="77777777" w:rsidR="00390291" w:rsidRDefault="00390291" w:rsidP="00495C75">
      <w:pPr>
        <w:pStyle w:val="Body"/>
      </w:pPr>
    </w:p>
    <w:tbl>
      <w:tblPr>
        <w:tblStyle w:val="TableGrid"/>
        <w:tblW w:w="0" w:type="auto"/>
        <w:tblLook w:val="04A0" w:firstRow="1" w:lastRow="0" w:firstColumn="1" w:lastColumn="0" w:noHBand="0" w:noVBand="1"/>
      </w:tblPr>
      <w:tblGrid>
        <w:gridCol w:w="9288"/>
      </w:tblGrid>
      <w:tr w:rsidR="00390291" w14:paraId="5913B7D6" w14:textId="77777777" w:rsidTr="00390291">
        <w:tc>
          <w:tcPr>
            <w:tcW w:w="9288" w:type="dxa"/>
          </w:tcPr>
          <w:p w14:paraId="1B4CE130" w14:textId="77777777" w:rsidR="00390291" w:rsidRDefault="00390291" w:rsidP="00CE55B3">
            <w:pPr>
              <w:pStyle w:val="Boxheading"/>
            </w:pPr>
            <w:bookmarkStart w:id="102" w:name="_Toc174439927"/>
            <w:r>
              <w:t xml:space="preserve">Case study 12: Error in collection technique almost caused inappropriate blood group </w:t>
            </w:r>
            <w:r w:rsidRPr="00390291">
              <w:t>determination</w:t>
            </w:r>
            <w:bookmarkEnd w:id="102"/>
          </w:p>
          <w:p w14:paraId="44AF7189" w14:textId="185D0421" w:rsidR="00390291" w:rsidRDefault="00390291" w:rsidP="00390291">
            <w:pPr>
              <w:pStyle w:val="Body"/>
            </w:pPr>
            <w:r w:rsidRPr="005A6EC2">
              <w:t xml:space="preserve">A patient admitted post traumatic injury </w:t>
            </w:r>
            <w:r>
              <w:t>had</w:t>
            </w:r>
            <w:r w:rsidRPr="005A6EC2">
              <w:t xml:space="preserve"> </w:t>
            </w:r>
            <w:r>
              <w:t xml:space="preserve">the </w:t>
            </w:r>
            <w:r w:rsidRPr="005A6EC2">
              <w:t xml:space="preserve">massive haemorrhage protocol </w:t>
            </w:r>
            <w:r>
              <w:t>activated. They were</w:t>
            </w:r>
            <w:r w:rsidRPr="005A6EC2">
              <w:t xml:space="preserve"> dispensed </w:t>
            </w:r>
            <w:r>
              <w:t>6</w:t>
            </w:r>
            <w:r w:rsidRPr="005A6EC2">
              <w:t xml:space="preserve"> O </w:t>
            </w:r>
            <w:proofErr w:type="spellStart"/>
            <w:r>
              <w:t>RhD</w:t>
            </w:r>
            <w:proofErr w:type="spellEnd"/>
            <w:r>
              <w:t>-</w:t>
            </w:r>
            <w:r w:rsidRPr="005A6EC2">
              <w:t xml:space="preserve">negative </w:t>
            </w:r>
            <w:r>
              <w:t>RBC</w:t>
            </w:r>
            <w:r w:rsidRPr="005A6EC2">
              <w:t xml:space="preserve"> </w:t>
            </w:r>
            <w:r>
              <w:t>while awaiting</w:t>
            </w:r>
            <w:r w:rsidRPr="005A6EC2">
              <w:t xml:space="preserve"> initial group and screen</w:t>
            </w:r>
            <w:r>
              <w:t xml:space="preserve"> (GS)</w:t>
            </w:r>
            <w:r w:rsidRPr="005A6EC2">
              <w:t xml:space="preserve"> </w:t>
            </w:r>
            <w:r>
              <w:t>results</w:t>
            </w:r>
            <w:r w:rsidRPr="005A6EC2">
              <w:t xml:space="preserve">. </w:t>
            </w:r>
          </w:p>
          <w:p w14:paraId="2AB9DD7F" w14:textId="57582388" w:rsidR="00390291" w:rsidRDefault="00390291" w:rsidP="00390291">
            <w:pPr>
              <w:pStyle w:val="Body"/>
            </w:pPr>
            <w:r w:rsidRPr="005A6EC2">
              <w:t xml:space="preserve">Initial </w:t>
            </w:r>
            <w:r>
              <w:t>GS resulted as</w:t>
            </w:r>
            <w:r w:rsidRPr="005A6EC2">
              <w:t xml:space="preserve"> O </w:t>
            </w:r>
            <w:proofErr w:type="spellStart"/>
            <w:r>
              <w:t>RhD</w:t>
            </w:r>
            <w:proofErr w:type="spellEnd"/>
            <w:r>
              <w:t xml:space="preserve"> </w:t>
            </w:r>
            <w:r w:rsidRPr="005A6EC2">
              <w:t>negative.</w:t>
            </w:r>
          </w:p>
          <w:p w14:paraId="6F67A13C" w14:textId="6B57FEC2" w:rsidR="00390291" w:rsidRPr="005A6EC2" w:rsidRDefault="00390291" w:rsidP="00390291">
            <w:pPr>
              <w:pStyle w:val="Body"/>
            </w:pPr>
            <w:r>
              <w:t>T</w:t>
            </w:r>
            <w:r w:rsidRPr="005A6EC2">
              <w:t xml:space="preserve">he </w:t>
            </w:r>
            <w:r>
              <w:t>b</w:t>
            </w:r>
            <w:r w:rsidRPr="005A6EC2">
              <w:t xml:space="preserve">lood </w:t>
            </w:r>
            <w:r>
              <w:t>b</w:t>
            </w:r>
            <w:r w:rsidRPr="005A6EC2">
              <w:t xml:space="preserve">ank was planning to thaw </w:t>
            </w:r>
            <w:r>
              <w:t xml:space="preserve">group </w:t>
            </w:r>
            <w:r w:rsidRPr="005A6EC2">
              <w:t xml:space="preserve">O FFP, but </w:t>
            </w:r>
            <w:r>
              <w:t xml:space="preserve">the clinical team </w:t>
            </w:r>
            <w:r w:rsidRPr="005A6EC2">
              <w:t xml:space="preserve">requested </w:t>
            </w:r>
            <w:r>
              <w:t>a</w:t>
            </w:r>
            <w:r w:rsidRPr="005A6EC2">
              <w:t xml:space="preserve"> delay.</w:t>
            </w:r>
          </w:p>
          <w:p w14:paraId="2E9448AB" w14:textId="73AA5727" w:rsidR="00390291" w:rsidRDefault="00390291" w:rsidP="00390291">
            <w:pPr>
              <w:pStyle w:val="Body"/>
            </w:pPr>
            <w:r w:rsidRPr="005A6EC2">
              <w:t>Meanwhile, haem</w:t>
            </w:r>
            <w:r>
              <w:t xml:space="preserve">atology and </w:t>
            </w:r>
            <w:r w:rsidRPr="005A6EC2">
              <w:t>biochemistry</w:t>
            </w:r>
            <w:r>
              <w:t xml:space="preserve"> samples</w:t>
            </w:r>
            <w:r w:rsidRPr="005A6EC2">
              <w:t xml:space="preserve"> were</w:t>
            </w:r>
            <w:r>
              <w:t xml:space="preserve"> cancelled by the laboratory and a recollection requested</w:t>
            </w:r>
            <w:r w:rsidRPr="005A6EC2">
              <w:t xml:space="preserve"> due to possible contamination</w:t>
            </w:r>
            <w:r>
              <w:t>.</w:t>
            </w:r>
          </w:p>
          <w:p w14:paraId="75A180D7" w14:textId="68DE6090" w:rsidR="00390291" w:rsidRPr="005A6EC2" w:rsidRDefault="00390291" w:rsidP="00390291">
            <w:pPr>
              <w:pStyle w:val="Body"/>
            </w:pPr>
            <w:r>
              <w:t>When</w:t>
            </w:r>
            <w:r w:rsidRPr="005A6EC2">
              <w:t xml:space="preserve"> </w:t>
            </w:r>
            <w:r>
              <w:t>the b</w:t>
            </w:r>
            <w:r w:rsidRPr="005A6EC2">
              <w:t xml:space="preserve">lood </w:t>
            </w:r>
            <w:r>
              <w:t>b</w:t>
            </w:r>
            <w:r w:rsidRPr="005A6EC2">
              <w:t>ank</w:t>
            </w:r>
            <w:r>
              <w:t xml:space="preserve"> became aware of this, they</w:t>
            </w:r>
            <w:r w:rsidRPr="005A6EC2">
              <w:t xml:space="preserve"> request</w:t>
            </w:r>
            <w:r>
              <w:t>ed</w:t>
            </w:r>
            <w:r w:rsidRPr="005A6EC2">
              <w:t xml:space="preserve"> a second group and s</w:t>
            </w:r>
            <w:r>
              <w:t>creen sample</w:t>
            </w:r>
            <w:r w:rsidRPr="005A6EC2">
              <w:t xml:space="preserve">. The second sample gave a result of A </w:t>
            </w:r>
            <w:proofErr w:type="spellStart"/>
            <w:r>
              <w:t>RhD</w:t>
            </w:r>
            <w:proofErr w:type="spellEnd"/>
            <w:r>
              <w:t xml:space="preserve"> </w:t>
            </w:r>
            <w:r w:rsidRPr="005A6EC2">
              <w:t>positive.</w:t>
            </w:r>
          </w:p>
          <w:p w14:paraId="091C0570" w14:textId="41E83DC6" w:rsidR="00390291" w:rsidRDefault="00390291" w:rsidP="00390291">
            <w:pPr>
              <w:pStyle w:val="Body"/>
            </w:pPr>
            <w:r w:rsidRPr="005A6EC2">
              <w:t>On investigation</w:t>
            </w:r>
            <w:r>
              <w:t>,</w:t>
            </w:r>
            <w:r w:rsidRPr="005A6EC2">
              <w:t xml:space="preserve"> it was found the initial blood sample was taken upstream on the same limb that the O </w:t>
            </w:r>
            <w:proofErr w:type="spellStart"/>
            <w:r>
              <w:t>RhD</w:t>
            </w:r>
            <w:proofErr w:type="spellEnd"/>
            <w:r>
              <w:t xml:space="preserve"> </w:t>
            </w:r>
            <w:r w:rsidRPr="005A6EC2">
              <w:t xml:space="preserve">negative blood was being transfused. </w:t>
            </w:r>
          </w:p>
          <w:p w14:paraId="4FD8B6A9" w14:textId="75EC6643" w:rsidR="00390291" w:rsidRPr="005A6EC2" w:rsidRDefault="00390291" w:rsidP="00390291">
            <w:pPr>
              <w:pStyle w:val="Body"/>
            </w:pPr>
            <w:r w:rsidRPr="005A6EC2">
              <w:t>Therefore, sample was contaminated with cells from the transfused units.</w:t>
            </w:r>
          </w:p>
          <w:p w14:paraId="47E4434A" w14:textId="77777777" w:rsidR="00390291" w:rsidRPr="005A6EC2" w:rsidRDefault="00390291" w:rsidP="00390291">
            <w:pPr>
              <w:pStyle w:val="Body"/>
            </w:pPr>
            <w:r w:rsidRPr="005A6EC2">
              <w:t>The potential for an ABO incorrect FFP transfusion was luckily avoided.</w:t>
            </w:r>
          </w:p>
          <w:p w14:paraId="2876BBC7" w14:textId="77777777" w:rsidR="00390291" w:rsidRDefault="00390291" w:rsidP="00390291">
            <w:pPr>
              <w:pStyle w:val="Body"/>
            </w:pPr>
            <w:r w:rsidRPr="005A6EC2">
              <w:t xml:space="preserve">The health service noted the staff member involved was on their first day of trauma rotation. </w:t>
            </w:r>
          </w:p>
          <w:p w14:paraId="1AF65C2E" w14:textId="123FB065" w:rsidR="00390291" w:rsidRPr="005A6EC2" w:rsidRDefault="00390291" w:rsidP="00390291">
            <w:pPr>
              <w:pStyle w:val="Body"/>
            </w:pPr>
            <w:r w:rsidRPr="005A6EC2">
              <w:t>They have since been educated</w:t>
            </w:r>
            <w:r>
              <w:t>,</w:t>
            </w:r>
            <w:r w:rsidRPr="005A6EC2">
              <w:t xml:space="preserve"> and this case has been used as an education example at trauma meetings.</w:t>
            </w:r>
          </w:p>
          <w:p w14:paraId="53860FA9" w14:textId="7C22118F" w:rsidR="00390291" w:rsidRDefault="00390291" w:rsidP="00A63672">
            <w:pPr>
              <w:pStyle w:val="Body"/>
            </w:pPr>
            <w:r w:rsidRPr="00CE55B3">
              <w:rPr>
                <w:b/>
                <w:bCs/>
              </w:rPr>
              <w:t xml:space="preserve">Expert </w:t>
            </w:r>
            <w:r>
              <w:rPr>
                <w:b/>
                <w:bCs/>
              </w:rPr>
              <w:t>G</w:t>
            </w:r>
            <w:r w:rsidRPr="00CE55B3">
              <w:rPr>
                <w:b/>
                <w:bCs/>
              </w:rPr>
              <w:t>roup determination: Near miss, SR4</w:t>
            </w:r>
          </w:p>
        </w:tc>
      </w:tr>
    </w:tbl>
    <w:p w14:paraId="65C2ABD0" w14:textId="77777777" w:rsidR="00390291" w:rsidRDefault="00390291" w:rsidP="00390291">
      <w:pPr>
        <w:pStyle w:val="Body"/>
      </w:pPr>
    </w:p>
    <w:p w14:paraId="6D32772A" w14:textId="362E4D8C" w:rsidR="00292375" w:rsidRDefault="00292375" w:rsidP="00390291">
      <w:pPr>
        <w:pStyle w:val="Heading2"/>
      </w:pPr>
      <w:bookmarkStart w:id="103" w:name="_Toc136329783"/>
      <w:bookmarkStart w:id="104" w:name="_Toc174440017"/>
      <w:r w:rsidRPr="00A361B7">
        <w:lastRenderedPageBreak/>
        <w:t xml:space="preserve">Wrong </w:t>
      </w:r>
      <w:r w:rsidRPr="00390291">
        <w:t>blood</w:t>
      </w:r>
      <w:r w:rsidRPr="00A361B7">
        <w:t xml:space="preserve"> in tube (WBIT)</w:t>
      </w:r>
      <w:bookmarkEnd w:id="103"/>
      <w:bookmarkEnd w:id="104"/>
    </w:p>
    <w:p w14:paraId="32CD7201" w14:textId="7DFDD2BC" w:rsidR="007E758F" w:rsidRDefault="007E758F" w:rsidP="00BC1DA9">
      <w:pPr>
        <w:pStyle w:val="Body"/>
      </w:pPr>
      <w:r>
        <w:t xml:space="preserve">WBIT errors continue to be a significant </w:t>
      </w:r>
      <w:r w:rsidR="00236547">
        <w:t xml:space="preserve">proportion </w:t>
      </w:r>
      <w:r>
        <w:t>of the procedural errors received by STIR.</w:t>
      </w:r>
    </w:p>
    <w:p w14:paraId="529912DF" w14:textId="4BFC8095" w:rsidR="00390291" w:rsidRDefault="00A33F3D" w:rsidP="00BC1DA9">
      <w:pPr>
        <w:pStyle w:val="Body"/>
      </w:pPr>
      <w:r>
        <w:t>The majority of</w:t>
      </w:r>
      <w:r w:rsidR="00236547">
        <w:t xml:space="preserve"> WBIT</w:t>
      </w:r>
      <w:r>
        <w:t xml:space="preserve"> specimens are collected by nursing or midwifery staff (Table </w:t>
      </w:r>
      <w:r w:rsidR="00A9310D">
        <w:t>27)</w:t>
      </w:r>
      <w:r>
        <w:t xml:space="preserve">. </w:t>
      </w:r>
    </w:p>
    <w:p w14:paraId="1BB2F0CA" w14:textId="77777777" w:rsidR="00390291" w:rsidRDefault="00A33F3D" w:rsidP="00BC1DA9">
      <w:pPr>
        <w:pStyle w:val="Body"/>
      </w:pPr>
      <w:r>
        <w:t xml:space="preserve">When medical staff are involved, errors </w:t>
      </w:r>
      <w:r w:rsidR="00F13563">
        <w:t xml:space="preserve">often </w:t>
      </w:r>
      <w:r>
        <w:t xml:space="preserve">occur when they hand off the collected specimen for someone else to label. </w:t>
      </w:r>
    </w:p>
    <w:p w14:paraId="754DF4C6" w14:textId="322DA22A" w:rsidR="00A33F3D" w:rsidRDefault="00A33F3D" w:rsidP="00BC1DA9">
      <w:pPr>
        <w:pStyle w:val="Body"/>
      </w:pPr>
      <w:r>
        <w:t>While this may be necessary in some cases, there should be a good process for ensuring the staff member labelling and signing for the specimens can complete patient identification procedures and label at the patient side.</w:t>
      </w:r>
    </w:p>
    <w:p w14:paraId="4D09AAE4" w14:textId="44424AF0" w:rsidR="00390291" w:rsidRDefault="00D36F61" w:rsidP="00BC1DA9">
      <w:pPr>
        <w:pStyle w:val="Body"/>
      </w:pPr>
      <w:r>
        <w:t xml:space="preserve">Emergency (ED) and maternity departments </w:t>
      </w:r>
      <w:r w:rsidR="004E3EAD">
        <w:t>consistently</w:t>
      </w:r>
      <w:r>
        <w:t xml:space="preserve"> contribute the most WBIT events, as reported</w:t>
      </w:r>
      <w:r w:rsidR="000B19CC">
        <w:t xml:space="preserve"> (</w:t>
      </w:r>
      <w:r w:rsidR="00F53189">
        <w:t>F</w:t>
      </w:r>
      <w:r w:rsidR="000B19CC">
        <w:t xml:space="preserve">igure </w:t>
      </w:r>
      <w:r w:rsidR="00A9310D">
        <w:t>6</w:t>
      </w:r>
      <w:r w:rsidR="000B19CC">
        <w:t>)</w:t>
      </w:r>
      <w:r>
        <w:t xml:space="preserve">. </w:t>
      </w:r>
      <w:r w:rsidR="004E3EAD">
        <w:t>T</w:t>
      </w:r>
      <w:r>
        <w:t xml:space="preserve">he number of reports coming from the ED over the last </w:t>
      </w:r>
      <w:r w:rsidR="00390291">
        <w:t xml:space="preserve">2 </w:t>
      </w:r>
      <w:r>
        <w:t>years</w:t>
      </w:r>
      <w:r w:rsidR="004E3EAD">
        <w:t xml:space="preserve"> has increased</w:t>
      </w:r>
      <w:r>
        <w:t xml:space="preserve">. </w:t>
      </w:r>
    </w:p>
    <w:p w14:paraId="55928BB3" w14:textId="1B440091" w:rsidR="00D36F61" w:rsidRDefault="00D36F61" w:rsidP="00BC1DA9">
      <w:pPr>
        <w:pStyle w:val="Body"/>
      </w:pPr>
      <w:r>
        <w:t>Both areas have high and unpredictable workloads, with patients who may not be able to participate in patient identification</w:t>
      </w:r>
      <w:r w:rsidR="00390291">
        <w:t>,</w:t>
      </w:r>
      <w:r>
        <w:t xml:space="preserve"> or</w:t>
      </w:r>
      <w:r w:rsidR="00390291">
        <w:t xml:space="preserve"> who</w:t>
      </w:r>
      <w:r>
        <w:t xml:space="preserve"> are</w:t>
      </w:r>
      <w:r w:rsidR="00390291">
        <w:t xml:space="preserve"> unidentified </w:t>
      </w:r>
      <w:r>
        <w:t>at</w:t>
      </w:r>
      <w:r w:rsidR="00E124A2">
        <w:t xml:space="preserve"> the</w:t>
      </w:r>
      <w:r>
        <w:t xml:space="preserve"> time of specimen collection.</w:t>
      </w:r>
    </w:p>
    <w:p w14:paraId="2269D87B" w14:textId="1AD67114" w:rsidR="000B19CC" w:rsidRDefault="000B19CC" w:rsidP="00BC1DA9">
      <w:pPr>
        <w:pStyle w:val="Body"/>
      </w:pPr>
      <w:r>
        <w:t>Most often the error is recognised by the laboratory when results are discrepant with historical record</w:t>
      </w:r>
      <w:r w:rsidR="004E3EAD">
        <w:t>s</w:t>
      </w:r>
      <w:r>
        <w:t xml:space="preserve"> (</w:t>
      </w:r>
      <w:r w:rsidR="00F53189">
        <w:t>T</w:t>
      </w:r>
      <w:r>
        <w:t xml:space="preserve">able </w:t>
      </w:r>
      <w:r w:rsidR="00A9310D">
        <w:t>28</w:t>
      </w:r>
      <w:r>
        <w:t>). This can only occur if the laboratory has a historical record for the named patient.</w:t>
      </w:r>
    </w:p>
    <w:p w14:paraId="774ACA61" w14:textId="5296BD01" w:rsidR="00390291" w:rsidRDefault="000B19CC" w:rsidP="00BC1DA9">
      <w:pPr>
        <w:pStyle w:val="Body"/>
      </w:pPr>
      <w:r>
        <w:t>Factors that contribute to the error (</w:t>
      </w:r>
      <w:r w:rsidR="00F53189">
        <w:t>T</w:t>
      </w:r>
      <w:r>
        <w:t xml:space="preserve">able </w:t>
      </w:r>
      <w:r w:rsidR="00A9310D">
        <w:t>29</w:t>
      </w:r>
      <w:r>
        <w:t xml:space="preserve">) are </w:t>
      </w:r>
      <w:r w:rsidR="004B1672">
        <w:t>most</w:t>
      </w:r>
      <w:r w:rsidR="004E3EAD">
        <w:t xml:space="preserve"> often</w:t>
      </w:r>
      <w:r w:rsidR="004B1672">
        <w:t xml:space="preserve"> reported</w:t>
      </w:r>
      <w:r>
        <w:t xml:space="preserve"> as </w:t>
      </w:r>
      <w:r w:rsidR="00390291">
        <w:t>‘</w:t>
      </w:r>
      <w:r w:rsidRPr="000B19CC">
        <w:t>The correct checking procedure for patient identification was not followed</w:t>
      </w:r>
      <w:r w:rsidR="00390291">
        <w:t xml:space="preserve">’ </w:t>
      </w:r>
      <w:r>
        <w:t>(n</w:t>
      </w:r>
      <w:r w:rsidR="00390291">
        <w:t xml:space="preserve"> </w:t>
      </w:r>
      <w:r>
        <w:t>=</w:t>
      </w:r>
      <w:r w:rsidR="00390291">
        <w:t xml:space="preserve"> </w:t>
      </w:r>
      <w:r>
        <w:t>19; 70</w:t>
      </w:r>
      <w:r w:rsidR="00FD75FB">
        <w:t>%</w:t>
      </w:r>
      <w:r>
        <w:t xml:space="preserve">). </w:t>
      </w:r>
    </w:p>
    <w:p w14:paraId="00F3B4DF" w14:textId="00F63570" w:rsidR="00390291" w:rsidRDefault="000B19CC" w:rsidP="00BC1DA9">
      <w:pPr>
        <w:pStyle w:val="Body"/>
      </w:pPr>
      <w:r>
        <w:t>Incorrect us</w:t>
      </w:r>
      <w:r w:rsidR="00F53189">
        <w:t>e</w:t>
      </w:r>
      <w:r>
        <w:t xml:space="preserve"> of EMR is something that is being reported more often (n</w:t>
      </w:r>
      <w:r w:rsidR="00A9310D">
        <w:t xml:space="preserve"> </w:t>
      </w:r>
      <w:r>
        <w:t>=</w:t>
      </w:r>
      <w:r w:rsidR="00A9310D">
        <w:t xml:space="preserve"> </w:t>
      </w:r>
      <w:r>
        <w:t>6; 22</w:t>
      </w:r>
      <w:r w:rsidR="00FD75FB">
        <w:t>%</w:t>
      </w:r>
      <w:r>
        <w:t>)</w:t>
      </w:r>
      <w:r w:rsidR="00390291">
        <w:t xml:space="preserve">, </w:t>
      </w:r>
      <w:r>
        <w:t xml:space="preserve">as health services increasingly move to use of EMR. </w:t>
      </w:r>
    </w:p>
    <w:p w14:paraId="29318D0D" w14:textId="23A74A46" w:rsidR="00390291" w:rsidRDefault="00390291" w:rsidP="00BC1DA9">
      <w:pPr>
        <w:pStyle w:val="Body"/>
      </w:pPr>
      <w:r>
        <w:t>Health services should provide e</w:t>
      </w:r>
      <w:r w:rsidR="000B19CC">
        <w:t xml:space="preserve">ducation </w:t>
      </w:r>
      <w:r>
        <w:t xml:space="preserve">for </w:t>
      </w:r>
      <w:r w:rsidR="000B19CC">
        <w:t xml:space="preserve">all staff involved in collection of specimens and easy access to information for </w:t>
      </w:r>
      <w:r>
        <w:t xml:space="preserve">staff </w:t>
      </w:r>
      <w:r w:rsidR="000B19CC">
        <w:t>who may not use the system for specimen collection regularly</w:t>
      </w:r>
      <w:r>
        <w:t>.</w:t>
      </w:r>
      <w:r w:rsidR="000B19CC">
        <w:t xml:space="preserve"> </w:t>
      </w:r>
      <w:r>
        <w:t>This will help to</w:t>
      </w:r>
      <w:r w:rsidR="000B19CC">
        <w:t xml:space="preserve"> ensure compliance with the process. </w:t>
      </w:r>
    </w:p>
    <w:p w14:paraId="7F5EB1FA" w14:textId="1C82DFC1" w:rsidR="000B19CC" w:rsidRDefault="00C7176B" w:rsidP="00BC1DA9">
      <w:pPr>
        <w:pStyle w:val="Body"/>
      </w:pPr>
      <w:r>
        <w:t xml:space="preserve">One instance (category </w:t>
      </w:r>
      <w:r w:rsidR="00390291">
        <w:t>‘</w:t>
      </w:r>
      <w:r>
        <w:t>other</w:t>
      </w:r>
      <w:r w:rsidR="00390291">
        <w:t xml:space="preserve">’) </w:t>
      </w:r>
      <w:r>
        <w:t>occurred when the patient gave the incorrect identifiers</w:t>
      </w:r>
      <w:r w:rsidR="00725B00">
        <w:t xml:space="preserve"> (see case study 13)</w:t>
      </w:r>
      <w:r w:rsidR="000B19CC">
        <w:t>. Patients also need to be aware of risks around incorrect patient identification.</w:t>
      </w:r>
    </w:p>
    <w:p w14:paraId="065F6C2F" w14:textId="63CEABCE" w:rsidR="00A33F3D" w:rsidRPr="00A33F3D" w:rsidRDefault="00A33F3D" w:rsidP="00CE55B3">
      <w:pPr>
        <w:pStyle w:val="Tablecaption"/>
      </w:pPr>
      <w:r w:rsidRPr="00A33F3D">
        <w:t xml:space="preserve">Table </w:t>
      </w:r>
      <w:r w:rsidR="00A9310D">
        <w:t>27:</w:t>
      </w:r>
      <w:r w:rsidRPr="00A33F3D">
        <w:t xml:space="preserve"> </w:t>
      </w:r>
      <w:r w:rsidR="00E124A2">
        <w:t>WBIT c</w:t>
      </w:r>
      <w:r w:rsidRPr="00A33F3D">
        <w:t>ollectors</w:t>
      </w:r>
      <w:r>
        <w:t xml:space="preserve"> </w:t>
      </w:r>
      <w:r w:rsidRPr="00390291">
        <w:t>identified</w:t>
      </w:r>
    </w:p>
    <w:tbl>
      <w:tblPr>
        <w:tblStyle w:val="GridTable6Colorful-Accent2"/>
        <w:tblW w:w="0" w:type="auto"/>
        <w:tblLook w:val="04A0" w:firstRow="1" w:lastRow="0" w:firstColumn="1" w:lastColumn="0" w:noHBand="0" w:noVBand="1"/>
      </w:tblPr>
      <w:tblGrid>
        <w:gridCol w:w="4644"/>
        <w:gridCol w:w="3006"/>
      </w:tblGrid>
      <w:tr w:rsidR="00A33F3D" w14:paraId="093BA2A9"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AE37DFA" w14:textId="64B72FC3" w:rsidR="00A33F3D" w:rsidRPr="00CE55B3" w:rsidRDefault="00A33F3D" w:rsidP="00390291">
            <w:pPr>
              <w:pStyle w:val="Tablecolhead"/>
              <w:rPr>
                <w:b/>
                <w:bCs w:val="0"/>
              </w:rPr>
            </w:pPr>
            <w:r w:rsidRPr="00CE55B3">
              <w:t>Staff member</w:t>
            </w:r>
          </w:p>
        </w:tc>
        <w:tc>
          <w:tcPr>
            <w:tcW w:w="0" w:type="dxa"/>
          </w:tcPr>
          <w:p w14:paraId="6464C738" w14:textId="22E1FFBF" w:rsidR="00A33F3D" w:rsidRPr="00CE55B3" w:rsidRDefault="00A33F3D"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Number (</w:t>
            </w:r>
            <w:r w:rsidR="00FE0666" w:rsidRPr="00CE55B3">
              <w:t>%</w:t>
            </w:r>
            <w:r w:rsidRPr="00CE55B3">
              <w:t>)</w:t>
            </w:r>
          </w:p>
        </w:tc>
      </w:tr>
      <w:tr w:rsidR="00A33F3D" w14:paraId="2E9B2676"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FDBF5C6" w14:textId="2BC8CBEF" w:rsidR="00A33F3D" w:rsidRPr="00E91AAA" w:rsidRDefault="00A33F3D" w:rsidP="00F13563">
            <w:pPr>
              <w:pStyle w:val="Body"/>
              <w:keepNext/>
              <w:rPr>
                <w:b w:val="0"/>
                <w:color w:val="000000" w:themeColor="text1"/>
              </w:rPr>
            </w:pPr>
            <w:r w:rsidRPr="00E91AAA">
              <w:rPr>
                <w:b w:val="0"/>
                <w:color w:val="000000" w:themeColor="text1"/>
              </w:rPr>
              <w:t>Medical</w:t>
            </w:r>
          </w:p>
        </w:tc>
        <w:tc>
          <w:tcPr>
            <w:tcW w:w="3006" w:type="dxa"/>
          </w:tcPr>
          <w:p w14:paraId="4470989A" w14:textId="26D2D167" w:rsidR="00A33F3D" w:rsidRPr="00E91AAA" w:rsidRDefault="00A33F3D" w:rsidP="00E940DA">
            <w:pPr>
              <w:pStyle w:val="Body"/>
              <w:keepN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6 (22)</w:t>
            </w:r>
          </w:p>
        </w:tc>
      </w:tr>
      <w:tr w:rsidR="00A33F3D" w14:paraId="2313D25A"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111F4088" w14:textId="3A4DA05D" w:rsidR="00A33F3D" w:rsidRPr="00E91AAA" w:rsidRDefault="00A33F3D" w:rsidP="00F13563">
            <w:pPr>
              <w:pStyle w:val="Body"/>
              <w:keepNext/>
              <w:rPr>
                <w:b w:val="0"/>
                <w:color w:val="000000" w:themeColor="text1"/>
              </w:rPr>
            </w:pPr>
            <w:r w:rsidRPr="00E91AAA">
              <w:rPr>
                <w:b w:val="0"/>
                <w:color w:val="000000" w:themeColor="text1"/>
              </w:rPr>
              <w:t>Nursing</w:t>
            </w:r>
          </w:p>
        </w:tc>
        <w:tc>
          <w:tcPr>
            <w:tcW w:w="3006" w:type="dxa"/>
          </w:tcPr>
          <w:p w14:paraId="76FB55B4" w14:textId="7F24EDCC" w:rsidR="00A33F3D" w:rsidRPr="00E91AAA" w:rsidRDefault="00A33F3D" w:rsidP="00E940DA">
            <w:pPr>
              <w:pStyle w:val="Body"/>
              <w:keepNext/>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16 (59)</w:t>
            </w:r>
          </w:p>
        </w:tc>
      </w:tr>
      <w:tr w:rsidR="00A33F3D" w14:paraId="571B3427"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A799931" w14:textId="39069F80" w:rsidR="00A33F3D" w:rsidRPr="00E91AAA" w:rsidRDefault="00A33F3D" w:rsidP="00F13563">
            <w:pPr>
              <w:pStyle w:val="Body"/>
              <w:keepNext/>
              <w:rPr>
                <w:b w:val="0"/>
                <w:color w:val="000000" w:themeColor="text1"/>
              </w:rPr>
            </w:pPr>
            <w:r w:rsidRPr="00E91AAA">
              <w:rPr>
                <w:b w:val="0"/>
                <w:color w:val="000000" w:themeColor="text1"/>
              </w:rPr>
              <w:t>Pathology collector</w:t>
            </w:r>
          </w:p>
        </w:tc>
        <w:tc>
          <w:tcPr>
            <w:tcW w:w="3006" w:type="dxa"/>
          </w:tcPr>
          <w:p w14:paraId="35F6C61E" w14:textId="683B90D5" w:rsidR="00A33F3D" w:rsidRPr="00E91AAA" w:rsidRDefault="00A33F3D" w:rsidP="00E940DA">
            <w:pPr>
              <w:pStyle w:val="Body"/>
              <w:keepN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w:t>
            </w:r>
          </w:p>
        </w:tc>
      </w:tr>
      <w:tr w:rsidR="00A33F3D" w14:paraId="50D29301" w14:textId="77777777" w:rsidTr="00E91AAA">
        <w:tc>
          <w:tcPr>
            <w:cnfStyle w:val="001000000000" w:firstRow="0" w:lastRow="0" w:firstColumn="1" w:lastColumn="0" w:oddVBand="0" w:evenVBand="0" w:oddHBand="0" w:evenHBand="0" w:firstRowFirstColumn="0" w:firstRowLastColumn="0" w:lastRowFirstColumn="0" w:lastRowLastColumn="0"/>
            <w:tcW w:w="4644" w:type="dxa"/>
          </w:tcPr>
          <w:p w14:paraId="49ACB268" w14:textId="5B043D6B" w:rsidR="00A33F3D" w:rsidRPr="00E91AAA" w:rsidRDefault="00A33F3D" w:rsidP="00F13563">
            <w:pPr>
              <w:pStyle w:val="Body"/>
              <w:keepNext/>
              <w:tabs>
                <w:tab w:val="left" w:pos="1092"/>
              </w:tabs>
              <w:rPr>
                <w:b w:val="0"/>
                <w:color w:val="000000" w:themeColor="text1"/>
              </w:rPr>
            </w:pPr>
            <w:r w:rsidRPr="00E91AAA">
              <w:rPr>
                <w:b w:val="0"/>
                <w:color w:val="000000" w:themeColor="text1"/>
              </w:rPr>
              <w:t>Other: Midwife</w:t>
            </w:r>
          </w:p>
        </w:tc>
        <w:tc>
          <w:tcPr>
            <w:tcW w:w="3006" w:type="dxa"/>
          </w:tcPr>
          <w:p w14:paraId="01450B63" w14:textId="428E59F4" w:rsidR="00A33F3D" w:rsidRPr="00E91AAA" w:rsidRDefault="00A33F3D" w:rsidP="00E940DA">
            <w:pPr>
              <w:pStyle w:val="Body"/>
              <w:keepNext/>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4 (15)</w:t>
            </w:r>
          </w:p>
        </w:tc>
      </w:tr>
      <w:tr w:rsidR="00A33F3D" w14:paraId="6989C3EC"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7A2CF9CF" w14:textId="21353534" w:rsidR="00A33F3D" w:rsidRPr="00E91AAA" w:rsidRDefault="00A33F3D" w:rsidP="00F13563">
            <w:pPr>
              <w:pStyle w:val="Body"/>
              <w:keepNext/>
              <w:tabs>
                <w:tab w:val="left" w:pos="1092"/>
              </w:tabs>
              <w:rPr>
                <w:b w:val="0"/>
                <w:color w:val="000000" w:themeColor="text1"/>
              </w:rPr>
            </w:pPr>
            <w:r w:rsidRPr="00E91AAA">
              <w:rPr>
                <w:b w:val="0"/>
                <w:color w:val="000000" w:themeColor="text1"/>
              </w:rPr>
              <w:t>Unknown</w:t>
            </w:r>
          </w:p>
        </w:tc>
        <w:tc>
          <w:tcPr>
            <w:tcW w:w="3006" w:type="dxa"/>
          </w:tcPr>
          <w:p w14:paraId="2A7870BD" w14:textId="48D71AA9" w:rsidR="00A33F3D" w:rsidRPr="00E91AAA" w:rsidRDefault="00A33F3D" w:rsidP="00E940DA">
            <w:pPr>
              <w:pStyle w:val="Body"/>
              <w:keepN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1 (4)</w:t>
            </w:r>
          </w:p>
        </w:tc>
      </w:tr>
    </w:tbl>
    <w:p w14:paraId="0E005E8D" w14:textId="56C20876" w:rsidR="00BC1DA9" w:rsidRPr="00BC1DA9" w:rsidRDefault="00BC1DA9" w:rsidP="00BC1DA9">
      <w:pPr>
        <w:pStyle w:val="Body"/>
      </w:pPr>
    </w:p>
    <w:p w14:paraId="4D570122" w14:textId="0AA1DCA0" w:rsidR="00292375" w:rsidRDefault="00292375" w:rsidP="00390291">
      <w:pPr>
        <w:pStyle w:val="Figurecaption"/>
      </w:pPr>
      <w:r w:rsidRPr="008230A4">
        <w:lastRenderedPageBreak/>
        <w:t xml:space="preserve">Figure </w:t>
      </w:r>
      <w:r w:rsidR="00A9310D">
        <w:t>6</w:t>
      </w:r>
      <w:r w:rsidRPr="008230A4">
        <w:t xml:space="preserve">: Location of WBIT </w:t>
      </w:r>
      <w:r w:rsidRPr="00390291">
        <w:t>errors</w:t>
      </w:r>
    </w:p>
    <w:p w14:paraId="03AB1470" w14:textId="4E21A2EB" w:rsidR="00390291" w:rsidRPr="00390291" w:rsidRDefault="00390291" w:rsidP="00CE55B3">
      <w:pPr>
        <w:pStyle w:val="Body"/>
      </w:pPr>
      <w:r>
        <w:rPr>
          <w:noProof/>
        </w:rPr>
        <w:drawing>
          <wp:inline distT="0" distB="0" distL="0" distR="0" wp14:anchorId="7B73EF67" wp14:editId="6ABFF6F8">
            <wp:extent cx="5904230" cy="3185795"/>
            <wp:effectExtent l="0" t="0" r="1270" b="1905"/>
            <wp:docPr id="756026792" name="Picture 23" descr="Bar graph showing WBIT errors reported over time. Contact STIR for the source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6792" name="Picture 23" descr="Bar graph showing WBIT errors reported over time. Contact STIR for the source data. "/>
                    <pic:cNvPicPr/>
                  </pic:nvPicPr>
                  <pic:blipFill>
                    <a:blip r:embed="rId43"/>
                    <a:stretch>
                      <a:fillRect/>
                    </a:stretch>
                  </pic:blipFill>
                  <pic:spPr>
                    <a:xfrm>
                      <a:off x="0" y="0"/>
                      <a:ext cx="5904230" cy="3185795"/>
                    </a:xfrm>
                    <a:prstGeom prst="rect">
                      <a:avLst/>
                    </a:prstGeom>
                  </pic:spPr>
                </pic:pic>
              </a:graphicData>
            </a:graphic>
          </wp:inline>
        </w:drawing>
      </w:r>
    </w:p>
    <w:p w14:paraId="157FFD91" w14:textId="313CF5A2" w:rsidR="00292375" w:rsidRPr="00230033" w:rsidRDefault="00292375" w:rsidP="00CE55B3">
      <w:pPr>
        <w:pStyle w:val="Tablecaption"/>
      </w:pPr>
      <w:r w:rsidRPr="00230033">
        <w:t xml:space="preserve">Table </w:t>
      </w:r>
      <w:r w:rsidR="00A9310D">
        <w:t>28:</w:t>
      </w:r>
      <w:r w:rsidRPr="00230033">
        <w:t xml:space="preserve"> How the WBIT was recognised</w:t>
      </w:r>
    </w:p>
    <w:tbl>
      <w:tblPr>
        <w:tblStyle w:val="GridTable6Colorful-Accent2"/>
        <w:tblW w:w="0" w:type="auto"/>
        <w:tblLook w:val="04A0" w:firstRow="1" w:lastRow="0" w:firstColumn="1" w:lastColumn="0" w:noHBand="0" w:noVBand="1"/>
      </w:tblPr>
      <w:tblGrid>
        <w:gridCol w:w="6941"/>
        <w:gridCol w:w="2347"/>
      </w:tblGrid>
      <w:tr w:rsidR="00F126DB" w14:paraId="53AFA692"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2EEE260" w14:textId="77777777" w:rsidR="00F126DB" w:rsidRPr="00CE55B3" w:rsidRDefault="00F126DB" w:rsidP="00390291">
            <w:pPr>
              <w:pStyle w:val="Tablecolhead"/>
              <w:rPr>
                <w:b/>
                <w:bCs w:val="0"/>
              </w:rPr>
            </w:pPr>
            <w:r w:rsidRPr="00CE55B3">
              <w:t>Category</w:t>
            </w:r>
          </w:p>
        </w:tc>
        <w:tc>
          <w:tcPr>
            <w:tcW w:w="0" w:type="dxa"/>
          </w:tcPr>
          <w:p w14:paraId="716F3E23" w14:textId="77777777" w:rsidR="00F126DB" w:rsidRPr="00CE55B3" w:rsidRDefault="00F126DB"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Number (%)</w:t>
            </w:r>
          </w:p>
        </w:tc>
      </w:tr>
      <w:tr w:rsidR="00F126DB" w14:paraId="40F69DDA"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14961193" w14:textId="77777777" w:rsidR="00F126DB" w:rsidRPr="00E91AAA" w:rsidRDefault="00F126DB" w:rsidP="00F126DB">
            <w:pPr>
              <w:pStyle w:val="Tabletext"/>
              <w:rPr>
                <w:b w:val="0"/>
                <w:color w:val="000000" w:themeColor="text1"/>
              </w:rPr>
            </w:pPr>
            <w:r w:rsidRPr="00E91AAA">
              <w:rPr>
                <w:b w:val="0"/>
                <w:color w:val="000000" w:themeColor="text1"/>
              </w:rPr>
              <w:t>Recognised prior to testing</w:t>
            </w:r>
          </w:p>
        </w:tc>
        <w:tc>
          <w:tcPr>
            <w:tcW w:w="2347" w:type="dxa"/>
          </w:tcPr>
          <w:p w14:paraId="5C2CE268" w14:textId="4CF6E334" w:rsidR="00F126DB" w:rsidRPr="00E91AAA" w:rsidRDefault="00F126DB" w:rsidP="00E940DA">
            <w:pPr>
              <w:pStyle w:val="Tablet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2</w:t>
            </w:r>
            <w:r w:rsidR="00E83886" w:rsidRPr="00E91AAA">
              <w:rPr>
                <w:bCs/>
                <w:color w:val="000000" w:themeColor="text1"/>
              </w:rPr>
              <w:t xml:space="preserve"> (7)</w:t>
            </w:r>
          </w:p>
        </w:tc>
      </w:tr>
      <w:tr w:rsidR="00F126DB" w14:paraId="130BBA75" w14:textId="77777777" w:rsidTr="00E91AAA">
        <w:tc>
          <w:tcPr>
            <w:cnfStyle w:val="001000000000" w:firstRow="0" w:lastRow="0" w:firstColumn="1" w:lastColumn="0" w:oddVBand="0" w:evenVBand="0" w:oddHBand="0" w:evenHBand="0" w:firstRowFirstColumn="0" w:firstRowLastColumn="0" w:lastRowFirstColumn="0" w:lastRowLastColumn="0"/>
            <w:tcW w:w="6941" w:type="dxa"/>
          </w:tcPr>
          <w:p w14:paraId="50128784" w14:textId="77777777" w:rsidR="00F126DB" w:rsidRPr="00E91AAA" w:rsidRDefault="00F126DB" w:rsidP="00F126DB">
            <w:pPr>
              <w:pStyle w:val="Tabletext"/>
              <w:rPr>
                <w:b w:val="0"/>
                <w:color w:val="000000" w:themeColor="text1"/>
              </w:rPr>
            </w:pPr>
            <w:r w:rsidRPr="00E91AAA">
              <w:rPr>
                <w:b w:val="0"/>
                <w:color w:val="000000" w:themeColor="text1"/>
              </w:rPr>
              <w:t>Discrepancy noted when comparing sample results with historical record</w:t>
            </w:r>
          </w:p>
        </w:tc>
        <w:tc>
          <w:tcPr>
            <w:tcW w:w="2347" w:type="dxa"/>
          </w:tcPr>
          <w:p w14:paraId="71E5AC31" w14:textId="32D53E02" w:rsidR="00F126DB" w:rsidRPr="00E91AAA" w:rsidRDefault="00F126DB" w:rsidP="00E940DA">
            <w:pPr>
              <w:pStyle w:val="Tabletext"/>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18</w:t>
            </w:r>
            <w:r w:rsidR="00E83886" w:rsidRPr="00E91AAA">
              <w:rPr>
                <w:bCs/>
                <w:color w:val="000000" w:themeColor="text1"/>
              </w:rPr>
              <w:t xml:space="preserve"> (67)</w:t>
            </w:r>
          </w:p>
        </w:tc>
      </w:tr>
      <w:tr w:rsidR="00F126DB" w14:paraId="33C22642"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43FCC849" w14:textId="77777777" w:rsidR="00F126DB" w:rsidRPr="00E91AAA" w:rsidRDefault="00F126DB" w:rsidP="00F126DB">
            <w:pPr>
              <w:pStyle w:val="Tabletext"/>
              <w:rPr>
                <w:b w:val="0"/>
                <w:color w:val="000000" w:themeColor="text1"/>
              </w:rPr>
            </w:pPr>
            <w:r w:rsidRPr="00E91AAA">
              <w:rPr>
                <w:b w:val="0"/>
                <w:color w:val="000000" w:themeColor="text1"/>
              </w:rPr>
              <w:t>Recognised post-testing but prior to issue</w:t>
            </w:r>
          </w:p>
        </w:tc>
        <w:tc>
          <w:tcPr>
            <w:tcW w:w="2347" w:type="dxa"/>
          </w:tcPr>
          <w:p w14:paraId="539C71AF" w14:textId="0625BDE2" w:rsidR="00F126DB" w:rsidRPr="00E91AAA" w:rsidRDefault="00F126DB" w:rsidP="00E940DA">
            <w:pPr>
              <w:pStyle w:val="Tablet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5</w:t>
            </w:r>
            <w:r w:rsidR="00E83886" w:rsidRPr="00E91AAA">
              <w:rPr>
                <w:bCs/>
                <w:color w:val="000000" w:themeColor="text1"/>
              </w:rPr>
              <w:t xml:space="preserve"> (19)</w:t>
            </w:r>
          </w:p>
        </w:tc>
      </w:tr>
      <w:tr w:rsidR="00F126DB" w14:paraId="32E91D7D" w14:textId="77777777" w:rsidTr="00E91AAA">
        <w:tc>
          <w:tcPr>
            <w:cnfStyle w:val="001000000000" w:firstRow="0" w:lastRow="0" w:firstColumn="1" w:lastColumn="0" w:oddVBand="0" w:evenVBand="0" w:oddHBand="0" w:evenHBand="0" w:firstRowFirstColumn="0" w:firstRowLastColumn="0" w:lastRowFirstColumn="0" w:lastRowLastColumn="0"/>
            <w:tcW w:w="6941" w:type="dxa"/>
          </w:tcPr>
          <w:p w14:paraId="3A428A18" w14:textId="77777777" w:rsidR="00F126DB" w:rsidRPr="00E91AAA" w:rsidRDefault="00F126DB" w:rsidP="00F126DB">
            <w:pPr>
              <w:pStyle w:val="Tabletext"/>
              <w:rPr>
                <w:b w:val="0"/>
                <w:color w:val="000000" w:themeColor="text1"/>
              </w:rPr>
            </w:pPr>
            <w:r w:rsidRPr="00E91AAA">
              <w:rPr>
                <w:b w:val="0"/>
                <w:color w:val="000000" w:themeColor="text1"/>
              </w:rPr>
              <w:t>Significant change in MCV compared with prior testing</w:t>
            </w:r>
          </w:p>
        </w:tc>
        <w:tc>
          <w:tcPr>
            <w:tcW w:w="2347" w:type="dxa"/>
          </w:tcPr>
          <w:p w14:paraId="25B88593" w14:textId="520C2D3B" w:rsidR="00F126DB" w:rsidRPr="00E91AAA" w:rsidRDefault="00F126DB" w:rsidP="00E940DA">
            <w:pPr>
              <w:pStyle w:val="Tabletext"/>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1</w:t>
            </w:r>
            <w:r w:rsidR="00E83886" w:rsidRPr="00E91AAA">
              <w:rPr>
                <w:bCs/>
                <w:color w:val="000000" w:themeColor="text1"/>
              </w:rPr>
              <w:t xml:space="preserve"> (4)</w:t>
            </w:r>
          </w:p>
        </w:tc>
      </w:tr>
      <w:tr w:rsidR="00F126DB" w14:paraId="4382DEA5"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341D0A05" w14:textId="77777777" w:rsidR="00F126DB" w:rsidRPr="00E91AAA" w:rsidRDefault="00F126DB" w:rsidP="00F126DB">
            <w:pPr>
              <w:pStyle w:val="Tabletext"/>
              <w:rPr>
                <w:b w:val="0"/>
                <w:color w:val="000000" w:themeColor="text1"/>
              </w:rPr>
            </w:pPr>
            <w:r w:rsidRPr="00E91AAA">
              <w:rPr>
                <w:b w:val="0"/>
                <w:color w:val="000000" w:themeColor="text1"/>
              </w:rPr>
              <w:t>Recognised post-issue but prior to transfusion</w:t>
            </w:r>
          </w:p>
        </w:tc>
        <w:tc>
          <w:tcPr>
            <w:tcW w:w="2347" w:type="dxa"/>
          </w:tcPr>
          <w:p w14:paraId="591631D7" w14:textId="2269A006" w:rsidR="00F126DB" w:rsidRPr="00E91AAA" w:rsidRDefault="00F126DB" w:rsidP="00E940DA">
            <w:pPr>
              <w:pStyle w:val="Tablet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1</w:t>
            </w:r>
            <w:r w:rsidR="00E83886" w:rsidRPr="00E91AAA">
              <w:rPr>
                <w:bCs/>
                <w:color w:val="000000" w:themeColor="text1"/>
              </w:rPr>
              <w:t xml:space="preserve"> (4)</w:t>
            </w:r>
          </w:p>
        </w:tc>
      </w:tr>
      <w:tr w:rsidR="00F126DB" w14:paraId="722D6583" w14:textId="77777777" w:rsidTr="00E91AAA">
        <w:tc>
          <w:tcPr>
            <w:cnfStyle w:val="001000000000" w:firstRow="0" w:lastRow="0" w:firstColumn="1" w:lastColumn="0" w:oddVBand="0" w:evenVBand="0" w:oddHBand="0" w:evenHBand="0" w:firstRowFirstColumn="0" w:firstRowLastColumn="0" w:lastRowFirstColumn="0" w:lastRowLastColumn="0"/>
            <w:tcW w:w="6941" w:type="dxa"/>
          </w:tcPr>
          <w:p w14:paraId="0EA43C1B" w14:textId="7B6C5AA8" w:rsidR="00F126DB" w:rsidRPr="00E91AAA" w:rsidRDefault="00F126DB" w:rsidP="00AA0D2A">
            <w:pPr>
              <w:pStyle w:val="Tabletext"/>
              <w:rPr>
                <w:b w:val="0"/>
                <w:color w:val="000000" w:themeColor="text1"/>
              </w:rPr>
            </w:pPr>
            <w:r w:rsidRPr="00E91AAA">
              <w:rPr>
                <w:b w:val="0"/>
                <w:color w:val="000000" w:themeColor="text1"/>
              </w:rPr>
              <w:t>Other (</w:t>
            </w:r>
            <w:proofErr w:type="spellStart"/>
            <w:r w:rsidR="0013661C" w:rsidRPr="00E91AAA">
              <w:rPr>
                <w:b w:val="0"/>
                <w:color w:val="000000" w:themeColor="text1"/>
              </w:rPr>
              <w:t>Kleihauer</w:t>
            </w:r>
            <w:proofErr w:type="spellEnd"/>
            <w:r w:rsidR="0013661C" w:rsidRPr="00E91AAA">
              <w:rPr>
                <w:b w:val="0"/>
                <w:color w:val="000000" w:themeColor="text1"/>
              </w:rPr>
              <w:t xml:space="preserve"> film reviewed and found to contain baby's </w:t>
            </w:r>
            <w:r w:rsidR="00F53189" w:rsidRPr="00E91AAA">
              <w:rPr>
                <w:b w:val="0"/>
                <w:color w:val="000000" w:themeColor="text1"/>
              </w:rPr>
              <w:t xml:space="preserve">cord </w:t>
            </w:r>
            <w:r w:rsidR="0013661C" w:rsidRPr="00E91AAA">
              <w:rPr>
                <w:b w:val="0"/>
                <w:color w:val="000000" w:themeColor="text1"/>
              </w:rPr>
              <w:t>blood</w:t>
            </w:r>
            <w:r w:rsidRPr="00E91AAA">
              <w:rPr>
                <w:b w:val="0"/>
                <w:color w:val="000000" w:themeColor="text1"/>
              </w:rPr>
              <w:t>)</w:t>
            </w:r>
          </w:p>
        </w:tc>
        <w:tc>
          <w:tcPr>
            <w:tcW w:w="2347" w:type="dxa"/>
          </w:tcPr>
          <w:p w14:paraId="4DA29B52" w14:textId="5125654C" w:rsidR="00F126DB" w:rsidRPr="00E91AAA" w:rsidRDefault="0013661C" w:rsidP="00E940DA">
            <w:pPr>
              <w:pStyle w:val="Tabletext"/>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1</w:t>
            </w:r>
            <w:r w:rsidR="00E83886" w:rsidRPr="00E91AAA">
              <w:rPr>
                <w:bCs/>
                <w:color w:val="000000" w:themeColor="text1"/>
              </w:rPr>
              <w:t xml:space="preserve"> (4)</w:t>
            </w:r>
          </w:p>
        </w:tc>
      </w:tr>
      <w:tr w:rsidR="00F126DB" w14:paraId="58294D21"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1" w:type="dxa"/>
          </w:tcPr>
          <w:p w14:paraId="529C52CB" w14:textId="77777777" w:rsidR="00F126DB" w:rsidRPr="00E91AAA" w:rsidRDefault="00F126DB" w:rsidP="00AA0D2A">
            <w:pPr>
              <w:pStyle w:val="Tabletext"/>
              <w:rPr>
                <w:bCs w:val="0"/>
                <w:color w:val="000000" w:themeColor="text1"/>
              </w:rPr>
            </w:pPr>
            <w:r w:rsidRPr="00E91AAA">
              <w:rPr>
                <w:bCs w:val="0"/>
                <w:color w:val="000000" w:themeColor="text1"/>
              </w:rPr>
              <w:t xml:space="preserve">Total incidents </w:t>
            </w:r>
          </w:p>
        </w:tc>
        <w:tc>
          <w:tcPr>
            <w:tcW w:w="2347" w:type="dxa"/>
          </w:tcPr>
          <w:p w14:paraId="5221077E" w14:textId="6850C441" w:rsidR="00F126DB" w:rsidRPr="00E91AAA" w:rsidRDefault="00F126DB" w:rsidP="00E940DA">
            <w:pPr>
              <w:pStyle w:val="Tabletext"/>
              <w:jc w:val="center"/>
              <w:cnfStyle w:val="000000100000" w:firstRow="0" w:lastRow="0" w:firstColumn="0" w:lastColumn="0" w:oddVBand="0" w:evenVBand="0" w:oddHBand="1" w:evenHBand="0" w:firstRowFirstColumn="0" w:firstRowLastColumn="0" w:lastRowFirstColumn="0" w:lastRowLastColumn="0"/>
              <w:rPr>
                <w:b/>
                <w:color w:val="000000" w:themeColor="text1"/>
              </w:rPr>
            </w:pPr>
            <w:r w:rsidRPr="00E91AAA">
              <w:rPr>
                <w:b/>
                <w:color w:val="000000" w:themeColor="text1"/>
              </w:rPr>
              <w:t>27</w:t>
            </w:r>
          </w:p>
        </w:tc>
      </w:tr>
    </w:tbl>
    <w:p w14:paraId="20A54983" w14:textId="1A7FFDE6" w:rsidR="0013661C" w:rsidRPr="003E4548" w:rsidRDefault="0013661C" w:rsidP="00CE55B3">
      <w:pPr>
        <w:pStyle w:val="Tablefigurenote"/>
        <w:rPr>
          <w:rFonts w:eastAsia="Calibri"/>
          <w:kern w:val="2"/>
        </w:rPr>
      </w:pPr>
      <w:r w:rsidRPr="003E4548">
        <w:rPr>
          <w:rFonts w:eastAsia="VIC-Regular"/>
        </w:rPr>
        <w:t xml:space="preserve">Number is greater than incident number as </w:t>
      </w:r>
      <w:r w:rsidRPr="00390291">
        <w:rPr>
          <w:rFonts w:eastAsia="VIC-Regular"/>
        </w:rPr>
        <w:t>more</w:t>
      </w:r>
      <w:r w:rsidRPr="003E4548">
        <w:rPr>
          <w:rFonts w:eastAsia="VIC-Regular"/>
        </w:rPr>
        <w:t xml:space="preserve"> than one way of </w:t>
      </w:r>
      <w:r w:rsidR="00943C7D" w:rsidRPr="003E4548">
        <w:rPr>
          <w:rFonts w:eastAsia="VIC-Regular"/>
        </w:rPr>
        <w:t xml:space="preserve">WBIT </w:t>
      </w:r>
      <w:r w:rsidRPr="003E4548">
        <w:rPr>
          <w:rFonts w:eastAsia="VIC-Regular"/>
        </w:rPr>
        <w:t xml:space="preserve">recognition </w:t>
      </w:r>
      <w:r w:rsidR="00943C7D" w:rsidRPr="003E4548">
        <w:rPr>
          <w:rFonts w:eastAsia="VIC-Regular"/>
        </w:rPr>
        <w:t>could be reported</w:t>
      </w:r>
      <w:r w:rsidRPr="003E4548">
        <w:rPr>
          <w:rFonts w:eastAsia="VIC-Regular"/>
        </w:rPr>
        <w:t>.</w:t>
      </w:r>
    </w:p>
    <w:p w14:paraId="1025C7B3" w14:textId="0AA80EAA" w:rsidR="00292375" w:rsidRPr="003A1FB1" w:rsidRDefault="00A33F3D" w:rsidP="00CE55B3">
      <w:pPr>
        <w:pStyle w:val="Tablecaption"/>
        <w:spacing w:line="240" w:lineRule="auto"/>
      </w:pPr>
      <w:r w:rsidRPr="003A1FB1">
        <w:t xml:space="preserve">Table </w:t>
      </w:r>
      <w:r w:rsidR="00A9310D">
        <w:t>29:</w:t>
      </w:r>
      <w:r w:rsidRPr="003A1FB1">
        <w:t xml:space="preserve"> </w:t>
      </w:r>
      <w:r w:rsidR="00943C7D" w:rsidRPr="00390291">
        <w:t>Incident</w:t>
      </w:r>
      <w:r w:rsidR="00943C7D">
        <w:t xml:space="preserve"> contributing factors </w:t>
      </w:r>
    </w:p>
    <w:tbl>
      <w:tblPr>
        <w:tblStyle w:val="GridTable6Colorful-Accent2"/>
        <w:tblW w:w="0" w:type="auto"/>
        <w:tblLook w:val="04A0" w:firstRow="1" w:lastRow="0" w:firstColumn="1" w:lastColumn="0" w:noHBand="0" w:noVBand="1"/>
      </w:tblPr>
      <w:tblGrid>
        <w:gridCol w:w="6374"/>
        <w:gridCol w:w="2914"/>
      </w:tblGrid>
      <w:tr w:rsidR="00FE0666" w14:paraId="148BFB56"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4850F80" w14:textId="7339F0B8" w:rsidR="00FE0666" w:rsidRPr="00CE55B3" w:rsidRDefault="00FE0666" w:rsidP="00A63672">
            <w:pPr>
              <w:pStyle w:val="Tablecolhead"/>
              <w:rPr>
                <w:b/>
                <w:bCs w:val="0"/>
              </w:rPr>
            </w:pPr>
            <w:r w:rsidRPr="00CE55B3">
              <w:t>Contributing factor</w:t>
            </w:r>
          </w:p>
        </w:tc>
        <w:tc>
          <w:tcPr>
            <w:tcW w:w="0" w:type="dxa"/>
          </w:tcPr>
          <w:p w14:paraId="5FB09689" w14:textId="623467A3" w:rsidR="00FE0666" w:rsidRPr="00CE55B3" w:rsidRDefault="00FE0666"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Number (%)</w:t>
            </w:r>
          </w:p>
        </w:tc>
      </w:tr>
      <w:tr w:rsidR="00FE0666" w14:paraId="657A64AB"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5935C57E" w14:textId="64CE9575" w:rsidR="00FE0666" w:rsidRPr="00E91AAA" w:rsidRDefault="00FE0666" w:rsidP="00CE55B3">
            <w:pPr>
              <w:pStyle w:val="Body"/>
              <w:spacing w:line="240" w:lineRule="auto"/>
              <w:rPr>
                <w:b w:val="0"/>
                <w:color w:val="000000" w:themeColor="text1"/>
              </w:rPr>
            </w:pPr>
            <w:bookmarkStart w:id="105" w:name="_Hlk165548647"/>
            <w:r w:rsidRPr="00E91AAA">
              <w:rPr>
                <w:b w:val="0"/>
                <w:color w:val="000000" w:themeColor="text1"/>
              </w:rPr>
              <w:t>The correct checking procedure for patient identification was not followed</w:t>
            </w:r>
            <w:bookmarkEnd w:id="105"/>
          </w:p>
        </w:tc>
        <w:tc>
          <w:tcPr>
            <w:tcW w:w="2914" w:type="dxa"/>
          </w:tcPr>
          <w:p w14:paraId="7EE655E6" w14:textId="470A3075" w:rsidR="00FE0666" w:rsidRPr="00E91AAA" w:rsidRDefault="00FE0666"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19</w:t>
            </w:r>
            <w:r w:rsidR="003A1FB1" w:rsidRPr="00E91AAA">
              <w:rPr>
                <w:bCs/>
                <w:color w:val="000000" w:themeColor="text1"/>
              </w:rPr>
              <w:t xml:space="preserve"> (70)</w:t>
            </w:r>
          </w:p>
        </w:tc>
      </w:tr>
      <w:tr w:rsidR="00FE0666" w14:paraId="0FC12B6A" w14:textId="77777777" w:rsidTr="00E91AAA">
        <w:tc>
          <w:tcPr>
            <w:cnfStyle w:val="001000000000" w:firstRow="0" w:lastRow="0" w:firstColumn="1" w:lastColumn="0" w:oddVBand="0" w:evenVBand="0" w:oddHBand="0" w:evenHBand="0" w:firstRowFirstColumn="0" w:firstRowLastColumn="0" w:lastRowFirstColumn="0" w:lastRowLastColumn="0"/>
            <w:tcW w:w="6374" w:type="dxa"/>
          </w:tcPr>
          <w:p w14:paraId="2374E7BD" w14:textId="6838252E" w:rsidR="00FE0666" w:rsidRPr="00E91AAA" w:rsidRDefault="00FE0666" w:rsidP="00CE55B3">
            <w:pPr>
              <w:pStyle w:val="Body"/>
              <w:spacing w:line="240" w:lineRule="auto"/>
              <w:rPr>
                <w:b w:val="0"/>
                <w:color w:val="000000" w:themeColor="text1"/>
              </w:rPr>
            </w:pPr>
            <w:r w:rsidRPr="00E91AAA">
              <w:rPr>
                <w:b w:val="0"/>
                <w:color w:val="000000" w:themeColor="text1"/>
              </w:rPr>
              <w:t>The sample tube was not labelled at the bedside</w:t>
            </w:r>
          </w:p>
        </w:tc>
        <w:tc>
          <w:tcPr>
            <w:tcW w:w="2914" w:type="dxa"/>
          </w:tcPr>
          <w:p w14:paraId="56EAFB8D" w14:textId="024BE496" w:rsidR="00FE0666" w:rsidRPr="00E91AAA" w:rsidRDefault="00FE0666"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6</w:t>
            </w:r>
            <w:r w:rsidR="003A1FB1" w:rsidRPr="00E91AAA">
              <w:rPr>
                <w:bCs/>
                <w:color w:val="000000" w:themeColor="text1"/>
              </w:rPr>
              <w:t xml:space="preserve"> (22)</w:t>
            </w:r>
          </w:p>
        </w:tc>
      </w:tr>
      <w:tr w:rsidR="00FE0666" w14:paraId="345D3191"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00AB3729" w14:textId="2F87DE5A" w:rsidR="00FE0666" w:rsidRPr="00E91AAA" w:rsidRDefault="00FE0666" w:rsidP="00CE55B3">
            <w:pPr>
              <w:pStyle w:val="Body"/>
              <w:spacing w:line="240" w:lineRule="auto"/>
              <w:rPr>
                <w:b w:val="0"/>
                <w:color w:val="000000" w:themeColor="text1"/>
              </w:rPr>
            </w:pPr>
            <w:r w:rsidRPr="00E91AAA">
              <w:rPr>
                <w:b w:val="0"/>
                <w:color w:val="000000" w:themeColor="text1"/>
              </w:rPr>
              <w:t>Incorrect use of EMR for specimen collection</w:t>
            </w:r>
          </w:p>
        </w:tc>
        <w:tc>
          <w:tcPr>
            <w:tcW w:w="2914" w:type="dxa"/>
          </w:tcPr>
          <w:p w14:paraId="436FD578" w14:textId="65120BEC" w:rsidR="00FE0666" w:rsidRPr="00E91AAA" w:rsidRDefault="00FE0666"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6</w:t>
            </w:r>
            <w:r w:rsidR="003A1FB1" w:rsidRPr="00E91AAA">
              <w:rPr>
                <w:bCs/>
                <w:color w:val="000000" w:themeColor="text1"/>
              </w:rPr>
              <w:t xml:space="preserve"> (22)</w:t>
            </w:r>
          </w:p>
        </w:tc>
      </w:tr>
      <w:tr w:rsidR="00FE0666" w14:paraId="51B7EFEF" w14:textId="77777777" w:rsidTr="00E91AAA">
        <w:tc>
          <w:tcPr>
            <w:cnfStyle w:val="001000000000" w:firstRow="0" w:lastRow="0" w:firstColumn="1" w:lastColumn="0" w:oddVBand="0" w:evenVBand="0" w:oddHBand="0" w:evenHBand="0" w:firstRowFirstColumn="0" w:firstRowLastColumn="0" w:lastRowFirstColumn="0" w:lastRowLastColumn="0"/>
            <w:tcW w:w="6374" w:type="dxa"/>
          </w:tcPr>
          <w:p w14:paraId="764345DD" w14:textId="7BC62796" w:rsidR="00FE0666" w:rsidRPr="00E91AAA" w:rsidRDefault="00FE0666" w:rsidP="00CE55B3">
            <w:pPr>
              <w:pStyle w:val="Body"/>
              <w:spacing w:line="240" w:lineRule="auto"/>
              <w:rPr>
                <w:b w:val="0"/>
                <w:color w:val="000000" w:themeColor="text1"/>
              </w:rPr>
            </w:pPr>
            <w:r w:rsidRPr="00E91AAA">
              <w:rPr>
                <w:b w:val="0"/>
                <w:color w:val="000000" w:themeColor="text1"/>
              </w:rPr>
              <w:t xml:space="preserve">Unknown </w:t>
            </w:r>
          </w:p>
        </w:tc>
        <w:tc>
          <w:tcPr>
            <w:tcW w:w="2914" w:type="dxa"/>
          </w:tcPr>
          <w:p w14:paraId="0DDC2659" w14:textId="722C6053" w:rsidR="00FE0666" w:rsidRPr="00E91AAA" w:rsidRDefault="00FE0666"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3</w:t>
            </w:r>
            <w:r w:rsidR="003A1FB1" w:rsidRPr="00E91AAA">
              <w:rPr>
                <w:bCs/>
                <w:color w:val="000000" w:themeColor="text1"/>
              </w:rPr>
              <w:t xml:space="preserve"> (11)</w:t>
            </w:r>
          </w:p>
        </w:tc>
      </w:tr>
      <w:tr w:rsidR="00FE0666" w14:paraId="48F80BEF"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187C883B" w14:textId="644BAB3A" w:rsidR="00FE0666" w:rsidRPr="00E91AAA" w:rsidRDefault="00FE0666" w:rsidP="00CE55B3">
            <w:pPr>
              <w:pStyle w:val="Body"/>
              <w:spacing w:line="240" w:lineRule="auto"/>
              <w:rPr>
                <w:b w:val="0"/>
                <w:color w:val="000000" w:themeColor="text1"/>
              </w:rPr>
            </w:pPr>
            <w:r w:rsidRPr="00E91AAA">
              <w:rPr>
                <w:b w:val="0"/>
                <w:color w:val="000000" w:themeColor="text1"/>
              </w:rPr>
              <w:t>Patient not wearing a wristband</w:t>
            </w:r>
          </w:p>
        </w:tc>
        <w:tc>
          <w:tcPr>
            <w:tcW w:w="2914" w:type="dxa"/>
          </w:tcPr>
          <w:p w14:paraId="7C830231" w14:textId="6BB9031B" w:rsidR="00FE0666" w:rsidRPr="00E91AAA" w:rsidRDefault="00FE0666"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1</w:t>
            </w:r>
            <w:r w:rsidR="003A1FB1" w:rsidRPr="00E91AAA">
              <w:rPr>
                <w:bCs/>
                <w:color w:val="000000" w:themeColor="text1"/>
              </w:rPr>
              <w:t xml:space="preserve"> (4)</w:t>
            </w:r>
          </w:p>
        </w:tc>
      </w:tr>
      <w:tr w:rsidR="00FE0666" w14:paraId="4550D120" w14:textId="77777777" w:rsidTr="00E91AAA">
        <w:tc>
          <w:tcPr>
            <w:cnfStyle w:val="001000000000" w:firstRow="0" w:lastRow="0" w:firstColumn="1" w:lastColumn="0" w:oddVBand="0" w:evenVBand="0" w:oddHBand="0" w:evenHBand="0" w:firstRowFirstColumn="0" w:firstRowLastColumn="0" w:lastRowFirstColumn="0" w:lastRowLastColumn="0"/>
            <w:tcW w:w="6374" w:type="dxa"/>
          </w:tcPr>
          <w:p w14:paraId="6EEEACA8" w14:textId="5F4BBDEB" w:rsidR="00FE0666" w:rsidRPr="00E91AAA" w:rsidRDefault="00FE0666" w:rsidP="00CE55B3">
            <w:pPr>
              <w:pStyle w:val="Body"/>
              <w:spacing w:line="240" w:lineRule="auto"/>
              <w:rPr>
                <w:b w:val="0"/>
                <w:color w:val="000000" w:themeColor="text1"/>
              </w:rPr>
            </w:pPr>
            <w:r w:rsidRPr="00E91AAA">
              <w:rPr>
                <w:b w:val="0"/>
                <w:color w:val="000000" w:themeColor="text1"/>
              </w:rPr>
              <w:t>Use of incorrect addressograph labels</w:t>
            </w:r>
          </w:p>
        </w:tc>
        <w:tc>
          <w:tcPr>
            <w:tcW w:w="2914" w:type="dxa"/>
          </w:tcPr>
          <w:p w14:paraId="5562AB41" w14:textId="74FB83FD" w:rsidR="00FE0666" w:rsidRPr="00E91AAA" w:rsidRDefault="00FE0666" w:rsidP="00CE55B3">
            <w:pPr>
              <w:pStyle w:val="Body"/>
              <w:spacing w:line="240" w:lineRule="auto"/>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1</w:t>
            </w:r>
            <w:r w:rsidR="003A1FB1" w:rsidRPr="00E91AAA">
              <w:rPr>
                <w:bCs/>
                <w:color w:val="000000" w:themeColor="text1"/>
              </w:rPr>
              <w:t xml:space="preserve"> (4)</w:t>
            </w:r>
          </w:p>
        </w:tc>
      </w:tr>
      <w:tr w:rsidR="00FE0666" w14:paraId="2706F40D"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14:paraId="4E0367A6" w14:textId="77777777" w:rsidR="00FE0666" w:rsidRPr="00A63672" w:rsidRDefault="00FE0666" w:rsidP="00CE55B3">
            <w:pPr>
              <w:pStyle w:val="Body"/>
              <w:keepNext/>
              <w:spacing w:line="240" w:lineRule="auto"/>
              <w:rPr>
                <w:b w:val="0"/>
                <w:color w:val="000000" w:themeColor="text1"/>
              </w:rPr>
            </w:pPr>
            <w:r w:rsidRPr="00A63672">
              <w:rPr>
                <w:b w:val="0"/>
                <w:color w:val="000000" w:themeColor="text1"/>
              </w:rPr>
              <w:lastRenderedPageBreak/>
              <w:t>Other, including:</w:t>
            </w:r>
          </w:p>
          <w:p w14:paraId="7937B90F" w14:textId="77777777" w:rsidR="00FE0666" w:rsidRPr="00CE55B3" w:rsidRDefault="00FE0666" w:rsidP="00CE55B3">
            <w:pPr>
              <w:pStyle w:val="Tablebullet1"/>
              <w:keepNext/>
              <w:rPr>
                <w:b w:val="0"/>
                <w:bCs w:val="0"/>
                <w:color w:val="000000" w:themeColor="text1"/>
              </w:rPr>
            </w:pPr>
            <w:r w:rsidRPr="00CE55B3">
              <w:rPr>
                <w:color w:val="000000" w:themeColor="text1"/>
              </w:rPr>
              <w:t>Lack of experience</w:t>
            </w:r>
          </w:p>
          <w:p w14:paraId="1C74A1C9" w14:textId="77777777" w:rsidR="00FE0666" w:rsidRPr="00CE55B3" w:rsidRDefault="00FE0666" w:rsidP="00CE55B3">
            <w:pPr>
              <w:pStyle w:val="Tablebullet1"/>
              <w:keepNext/>
              <w:rPr>
                <w:b w:val="0"/>
                <w:bCs w:val="0"/>
                <w:color w:val="000000" w:themeColor="text1"/>
              </w:rPr>
            </w:pPr>
            <w:r w:rsidRPr="00CE55B3">
              <w:rPr>
                <w:color w:val="000000" w:themeColor="text1"/>
              </w:rPr>
              <w:t>Handing off specimens for labelling with full checks</w:t>
            </w:r>
          </w:p>
          <w:p w14:paraId="24A5D603" w14:textId="77777777" w:rsidR="00FE0666" w:rsidRPr="00CE55B3" w:rsidRDefault="00FE0666" w:rsidP="00CE55B3">
            <w:pPr>
              <w:pStyle w:val="Tablebullet1"/>
              <w:keepNext/>
              <w:rPr>
                <w:b w:val="0"/>
                <w:bCs w:val="0"/>
                <w:color w:val="000000" w:themeColor="text1"/>
              </w:rPr>
            </w:pPr>
            <w:r w:rsidRPr="00CE55B3">
              <w:rPr>
                <w:color w:val="000000" w:themeColor="text1"/>
              </w:rPr>
              <w:t>Patient admitted under wrong identification</w:t>
            </w:r>
          </w:p>
          <w:p w14:paraId="1022164C" w14:textId="77777777" w:rsidR="00FE0666" w:rsidRPr="00CE55B3" w:rsidRDefault="00FE0666" w:rsidP="00CE55B3">
            <w:pPr>
              <w:pStyle w:val="Tablebullet1"/>
              <w:keepNext/>
              <w:rPr>
                <w:b w:val="0"/>
                <w:bCs w:val="0"/>
                <w:color w:val="000000" w:themeColor="text1"/>
              </w:rPr>
            </w:pPr>
            <w:r w:rsidRPr="00CE55B3">
              <w:rPr>
                <w:color w:val="000000" w:themeColor="text1"/>
              </w:rPr>
              <w:t>More than one nurse involved in the collection</w:t>
            </w:r>
          </w:p>
          <w:p w14:paraId="653C39D5" w14:textId="77777777" w:rsidR="00FE0666" w:rsidRPr="00CE55B3" w:rsidRDefault="00FE0666" w:rsidP="00CE55B3">
            <w:pPr>
              <w:pStyle w:val="Tablebullet1"/>
              <w:keepNext/>
              <w:rPr>
                <w:b w:val="0"/>
                <w:bCs w:val="0"/>
                <w:color w:val="000000" w:themeColor="text1"/>
              </w:rPr>
            </w:pPr>
            <w:r w:rsidRPr="00CE55B3">
              <w:rPr>
                <w:color w:val="000000" w:themeColor="text1"/>
              </w:rPr>
              <w:t>Colleague labelled away from bedside for the collector</w:t>
            </w:r>
          </w:p>
          <w:p w14:paraId="4873A3C6" w14:textId="78B4C52D" w:rsidR="00FE0666" w:rsidRPr="00CE55B3" w:rsidRDefault="00FE0666" w:rsidP="00CE55B3">
            <w:pPr>
              <w:pStyle w:val="Tablebullet1"/>
              <w:keepNext/>
              <w:rPr>
                <w:color w:val="000000" w:themeColor="text1"/>
              </w:rPr>
            </w:pPr>
            <w:r w:rsidRPr="00CE55B3">
              <w:rPr>
                <w:color w:val="000000" w:themeColor="text1"/>
              </w:rPr>
              <w:t>Lack of training in specimen collection using EMR</w:t>
            </w:r>
          </w:p>
        </w:tc>
        <w:tc>
          <w:tcPr>
            <w:tcW w:w="2914" w:type="dxa"/>
          </w:tcPr>
          <w:p w14:paraId="175EB308" w14:textId="0107088C" w:rsidR="00FE0666" w:rsidRPr="00A63672" w:rsidRDefault="00FE0666" w:rsidP="00CE55B3">
            <w:pPr>
              <w:pStyle w:val="Body"/>
              <w:spacing w:line="240" w:lineRule="auto"/>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A63672">
              <w:rPr>
                <w:bCs/>
                <w:color w:val="000000" w:themeColor="text1"/>
              </w:rPr>
              <w:t>7</w:t>
            </w:r>
            <w:r w:rsidR="003A1FB1" w:rsidRPr="00A63672">
              <w:rPr>
                <w:bCs/>
                <w:color w:val="000000" w:themeColor="text1"/>
              </w:rPr>
              <w:t xml:space="preserve"> (26)</w:t>
            </w:r>
          </w:p>
        </w:tc>
      </w:tr>
    </w:tbl>
    <w:p w14:paraId="4C610597" w14:textId="7C906C60" w:rsidR="00FE0666" w:rsidRDefault="00943C7D" w:rsidP="00390291">
      <w:pPr>
        <w:pStyle w:val="Tablefigurenote"/>
      </w:pPr>
      <w:r w:rsidRPr="003E4548">
        <w:t>N</w:t>
      </w:r>
      <w:r w:rsidR="00FE0666" w:rsidRPr="003E4548">
        <w:t xml:space="preserve">umber </w:t>
      </w:r>
      <w:r w:rsidR="00264F9E" w:rsidRPr="003E4548">
        <w:t xml:space="preserve">is </w:t>
      </w:r>
      <w:r w:rsidR="00FE0666" w:rsidRPr="003E4548">
        <w:t xml:space="preserve">greater than total WBIT as more </w:t>
      </w:r>
      <w:r w:rsidR="00FE0666" w:rsidRPr="00390291">
        <w:t>than</w:t>
      </w:r>
      <w:r w:rsidR="00FE0666" w:rsidRPr="003E4548">
        <w:t xml:space="preserve"> one contributing factor could be selected.</w:t>
      </w:r>
    </w:p>
    <w:p w14:paraId="7160CD3F" w14:textId="77777777" w:rsidR="00390291" w:rsidRDefault="00390291" w:rsidP="00390291">
      <w:pPr>
        <w:pStyle w:val="Tablefigurenote"/>
      </w:pPr>
    </w:p>
    <w:tbl>
      <w:tblPr>
        <w:tblStyle w:val="TableGrid"/>
        <w:tblW w:w="0" w:type="auto"/>
        <w:tblLook w:val="04A0" w:firstRow="1" w:lastRow="0" w:firstColumn="1" w:lastColumn="0" w:noHBand="0" w:noVBand="1"/>
      </w:tblPr>
      <w:tblGrid>
        <w:gridCol w:w="9288"/>
      </w:tblGrid>
      <w:tr w:rsidR="00390291" w14:paraId="1A137FD4" w14:textId="77777777" w:rsidTr="00390291">
        <w:tc>
          <w:tcPr>
            <w:tcW w:w="9288" w:type="dxa"/>
          </w:tcPr>
          <w:p w14:paraId="48F1DDD3" w14:textId="77777777" w:rsidR="00390291" w:rsidRDefault="00390291" w:rsidP="00CE55B3">
            <w:pPr>
              <w:pStyle w:val="Boxheading"/>
              <w:keepNext w:val="0"/>
              <w:keepLines w:val="0"/>
            </w:pPr>
            <w:bookmarkStart w:id="106" w:name="_Toc174439928"/>
            <w:r>
              <w:t xml:space="preserve">Case study 13: Patients obtaining care </w:t>
            </w:r>
            <w:r w:rsidRPr="00390291">
              <w:t>under</w:t>
            </w:r>
            <w:r>
              <w:t xml:space="preserve"> another person’s identity</w:t>
            </w:r>
            <w:bookmarkEnd w:id="106"/>
          </w:p>
          <w:p w14:paraId="01D7B715" w14:textId="77777777" w:rsidR="00390291" w:rsidRPr="00045CA4" w:rsidRDefault="00390291" w:rsidP="00390291">
            <w:pPr>
              <w:pStyle w:val="Body"/>
            </w:pPr>
            <w:r>
              <w:t>For</w:t>
            </w:r>
            <w:r w:rsidRPr="00045CA4">
              <w:t xml:space="preserve"> two </w:t>
            </w:r>
            <w:r>
              <w:t xml:space="preserve">WBIT </w:t>
            </w:r>
            <w:r w:rsidRPr="00045CA4">
              <w:t>incidents</w:t>
            </w:r>
            <w:r>
              <w:t xml:space="preserve"> </w:t>
            </w:r>
            <w:r w:rsidRPr="00045CA4">
              <w:t xml:space="preserve">this year, </w:t>
            </w:r>
            <w:r>
              <w:t>the error was</w:t>
            </w:r>
            <w:r w:rsidRPr="00045CA4">
              <w:t xml:space="preserve"> not due to staff procedural errors. In both cases the patient had </w:t>
            </w:r>
            <w:r>
              <w:t>presented</w:t>
            </w:r>
            <w:r w:rsidRPr="00045CA4">
              <w:t xml:space="preserve"> using another person’s identifiers.</w:t>
            </w:r>
          </w:p>
          <w:p w14:paraId="55DA9FF1" w14:textId="77777777" w:rsidR="00390291" w:rsidRDefault="00390291" w:rsidP="00390291">
            <w:pPr>
              <w:pStyle w:val="Body"/>
            </w:pPr>
            <w:r w:rsidRPr="00045CA4">
              <w:t>In one case</w:t>
            </w:r>
            <w:r>
              <w:t>,</w:t>
            </w:r>
            <w:r w:rsidRPr="00045CA4">
              <w:t xml:space="preserve"> the laboratory identified a discrepancy in blood group after processing the sample (sample O </w:t>
            </w:r>
            <w:proofErr w:type="spellStart"/>
            <w:r>
              <w:t>RhD</w:t>
            </w:r>
            <w:proofErr w:type="spellEnd"/>
            <w:r>
              <w:t xml:space="preserve"> </w:t>
            </w:r>
            <w:r w:rsidRPr="00045CA4">
              <w:t>positive, historic record A</w:t>
            </w:r>
            <w:r>
              <w:t xml:space="preserve"> </w:t>
            </w:r>
            <w:proofErr w:type="spellStart"/>
            <w:r>
              <w:t>RhD</w:t>
            </w:r>
            <w:proofErr w:type="spellEnd"/>
            <w:r w:rsidRPr="00045CA4">
              <w:t xml:space="preserve"> positive). </w:t>
            </w:r>
          </w:p>
          <w:p w14:paraId="3A700128" w14:textId="77777777" w:rsidR="00390291" w:rsidRDefault="00390291" w:rsidP="00390291">
            <w:pPr>
              <w:pStyle w:val="Body"/>
            </w:pPr>
            <w:r w:rsidRPr="00045CA4">
              <w:t xml:space="preserve">A repeat specimen was requested which provided the same result (O </w:t>
            </w:r>
            <w:proofErr w:type="spellStart"/>
            <w:r>
              <w:t>RhD</w:t>
            </w:r>
            <w:proofErr w:type="spellEnd"/>
            <w:r>
              <w:t xml:space="preserve"> </w:t>
            </w:r>
            <w:r w:rsidRPr="00045CA4">
              <w:t xml:space="preserve">positive) and raised concern over the patient identity. </w:t>
            </w:r>
          </w:p>
          <w:p w14:paraId="4B97426C" w14:textId="33360524" w:rsidR="00390291" w:rsidRPr="00045CA4" w:rsidRDefault="00390291" w:rsidP="00390291">
            <w:pPr>
              <w:pStyle w:val="Body"/>
            </w:pPr>
            <w:r w:rsidRPr="00045CA4">
              <w:t xml:space="preserve">Only after this did clinical staff find out that the patient had used another person’s details to obtain care. </w:t>
            </w:r>
          </w:p>
          <w:p w14:paraId="156E8003" w14:textId="77777777" w:rsidR="00390291" w:rsidRDefault="00390291" w:rsidP="00390291">
            <w:pPr>
              <w:pStyle w:val="Body"/>
            </w:pPr>
            <w:r w:rsidRPr="00045CA4">
              <w:t xml:space="preserve">In the second case a group and </w:t>
            </w:r>
            <w:r>
              <w:t>save</w:t>
            </w:r>
            <w:r w:rsidRPr="00045CA4">
              <w:t xml:space="preserve"> specimen was received, </w:t>
            </w:r>
            <w:r>
              <w:t xml:space="preserve">the </w:t>
            </w:r>
            <w:r w:rsidRPr="00045CA4">
              <w:t xml:space="preserve">labelling </w:t>
            </w:r>
            <w:r>
              <w:t>met</w:t>
            </w:r>
            <w:r w:rsidRPr="00045CA4">
              <w:t xml:space="preserve"> zero tolerance</w:t>
            </w:r>
            <w:r>
              <w:t xml:space="preserve"> policy</w:t>
            </w:r>
            <w:r w:rsidRPr="00045CA4">
              <w:t>, and</w:t>
            </w:r>
            <w:r>
              <w:t xml:space="preserve"> the sample was</w:t>
            </w:r>
            <w:r w:rsidRPr="00045CA4">
              <w:t xml:space="preserve"> processed. </w:t>
            </w:r>
          </w:p>
          <w:p w14:paraId="56B0B46D" w14:textId="77777777" w:rsidR="00390291" w:rsidRDefault="00390291" w:rsidP="00390291">
            <w:pPr>
              <w:pStyle w:val="Body"/>
            </w:pPr>
            <w:r w:rsidRPr="00045CA4">
              <w:t xml:space="preserve">As the named patient had no historic </w:t>
            </w:r>
            <w:r>
              <w:t xml:space="preserve">blood </w:t>
            </w:r>
            <w:r w:rsidRPr="00045CA4">
              <w:t>group</w:t>
            </w:r>
            <w:r>
              <w:t>,</w:t>
            </w:r>
            <w:r w:rsidRPr="00045CA4">
              <w:t xml:space="preserve"> the result was entered into the </w:t>
            </w:r>
            <w:r>
              <w:t>LIS</w:t>
            </w:r>
            <w:r w:rsidRPr="00045CA4">
              <w:t xml:space="preserve">. </w:t>
            </w:r>
          </w:p>
          <w:p w14:paraId="6E106693" w14:textId="77777777" w:rsidR="00390291" w:rsidRDefault="00390291" w:rsidP="00390291">
            <w:pPr>
              <w:pStyle w:val="Body"/>
            </w:pPr>
            <w:r w:rsidRPr="00045CA4">
              <w:t xml:space="preserve">The clinical staff later found that the patient was using false identification and informed the laboratory. </w:t>
            </w:r>
          </w:p>
          <w:p w14:paraId="04DC0002" w14:textId="2382DACB" w:rsidR="00390291" w:rsidRPr="00045CA4" w:rsidRDefault="00390291" w:rsidP="00390291">
            <w:pPr>
              <w:pStyle w:val="Body"/>
            </w:pPr>
            <w:r w:rsidRPr="00045CA4">
              <w:t xml:space="preserve">Results were then removed from the LIS. This was initially reported to STIR as a near miss, however the wrong results were attributed to </w:t>
            </w:r>
            <w:r>
              <w:t>another person</w:t>
            </w:r>
            <w:r w:rsidRPr="00045CA4">
              <w:t xml:space="preserve"> due to </w:t>
            </w:r>
            <w:r>
              <w:t>false</w:t>
            </w:r>
            <w:r w:rsidRPr="00045CA4">
              <w:t xml:space="preserve"> identification to obtain care</w:t>
            </w:r>
            <w:r>
              <w:t xml:space="preserve"> and</w:t>
            </w:r>
            <w:r w:rsidRPr="00045CA4">
              <w:t xml:space="preserve"> not </w:t>
            </w:r>
            <w:r>
              <w:t xml:space="preserve">incorrect specimen collection processes, </w:t>
            </w:r>
            <w:r w:rsidRPr="00045CA4">
              <w:t xml:space="preserve">therefore is </w:t>
            </w:r>
            <w:r>
              <w:t xml:space="preserve">classified as </w:t>
            </w:r>
            <w:r w:rsidRPr="00045CA4">
              <w:t>a WBIT.</w:t>
            </w:r>
          </w:p>
          <w:p w14:paraId="06F8FDE2" w14:textId="374C0B36" w:rsidR="00390291" w:rsidRPr="00CE55B3" w:rsidRDefault="00390291" w:rsidP="00CE55B3">
            <w:pPr>
              <w:pStyle w:val="Body"/>
              <w:keepNext/>
              <w:keepLines/>
              <w:rPr>
                <w:b/>
                <w:bCs/>
              </w:rPr>
            </w:pPr>
            <w:r w:rsidRPr="00CE55B3">
              <w:rPr>
                <w:b/>
                <w:bCs/>
              </w:rPr>
              <w:t>Expert group determination: both cases were WBIT events, due to patients deliberately misidentifying themselves</w:t>
            </w:r>
          </w:p>
          <w:p w14:paraId="35C58CB9" w14:textId="77777777" w:rsidR="00390291" w:rsidRDefault="00390291" w:rsidP="00CE55B3">
            <w:pPr>
              <w:pStyle w:val="Body"/>
              <w:keepNext/>
              <w:keepLines/>
            </w:pPr>
            <w:r w:rsidRPr="00045CA4">
              <w:t xml:space="preserve">Education of patients, as well as staff, on the risks associated with WBIT events appears to be necessary. </w:t>
            </w:r>
          </w:p>
          <w:p w14:paraId="48EF2962" w14:textId="7B56DA80" w:rsidR="00390291" w:rsidRDefault="00390291" w:rsidP="00CE55B3">
            <w:pPr>
              <w:pStyle w:val="Body"/>
            </w:pPr>
            <w:r w:rsidRPr="00045CA4">
              <w:t xml:space="preserve">If clinical staff become aware of a patient using a false identity it is necessary to educate the patient </w:t>
            </w:r>
            <w:r>
              <w:t>on</w:t>
            </w:r>
            <w:r w:rsidRPr="00045CA4">
              <w:t xml:space="preserve"> the risks of this behaviour and alert the laboratory to address any results that may be incorrectly recorded.</w:t>
            </w:r>
          </w:p>
        </w:tc>
      </w:tr>
    </w:tbl>
    <w:p w14:paraId="76F3C707" w14:textId="77777777" w:rsidR="00390291" w:rsidRDefault="00390291" w:rsidP="00390291">
      <w:pPr>
        <w:pStyle w:val="Tablefigurenote"/>
      </w:pPr>
    </w:p>
    <w:tbl>
      <w:tblPr>
        <w:tblStyle w:val="TableGrid"/>
        <w:tblW w:w="0" w:type="auto"/>
        <w:tblLook w:val="04A0" w:firstRow="1" w:lastRow="0" w:firstColumn="1" w:lastColumn="0" w:noHBand="0" w:noVBand="1"/>
      </w:tblPr>
      <w:tblGrid>
        <w:gridCol w:w="9288"/>
      </w:tblGrid>
      <w:tr w:rsidR="00390291" w14:paraId="5948C176" w14:textId="77777777" w:rsidTr="00390291">
        <w:tc>
          <w:tcPr>
            <w:tcW w:w="9288" w:type="dxa"/>
          </w:tcPr>
          <w:p w14:paraId="22D7D3DC" w14:textId="77777777" w:rsidR="00390291" w:rsidRDefault="00390291" w:rsidP="00CE55B3">
            <w:pPr>
              <w:pStyle w:val="Boxheading"/>
            </w:pPr>
            <w:bookmarkStart w:id="107" w:name="_Toc174439929"/>
            <w:r>
              <w:lastRenderedPageBreak/>
              <w:t>Case study 14: WBIT using an EMR</w:t>
            </w:r>
            <w:bookmarkEnd w:id="107"/>
          </w:p>
          <w:p w14:paraId="4C77F682" w14:textId="77777777" w:rsidR="00390291" w:rsidRDefault="00390291" w:rsidP="00390291">
            <w:pPr>
              <w:pStyle w:val="Body"/>
            </w:pPr>
            <w:r w:rsidRPr="00045CA4">
              <w:t xml:space="preserve">Specimens were received for a patient </w:t>
            </w:r>
            <w:r>
              <w:t>undergoing a procedure at a health service that uses an EMR</w:t>
            </w:r>
            <w:r w:rsidRPr="00045CA4">
              <w:t xml:space="preserve">. </w:t>
            </w:r>
          </w:p>
          <w:p w14:paraId="5E01BE5B" w14:textId="77777777" w:rsidR="00390291" w:rsidRDefault="00390291" w:rsidP="00390291">
            <w:pPr>
              <w:pStyle w:val="Body"/>
            </w:pPr>
            <w:r w:rsidRPr="00045CA4">
              <w:t xml:space="preserve">The </w:t>
            </w:r>
            <w:r>
              <w:t>tests</w:t>
            </w:r>
            <w:r w:rsidRPr="00045CA4">
              <w:t xml:space="preserve"> </w:t>
            </w:r>
            <w:r>
              <w:t>were ordered</w:t>
            </w:r>
            <w:r w:rsidRPr="00045CA4">
              <w:t xml:space="preserve"> </w:t>
            </w:r>
            <w:proofErr w:type="gramStart"/>
            <w:r w:rsidRPr="00045CA4">
              <w:t>electronic</w:t>
            </w:r>
            <w:r>
              <w:t>ally</w:t>
            </w:r>
            <w:proofErr w:type="gramEnd"/>
            <w:r w:rsidRPr="00045CA4">
              <w:t xml:space="preserve"> and labels printed at the patient's side, at </w:t>
            </w:r>
            <w:r>
              <w:t xml:space="preserve">the </w:t>
            </w:r>
            <w:r w:rsidRPr="00045CA4">
              <w:t xml:space="preserve">time of collection. </w:t>
            </w:r>
          </w:p>
          <w:p w14:paraId="4CE75B17" w14:textId="4BB0F05B" w:rsidR="00390291" w:rsidRPr="00045CA4" w:rsidRDefault="00390291" w:rsidP="00390291">
            <w:pPr>
              <w:pStyle w:val="Body"/>
            </w:pPr>
            <w:r w:rsidRPr="00045CA4">
              <w:t xml:space="preserve">The </w:t>
            </w:r>
            <w:r>
              <w:t>specimens were collected by a</w:t>
            </w:r>
            <w:r w:rsidRPr="00045CA4">
              <w:t xml:space="preserve"> nurse</w:t>
            </w:r>
            <w:r>
              <w:t xml:space="preserve"> and the</w:t>
            </w:r>
            <w:r w:rsidRPr="00045CA4">
              <w:t xml:space="preserve"> blood group result </w:t>
            </w:r>
            <w:r>
              <w:t>was</w:t>
            </w:r>
            <w:r w:rsidRPr="00045CA4">
              <w:t xml:space="preserve"> O </w:t>
            </w:r>
            <w:proofErr w:type="spellStart"/>
            <w:r>
              <w:t>RhD</w:t>
            </w:r>
            <w:proofErr w:type="spellEnd"/>
            <w:r>
              <w:t xml:space="preserve"> </w:t>
            </w:r>
            <w:r w:rsidRPr="00045CA4">
              <w:t>positive with a positive antibody screen.</w:t>
            </w:r>
          </w:p>
          <w:p w14:paraId="2B155909" w14:textId="77777777" w:rsidR="00390291" w:rsidRDefault="00390291" w:rsidP="00390291">
            <w:pPr>
              <w:pStyle w:val="Body"/>
            </w:pPr>
            <w:r w:rsidRPr="00045CA4">
              <w:t xml:space="preserve">Three hours later, a second specimen was received in the laboratory for the same patient. </w:t>
            </w:r>
          </w:p>
          <w:p w14:paraId="7419F2D1" w14:textId="7C86EE81" w:rsidR="00390291" w:rsidRDefault="00390291" w:rsidP="00390291">
            <w:pPr>
              <w:pStyle w:val="Body"/>
            </w:pPr>
            <w:r w:rsidRPr="00045CA4">
              <w:t>This specimen</w:t>
            </w:r>
            <w:r>
              <w:t xml:space="preserve"> was</w:t>
            </w:r>
            <w:r w:rsidRPr="00045CA4">
              <w:t xml:space="preserve"> flagged in blood bank</w:t>
            </w:r>
            <w:r>
              <w:t>,</w:t>
            </w:r>
            <w:r w:rsidRPr="00045CA4">
              <w:t xml:space="preserve"> as the electronic form had not been signed (would lead to rejection of the specimen) and </w:t>
            </w:r>
            <w:r>
              <w:t xml:space="preserve">it </w:t>
            </w:r>
            <w:r w:rsidRPr="00045CA4">
              <w:t xml:space="preserve">had the same accession number as the first specimen received (different specimens should have different accession numbers). </w:t>
            </w:r>
          </w:p>
          <w:p w14:paraId="629E55B9" w14:textId="5F26F1DF" w:rsidR="00390291" w:rsidRPr="00045CA4" w:rsidRDefault="00390291" w:rsidP="00390291">
            <w:pPr>
              <w:pStyle w:val="Body"/>
            </w:pPr>
            <w:r w:rsidRPr="00045CA4">
              <w:t xml:space="preserve">The blood bank tested the specimen and compared results. The second specimen received had a different blood group (A </w:t>
            </w:r>
            <w:proofErr w:type="spellStart"/>
            <w:r>
              <w:t>RhD</w:t>
            </w:r>
            <w:proofErr w:type="spellEnd"/>
            <w:r>
              <w:t xml:space="preserve"> </w:t>
            </w:r>
            <w:r w:rsidRPr="00045CA4">
              <w:t xml:space="preserve">positive). </w:t>
            </w:r>
          </w:p>
          <w:p w14:paraId="6F4B8846" w14:textId="5E2FB8E6" w:rsidR="00390291" w:rsidRPr="00045CA4" w:rsidRDefault="00390291" w:rsidP="00390291">
            <w:pPr>
              <w:pStyle w:val="Body"/>
            </w:pPr>
            <w:r w:rsidRPr="00045CA4">
              <w:t>The laboratory asked for a re-bleed of the patient and a third specimen confirmed the blood grouping result of the first specimen received</w:t>
            </w:r>
            <w:r>
              <w:t xml:space="preserve"> (O </w:t>
            </w:r>
            <w:proofErr w:type="spellStart"/>
            <w:r>
              <w:t>RhD</w:t>
            </w:r>
            <w:proofErr w:type="spellEnd"/>
            <w:r>
              <w:t xml:space="preserve"> positive)</w:t>
            </w:r>
            <w:r w:rsidRPr="00045CA4">
              <w:t xml:space="preserve">. Specimen </w:t>
            </w:r>
            <w:r>
              <w:t>2</w:t>
            </w:r>
            <w:r w:rsidRPr="00045CA4">
              <w:t xml:space="preserve"> was a WBIT.</w:t>
            </w:r>
          </w:p>
          <w:p w14:paraId="3FB7DF1D" w14:textId="67D52665" w:rsidR="00390291" w:rsidRPr="00045CA4" w:rsidRDefault="00390291" w:rsidP="00390291">
            <w:pPr>
              <w:pStyle w:val="Body"/>
            </w:pPr>
            <w:r>
              <w:t>T</w:t>
            </w:r>
            <w:r w:rsidRPr="00045CA4">
              <w:t>he health service was unable to follow up with the staff member involved</w:t>
            </w:r>
            <w:r>
              <w:t xml:space="preserve"> as the sample collection was not signed off in the EMR electronic form and the signature on the specimen was illegible.</w:t>
            </w:r>
          </w:p>
          <w:p w14:paraId="26C23FAC" w14:textId="77777777" w:rsidR="00390291" w:rsidRDefault="00390291" w:rsidP="00390291">
            <w:pPr>
              <w:pStyle w:val="Body"/>
            </w:pPr>
            <w:r w:rsidRPr="00045CA4">
              <w:t xml:space="preserve">It was unclear how labels could have been used for the wrong patient, as they should be printed at the bedside at the time of collection. </w:t>
            </w:r>
          </w:p>
          <w:p w14:paraId="0BF734C7" w14:textId="0B751C10" w:rsidR="00390291" w:rsidRPr="00045CA4" w:rsidRDefault="00390291" w:rsidP="00390291">
            <w:pPr>
              <w:pStyle w:val="Body"/>
            </w:pPr>
            <w:r w:rsidRPr="00045CA4">
              <w:t>There appears to have been no final check of the patient identification with the specimen labelling before sending the specimens.</w:t>
            </w:r>
          </w:p>
          <w:p w14:paraId="25B07695" w14:textId="77777777" w:rsidR="00390291" w:rsidRPr="00CE55B3" w:rsidRDefault="00390291" w:rsidP="00390291">
            <w:pPr>
              <w:pStyle w:val="Body"/>
              <w:rPr>
                <w:b/>
                <w:bCs/>
              </w:rPr>
            </w:pPr>
            <w:r w:rsidRPr="00CE55B3">
              <w:rPr>
                <w:b/>
                <w:bCs/>
              </w:rPr>
              <w:t>Expert Group determination: WBIT certainly</w:t>
            </w:r>
          </w:p>
          <w:p w14:paraId="021A87BC" w14:textId="3C006A8A" w:rsidR="00390291" w:rsidRDefault="00390291" w:rsidP="00390291">
            <w:pPr>
              <w:pStyle w:val="Body"/>
            </w:pPr>
            <w:r>
              <w:t>E</w:t>
            </w:r>
            <w:r w:rsidRPr="00045CA4">
              <w:t>lectronic processes for specimen collection have the potential to improve the safety of the collection process</w:t>
            </w:r>
            <w:r>
              <w:t xml:space="preserve"> when followed correctly. However, errors will occur when staff employ workarounds</w:t>
            </w:r>
            <w:r w:rsidRPr="00045CA4">
              <w:t xml:space="preserve">. </w:t>
            </w:r>
          </w:p>
          <w:p w14:paraId="320CF4D6" w14:textId="77777777" w:rsidR="00390291" w:rsidRDefault="00390291" w:rsidP="00390291">
            <w:pPr>
              <w:pStyle w:val="Body"/>
            </w:pPr>
            <w:r>
              <w:t xml:space="preserve">When using an EMR that permits label printing at the bedside, there should be no reason to pre-print labels that can be used incorrectly. </w:t>
            </w:r>
          </w:p>
          <w:p w14:paraId="6CCEEC36" w14:textId="7703F643" w:rsidR="00390291" w:rsidRDefault="00390291" w:rsidP="00CE55B3">
            <w:pPr>
              <w:pStyle w:val="Body"/>
            </w:pPr>
            <w:r w:rsidRPr="00045CA4">
              <w:t xml:space="preserve">The final check of patient identification with the </w:t>
            </w:r>
            <w:r>
              <w:t>labelled</w:t>
            </w:r>
            <w:r w:rsidRPr="00045CA4">
              <w:t xml:space="preserve"> specimens </w:t>
            </w:r>
            <w:r>
              <w:t>is an essential patient safety step</w:t>
            </w:r>
            <w:r w:rsidRPr="00045CA4">
              <w:t>.</w:t>
            </w:r>
          </w:p>
        </w:tc>
      </w:tr>
    </w:tbl>
    <w:p w14:paraId="45C71976" w14:textId="143E32BA" w:rsidR="00292375" w:rsidRDefault="00292375" w:rsidP="00292375">
      <w:pPr>
        <w:pStyle w:val="Heading2"/>
      </w:pPr>
      <w:bookmarkStart w:id="108" w:name="_Toc136329784"/>
      <w:bookmarkStart w:id="109" w:name="_Toc174440018"/>
      <w:proofErr w:type="spellStart"/>
      <w:r>
        <w:t>RhD</w:t>
      </w:r>
      <w:proofErr w:type="spellEnd"/>
      <w:r>
        <w:t xml:space="preserve"> immunoglobulin</w:t>
      </w:r>
      <w:r w:rsidR="000C67BC">
        <w:t xml:space="preserve"> (</w:t>
      </w:r>
      <w:proofErr w:type="spellStart"/>
      <w:r w:rsidR="000C67BC">
        <w:t>RhD</w:t>
      </w:r>
      <w:proofErr w:type="spellEnd"/>
      <w:r w:rsidR="000C67BC">
        <w:t xml:space="preserve"> Ig)</w:t>
      </w:r>
      <w:r>
        <w:t xml:space="preserve"> errors</w:t>
      </w:r>
      <w:bookmarkEnd w:id="108"/>
      <w:bookmarkEnd w:id="109"/>
    </w:p>
    <w:p w14:paraId="123BB3F3" w14:textId="6F5EDA21" w:rsidR="00533CDF" w:rsidRDefault="00533CDF" w:rsidP="009761A7">
      <w:pPr>
        <w:pStyle w:val="Body"/>
      </w:pPr>
      <w:proofErr w:type="spellStart"/>
      <w:r w:rsidRPr="00533CDF">
        <w:t>RhD</w:t>
      </w:r>
      <w:proofErr w:type="spellEnd"/>
      <w:r w:rsidRPr="00533CDF">
        <w:t xml:space="preserve"> immunoglobulin errors </w:t>
      </w:r>
      <w:r>
        <w:t>are the second most common procedural error reported to STIR.</w:t>
      </w:r>
    </w:p>
    <w:p w14:paraId="501DB84B" w14:textId="4EE4D9E2" w:rsidR="009D3B86" w:rsidRPr="00533CDF" w:rsidRDefault="009D3B86" w:rsidP="009761A7">
      <w:pPr>
        <w:pStyle w:val="Body"/>
      </w:pPr>
      <w:r>
        <w:t>The majority relate to antenatal prophylaxis (</w:t>
      </w:r>
      <w:r w:rsidR="00E124A2">
        <w:t>T</w:t>
      </w:r>
      <w:r>
        <w:t xml:space="preserve">able </w:t>
      </w:r>
      <w:r w:rsidR="00A9310D">
        <w:t>30</w:t>
      </w:r>
      <w:r>
        <w:t>) and involve omission of a dose (</w:t>
      </w:r>
      <w:r w:rsidR="00E124A2">
        <w:t>T</w:t>
      </w:r>
      <w:r>
        <w:t xml:space="preserve">able </w:t>
      </w:r>
      <w:r w:rsidR="00A9310D">
        <w:t>31</w:t>
      </w:r>
      <w:r>
        <w:t xml:space="preserve">), frequently both prophylactic doses, for a </w:t>
      </w:r>
      <w:proofErr w:type="spellStart"/>
      <w:r>
        <w:t>RhD</w:t>
      </w:r>
      <w:proofErr w:type="spellEnd"/>
      <w:r>
        <w:t xml:space="preserve"> negative woman.</w:t>
      </w:r>
    </w:p>
    <w:p w14:paraId="00E106F1" w14:textId="3C8785BF" w:rsidR="009761A7" w:rsidRDefault="009761A7" w:rsidP="00CE55B3">
      <w:pPr>
        <w:pStyle w:val="Tablecaption"/>
      </w:pPr>
      <w:r w:rsidRPr="00A92E0B">
        <w:lastRenderedPageBreak/>
        <w:t xml:space="preserve">Table </w:t>
      </w:r>
      <w:r w:rsidR="00A9310D">
        <w:t>30</w:t>
      </w:r>
      <w:r w:rsidRPr="00A92E0B">
        <w:t xml:space="preserve">: </w:t>
      </w:r>
      <w:r w:rsidRPr="00390291">
        <w:t>R</w:t>
      </w:r>
      <w:r w:rsidRPr="00A92E0B">
        <w:t>hD Ig errors – intended administration (n</w:t>
      </w:r>
      <w:r>
        <w:t xml:space="preserve"> </w:t>
      </w:r>
      <w:r w:rsidRPr="00A92E0B">
        <w:t>=</w:t>
      </w:r>
      <w:r>
        <w:t xml:space="preserve"> </w:t>
      </w:r>
      <w:r w:rsidR="0013661C">
        <w:t>15</w:t>
      </w:r>
      <w:r w:rsidRPr="00A92E0B">
        <w:t>)</w:t>
      </w:r>
    </w:p>
    <w:tbl>
      <w:tblPr>
        <w:tblStyle w:val="GridTable6Colorful-Accent2"/>
        <w:tblW w:w="8330" w:type="dxa"/>
        <w:tblLook w:val="04A0" w:firstRow="1" w:lastRow="0" w:firstColumn="1" w:lastColumn="0" w:noHBand="0" w:noVBand="1"/>
      </w:tblPr>
      <w:tblGrid>
        <w:gridCol w:w="6304"/>
        <w:gridCol w:w="2026"/>
      </w:tblGrid>
      <w:tr w:rsidR="0013661C" w:rsidRPr="0034588B" w14:paraId="7B7E4A1B"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12925C2" w14:textId="77777777" w:rsidR="0013661C" w:rsidRPr="00CE55B3" w:rsidRDefault="0013661C" w:rsidP="00CE55B3">
            <w:pPr>
              <w:pStyle w:val="Tablecolhead"/>
              <w:rPr>
                <w:b/>
                <w:bCs w:val="0"/>
              </w:rPr>
            </w:pPr>
            <w:r w:rsidRPr="00CE55B3">
              <w:t>Intended administration indication</w:t>
            </w:r>
          </w:p>
        </w:tc>
        <w:tc>
          <w:tcPr>
            <w:tcW w:w="0" w:type="dxa"/>
          </w:tcPr>
          <w:p w14:paraId="029A7B71" w14:textId="110A3E38" w:rsidR="0013661C" w:rsidRPr="00CE55B3" w:rsidRDefault="0013661C"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Number (%)</w:t>
            </w:r>
          </w:p>
        </w:tc>
      </w:tr>
      <w:tr w:rsidR="0013661C" w:rsidRPr="0034588B" w14:paraId="328ABF76"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4" w:type="dxa"/>
          </w:tcPr>
          <w:p w14:paraId="36EDE685" w14:textId="77777777" w:rsidR="0013661C" w:rsidRPr="00E91AAA" w:rsidRDefault="0013661C" w:rsidP="00AA0D2A">
            <w:pPr>
              <w:pStyle w:val="Tabletext"/>
              <w:keepNext/>
              <w:keepLines/>
              <w:rPr>
                <w:b w:val="0"/>
                <w:color w:val="000000" w:themeColor="text1"/>
              </w:rPr>
            </w:pPr>
            <w:r w:rsidRPr="00E91AAA">
              <w:rPr>
                <w:b w:val="0"/>
                <w:color w:val="000000" w:themeColor="text1"/>
              </w:rPr>
              <w:t>Antenatal prophylaxis</w:t>
            </w:r>
          </w:p>
        </w:tc>
        <w:tc>
          <w:tcPr>
            <w:tcW w:w="2026" w:type="dxa"/>
          </w:tcPr>
          <w:p w14:paraId="5FB15EB2" w14:textId="0B376B70" w:rsidR="0013661C" w:rsidRPr="00E91AAA" w:rsidRDefault="0013661C" w:rsidP="00E940DA">
            <w:pPr>
              <w:pStyle w:val="Tabletext"/>
              <w:keepNext/>
              <w:keepLines/>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10</w:t>
            </w:r>
            <w:r w:rsidR="005E0C78" w:rsidRPr="00E91AAA">
              <w:rPr>
                <w:bCs/>
                <w:color w:val="000000" w:themeColor="text1"/>
              </w:rPr>
              <w:t xml:space="preserve"> (67)</w:t>
            </w:r>
          </w:p>
        </w:tc>
      </w:tr>
      <w:tr w:rsidR="0013661C" w:rsidRPr="0034588B" w14:paraId="2665A56C" w14:textId="77777777" w:rsidTr="00E91AAA">
        <w:tc>
          <w:tcPr>
            <w:cnfStyle w:val="001000000000" w:firstRow="0" w:lastRow="0" w:firstColumn="1" w:lastColumn="0" w:oddVBand="0" w:evenVBand="0" w:oddHBand="0" w:evenHBand="0" w:firstRowFirstColumn="0" w:firstRowLastColumn="0" w:lastRowFirstColumn="0" w:lastRowLastColumn="0"/>
            <w:tcW w:w="6304" w:type="dxa"/>
          </w:tcPr>
          <w:p w14:paraId="0FDFE1D2" w14:textId="77777777" w:rsidR="0013661C" w:rsidRPr="00E91AAA" w:rsidRDefault="0013661C" w:rsidP="00AA0D2A">
            <w:pPr>
              <w:pStyle w:val="Tabletext"/>
              <w:keepNext/>
              <w:keepLines/>
              <w:rPr>
                <w:b w:val="0"/>
                <w:color w:val="000000" w:themeColor="text1"/>
              </w:rPr>
            </w:pPr>
            <w:r w:rsidRPr="00E91AAA">
              <w:rPr>
                <w:b w:val="0"/>
                <w:color w:val="000000" w:themeColor="text1"/>
              </w:rPr>
              <w:t>Sensitising event</w:t>
            </w:r>
          </w:p>
        </w:tc>
        <w:tc>
          <w:tcPr>
            <w:tcW w:w="2026" w:type="dxa"/>
          </w:tcPr>
          <w:p w14:paraId="1AE6E180" w14:textId="51148B92" w:rsidR="0013661C" w:rsidRPr="00E91AAA" w:rsidRDefault="0013661C" w:rsidP="00E940DA">
            <w:pPr>
              <w:pStyle w:val="Tabletext"/>
              <w:keepNext/>
              <w:keepLines/>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w:t>
            </w:r>
          </w:p>
        </w:tc>
      </w:tr>
      <w:tr w:rsidR="0013661C" w:rsidRPr="0034588B" w14:paraId="560D97EB"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4" w:type="dxa"/>
          </w:tcPr>
          <w:p w14:paraId="2487E35F" w14:textId="77777777" w:rsidR="0013661C" w:rsidRPr="00E91AAA" w:rsidRDefault="0013661C" w:rsidP="00AA0D2A">
            <w:pPr>
              <w:pStyle w:val="Tabletext"/>
              <w:keepNext/>
              <w:keepLines/>
              <w:rPr>
                <w:b w:val="0"/>
                <w:color w:val="000000" w:themeColor="text1"/>
              </w:rPr>
            </w:pPr>
            <w:r w:rsidRPr="00E91AAA">
              <w:rPr>
                <w:b w:val="0"/>
                <w:color w:val="000000" w:themeColor="text1"/>
              </w:rPr>
              <w:t>Postnatal</w:t>
            </w:r>
          </w:p>
        </w:tc>
        <w:tc>
          <w:tcPr>
            <w:tcW w:w="2026" w:type="dxa"/>
          </w:tcPr>
          <w:p w14:paraId="0C2A83C3" w14:textId="26E5C22D" w:rsidR="0013661C" w:rsidRPr="00E91AAA" w:rsidRDefault="0013661C" w:rsidP="00E940DA">
            <w:pPr>
              <w:pStyle w:val="Tabletext"/>
              <w:keepNext/>
              <w:keepLines/>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5</w:t>
            </w:r>
            <w:r w:rsidR="005E0C78" w:rsidRPr="00E91AAA">
              <w:rPr>
                <w:bCs/>
                <w:color w:val="000000" w:themeColor="text1"/>
              </w:rPr>
              <w:t xml:space="preserve"> (33)</w:t>
            </w:r>
          </w:p>
        </w:tc>
      </w:tr>
    </w:tbl>
    <w:p w14:paraId="58945CC6" w14:textId="67737108" w:rsidR="009761A7" w:rsidRDefault="009761A7" w:rsidP="00CE55B3">
      <w:pPr>
        <w:pStyle w:val="Tablecaption"/>
      </w:pPr>
      <w:bookmarkStart w:id="110" w:name="_Hlk108007126"/>
      <w:r w:rsidRPr="00A92E0B">
        <w:t xml:space="preserve">Table </w:t>
      </w:r>
      <w:r w:rsidR="00A9310D">
        <w:t>31</w:t>
      </w:r>
      <w:r w:rsidRPr="00A92E0B">
        <w:t xml:space="preserve">: Types of </w:t>
      </w:r>
      <w:r w:rsidRPr="00390291">
        <w:t>RhD</w:t>
      </w:r>
      <w:r w:rsidRPr="00A92E0B">
        <w:t xml:space="preserve"> Ig incidents</w:t>
      </w:r>
      <w:bookmarkEnd w:id="110"/>
    </w:p>
    <w:tbl>
      <w:tblPr>
        <w:tblStyle w:val="GridTable6Colorful-Accent2"/>
        <w:tblW w:w="8330" w:type="dxa"/>
        <w:tblLook w:val="04A0" w:firstRow="1" w:lastRow="0" w:firstColumn="1" w:lastColumn="0" w:noHBand="0" w:noVBand="1"/>
      </w:tblPr>
      <w:tblGrid>
        <w:gridCol w:w="6387"/>
        <w:gridCol w:w="1943"/>
      </w:tblGrid>
      <w:tr w:rsidR="0013661C" w:rsidRPr="0034588B" w14:paraId="77ED7599" w14:textId="77777777" w:rsidTr="00CE55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CB4CCD5" w14:textId="77777777" w:rsidR="0013661C" w:rsidRPr="00CE55B3" w:rsidRDefault="0013661C" w:rsidP="00390291">
            <w:pPr>
              <w:pStyle w:val="Tablecolhead"/>
              <w:rPr>
                <w:b/>
                <w:bCs w:val="0"/>
              </w:rPr>
            </w:pPr>
            <w:r w:rsidRPr="00CE55B3">
              <w:t>Type of incident</w:t>
            </w:r>
          </w:p>
        </w:tc>
        <w:tc>
          <w:tcPr>
            <w:tcW w:w="0" w:type="dxa"/>
          </w:tcPr>
          <w:p w14:paraId="7F22DFB7" w14:textId="77777777" w:rsidR="0013661C" w:rsidRPr="00CE55B3" w:rsidRDefault="0013661C" w:rsidP="00CE55B3">
            <w:pPr>
              <w:pStyle w:val="Tablecolhead"/>
              <w:cnfStyle w:val="100000000000" w:firstRow="1" w:lastRow="0" w:firstColumn="0" w:lastColumn="0" w:oddVBand="0" w:evenVBand="0" w:oddHBand="0" w:evenHBand="0" w:firstRowFirstColumn="0" w:firstRowLastColumn="0" w:lastRowFirstColumn="0" w:lastRowLastColumn="0"/>
              <w:rPr>
                <w:b/>
                <w:bCs w:val="0"/>
              </w:rPr>
            </w:pPr>
            <w:r w:rsidRPr="00CE55B3">
              <w:t>Number (%)</w:t>
            </w:r>
          </w:p>
        </w:tc>
      </w:tr>
      <w:tr w:rsidR="0013661C" w:rsidRPr="0034588B" w14:paraId="4F6A95C3"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7" w:type="dxa"/>
          </w:tcPr>
          <w:p w14:paraId="6BC5742D" w14:textId="7AE1A417" w:rsidR="0013661C" w:rsidRPr="00E91AAA" w:rsidRDefault="0013661C" w:rsidP="0013661C">
            <w:pPr>
              <w:pStyle w:val="Tabletext"/>
              <w:rPr>
                <w:b w:val="0"/>
                <w:color w:val="000000" w:themeColor="text1"/>
              </w:rPr>
            </w:pPr>
            <w:r w:rsidRPr="00E91AAA">
              <w:rPr>
                <w:b w:val="0"/>
                <w:color w:val="000000" w:themeColor="text1"/>
              </w:rPr>
              <w:t>Administered, not required (Rh negative mother with known RhD</w:t>
            </w:r>
            <w:r w:rsidR="00C22D02">
              <w:rPr>
                <w:b w:val="0"/>
                <w:color w:val="000000" w:themeColor="text1"/>
              </w:rPr>
              <w:t xml:space="preserve"> </w:t>
            </w:r>
            <w:r w:rsidRPr="00E91AAA">
              <w:rPr>
                <w:b w:val="0"/>
                <w:color w:val="000000" w:themeColor="text1"/>
              </w:rPr>
              <w:t>negative baby)</w:t>
            </w:r>
          </w:p>
        </w:tc>
        <w:tc>
          <w:tcPr>
            <w:tcW w:w="1943" w:type="dxa"/>
          </w:tcPr>
          <w:p w14:paraId="1106DD75" w14:textId="217E5197" w:rsidR="0013661C" w:rsidRPr="00E91AAA" w:rsidRDefault="005E0C78" w:rsidP="00045CA4">
            <w:pPr>
              <w:pStyle w:val="Tablet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w:t>
            </w:r>
          </w:p>
        </w:tc>
      </w:tr>
      <w:tr w:rsidR="0013661C" w:rsidRPr="0034588B" w14:paraId="5CCD19EC" w14:textId="77777777" w:rsidTr="00E91AAA">
        <w:tc>
          <w:tcPr>
            <w:cnfStyle w:val="001000000000" w:firstRow="0" w:lastRow="0" w:firstColumn="1" w:lastColumn="0" w:oddVBand="0" w:evenVBand="0" w:oddHBand="0" w:evenHBand="0" w:firstRowFirstColumn="0" w:firstRowLastColumn="0" w:lastRowFirstColumn="0" w:lastRowLastColumn="0"/>
            <w:tcW w:w="6387" w:type="dxa"/>
          </w:tcPr>
          <w:p w14:paraId="470045E3" w14:textId="77777777" w:rsidR="0013661C" w:rsidRPr="00E91AAA" w:rsidRDefault="0013661C" w:rsidP="0013661C">
            <w:pPr>
              <w:pStyle w:val="Tabletext"/>
              <w:rPr>
                <w:b w:val="0"/>
                <w:color w:val="000000" w:themeColor="text1"/>
              </w:rPr>
            </w:pPr>
            <w:r w:rsidRPr="00E91AAA">
              <w:rPr>
                <w:b w:val="0"/>
                <w:color w:val="000000" w:themeColor="text1"/>
              </w:rPr>
              <w:t>Administered, not required (RhD positive woman)</w:t>
            </w:r>
          </w:p>
        </w:tc>
        <w:tc>
          <w:tcPr>
            <w:tcW w:w="1943" w:type="dxa"/>
          </w:tcPr>
          <w:p w14:paraId="7085EC74" w14:textId="448B4DEF" w:rsidR="0013661C" w:rsidRPr="00E91AAA" w:rsidRDefault="005E0C78" w:rsidP="00045CA4">
            <w:pPr>
              <w:pStyle w:val="Tabletext"/>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2</w:t>
            </w:r>
            <w:r w:rsidR="00E83886" w:rsidRPr="00E91AAA">
              <w:rPr>
                <w:bCs/>
                <w:color w:val="000000" w:themeColor="text1"/>
              </w:rPr>
              <w:t xml:space="preserve"> (13)</w:t>
            </w:r>
          </w:p>
        </w:tc>
      </w:tr>
      <w:tr w:rsidR="0013661C" w:rsidRPr="0034588B" w14:paraId="45D5175B"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7" w:type="dxa"/>
          </w:tcPr>
          <w:p w14:paraId="43684F45" w14:textId="41D00E8A" w:rsidR="0013661C" w:rsidRPr="00E91AAA" w:rsidRDefault="0013661C" w:rsidP="0013661C">
            <w:pPr>
              <w:pStyle w:val="Tabletext"/>
              <w:rPr>
                <w:b w:val="0"/>
                <w:color w:val="000000" w:themeColor="text1"/>
              </w:rPr>
            </w:pPr>
            <w:r w:rsidRPr="00E91AAA">
              <w:rPr>
                <w:b w:val="0"/>
                <w:color w:val="000000" w:themeColor="text1"/>
              </w:rPr>
              <w:t xml:space="preserve">Administered, not required (woman with immune </w:t>
            </w:r>
            <w:r w:rsidR="00310A49" w:rsidRPr="00E91AAA">
              <w:rPr>
                <w:b w:val="0"/>
                <w:color w:val="000000" w:themeColor="text1"/>
              </w:rPr>
              <w:t>anti</w:t>
            </w:r>
            <w:r w:rsidRPr="00E91AAA">
              <w:rPr>
                <w:b w:val="0"/>
                <w:color w:val="000000" w:themeColor="text1"/>
              </w:rPr>
              <w:t>-D)</w:t>
            </w:r>
          </w:p>
        </w:tc>
        <w:tc>
          <w:tcPr>
            <w:tcW w:w="1943" w:type="dxa"/>
          </w:tcPr>
          <w:p w14:paraId="13B5F06C" w14:textId="489DB620" w:rsidR="0013661C" w:rsidRPr="00E91AAA" w:rsidRDefault="005E0C78" w:rsidP="00045CA4">
            <w:pPr>
              <w:pStyle w:val="Tablet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w:t>
            </w:r>
          </w:p>
        </w:tc>
      </w:tr>
      <w:tr w:rsidR="0013661C" w:rsidRPr="0034588B" w14:paraId="6A7235B9" w14:textId="77777777" w:rsidTr="00E91AAA">
        <w:tc>
          <w:tcPr>
            <w:cnfStyle w:val="001000000000" w:firstRow="0" w:lastRow="0" w:firstColumn="1" w:lastColumn="0" w:oddVBand="0" w:evenVBand="0" w:oddHBand="0" w:evenHBand="0" w:firstRowFirstColumn="0" w:firstRowLastColumn="0" w:lastRowFirstColumn="0" w:lastRowLastColumn="0"/>
            <w:tcW w:w="6387" w:type="dxa"/>
          </w:tcPr>
          <w:p w14:paraId="1AEDD9C6" w14:textId="77777777" w:rsidR="0013661C" w:rsidRPr="00E91AAA" w:rsidRDefault="0013661C" w:rsidP="0013661C">
            <w:pPr>
              <w:pStyle w:val="Tabletext"/>
              <w:rPr>
                <w:b w:val="0"/>
                <w:color w:val="000000" w:themeColor="text1"/>
              </w:rPr>
            </w:pPr>
            <w:r w:rsidRPr="00E91AAA">
              <w:rPr>
                <w:b w:val="0"/>
                <w:color w:val="000000" w:themeColor="text1"/>
              </w:rPr>
              <w:t xml:space="preserve">RhD Ig dose omitted </w:t>
            </w:r>
          </w:p>
        </w:tc>
        <w:tc>
          <w:tcPr>
            <w:tcW w:w="1943" w:type="dxa"/>
          </w:tcPr>
          <w:p w14:paraId="31C840FF" w14:textId="4309A2E0" w:rsidR="0013661C" w:rsidRPr="00E91AAA" w:rsidRDefault="005E0C78" w:rsidP="00045CA4">
            <w:pPr>
              <w:pStyle w:val="Tabletext"/>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6</w:t>
            </w:r>
            <w:r w:rsidR="00E83886" w:rsidRPr="00E91AAA">
              <w:rPr>
                <w:bCs/>
                <w:color w:val="000000" w:themeColor="text1"/>
              </w:rPr>
              <w:t xml:space="preserve"> (40)</w:t>
            </w:r>
          </w:p>
        </w:tc>
      </w:tr>
      <w:tr w:rsidR="0013661C" w:rsidRPr="0034588B" w14:paraId="2C6A4599"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7" w:type="dxa"/>
          </w:tcPr>
          <w:p w14:paraId="3A83F82A" w14:textId="77777777" w:rsidR="0013661C" w:rsidRPr="00E91AAA" w:rsidRDefault="0013661C" w:rsidP="0013661C">
            <w:pPr>
              <w:pStyle w:val="Tabletext"/>
              <w:rPr>
                <w:b w:val="0"/>
                <w:color w:val="000000" w:themeColor="text1"/>
              </w:rPr>
            </w:pPr>
            <w:r w:rsidRPr="00E91AAA">
              <w:rPr>
                <w:b w:val="0"/>
                <w:color w:val="000000" w:themeColor="text1"/>
              </w:rPr>
              <w:t>Delay in administration (&gt; 72 hours)</w:t>
            </w:r>
          </w:p>
        </w:tc>
        <w:tc>
          <w:tcPr>
            <w:tcW w:w="1943" w:type="dxa"/>
          </w:tcPr>
          <w:p w14:paraId="73D423B1" w14:textId="5432D8BF" w:rsidR="0013661C" w:rsidRPr="00E91AAA" w:rsidRDefault="005E0C78" w:rsidP="009D3B86">
            <w:pPr>
              <w:pStyle w:val="Tablet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2</w:t>
            </w:r>
            <w:r w:rsidR="00E83886" w:rsidRPr="00E91AAA">
              <w:rPr>
                <w:bCs/>
                <w:color w:val="000000" w:themeColor="text1"/>
              </w:rPr>
              <w:t xml:space="preserve"> (13)</w:t>
            </w:r>
          </w:p>
        </w:tc>
      </w:tr>
      <w:tr w:rsidR="0013661C" w:rsidRPr="0034588B" w14:paraId="441876E9" w14:textId="77777777" w:rsidTr="00E91AAA">
        <w:tc>
          <w:tcPr>
            <w:cnfStyle w:val="001000000000" w:firstRow="0" w:lastRow="0" w:firstColumn="1" w:lastColumn="0" w:oddVBand="0" w:evenVBand="0" w:oddHBand="0" w:evenHBand="0" w:firstRowFirstColumn="0" w:firstRowLastColumn="0" w:lastRowFirstColumn="0" w:lastRowLastColumn="0"/>
            <w:tcW w:w="6387" w:type="dxa"/>
          </w:tcPr>
          <w:p w14:paraId="03FCC1A6" w14:textId="77777777" w:rsidR="0013661C" w:rsidRPr="00E91AAA" w:rsidRDefault="0013661C" w:rsidP="0013661C">
            <w:pPr>
              <w:pStyle w:val="Tabletext"/>
              <w:rPr>
                <w:b w:val="0"/>
                <w:color w:val="000000" w:themeColor="text1"/>
              </w:rPr>
            </w:pPr>
            <w:r w:rsidRPr="00E91AAA">
              <w:rPr>
                <w:b w:val="0"/>
                <w:color w:val="000000" w:themeColor="text1"/>
              </w:rPr>
              <w:t>Wrong or inadequate dose</w:t>
            </w:r>
          </w:p>
        </w:tc>
        <w:tc>
          <w:tcPr>
            <w:tcW w:w="1943" w:type="dxa"/>
          </w:tcPr>
          <w:p w14:paraId="129DA039" w14:textId="3A1F9C2F" w:rsidR="0013661C" w:rsidRPr="00E91AAA" w:rsidRDefault="005E0C78" w:rsidP="009D3B86">
            <w:pPr>
              <w:pStyle w:val="Tabletext"/>
              <w:jc w:val="center"/>
              <w:cnfStyle w:val="000000000000" w:firstRow="0" w:lastRow="0" w:firstColumn="0" w:lastColumn="0" w:oddVBand="0" w:evenVBand="0" w:oddHBand="0" w:evenHBand="0" w:firstRowFirstColumn="0" w:firstRowLastColumn="0" w:lastRowFirstColumn="0" w:lastRowLastColumn="0"/>
              <w:rPr>
                <w:bCs/>
                <w:color w:val="000000" w:themeColor="text1"/>
              </w:rPr>
            </w:pPr>
            <w:r w:rsidRPr="00E91AAA">
              <w:rPr>
                <w:bCs/>
                <w:color w:val="000000" w:themeColor="text1"/>
              </w:rPr>
              <w:t>3</w:t>
            </w:r>
            <w:r w:rsidR="00E83886" w:rsidRPr="00E91AAA">
              <w:rPr>
                <w:bCs/>
                <w:color w:val="000000" w:themeColor="text1"/>
              </w:rPr>
              <w:t xml:space="preserve"> (20)</w:t>
            </w:r>
          </w:p>
        </w:tc>
      </w:tr>
      <w:tr w:rsidR="0013661C" w:rsidRPr="0034588B" w14:paraId="49582D81" w14:textId="77777777" w:rsidTr="00E91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7" w:type="dxa"/>
          </w:tcPr>
          <w:p w14:paraId="79969811" w14:textId="19DDC84B" w:rsidR="0013661C" w:rsidRPr="00E91AAA" w:rsidRDefault="0013661C" w:rsidP="0013661C">
            <w:pPr>
              <w:pStyle w:val="Tabletext"/>
              <w:rPr>
                <w:b w:val="0"/>
                <w:color w:val="000000" w:themeColor="text1"/>
              </w:rPr>
            </w:pPr>
            <w:r w:rsidRPr="00E91AAA">
              <w:rPr>
                <w:b w:val="0"/>
                <w:color w:val="000000" w:themeColor="text1"/>
              </w:rPr>
              <w:t xml:space="preserve">Other: </w:t>
            </w:r>
            <w:r w:rsidR="005E0C78" w:rsidRPr="00E91AAA">
              <w:rPr>
                <w:b w:val="0"/>
                <w:color w:val="000000" w:themeColor="text1"/>
              </w:rPr>
              <w:t xml:space="preserve">Incorrect route of administration of </w:t>
            </w:r>
            <w:r w:rsidRPr="00E91AAA">
              <w:rPr>
                <w:b w:val="0"/>
                <w:color w:val="000000" w:themeColor="text1"/>
              </w:rPr>
              <w:t>RhD Ig</w:t>
            </w:r>
          </w:p>
        </w:tc>
        <w:tc>
          <w:tcPr>
            <w:tcW w:w="1943" w:type="dxa"/>
          </w:tcPr>
          <w:p w14:paraId="2154B2B2" w14:textId="744E086A" w:rsidR="0013661C" w:rsidRPr="00E91AAA" w:rsidRDefault="005E0C78" w:rsidP="009D3B86">
            <w:pPr>
              <w:pStyle w:val="Tabletext"/>
              <w:jc w:val="center"/>
              <w:cnfStyle w:val="000000100000" w:firstRow="0" w:lastRow="0" w:firstColumn="0" w:lastColumn="0" w:oddVBand="0" w:evenVBand="0" w:oddHBand="1" w:evenHBand="0" w:firstRowFirstColumn="0" w:firstRowLastColumn="0" w:lastRowFirstColumn="0" w:lastRowLastColumn="0"/>
              <w:rPr>
                <w:bCs/>
                <w:color w:val="000000" w:themeColor="text1"/>
              </w:rPr>
            </w:pPr>
            <w:r w:rsidRPr="00E91AAA">
              <w:rPr>
                <w:bCs/>
                <w:color w:val="000000" w:themeColor="text1"/>
              </w:rPr>
              <w:t>2</w:t>
            </w:r>
            <w:r w:rsidR="00E83886" w:rsidRPr="00E91AAA">
              <w:rPr>
                <w:bCs/>
                <w:color w:val="000000" w:themeColor="text1"/>
              </w:rPr>
              <w:t xml:space="preserve"> (13)</w:t>
            </w:r>
          </w:p>
        </w:tc>
      </w:tr>
    </w:tbl>
    <w:p w14:paraId="46828653" w14:textId="77777777" w:rsidR="0013661C" w:rsidRDefault="0013661C" w:rsidP="009761A7">
      <w:pPr>
        <w:pStyle w:val="Body"/>
        <w:rPr>
          <w:b/>
          <w:bCs/>
        </w:rPr>
      </w:pPr>
    </w:p>
    <w:tbl>
      <w:tblPr>
        <w:tblStyle w:val="TableGrid"/>
        <w:tblW w:w="0" w:type="auto"/>
        <w:tblLook w:val="04A0" w:firstRow="1" w:lastRow="0" w:firstColumn="1" w:lastColumn="0" w:noHBand="0" w:noVBand="1"/>
      </w:tblPr>
      <w:tblGrid>
        <w:gridCol w:w="9288"/>
      </w:tblGrid>
      <w:tr w:rsidR="00390291" w14:paraId="2A2935B2" w14:textId="77777777" w:rsidTr="00390291">
        <w:tc>
          <w:tcPr>
            <w:tcW w:w="9288" w:type="dxa"/>
          </w:tcPr>
          <w:p w14:paraId="2C870F91" w14:textId="77777777" w:rsidR="00390291" w:rsidRDefault="00390291" w:rsidP="00CE55B3">
            <w:pPr>
              <w:pStyle w:val="Boxheading"/>
              <w:keepNext w:val="0"/>
              <w:keepLines w:val="0"/>
            </w:pPr>
            <w:bookmarkStart w:id="111" w:name="_Toc174439930"/>
            <w:r>
              <w:t>Case study 15: Transcription error causes missed prophylaxis</w:t>
            </w:r>
            <w:bookmarkEnd w:id="111"/>
          </w:p>
          <w:p w14:paraId="73D5B2AF" w14:textId="3F8F84C5" w:rsidR="00390291" w:rsidRDefault="00390291" w:rsidP="00390291">
            <w:pPr>
              <w:pStyle w:val="Body"/>
            </w:pPr>
            <w:r>
              <w:t>On their first visit, t</w:t>
            </w:r>
            <w:r w:rsidRPr="009D3B86">
              <w:t>he patient</w:t>
            </w:r>
            <w:r>
              <w:t>’s</w:t>
            </w:r>
            <w:r w:rsidRPr="009D3B86">
              <w:t xml:space="preserve"> blood group was incorrectly transcribed into the </w:t>
            </w:r>
            <w:r>
              <w:t>b</w:t>
            </w:r>
            <w:r w:rsidRPr="009D3B86">
              <w:t xml:space="preserve">irthing </w:t>
            </w:r>
            <w:r>
              <w:t>o</w:t>
            </w:r>
            <w:r w:rsidRPr="009D3B86">
              <w:t xml:space="preserve">utcomes </w:t>
            </w:r>
            <w:r>
              <w:t>s</w:t>
            </w:r>
            <w:r w:rsidRPr="009D3B86">
              <w:t>ystem</w:t>
            </w:r>
            <w:r>
              <w:t>,</w:t>
            </w:r>
            <w:r w:rsidRPr="009D3B86">
              <w:t xml:space="preserve"> an integrated pregnancy, birthing and neonatal record used by most Victorian maternity hospitals. </w:t>
            </w:r>
          </w:p>
          <w:p w14:paraId="3CB8969A" w14:textId="77777777" w:rsidR="00390291" w:rsidRDefault="00390291" w:rsidP="00390291">
            <w:pPr>
              <w:pStyle w:val="Body"/>
            </w:pPr>
            <w:r w:rsidRPr="009D3B86">
              <w:t xml:space="preserve">This </w:t>
            </w:r>
            <w:r>
              <w:t xml:space="preserve">documentation </w:t>
            </w:r>
            <w:r w:rsidRPr="009D3B86">
              <w:t>was used at subsequent appointments</w:t>
            </w:r>
            <w:r>
              <w:t>.</w:t>
            </w:r>
          </w:p>
          <w:p w14:paraId="6E06089A" w14:textId="1A44FF66" w:rsidR="00390291" w:rsidRDefault="00390291" w:rsidP="00390291">
            <w:pPr>
              <w:pStyle w:val="Body"/>
            </w:pPr>
            <w:r>
              <w:t>T</w:t>
            </w:r>
            <w:r w:rsidRPr="009D3B86">
              <w:t xml:space="preserve">he patient did not receive </w:t>
            </w:r>
            <w:proofErr w:type="spellStart"/>
            <w:r w:rsidRPr="009D3B86">
              <w:t>RhD</w:t>
            </w:r>
            <w:proofErr w:type="spellEnd"/>
            <w:r>
              <w:t xml:space="preserve"> Ig</w:t>
            </w:r>
            <w:r w:rsidRPr="009D3B86">
              <w:t xml:space="preserve"> prophylaxis during the pregnancy.</w:t>
            </w:r>
          </w:p>
          <w:p w14:paraId="06C118C8" w14:textId="6D7EF1F0" w:rsidR="00390291" w:rsidRDefault="00390291" w:rsidP="00390291">
            <w:pPr>
              <w:pStyle w:val="Body"/>
            </w:pPr>
            <w:r w:rsidRPr="009D3B86">
              <w:t xml:space="preserve">It was only when she presented in labour that the correct blood group was noted and </w:t>
            </w:r>
            <w:proofErr w:type="spellStart"/>
            <w:r w:rsidRPr="009D3B86">
              <w:t>RhD</w:t>
            </w:r>
            <w:proofErr w:type="spellEnd"/>
            <w:r w:rsidRPr="009D3B86">
              <w:t xml:space="preserve"> Ig administered</w:t>
            </w:r>
            <w:r>
              <w:t xml:space="preserve">, </w:t>
            </w:r>
            <w:r w:rsidRPr="009D3B86">
              <w:t xml:space="preserve">as the baby’s blood group was </w:t>
            </w:r>
            <w:proofErr w:type="spellStart"/>
            <w:r w:rsidRPr="009D3B86">
              <w:t>RhD</w:t>
            </w:r>
            <w:proofErr w:type="spellEnd"/>
            <w:r w:rsidRPr="009D3B86">
              <w:t xml:space="preserve"> positive. </w:t>
            </w:r>
          </w:p>
          <w:p w14:paraId="546CF95A" w14:textId="3C3CE244" w:rsidR="00390291" w:rsidRPr="009D3B86" w:rsidRDefault="00390291" w:rsidP="00390291">
            <w:pPr>
              <w:pStyle w:val="Body"/>
            </w:pPr>
            <w:r w:rsidRPr="009D3B86">
              <w:t xml:space="preserve">The woman’s antibody screen was negative at this time. </w:t>
            </w:r>
          </w:p>
          <w:p w14:paraId="73A6DD11" w14:textId="77777777" w:rsidR="00390291" w:rsidRPr="00CE55B3" w:rsidRDefault="00390291" w:rsidP="00390291">
            <w:pPr>
              <w:pStyle w:val="Body"/>
              <w:rPr>
                <w:b/>
                <w:bCs/>
              </w:rPr>
            </w:pPr>
            <w:r w:rsidRPr="00CE55B3">
              <w:rPr>
                <w:b/>
                <w:bCs/>
              </w:rPr>
              <w:t xml:space="preserve">Expert Group: </w:t>
            </w:r>
            <w:proofErr w:type="spellStart"/>
            <w:r w:rsidRPr="00CE55B3">
              <w:rPr>
                <w:b/>
                <w:bCs/>
              </w:rPr>
              <w:t>RhD</w:t>
            </w:r>
            <w:proofErr w:type="spellEnd"/>
            <w:r w:rsidRPr="00CE55B3">
              <w:rPr>
                <w:b/>
                <w:bCs/>
              </w:rPr>
              <w:t xml:space="preserve"> Ig administration error, certainly, SR4</w:t>
            </w:r>
          </w:p>
          <w:p w14:paraId="1A8BB8F5" w14:textId="77777777" w:rsidR="00390291" w:rsidRDefault="00390291" w:rsidP="00390291">
            <w:pPr>
              <w:pStyle w:val="Body"/>
            </w:pPr>
            <w:r>
              <w:t>S</w:t>
            </w:r>
            <w:r w:rsidRPr="009D3B86">
              <w:t xml:space="preserve">everal health services </w:t>
            </w:r>
            <w:r>
              <w:t xml:space="preserve">have </w:t>
            </w:r>
            <w:r w:rsidRPr="009D3B86">
              <w:t>report</w:t>
            </w:r>
            <w:r>
              <w:t>ed transcription errors, which</w:t>
            </w:r>
            <w:r w:rsidRPr="009D3B86">
              <w:t xml:space="preserve"> puts women at risk </w:t>
            </w:r>
            <w:r>
              <w:t xml:space="preserve">of developing anti-D and </w:t>
            </w:r>
            <w:r w:rsidRPr="009D3B86">
              <w:t>future</w:t>
            </w:r>
            <w:r>
              <w:t xml:space="preserve"> pregnancies</w:t>
            </w:r>
            <w:r w:rsidRPr="009D3B86">
              <w:t xml:space="preserve"> </w:t>
            </w:r>
            <w:r>
              <w:t xml:space="preserve">being affected by haemolytic disease of the foetus and newborn (HDFN) </w:t>
            </w:r>
            <w:r w:rsidRPr="009D3B86">
              <w:t xml:space="preserve">because they did not receive prophylaxis during their pregnancy. </w:t>
            </w:r>
          </w:p>
          <w:p w14:paraId="0C797279" w14:textId="2DF8337C" w:rsidR="00390291" w:rsidRDefault="00390291" w:rsidP="00390291">
            <w:pPr>
              <w:pStyle w:val="Body"/>
              <w:rPr>
                <w:b/>
                <w:bCs/>
              </w:rPr>
            </w:pPr>
            <w:r w:rsidRPr="009D3B86">
              <w:t xml:space="preserve">Access to results from the primary source, </w:t>
            </w:r>
            <w:r>
              <w:t>rather than</w:t>
            </w:r>
            <w:r w:rsidRPr="009D3B86">
              <w:t xml:space="preserve"> transcribed</w:t>
            </w:r>
            <w:r>
              <w:t xml:space="preserve"> results</w:t>
            </w:r>
            <w:r w:rsidRPr="009D3B86">
              <w:t>, is important to p</w:t>
            </w:r>
            <w:r>
              <w:t>revent</w:t>
            </w:r>
            <w:r w:rsidRPr="009D3B86">
              <w:t xml:space="preserve"> these events. Report</w:t>
            </w:r>
            <w:r>
              <w:t xml:space="preserve">ed events usually relate to missed does of </w:t>
            </w:r>
            <w:proofErr w:type="spellStart"/>
            <w:r>
              <w:t>RhD</w:t>
            </w:r>
            <w:proofErr w:type="spellEnd"/>
            <w:r>
              <w:t>, rather than</w:t>
            </w:r>
            <w:r w:rsidRPr="009D3B86">
              <w:t xml:space="preserve"> a woman receiving </w:t>
            </w:r>
            <w:proofErr w:type="spellStart"/>
            <w:r w:rsidRPr="009D3B86">
              <w:t>RhD</w:t>
            </w:r>
            <w:proofErr w:type="spellEnd"/>
            <w:r w:rsidRPr="009D3B86">
              <w:t xml:space="preserve"> Ig when not needed due to a transcription error.</w:t>
            </w:r>
          </w:p>
        </w:tc>
      </w:tr>
    </w:tbl>
    <w:p w14:paraId="31FC6E46" w14:textId="25DBD5D2" w:rsidR="00310A49" w:rsidRDefault="00310A49" w:rsidP="009761A7">
      <w:pPr>
        <w:pStyle w:val="Body"/>
        <w:rPr>
          <w:b/>
          <w:bCs/>
        </w:rPr>
      </w:pPr>
    </w:p>
    <w:tbl>
      <w:tblPr>
        <w:tblStyle w:val="TableGrid"/>
        <w:tblW w:w="0" w:type="auto"/>
        <w:tblLook w:val="04A0" w:firstRow="1" w:lastRow="0" w:firstColumn="1" w:lastColumn="0" w:noHBand="0" w:noVBand="1"/>
      </w:tblPr>
      <w:tblGrid>
        <w:gridCol w:w="9288"/>
      </w:tblGrid>
      <w:tr w:rsidR="00390291" w14:paraId="4751C2BC" w14:textId="77777777" w:rsidTr="00390291">
        <w:tc>
          <w:tcPr>
            <w:tcW w:w="9288" w:type="dxa"/>
          </w:tcPr>
          <w:p w14:paraId="2611CB04" w14:textId="77777777" w:rsidR="00390291" w:rsidRDefault="00390291" w:rsidP="00390291">
            <w:pPr>
              <w:pStyle w:val="Heading4"/>
            </w:pPr>
            <w:bookmarkStart w:id="112" w:name="_Toc174439931"/>
            <w:r>
              <w:lastRenderedPageBreak/>
              <w:t xml:space="preserve">Case study 16: Incorrect route of administration for </w:t>
            </w:r>
            <w:proofErr w:type="spellStart"/>
            <w:r>
              <w:t>RhD</w:t>
            </w:r>
            <w:proofErr w:type="spellEnd"/>
            <w:r>
              <w:t xml:space="preserve"> Ig</w:t>
            </w:r>
            <w:bookmarkEnd w:id="112"/>
          </w:p>
          <w:p w14:paraId="4D6F36A9" w14:textId="2E553C64" w:rsidR="00390291" w:rsidRDefault="00390291" w:rsidP="00390291">
            <w:pPr>
              <w:pStyle w:val="Body"/>
            </w:pPr>
            <w:r>
              <w:t xml:space="preserve">A woman who had a large </w:t>
            </w:r>
            <w:proofErr w:type="spellStart"/>
            <w:r>
              <w:t>fetomaternal</w:t>
            </w:r>
            <w:proofErr w:type="spellEnd"/>
            <w:r>
              <w:t xml:space="preserve"> haemorrhage required a large dose of </w:t>
            </w:r>
            <w:proofErr w:type="spellStart"/>
            <w:r>
              <w:t>RhD</w:t>
            </w:r>
            <w:proofErr w:type="spellEnd"/>
            <w:r>
              <w:t xml:space="preserve"> Ig (12,000 IU). </w:t>
            </w:r>
          </w:p>
          <w:p w14:paraId="07B31984" w14:textId="77777777" w:rsidR="00390291" w:rsidRDefault="00390291" w:rsidP="00390291">
            <w:pPr>
              <w:pStyle w:val="Body"/>
            </w:pPr>
            <w:r>
              <w:t xml:space="preserve">She was prescribed </w:t>
            </w:r>
            <w:proofErr w:type="spellStart"/>
            <w:r>
              <w:t>Rhophylac</w:t>
            </w:r>
            <w:proofErr w:type="spellEnd"/>
            <w:r>
              <w:t xml:space="preserve"> to be given intravenously (IV). </w:t>
            </w:r>
          </w:p>
          <w:p w14:paraId="0779FBBA" w14:textId="77777777" w:rsidR="00390291" w:rsidRDefault="00390291" w:rsidP="00390291">
            <w:pPr>
              <w:pStyle w:val="Body"/>
            </w:pPr>
            <w:r>
              <w:t>The nurse administering the product gave the dose intramuscularly (IM).</w:t>
            </w:r>
            <w:r w:rsidRPr="00161296">
              <w:t xml:space="preserve"> </w:t>
            </w:r>
          </w:p>
          <w:p w14:paraId="5E0C325F" w14:textId="77777777" w:rsidR="00390291" w:rsidRDefault="00390291" w:rsidP="00390291">
            <w:pPr>
              <w:pStyle w:val="Body"/>
            </w:pPr>
            <w:proofErr w:type="spellStart"/>
            <w:r>
              <w:t>Rhophylac</w:t>
            </w:r>
            <w:proofErr w:type="spellEnd"/>
            <w:r>
              <w:t xml:space="preserve"> comes as 1,500 IU in 2 mL syringes, meaning that 8 syringes are needed to administer 12,000 IU. </w:t>
            </w:r>
          </w:p>
          <w:p w14:paraId="57852935" w14:textId="77777777" w:rsidR="00390291" w:rsidRDefault="00390291" w:rsidP="00390291">
            <w:pPr>
              <w:pStyle w:val="Body"/>
            </w:pPr>
            <w:r>
              <w:t>IV administration is therefore advisable for patient comfort when doses above 5 mL</w:t>
            </w:r>
            <w:r w:rsidRPr="00F50777">
              <w:rPr>
                <w:rFonts w:eastAsia="Times New Roman"/>
              </w:rPr>
              <w:t xml:space="preserve"> </w:t>
            </w:r>
            <w:r w:rsidRPr="00F50777">
              <w:t xml:space="preserve">are required. </w:t>
            </w:r>
          </w:p>
          <w:p w14:paraId="13A62376" w14:textId="289C3840" w:rsidR="00390291" w:rsidRDefault="00390291" w:rsidP="00390291">
            <w:pPr>
              <w:pStyle w:val="Body"/>
            </w:pPr>
            <w:r w:rsidRPr="00F50777">
              <w:t>If unable to obtain IV access or IV administration is contraindicated</w:t>
            </w:r>
            <w:r>
              <w:t>,</w:t>
            </w:r>
            <w:r w:rsidRPr="00F50777">
              <w:t xml:space="preserve"> then it is recommended to divide the dose and administer IM</w:t>
            </w:r>
            <w:r>
              <w:t xml:space="preserve"> at different sites to minimise patient discomfort. </w:t>
            </w:r>
          </w:p>
          <w:p w14:paraId="5D437746" w14:textId="77777777" w:rsidR="00390291" w:rsidRDefault="00390291" w:rsidP="00390291">
            <w:pPr>
              <w:pStyle w:val="Body"/>
            </w:pPr>
            <w:r>
              <w:t xml:space="preserve">The health service has revised their procedures to clearly identify the dosing and routes of administration for staff. </w:t>
            </w:r>
          </w:p>
          <w:p w14:paraId="67AB1286" w14:textId="697F8CA5" w:rsidR="00390291" w:rsidRDefault="00390291" w:rsidP="00390291">
            <w:pPr>
              <w:pStyle w:val="Body"/>
            </w:pPr>
            <w:r>
              <w:t>They are making every effort to ensure this guidance is easily accessible when needed.</w:t>
            </w:r>
          </w:p>
          <w:p w14:paraId="0669BB1B" w14:textId="77777777" w:rsidR="00390291" w:rsidRDefault="00390291" w:rsidP="00390291">
            <w:pPr>
              <w:pStyle w:val="Body"/>
            </w:pPr>
            <w:r>
              <w:t xml:space="preserve">In another case, </w:t>
            </w:r>
            <w:proofErr w:type="spellStart"/>
            <w:r>
              <w:t>RhD</w:t>
            </w:r>
            <w:proofErr w:type="spellEnd"/>
            <w:r>
              <w:t xml:space="preserve"> Ig was prescribed to be administered IV to a woman after a large </w:t>
            </w:r>
            <w:proofErr w:type="spellStart"/>
            <w:r w:rsidRPr="004B1672">
              <w:t>fetomaternal</w:t>
            </w:r>
            <w:proofErr w:type="spellEnd"/>
            <w:r w:rsidRPr="004B1672">
              <w:t xml:space="preserve"> haemorrhage</w:t>
            </w:r>
            <w:r>
              <w:t xml:space="preserve">, but the wrong product was given. </w:t>
            </w:r>
          </w:p>
          <w:p w14:paraId="7D7732C6" w14:textId="45D53659" w:rsidR="00390291" w:rsidRDefault="00390291" w:rsidP="00390291">
            <w:pPr>
              <w:pStyle w:val="Body"/>
            </w:pPr>
            <w:proofErr w:type="spellStart"/>
            <w:r>
              <w:t>RhD</w:t>
            </w:r>
            <w:proofErr w:type="spellEnd"/>
            <w:r>
              <w:t xml:space="preserve"> Immunoglobulin-VF (the Australian-made </w:t>
            </w:r>
            <w:proofErr w:type="spellStart"/>
            <w:r>
              <w:t>RhD</w:t>
            </w:r>
            <w:proofErr w:type="spellEnd"/>
            <w:r>
              <w:t xml:space="preserve"> Ig product) is only suitable for IM injection,</w:t>
            </w:r>
            <w:r w:rsidR="00CA0CCB">
              <w:t xml:space="preserve"> </w:t>
            </w:r>
            <w:r>
              <w:t xml:space="preserve">which is clearly stated in the product information. </w:t>
            </w:r>
          </w:p>
          <w:p w14:paraId="28F28269" w14:textId="3FBAD481" w:rsidR="00390291" w:rsidRDefault="00390291" w:rsidP="00390291">
            <w:pPr>
              <w:pStyle w:val="Body"/>
            </w:pPr>
            <w:r>
              <w:t xml:space="preserve">Where IV administration is required, </w:t>
            </w:r>
            <w:proofErr w:type="spellStart"/>
            <w:r>
              <w:t>Rhophylac</w:t>
            </w:r>
            <w:proofErr w:type="spellEnd"/>
            <w:r>
              <w:t xml:space="preserve"> is always to be used.</w:t>
            </w:r>
          </w:p>
          <w:p w14:paraId="1CE63A28" w14:textId="26990B96" w:rsidR="00390291" w:rsidRDefault="00390291" w:rsidP="00390291">
            <w:pPr>
              <w:pStyle w:val="Body"/>
              <w:rPr>
                <w:b/>
                <w:bCs/>
              </w:rPr>
            </w:pPr>
            <w:r>
              <w:t>Health services with maternity and obstetric care need to have clear guidelines for the different products, routes of administration and in which circumstances each product should be used. For example</w:t>
            </w:r>
            <w:r w:rsidR="00CA0CCB">
              <w:t>,</w:t>
            </w:r>
            <w:r>
              <w:t xml:space="preserve"> this may include thrombocytopenic, or due to the volume of dose to be administered. </w:t>
            </w:r>
            <w:r w:rsidRPr="00F50777">
              <w:t xml:space="preserve">An example is given </w:t>
            </w:r>
            <w:r>
              <w:t xml:space="preserve">in Table 32 </w:t>
            </w:r>
            <w:r w:rsidRPr="00F50777">
              <w:t>below</w:t>
            </w:r>
            <w:r>
              <w:t>.</w:t>
            </w:r>
          </w:p>
        </w:tc>
      </w:tr>
    </w:tbl>
    <w:p w14:paraId="2C12150F" w14:textId="34D9B445" w:rsidR="00390291" w:rsidRDefault="00390291" w:rsidP="00CE55B3">
      <w:pPr>
        <w:pStyle w:val="Tablecaption"/>
      </w:pPr>
      <w:r>
        <w:t>Table 32: Suggested product and dosing</w:t>
      </w:r>
    </w:p>
    <w:tbl>
      <w:tblPr>
        <w:tblStyle w:val="TableGrid"/>
        <w:tblW w:w="0" w:type="auto"/>
        <w:tblLook w:val="04A0" w:firstRow="1" w:lastRow="0" w:firstColumn="1" w:lastColumn="0" w:noHBand="0" w:noVBand="1"/>
      </w:tblPr>
      <w:tblGrid>
        <w:gridCol w:w="2290"/>
        <w:gridCol w:w="1816"/>
        <w:gridCol w:w="1701"/>
        <w:gridCol w:w="3193"/>
      </w:tblGrid>
      <w:tr w:rsidR="00390291" w:rsidRPr="00F50777" w14:paraId="6E118B45" w14:textId="77777777" w:rsidTr="00CE55B3">
        <w:trPr>
          <w:tblHeader/>
        </w:trPr>
        <w:tc>
          <w:tcPr>
            <w:tcW w:w="2290" w:type="dxa"/>
          </w:tcPr>
          <w:p w14:paraId="336E27D4" w14:textId="77777777" w:rsidR="00390291" w:rsidRPr="00390291" w:rsidRDefault="00390291" w:rsidP="00CE55B3">
            <w:pPr>
              <w:pStyle w:val="Tablecolhead"/>
            </w:pPr>
            <w:r w:rsidRPr="00390291">
              <w:t>Product</w:t>
            </w:r>
          </w:p>
        </w:tc>
        <w:tc>
          <w:tcPr>
            <w:tcW w:w="1816" w:type="dxa"/>
          </w:tcPr>
          <w:p w14:paraId="23FAAEA8" w14:textId="585E325D" w:rsidR="00390291" w:rsidRPr="00390291" w:rsidRDefault="00390291" w:rsidP="00CE55B3">
            <w:pPr>
              <w:pStyle w:val="Tablecolhead"/>
            </w:pPr>
            <w:r w:rsidRPr="00390291">
              <w:t>Route of admin</w:t>
            </w:r>
          </w:p>
        </w:tc>
        <w:tc>
          <w:tcPr>
            <w:tcW w:w="1701" w:type="dxa"/>
          </w:tcPr>
          <w:p w14:paraId="630B372D" w14:textId="77777777" w:rsidR="00390291" w:rsidRPr="00390291" w:rsidRDefault="00390291" w:rsidP="00CE55B3">
            <w:pPr>
              <w:pStyle w:val="Tablecolhead"/>
            </w:pPr>
            <w:r w:rsidRPr="00390291">
              <w:t>Vial size</w:t>
            </w:r>
          </w:p>
        </w:tc>
        <w:tc>
          <w:tcPr>
            <w:tcW w:w="3193" w:type="dxa"/>
          </w:tcPr>
          <w:p w14:paraId="40509283" w14:textId="77777777" w:rsidR="00390291" w:rsidRPr="00390291" w:rsidRDefault="00390291" w:rsidP="00CE55B3">
            <w:pPr>
              <w:pStyle w:val="Tablecolhead"/>
            </w:pPr>
            <w:r w:rsidRPr="00390291">
              <w:t>Possible guide for dosing per ml FMH</w:t>
            </w:r>
          </w:p>
        </w:tc>
      </w:tr>
      <w:tr w:rsidR="00390291" w:rsidRPr="00F50777" w14:paraId="226AFC0A" w14:textId="77777777" w:rsidTr="009839B3">
        <w:tc>
          <w:tcPr>
            <w:tcW w:w="2290" w:type="dxa"/>
          </w:tcPr>
          <w:p w14:paraId="3218D48C" w14:textId="77777777" w:rsidR="00390291" w:rsidRPr="00F50777" w:rsidRDefault="00390291" w:rsidP="009839B3">
            <w:pPr>
              <w:pStyle w:val="Body"/>
            </w:pPr>
            <w:proofErr w:type="spellStart"/>
            <w:r w:rsidRPr="00F50777">
              <w:t>RhD</w:t>
            </w:r>
            <w:proofErr w:type="spellEnd"/>
            <w:r w:rsidRPr="00F50777">
              <w:t xml:space="preserve"> immunoglobulin-VF</w:t>
            </w:r>
          </w:p>
        </w:tc>
        <w:tc>
          <w:tcPr>
            <w:tcW w:w="1816" w:type="dxa"/>
          </w:tcPr>
          <w:p w14:paraId="7D9EC9B6" w14:textId="77777777" w:rsidR="00390291" w:rsidRPr="00F50777" w:rsidRDefault="00390291" w:rsidP="009839B3">
            <w:pPr>
              <w:pStyle w:val="Body"/>
            </w:pPr>
            <w:r w:rsidRPr="00F50777">
              <w:t>IM only</w:t>
            </w:r>
          </w:p>
        </w:tc>
        <w:tc>
          <w:tcPr>
            <w:tcW w:w="1701" w:type="dxa"/>
          </w:tcPr>
          <w:p w14:paraId="4FAD3690" w14:textId="77777777" w:rsidR="00390291" w:rsidRPr="00F50777" w:rsidRDefault="00390291" w:rsidP="009839B3">
            <w:pPr>
              <w:pStyle w:val="Body"/>
            </w:pPr>
            <w:r w:rsidRPr="00F50777">
              <w:t xml:space="preserve">625 IU </w:t>
            </w:r>
          </w:p>
        </w:tc>
        <w:tc>
          <w:tcPr>
            <w:tcW w:w="3193" w:type="dxa"/>
          </w:tcPr>
          <w:p w14:paraId="43131E49" w14:textId="77777777" w:rsidR="00390291" w:rsidRPr="00F50777" w:rsidRDefault="00390291" w:rsidP="009839B3">
            <w:pPr>
              <w:pStyle w:val="Body"/>
            </w:pPr>
            <w:r w:rsidRPr="00F50777">
              <w:t>≤6mls = 1 vial</w:t>
            </w:r>
          </w:p>
          <w:p w14:paraId="4F7DA68B" w14:textId="77777777" w:rsidR="00390291" w:rsidRPr="00F50777" w:rsidRDefault="00390291" w:rsidP="009839B3">
            <w:pPr>
              <w:pStyle w:val="Body"/>
            </w:pPr>
            <w:r w:rsidRPr="00F50777">
              <w:t xml:space="preserve">&gt;6-12 </w:t>
            </w:r>
            <w:proofErr w:type="spellStart"/>
            <w:r w:rsidRPr="00F50777">
              <w:t>mls</w:t>
            </w:r>
            <w:proofErr w:type="spellEnd"/>
            <w:r w:rsidRPr="00F50777">
              <w:t xml:space="preserve"> = 2 </w:t>
            </w:r>
          </w:p>
        </w:tc>
      </w:tr>
      <w:tr w:rsidR="00390291" w:rsidRPr="00F50777" w14:paraId="1D98E304" w14:textId="77777777" w:rsidTr="009839B3">
        <w:tc>
          <w:tcPr>
            <w:tcW w:w="2290" w:type="dxa"/>
          </w:tcPr>
          <w:p w14:paraId="7D53C16E" w14:textId="77777777" w:rsidR="00390291" w:rsidRPr="00F50777" w:rsidRDefault="00390291" w:rsidP="009839B3">
            <w:pPr>
              <w:pStyle w:val="Body"/>
            </w:pPr>
            <w:proofErr w:type="spellStart"/>
            <w:r w:rsidRPr="00F50777">
              <w:t>Rhophylac</w:t>
            </w:r>
            <w:proofErr w:type="spellEnd"/>
          </w:p>
        </w:tc>
        <w:tc>
          <w:tcPr>
            <w:tcW w:w="1816" w:type="dxa"/>
          </w:tcPr>
          <w:p w14:paraId="113082D6" w14:textId="77777777" w:rsidR="00390291" w:rsidRPr="00F50777" w:rsidRDefault="00390291" w:rsidP="009839B3">
            <w:pPr>
              <w:pStyle w:val="Body"/>
            </w:pPr>
            <w:r w:rsidRPr="00F50777">
              <w:t>IV or IM</w:t>
            </w:r>
          </w:p>
          <w:p w14:paraId="0D18188C" w14:textId="77777777" w:rsidR="00390291" w:rsidRPr="00F50777" w:rsidRDefault="00390291" w:rsidP="009839B3">
            <w:pPr>
              <w:pStyle w:val="Body"/>
            </w:pPr>
            <w:r w:rsidRPr="00F50777">
              <w:t>IV recommended for patient comfort</w:t>
            </w:r>
          </w:p>
        </w:tc>
        <w:tc>
          <w:tcPr>
            <w:tcW w:w="1701" w:type="dxa"/>
          </w:tcPr>
          <w:p w14:paraId="70726D4D" w14:textId="77777777" w:rsidR="00390291" w:rsidRPr="00F50777" w:rsidRDefault="00390291" w:rsidP="009839B3">
            <w:pPr>
              <w:pStyle w:val="Body"/>
            </w:pPr>
            <w:r w:rsidRPr="00F50777">
              <w:t>1500 IU in 2mls</w:t>
            </w:r>
          </w:p>
        </w:tc>
        <w:tc>
          <w:tcPr>
            <w:tcW w:w="3193" w:type="dxa"/>
          </w:tcPr>
          <w:p w14:paraId="70D816E2" w14:textId="29D55EE3" w:rsidR="00390291" w:rsidRPr="00F50777" w:rsidRDefault="00390291" w:rsidP="009839B3">
            <w:pPr>
              <w:pStyle w:val="Body"/>
            </w:pPr>
            <w:r w:rsidRPr="00F50777">
              <w:t>&gt;12 - ≤ 24mls</w:t>
            </w:r>
            <w:r>
              <w:t xml:space="preserve"> </w:t>
            </w:r>
            <w:r w:rsidRPr="00F50777">
              <w:t>= 2 vials</w:t>
            </w:r>
          </w:p>
          <w:p w14:paraId="2CF2DC4E" w14:textId="77777777" w:rsidR="00390291" w:rsidRPr="00F50777" w:rsidRDefault="00390291" w:rsidP="009839B3">
            <w:pPr>
              <w:pStyle w:val="Body"/>
            </w:pPr>
            <w:r w:rsidRPr="00F50777">
              <w:t>&gt;24 - ≤ 36mls = 3 vials</w:t>
            </w:r>
          </w:p>
          <w:p w14:paraId="7BFA6E14" w14:textId="77777777" w:rsidR="00390291" w:rsidRPr="00F50777" w:rsidRDefault="00390291" w:rsidP="009839B3">
            <w:pPr>
              <w:pStyle w:val="Body"/>
            </w:pPr>
            <w:r w:rsidRPr="00F50777">
              <w:t>&gt;36 - ≤ 48mls = 4 vials</w:t>
            </w:r>
          </w:p>
          <w:p w14:paraId="515DFBFC" w14:textId="77777777" w:rsidR="00390291" w:rsidRPr="00F50777" w:rsidRDefault="00390291" w:rsidP="009839B3">
            <w:pPr>
              <w:pStyle w:val="Body"/>
            </w:pPr>
          </w:p>
        </w:tc>
      </w:tr>
    </w:tbl>
    <w:p w14:paraId="5E15D203" w14:textId="6C3CF795" w:rsidR="009761A7" w:rsidRPr="00A92E0B" w:rsidRDefault="00390291" w:rsidP="009761A7">
      <w:pPr>
        <w:pStyle w:val="Heading2"/>
      </w:pPr>
      <w:bookmarkStart w:id="113" w:name="_Toc136329785"/>
      <w:bookmarkStart w:id="114" w:name="_Toc174440019"/>
      <w:r>
        <w:t>C</w:t>
      </w:r>
      <w:r w:rsidR="009761A7" w:rsidRPr="00A92E0B">
        <w:t>ell salvage</w:t>
      </w:r>
      <w:bookmarkEnd w:id="113"/>
      <w:bookmarkEnd w:id="114"/>
    </w:p>
    <w:p w14:paraId="4554B7A3" w14:textId="00A863CE" w:rsidR="009761A7" w:rsidRDefault="00AD472E" w:rsidP="00292375">
      <w:pPr>
        <w:pStyle w:val="Body"/>
      </w:pPr>
      <w:r>
        <w:t xml:space="preserve">There </w:t>
      </w:r>
      <w:r w:rsidR="00390291">
        <w:t>were</w:t>
      </w:r>
      <w:r>
        <w:t xml:space="preserve"> no reports of cell salvage errors to STIR this year.</w:t>
      </w:r>
    </w:p>
    <w:p w14:paraId="03C5B2F7" w14:textId="29C69622" w:rsidR="00390291" w:rsidRDefault="00390291">
      <w:pPr>
        <w:spacing w:after="0" w:line="240" w:lineRule="auto"/>
        <w:rPr>
          <w:rFonts w:eastAsia="MS Gothic" w:cs="Arial"/>
          <w:bCs/>
          <w:color w:val="AF272F"/>
          <w:kern w:val="32"/>
          <w:sz w:val="44"/>
          <w:szCs w:val="44"/>
        </w:rPr>
      </w:pPr>
      <w:r>
        <w:br w:type="page"/>
      </w:r>
    </w:p>
    <w:p w14:paraId="026F6D38" w14:textId="77777777" w:rsidR="009761A7" w:rsidRDefault="009761A7" w:rsidP="009761A7">
      <w:pPr>
        <w:pStyle w:val="Heading1"/>
      </w:pPr>
      <w:bookmarkStart w:id="115" w:name="_Toc136329786"/>
      <w:bookmarkStart w:id="116" w:name="_Toc174440020"/>
      <w:r>
        <w:lastRenderedPageBreak/>
        <w:t>References</w:t>
      </w:r>
      <w:bookmarkEnd w:id="115"/>
      <w:bookmarkEnd w:id="116"/>
    </w:p>
    <w:p w14:paraId="74AD4E24" w14:textId="77777777" w:rsidR="00390291" w:rsidRDefault="00390291" w:rsidP="00390291">
      <w:pPr>
        <w:pStyle w:val="Body"/>
      </w:pPr>
      <w:r w:rsidRPr="008009ED">
        <w:t>Australian and New Zealand Society of Blood Transfusion</w:t>
      </w:r>
      <w:r>
        <w:t xml:space="preserve"> (2021) </w:t>
      </w:r>
      <w:r w:rsidRPr="00A57E69">
        <w:rPr>
          <w:i/>
          <w:iCs/>
        </w:rPr>
        <w:t xml:space="preserve">Guidelines for </w:t>
      </w:r>
      <w:r w:rsidRPr="00390291">
        <w:rPr>
          <w:i/>
          <w:iCs/>
        </w:rPr>
        <w:t>the implementation and use of electronic medical records for transf</w:t>
      </w:r>
      <w:r w:rsidRPr="00A57E69">
        <w:rPr>
          <w:i/>
          <w:iCs/>
        </w:rPr>
        <w:t>usion</w:t>
      </w:r>
      <w:r>
        <w:t>, ANZSBT.</w:t>
      </w:r>
    </w:p>
    <w:p w14:paraId="20AF862D" w14:textId="77777777" w:rsidR="00390291" w:rsidRDefault="00390291" w:rsidP="00390291">
      <w:pPr>
        <w:pStyle w:val="Body"/>
      </w:pPr>
      <w:r w:rsidRPr="008009ED">
        <w:t>Australian and New Zealand Society of Blood Transfusion</w:t>
      </w:r>
      <w:r w:rsidDel="00390291">
        <w:t xml:space="preserve"> </w:t>
      </w:r>
      <w:r>
        <w:t xml:space="preserve">(2022) </w:t>
      </w:r>
      <w:r w:rsidRPr="00484A3E">
        <w:rPr>
          <w:i/>
          <w:iCs/>
        </w:rPr>
        <w:t>Top five recommendations on low value practices</w:t>
      </w:r>
      <w:r>
        <w:t>, ANZSBT.</w:t>
      </w:r>
    </w:p>
    <w:p w14:paraId="630A4394" w14:textId="77777777" w:rsidR="00390291" w:rsidRPr="00390291" w:rsidRDefault="00390291" w:rsidP="00390291">
      <w:pPr>
        <w:pStyle w:val="Body"/>
      </w:pPr>
      <w:r w:rsidRPr="00390291">
        <w:t xml:space="preserve">Australian Red Cross Blood Service (2011) </w:t>
      </w:r>
      <w:r w:rsidRPr="008F400B">
        <w:rPr>
          <w:i/>
          <w:iCs/>
        </w:rPr>
        <w:t>Frequently asked questions about the use of Rhophylac</w:t>
      </w:r>
      <w:r w:rsidRPr="00390291">
        <w:t xml:space="preserve"> </w:t>
      </w:r>
      <w:r w:rsidRPr="008F400B">
        <w:rPr>
          <w:rStyle w:val="Hyperlink"/>
          <w:color w:val="auto"/>
          <w:u w:val="none"/>
        </w:rPr>
        <w:t>&lt;</w:t>
      </w:r>
      <w:r w:rsidRPr="008F400B">
        <w:t>https://transfusion.com.au/system/files/resource_library/frequently_asked_questions_about_the_use_of_rhophylac_9558.pdf</w:t>
      </w:r>
      <w:r w:rsidRPr="00390291">
        <w:t>&gt;</w:t>
      </w:r>
      <w:r>
        <w:t>, a</w:t>
      </w:r>
      <w:r w:rsidRPr="00390291">
        <w:t>ccessed 8 May 2024.</w:t>
      </w:r>
    </w:p>
    <w:p w14:paraId="0F4803C6" w14:textId="6E91D061" w:rsidR="00E54E27" w:rsidRDefault="00390291" w:rsidP="00292375">
      <w:pPr>
        <w:pStyle w:val="Body"/>
      </w:pPr>
      <w:r>
        <w:t xml:space="preserve">National Blood Authority (2020) </w:t>
      </w:r>
      <w:r w:rsidR="00E54E27" w:rsidRPr="00CE55B3">
        <w:rPr>
          <w:i/>
          <w:iCs/>
        </w:rPr>
        <w:t xml:space="preserve">Australian </w:t>
      </w:r>
      <w:proofErr w:type="spellStart"/>
      <w:r w:rsidRPr="00CE55B3">
        <w:rPr>
          <w:i/>
          <w:iCs/>
        </w:rPr>
        <w:t>haemovigilance</w:t>
      </w:r>
      <w:proofErr w:type="spellEnd"/>
      <w:r w:rsidRPr="00CE55B3">
        <w:rPr>
          <w:i/>
          <w:iCs/>
        </w:rPr>
        <w:t xml:space="preserve"> report: d</w:t>
      </w:r>
      <w:r w:rsidR="00E54E27" w:rsidRPr="00CE55B3">
        <w:rPr>
          <w:i/>
          <w:iCs/>
        </w:rPr>
        <w:t>ata for 2019</w:t>
      </w:r>
      <w:r w:rsidRPr="00CE55B3">
        <w:rPr>
          <w:i/>
          <w:iCs/>
        </w:rPr>
        <w:t>–</w:t>
      </w:r>
      <w:r w:rsidR="00E54E27" w:rsidRPr="00CE55B3">
        <w:rPr>
          <w:i/>
          <w:iCs/>
        </w:rPr>
        <w:t>20</w:t>
      </w:r>
      <w:r>
        <w:t>,</w:t>
      </w:r>
      <w:r w:rsidR="00E54E27" w:rsidRPr="00E54E27">
        <w:t xml:space="preserve"> National Blood Authority</w:t>
      </w:r>
      <w:r>
        <w:t>, Canberra.</w:t>
      </w:r>
    </w:p>
    <w:p w14:paraId="3E255C61" w14:textId="28CB45E7" w:rsidR="00E54E27" w:rsidRDefault="00E54E27" w:rsidP="00E54E27">
      <w:pPr>
        <w:pStyle w:val="Body"/>
      </w:pPr>
      <w:r w:rsidRPr="00E54E27">
        <w:t xml:space="preserve">Narayan </w:t>
      </w:r>
      <w:r w:rsidR="00390291">
        <w:t xml:space="preserve">S </w:t>
      </w:r>
      <w:r w:rsidRPr="00E54E27">
        <w:t>(Ed</w:t>
      </w:r>
      <w:r w:rsidR="00390291">
        <w:t>.</w:t>
      </w:r>
      <w:r w:rsidRPr="00E54E27">
        <w:t>)</w:t>
      </w:r>
      <w:r w:rsidR="00390291">
        <w:t>,</w:t>
      </w:r>
      <w:r w:rsidRPr="00E54E27">
        <w:t xml:space="preserve"> Poles </w:t>
      </w:r>
      <w:r w:rsidR="00390291">
        <w:t xml:space="preserve">D </w:t>
      </w:r>
      <w:r w:rsidRPr="00E54E27">
        <w:t>et al. on behalf of the Serious Hazards of Transfusion (SHOT) Steering Group</w:t>
      </w:r>
      <w:r w:rsidR="00390291">
        <w:t xml:space="preserve"> (2023)</w:t>
      </w:r>
      <w:r w:rsidRPr="00E54E27">
        <w:t xml:space="preserve"> </w:t>
      </w:r>
      <w:r w:rsidRPr="00CE55B3">
        <w:rPr>
          <w:i/>
          <w:iCs/>
        </w:rPr>
        <w:t>The 2022 Annual SHOT Report</w:t>
      </w:r>
      <w:r w:rsidR="00390291">
        <w:t xml:space="preserve">. </w:t>
      </w:r>
      <w:r w:rsidRPr="00E54E27">
        <w:t>https://doi.org/10.57911/wz85-3885</w:t>
      </w:r>
    </w:p>
    <w:p w14:paraId="4E25FDCA" w14:textId="3A8A07DF" w:rsidR="00C83AF0" w:rsidRDefault="00E54E27" w:rsidP="00CE55B3">
      <w:pPr>
        <w:pStyle w:val="Body"/>
      </w:pPr>
      <w:r w:rsidRPr="008D7C80">
        <w:t xml:space="preserve">Shaikh H, Shaikh S, Lee D and </w:t>
      </w:r>
      <w:proofErr w:type="spellStart"/>
      <w:r w:rsidRPr="008D7C80">
        <w:t>Mewawalla</w:t>
      </w:r>
      <w:proofErr w:type="spellEnd"/>
      <w:r w:rsidRPr="008D7C80">
        <w:t xml:space="preserve"> P</w:t>
      </w:r>
      <w:r w:rsidR="00390291">
        <w:t xml:space="preserve"> (2018)</w:t>
      </w:r>
      <w:r w:rsidRPr="008D7C80">
        <w:t xml:space="preserve"> ‘Fresh frozen plasma: under-dosed and over-transfused’</w:t>
      </w:r>
      <w:r w:rsidR="00390291">
        <w:t>,</w:t>
      </w:r>
      <w:r w:rsidRPr="008D7C80">
        <w:t xml:space="preserve"> </w:t>
      </w:r>
      <w:r w:rsidRPr="00CE55B3">
        <w:rPr>
          <w:i/>
          <w:iCs/>
        </w:rPr>
        <w:t>Vox Sanguinis</w:t>
      </w:r>
      <w:r w:rsidR="00390291">
        <w:t>,</w:t>
      </w:r>
      <w:r w:rsidRPr="008D7C80">
        <w:t xml:space="preserve"> 113(7):296.</w:t>
      </w:r>
      <w:r w:rsidR="00C83AF0">
        <w:br w:type="page"/>
      </w:r>
    </w:p>
    <w:p w14:paraId="7990DAE3" w14:textId="45F8D97F" w:rsidR="009761A7" w:rsidRDefault="009761A7" w:rsidP="009761A7">
      <w:pPr>
        <w:pStyle w:val="Heading1"/>
      </w:pPr>
      <w:bookmarkStart w:id="117" w:name="_Toc174440021"/>
      <w:r>
        <w:lastRenderedPageBreak/>
        <w:t xml:space="preserve">Appendix 1: STIR Expert </w:t>
      </w:r>
      <w:r w:rsidR="00390291">
        <w:t xml:space="preserve">Group </w:t>
      </w:r>
      <w:r>
        <w:t>members</w:t>
      </w:r>
      <w:bookmarkEnd w:id="117"/>
    </w:p>
    <w:tbl>
      <w:tblPr>
        <w:tblStyle w:val="TableGrid"/>
        <w:tblW w:w="0" w:type="auto"/>
        <w:tblLook w:val="04A0" w:firstRow="1" w:lastRow="0" w:firstColumn="1" w:lastColumn="0" w:noHBand="0" w:noVBand="1"/>
      </w:tblPr>
      <w:tblGrid>
        <w:gridCol w:w="3823"/>
        <w:gridCol w:w="5465"/>
      </w:tblGrid>
      <w:tr w:rsidR="009761A7" w14:paraId="0E5FC27C" w14:textId="77777777" w:rsidTr="00CE55B3">
        <w:trPr>
          <w:tblHeader/>
        </w:trPr>
        <w:tc>
          <w:tcPr>
            <w:tcW w:w="3823" w:type="dxa"/>
          </w:tcPr>
          <w:p w14:paraId="02D93C10" w14:textId="77777777" w:rsidR="009761A7" w:rsidRPr="00390291" w:rsidRDefault="009761A7" w:rsidP="00CE55B3">
            <w:pPr>
              <w:pStyle w:val="Tablecolhead"/>
            </w:pPr>
            <w:r w:rsidRPr="00390291">
              <w:t>Name</w:t>
            </w:r>
          </w:p>
        </w:tc>
        <w:tc>
          <w:tcPr>
            <w:tcW w:w="5465" w:type="dxa"/>
          </w:tcPr>
          <w:p w14:paraId="62E1E01E" w14:textId="77777777" w:rsidR="009761A7" w:rsidRPr="00390291" w:rsidRDefault="009761A7" w:rsidP="00CE55B3">
            <w:pPr>
              <w:pStyle w:val="Tablecolhead"/>
            </w:pPr>
            <w:r w:rsidRPr="00390291">
              <w:t>Title and affiliation</w:t>
            </w:r>
          </w:p>
        </w:tc>
      </w:tr>
      <w:tr w:rsidR="009761A7" w14:paraId="71583615" w14:textId="77777777" w:rsidTr="00590443">
        <w:tc>
          <w:tcPr>
            <w:tcW w:w="3823" w:type="dxa"/>
          </w:tcPr>
          <w:p w14:paraId="0AB4C287" w14:textId="77777777" w:rsidR="009761A7" w:rsidRDefault="009761A7" w:rsidP="00590443">
            <w:pPr>
              <w:pStyle w:val="Body"/>
            </w:pPr>
            <w:r>
              <w:t>Dr Mandy Davis (Chair)</w:t>
            </w:r>
          </w:p>
        </w:tc>
        <w:tc>
          <w:tcPr>
            <w:tcW w:w="5465" w:type="dxa"/>
          </w:tcPr>
          <w:p w14:paraId="5397605A" w14:textId="77777777" w:rsidR="009761A7" w:rsidRDefault="009761A7" w:rsidP="00590443">
            <w:pPr>
              <w:pStyle w:val="Body"/>
            </w:pPr>
            <w:r>
              <w:t>Consultant Haematologist, Alfred Health, Victoria</w:t>
            </w:r>
          </w:p>
        </w:tc>
      </w:tr>
      <w:tr w:rsidR="009761A7" w14:paraId="42A2730F" w14:textId="77777777" w:rsidTr="00590443">
        <w:tc>
          <w:tcPr>
            <w:tcW w:w="3823" w:type="dxa"/>
          </w:tcPr>
          <w:p w14:paraId="601FB837" w14:textId="77777777" w:rsidR="009761A7" w:rsidRDefault="009761A7" w:rsidP="00590443">
            <w:pPr>
              <w:pStyle w:val="Body"/>
            </w:pPr>
            <w:r>
              <w:t>Dr Giles Kelsey</w:t>
            </w:r>
          </w:p>
        </w:tc>
        <w:tc>
          <w:tcPr>
            <w:tcW w:w="5465" w:type="dxa"/>
          </w:tcPr>
          <w:p w14:paraId="3BEB0819" w14:textId="77777777" w:rsidR="009761A7" w:rsidRDefault="009761A7" w:rsidP="00590443">
            <w:pPr>
              <w:pStyle w:val="Body"/>
            </w:pPr>
            <w:r>
              <w:t>Consultant Haematologist, Melbourne Health, Victoria</w:t>
            </w:r>
          </w:p>
        </w:tc>
      </w:tr>
      <w:tr w:rsidR="009761A7" w14:paraId="08702AB4" w14:textId="77777777" w:rsidTr="00590443">
        <w:tc>
          <w:tcPr>
            <w:tcW w:w="3823" w:type="dxa"/>
          </w:tcPr>
          <w:p w14:paraId="6D24E754" w14:textId="77777777" w:rsidR="009761A7" w:rsidRDefault="009761A7" w:rsidP="00590443">
            <w:pPr>
              <w:pStyle w:val="Body"/>
            </w:pPr>
            <w:r>
              <w:t>Ms Christine Akers</w:t>
            </w:r>
          </w:p>
        </w:tc>
        <w:tc>
          <w:tcPr>
            <w:tcW w:w="5465" w:type="dxa"/>
          </w:tcPr>
          <w:p w14:paraId="3BCB7C66" w14:textId="3EA456BF" w:rsidR="009761A7" w:rsidRDefault="009761A7" w:rsidP="00590443">
            <w:pPr>
              <w:pStyle w:val="Body"/>
            </w:pPr>
            <w:r>
              <w:t xml:space="preserve">Transfusion Nurse, Blood Matters </w:t>
            </w:r>
            <w:r w:rsidR="00E124A2">
              <w:t>P</w:t>
            </w:r>
            <w:r>
              <w:t>rogram, Victoria</w:t>
            </w:r>
          </w:p>
        </w:tc>
      </w:tr>
      <w:tr w:rsidR="009761A7" w14:paraId="4F0E82B8" w14:textId="77777777" w:rsidTr="00590443">
        <w:tc>
          <w:tcPr>
            <w:tcW w:w="3823" w:type="dxa"/>
          </w:tcPr>
          <w:p w14:paraId="5222E01B" w14:textId="77777777" w:rsidR="009761A7" w:rsidRDefault="009761A7" w:rsidP="00590443">
            <w:pPr>
              <w:pStyle w:val="Body"/>
            </w:pPr>
            <w:r>
              <w:t>Ms Linley Bielby</w:t>
            </w:r>
          </w:p>
        </w:tc>
        <w:tc>
          <w:tcPr>
            <w:tcW w:w="5465" w:type="dxa"/>
          </w:tcPr>
          <w:p w14:paraId="1EFC45CD" w14:textId="56A4C06F" w:rsidR="009761A7" w:rsidRDefault="009761A7" w:rsidP="00590443">
            <w:pPr>
              <w:pStyle w:val="Body"/>
            </w:pPr>
            <w:r>
              <w:t xml:space="preserve">Manager, </w:t>
            </w:r>
            <w:r w:rsidRPr="00091A61">
              <w:t xml:space="preserve">Blood Matters </w:t>
            </w:r>
            <w:r w:rsidR="00E124A2">
              <w:t>P</w:t>
            </w:r>
            <w:r w:rsidRPr="00091A61">
              <w:t>rogram, Victoria</w:t>
            </w:r>
          </w:p>
        </w:tc>
      </w:tr>
      <w:tr w:rsidR="009761A7" w14:paraId="1150A41D" w14:textId="77777777" w:rsidTr="00590443">
        <w:tc>
          <w:tcPr>
            <w:tcW w:w="3823" w:type="dxa"/>
          </w:tcPr>
          <w:p w14:paraId="7AB99DFD" w14:textId="77777777" w:rsidR="009761A7" w:rsidRDefault="009761A7" w:rsidP="00590443">
            <w:pPr>
              <w:pStyle w:val="Body"/>
            </w:pPr>
            <w:r>
              <w:t>Dr Philip Crispin</w:t>
            </w:r>
          </w:p>
        </w:tc>
        <w:tc>
          <w:tcPr>
            <w:tcW w:w="5465" w:type="dxa"/>
          </w:tcPr>
          <w:p w14:paraId="3DEEE840" w14:textId="77777777" w:rsidR="009761A7" w:rsidRDefault="009761A7" w:rsidP="00590443">
            <w:pPr>
              <w:pStyle w:val="Body"/>
            </w:pPr>
            <w:r>
              <w:t>C</w:t>
            </w:r>
            <w:r w:rsidRPr="00091A61">
              <w:t>onsultant Haematologist, The Canberra Hospital, Australian Capital Territory</w:t>
            </w:r>
          </w:p>
        </w:tc>
      </w:tr>
      <w:tr w:rsidR="009761A7" w14:paraId="43D81846" w14:textId="77777777" w:rsidTr="00590443">
        <w:tc>
          <w:tcPr>
            <w:tcW w:w="3823" w:type="dxa"/>
          </w:tcPr>
          <w:p w14:paraId="5DB49D3D" w14:textId="77777777" w:rsidR="009761A7" w:rsidRDefault="009761A7" w:rsidP="00590443">
            <w:pPr>
              <w:pStyle w:val="Body"/>
            </w:pPr>
            <w:r>
              <w:t>A Prof Erica Wood</w:t>
            </w:r>
          </w:p>
        </w:tc>
        <w:tc>
          <w:tcPr>
            <w:tcW w:w="5465" w:type="dxa"/>
          </w:tcPr>
          <w:p w14:paraId="7501098B" w14:textId="77777777" w:rsidR="009761A7" w:rsidRDefault="009761A7" w:rsidP="00590443">
            <w:pPr>
              <w:pStyle w:val="Body"/>
            </w:pPr>
            <w:r w:rsidRPr="00091A61">
              <w:t>School of Public Health and Preventative Medicine, Monash University, Victoria</w:t>
            </w:r>
          </w:p>
        </w:tc>
      </w:tr>
      <w:tr w:rsidR="009761A7" w14:paraId="5158A03E" w14:textId="77777777" w:rsidTr="00590443">
        <w:tc>
          <w:tcPr>
            <w:tcW w:w="3823" w:type="dxa"/>
          </w:tcPr>
          <w:p w14:paraId="54281C28" w14:textId="77777777" w:rsidR="009761A7" w:rsidRDefault="009761A7" w:rsidP="00590443">
            <w:pPr>
              <w:pStyle w:val="Body"/>
            </w:pPr>
            <w:r>
              <w:t>Ms Bridget Glazebrook</w:t>
            </w:r>
          </w:p>
        </w:tc>
        <w:tc>
          <w:tcPr>
            <w:tcW w:w="5465" w:type="dxa"/>
          </w:tcPr>
          <w:p w14:paraId="21CD057F" w14:textId="77777777" w:rsidR="009761A7" w:rsidRDefault="009761A7" w:rsidP="00590443">
            <w:pPr>
              <w:pStyle w:val="Body"/>
            </w:pPr>
            <w:r>
              <w:t>Da</w:t>
            </w:r>
            <w:r w:rsidRPr="00091A61">
              <w:t>ta Manager, Blood Matters Program, Department of Health, Victoria</w:t>
            </w:r>
          </w:p>
        </w:tc>
      </w:tr>
      <w:tr w:rsidR="009761A7" w14:paraId="3C43B7CB" w14:textId="77777777" w:rsidTr="00590443">
        <w:tc>
          <w:tcPr>
            <w:tcW w:w="3823" w:type="dxa"/>
          </w:tcPr>
          <w:p w14:paraId="500852D3" w14:textId="77777777" w:rsidR="009761A7" w:rsidRDefault="009761A7" w:rsidP="00590443">
            <w:pPr>
              <w:pStyle w:val="Body"/>
            </w:pPr>
            <w:r>
              <w:t>Dr Chris Hogan</w:t>
            </w:r>
          </w:p>
        </w:tc>
        <w:tc>
          <w:tcPr>
            <w:tcW w:w="5465" w:type="dxa"/>
          </w:tcPr>
          <w:p w14:paraId="6A5E3C7F" w14:textId="77777777" w:rsidR="009761A7" w:rsidRDefault="009761A7" w:rsidP="00590443">
            <w:pPr>
              <w:pStyle w:val="Body"/>
            </w:pPr>
            <w:r w:rsidRPr="00091A61">
              <w:t>Director Pathology Services, Austin Health</w:t>
            </w:r>
          </w:p>
        </w:tc>
      </w:tr>
      <w:tr w:rsidR="009761A7" w14:paraId="3085FC0C" w14:textId="77777777" w:rsidTr="00590443">
        <w:tc>
          <w:tcPr>
            <w:tcW w:w="3823" w:type="dxa"/>
          </w:tcPr>
          <w:p w14:paraId="0CEEB08E" w14:textId="77777777" w:rsidR="009761A7" w:rsidRDefault="009761A7" w:rsidP="00590443">
            <w:pPr>
              <w:pStyle w:val="Body"/>
            </w:pPr>
            <w:r>
              <w:t>Dr Ellen Maxwell</w:t>
            </w:r>
          </w:p>
        </w:tc>
        <w:tc>
          <w:tcPr>
            <w:tcW w:w="5465" w:type="dxa"/>
          </w:tcPr>
          <w:p w14:paraId="3BF7E7D7" w14:textId="77777777" w:rsidR="009761A7" w:rsidRDefault="009761A7" w:rsidP="00590443">
            <w:pPr>
              <w:pStyle w:val="Body"/>
            </w:pPr>
            <w:r w:rsidRPr="00091A61">
              <w:t>Director of Haematology, Melbourne Pathology</w:t>
            </w:r>
          </w:p>
        </w:tc>
      </w:tr>
      <w:tr w:rsidR="009761A7" w14:paraId="224A79E5" w14:textId="77777777" w:rsidTr="00590443">
        <w:tc>
          <w:tcPr>
            <w:tcW w:w="3823" w:type="dxa"/>
          </w:tcPr>
          <w:p w14:paraId="1F232324" w14:textId="77777777" w:rsidR="009761A7" w:rsidRDefault="009761A7" w:rsidP="00590443">
            <w:pPr>
              <w:pStyle w:val="Body"/>
            </w:pPr>
            <w:r>
              <w:t>Dr Tina Noutsos</w:t>
            </w:r>
          </w:p>
        </w:tc>
        <w:tc>
          <w:tcPr>
            <w:tcW w:w="5465" w:type="dxa"/>
          </w:tcPr>
          <w:p w14:paraId="2207DA32" w14:textId="77777777" w:rsidR="009761A7" w:rsidRDefault="009761A7" w:rsidP="00590443">
            <w:pPr>
              <w:pStyle w:val="Body"/>
            </w:pPr>
            <w:r w:rsidRPr="00091A61">
              <w:t>Haematologist, Royal Darwin Hospital, Northern Territory</w:t>
            </w:r>
          </w:p>
        </w:tc>
      </w:tr>
      <w:tr w:rsidR="009761A7" w14:paraId="432E5A06" w14:textId="77777777" w:rsidTr="00590443">
        <w:tc>
          <w:tcPr>
            <w:tcW w:w="3823" w:type="dxa"/>
          </w:tcPr>
          <w:p w14:paraId="1E3315D8" w14:textId="77777777" w:rsidR="009761A7" w:rsidRDefault="009761A7" w:rsidP="00590443">
            <w:pPr>
              <w:pStyle w:val="Body"/>
            </w:pPr>
            <w:r>
              <w:t>A Prof Merrole Cole-Sinclair</w:t>
            </w:r>
          </w:p>
        </w:tc>
        <w:tc>
          <w:tcPr>
            <w:tcW w:w="5465" w:type="dxa"/>
          </w:tcPr>
          <w:p w14:paraId="28D9B62B" w14:textId="77777777" w:rsidR="009761A7" w:rsidRDefault="009761A7" w:rsidP="00590443">
            <w:pPr>
              <w:pStyle w:val="Body"/>
            </w:pPr>
            <w:r w:rsidRPr="00091A61">
              <w:t>Director of Haematology, St Vincent’s Hospital, Victoria</w:t>
            </w:r>
          </w:p>
        </w:tc>
      </w:tr>
      <w:tr w:rsidR="009761A7" w14:paraId="3552F123" w14:textId="77777777" w:rsidTr="00590443">
        <w:tc>
          <w:tcPr>
            <w:tcW w:w="3823" w:type="dxa"/>
          </w:tcPr>
          <w:p w14:paraId="6440802E" w14:textId="77777777" w:rsidR="009761A7" w:rsidRDefault="009761A7" w:rsidP="00590443">
            <w:pPr>
              <w:pStyle w:val="Body"/>
            </w:pPr>
            <w:r>
              <w:t>Dr Linda Saravanan</w:t>
            </w:r>
          </w:p>
        </w:tc>
        <w:tc>
          <w:tcPr>
            <w:tcW w:w="5465" w:type="dxa"/>
          </w:tcPr>
          <w:p w14:paraId="1982430C" w14:textId="77777777" w:rsidR="009761A7" w:rsidRDefault="009761A7" w:rsidP="00590443">
            <w:pPr>
              <w:pStyle w:val="Body"/>
            </w:pPr>
            <w:r w:rsidRPr="00091A61">
              <w:t>Haematologist, Melbourne Pathology</w:t>
            </w:r>
          </w:p>
        </w:tc>
      </w:tr>
      <w:tr w:rsidR="009761A7" w14:paraId="38A694F4" w14:textId="77777777" w:rsidTr="00590443">
        <w:tc>
          <w:tcPr>
            <w:tcW w:w="3823" w:type="dxa"/>
          </w:tcPr>
          <w:p w14:paraId="49F99405" w14:textId="77777777" w:rsidR="009761A7" w:rsidRDefault="009761A7" w:rsidP="00590443">
            <w:pPr>
              <w:pStyle w:val="Body"/>
            </w:pPr>
            <w:r>
              <w:t>Ms Mary Comande</w:t>
            </w:r>
          </w:p>
        </w:tc>
        <w:tc>
          <w:tcPr>
            <w:tcW w:w="5465" w:type="dxa"/>
          </w:tcPr>
          <w:p w14:paraId="06B06886" w14:textId="77777777" w:rsidR="009761A7" w:rsidRDefault="009761A7" w:rsidP="00590443">
            <w:pPr>
              <w:pStyle w:val="Body"/>
            </w:pPr>
            <w:r w:rsidRPr="00091A61">
              <w:t>Blood Bank Scientist, Royal Children’s Hospita</w:t>
            </w:r>
            <w:r>
              <w:t>l</w:t>
            </w:r>
          </w:p>
        </w:tc>
      </w:tr>
      <w:tr w:rsidR="009761A7" w14:paraId="1619595C" w14:textId="77777777" w:rsidTr="00590443">
        <w:tc>
          <w:tcPr>
            <w:tcW w:w="3823" w:type="dxa"/>
          </w:tcPr>
          <w:p w14:paraId="69AD17ED" w14:textId="77777777" w:rsidR="009761A7" w:rsidRDefault="009761A7" w:rsidP="00590443">
            <w:pPr>
              <w:pStyle w:val="Body"/>
            </w:pPr>
            <w:r>
              <w:t>Dr James Daly</w:t>
            </w:r>
          </w:p>
        </w:tc>
        <w:tc>
          <w:tcPr>
            <w:tcW w:w="5465" w:type="dxa"/>
          </w:tcPr>
          <w:p w14:paraId="307BBD49" w14:textId="77777777" w:rsidR="009761A7" w:rsidRPr="00091A61" w:rsidRDefault="009761A7" w:rsidP="00590443">
            <w:pPr>
              <w:pStyle w:val="Body"/>
            </w:pPr>
            <w:r w:rsidRPr="00091A61">
              <w:t>Medical Director of Pathology Services, Australian Red Cross Lifeblood</w:t>
            </w:r>
          </w:p>
        </w:tc>
      </w:tr>
      <w:tr w:rsidR="009761A7" w14:paraId="132FA60A" w14:textId="77777777" w:rsidTr="00590443">
        <w:tc>
          <w:tcPr>
            <w:tcW w:w="3823" w:type="dxa"/>
          </w:tcPr>
          <w:p w14:paraId="6585EEF8" w14:textId="77777777" w:rsidR="009761A7" w:rsidRDefault="009761A7" w:rsidP="00590443">
            <w:pPr>
              <w:pStyle w:val="Body"/>
            </w:pPr>
            <w:r>
              <w:t>Ms Kaylene Bastin</w:t>
            </w:r>
          </w:p>
        </w:tc>
        <w:tc>
          <w:tcPr>
            <w:tcW w:w="5465" w:type="dxa"/>
          </w:tcPr>
          <w:p w14:paraId="5E2D840C" w14:textId="77777777" w:rsidR="009761A7" w:rsidRPr="00091A61" w:rsidRDefault="009761A7" w:rsidP="00590443">
            <w:pPr>
              <w:pStyle w:val="Body"/>
            </w:pPr>
            <w:r w:rsidRPr="00091A61">
              <w:t>Education Co-ordinator, Blood Matters Program, Victoria</w:t>
            </w:r>
          </w:p>
        </w:tc>
      </w:tr>
      <w:tr w:rsidR="009761A7" w14:paraId="6BB596A2" w14:textId="77777777" w:rsidTr="00590443">
        <w:tc>
          <w:tcPr>
            <w:tcW w:w="3823" w:type="dxa"/>
          </w:tcPr>
          <w:p w14:paraId="260193C5" w14:textId="77777777" w:rsidR="009761A7" w:rsidRDefault="009761A7" w:rsidP="00590443">
            <w:pPr>
              <w:pStyle w:val="Body"/>
            </w:pPr>
            <w:r>
              <w:t>Dr Kobie von Wielligh</w:t>
            </w:r>
          </w:p>
        </w:tc>
        <w:tc>
          <w:tcPr>
            <w:tcW w:w="5465" w:type="dxa"/>
          </w:tcPr>
          <w:p w14:paraId="258EA0A5" w14:textId="77777777" w:rsidR="009761A7" w:rsidRPr="00091A61" w:rsidRDefault="009761A7" w:rsidP="00590443">
            <w:pPr>
              <w:pStyle w:val="Body"/>
            </w:pPr>
            <w:r w:rsidRPr="00091A61">
              <w:t>Haematologist, Australian Red Cross Lifeblood</w:t>
            </w:r>
          </w:p>
        </w:tc>
      </w:tr>
      <w:tr w:rsidR="009761A7" w14:paraId="7012FF80" w14:textId="77777777" w:rsidTr="00590443">
        <w:tc>
          <w:tcPr>
            <w:tcW w:w="3823" w:type="dxa"/>
          </w:tcPr>
          <w:p w14:paraId="3060A3A3" w14:textId="77777777" w:rsidR="009761A7" w:rsidRDefault="009761A7" w:rsidP="00590443">
            <w:pPr>
              <w:pStyle w:val="Body"/>
            </w:pPr>
            <w:r>
              <w:t>Ms Rae French</w:t>
            </w:r>
          </w:p>
        </w:tc>
        <w:tc>
          <w:tcPr>
            <w:tcW w:w="5465" w:type="dxa"/>
          </w:tcPr>
          <w:p w14:paraId="06727584" w14:textId="77777777" w:rsidR="009761A7" w:rsidRPr="00091A61" w:rsidRDefault="009761A7" w:rsidP="00590443">
            <w:pPr>
              <w:pStyle w:val="Body"/>
            </w:pPr>
            <w:r w:rsidRPr="00091A61">
              <w:t>Scientist, Blood Matters Program, Victoria</w:t>
            </w:r>
          </w:p>
        </w:tc>
      </w:tr>
      <w:tr w:rsidR="009761A7" w14:paraId="19A7D1EF" w14:textId="77777777" w:rsidTr="00590443">
        <w:tc>
          <w:tcPr>
            <w:tcW w:w="3823" w:type="dxa"/>
          </w:tcPr>
          <w:p w14:paraId="23E0B455" w14:textId="77777777" w:rsidR="009761A7" w:rsidRDefault="009761A7" w:rsidP="00590443">
            <w:pPr>
              <w:pStyle w:val="Body"/>
            </w:pPr>
            <w:r>
              <w:t>Ms Meryanda Jodoin</w:t>
            </w:r>
          </w:p>
        </w:tc>
        <w:tc>
          <w:tcPr>
            <w:tcW w:w="5465" w:type="dxa"/>
          </w:tcPr>
          <w:p w14:paraId="7E72EAD4" w14:textId="77777777" w:rsidR="009761A7" w:rsidRPr="00091A61" w:rsidRDefault="009761A7" w:rsidP="00590443">
            <w:pPr>
              <w:pStyle w:val="Body"/>
            </w:pPr>
            <w:r w:rsidRPr="00091A61">
              <w:t>Transfusion Clinical Nurse Consultant, Quality &amp; Risk, Bendigo Healt</w:t>
            </w:r>
            <w:r>
              <w:t>h</w:t>
            </w:r>
          </w:p>
        </w:tc>
      </w:tr>
      <w:tr w:rsidR="009761A7" w14:paraId="716D8078" w14:textId="77777777" w:rsidTr="00590443">
        <w:tc>
          <w:tcPr>
            <w:tcW w:w="3823" w:type="dxa"/>
          </w:tcPr>
          <w:p w14:paraId="562D8EAC" w14:textId="77777777" w:rsidR="009761A7" w:rsidRDefault="009761A7" w:rsidP="00590443">
            <w:pPr>
              <w:pStyle w:val="Body"/>
            </w:pPr>
            <w:r>
              <w:t>Dr Anna Hutchinson</w:t>
            </w:r>
          </w:p>
        </w:tc>
        <w:tc>
          <w:tcPr>
            <w:tcW w:w="5465" w:type="dxa"/>
          </w:tcPr>
          <w:p w14:paraId="2CC735F3" w14:textId="77777777" w:rsidR="009761A7" w:rsidRPr="00091A61" w:rsidRDefault="009761A7" w:rsidP="00590443">
            <w:pPr>
              <w:pStyle w:val="Body"/>
            </w:pPr>
            <w:r w:rsidRPr="003B2C55">
              <w:t>Haematologist, Royal Hobart Hospital, Tasmania</w:t>
            </w:r>
          </w:p>
        </w:tc>
      </w:tr>
      <w:tr w:rsidR="009761A7" w14:paraId="708ED89D" w14:textId="77777777" w:rsidTr="00590443">
        <w:tc>
          <w:tcPr>
            <w:tcW w:w="3823" w:type="dxa"/>
          </w:tcPr>
          <w:p w14:paraId="10E66997" w14:textId="6F497A53" w:rsidR="009761A7" w:rsidRDefault="00E76063" w:rsidP="00590443">
            <w:pPr>
              <w:pStyle w:val="Body"/>
            </w:pPr>
            <w:r>
              <w:t>Dr Zhi Tan</w:t>
            </w:r>
          </w:p>
        </w:tc>
        <w:tc>
          <w:tcPr>
            <w:tcW w:w="5465" w:type="dxa"/>
          </w:tcPr>
          <w:p w14:paraId="726D9234" w14:textId="32C7147B" w:rsidR="009761A7" w:rsidRPr="00091A61" w:rsidRDefault="00E76063" w:rsidP="00590443">
            <w:pPr>
              <w:pStyle w:val="Body"/>
            </w:pPr>
            <w:r w:rsidRPr="00E76063">
              <w:t xml:space="preserve">Transfusion Medicine Fellow, </w:t>
            </w:r>
            <w:r w:rsidRPr="00E76063">
              <w:rPr>
                <w:bCs/>
              </w:rPr>
              <w:t>Australian Red Cross Lifeblood</w:t>
            </w:r>
          </w:p>
        </w:tc>
      </w:tr>
    </w:tbl>
    <w:p w14:paraId="01AD651E" w14:textId="77777777" w:rsidR="00390291" w:rsidRDefault="00390291">
      <w:pPr>
        <w:spacing w:after="0" w:line="240" w:lineRule="auto"/>
        <w:rPr>
          <w:rFonts w:eastAsia="MS Gothic" w:cs="Arial"/>
          <w:bCs/>
          <w:color w:val="AF272F"/>
          <w:kern w:val="32"/>
          <w:sz w:val="44"/>
          <w:szCs w:val="44"/>
        </w:rPr>
      </w:pPr>
      <w:bookmarkStart w:id="118" w:name="_Toc136329788"/>
      <w:r>
        <w:br w:type="page"/>
      </w:r>
    </w:p>
    <w:p w14:paraId="5C8DED1A" w14:textId="7FA540A1" w:rsidR="009761A7" w:rsidRDefault="009761A7" w:rsidP="009761A7">
      <w:pPr>
        <w:pStyle w:val="Heading1"/>
      </w:pPr>
      <w:bookmarkStart w:id="119" w:name="_Toc174440022"/>
      <w:r>
        <w:lastRenderedPageBreak/>
        <w:t xml:space="preserve">Appendix 2: </w:t>
      </w:r>
      <w:r w:rsidRPr="003B2C55">
        <w:t>STIR publications and promotion</w:t>
      </w:r>
      <w:r>
        <w:t>s</w:t>
      </w:r>
      <w:bookmarkEnd w:id="118"/>
      <w:bookmarkEnd w:id="119"/>
    </w:p>
    <w:p w14:paraId="4210B26A" w14:textId="3D685A74" w:rsidR="009761A7" w:rsidRDefault="009761A7" w:rsidP="00CE55B3">
      <w:pPr>
        <w:pStyle w:val="Heading2"/>
      </w:pPr>
      <w:bookmarkStart w:id="120" w:name="_Toc174440023"/>
      <w:r>
        <w:t>Bull</w:t>
      </w:r>
      <w:r w:rsidRPr="00390291">
        <w:t>e</w:t>
      </w:r>
      <w:r>
        <w:t>tins</w:t>
      </w:r>
      <w:bookmarkEnd w:id="120"/>
    </w:p>
    <w:p w14:paraId="0B3E7E78" w14:textId="6B9D31E5" w:rsidR="002A52A4" w:rsidRPr="00390291" w:rsidRDefault="002A52A4" w:rsidP="00CE55B3">
      <w:pPr>
        <w:pStyle w:val="Bullet1"/>
      </w:pPr>
      <w:r w:rsidRPr="00390291">
        <w:t>Bulletin 9: Blood administration – steps to reduce errors (March 2023)</w:t>
      </w:r>
    </w:p>
    <w:p w14:paraId="115FAC29" w14:textId="6EBB7B71" w:rsidR="00C87E55" w:rsidRPr="00390291" w:rsidRDefault="002A52A4" w:rsidP="00CE55B3">
      <w:pPr>
        <w:pStyle w:val="Bullet1"/>
      </w:pPr>
      <w:r w:rsidRPr="00390291">
        <w:t xml:space="preserve">Bulletin 10: </w:t>
      </w:r>
      <w:r w:rsidR="00C87E55" w:rsidRPr="00390291">
        <w:t>Wrong blood in tube (WBIT) – what can we do to reduce errors?</w:t>
      </w:r>
      <w:r w:rsidRPr="00390291">
        <w:t xml:space="preserve"> (July 2023)</w:t>
      </w:r>
    </w:p>
    <w:p w14:paraId="021CDED0" w14:textId="66E047D9" w:rsidR="009761A7" w:rsidRDefault="009761A7" w:rsidP="00CE55B3">
      <w:pPr>
        <w:pStyle w:val="Heading2"/>
      </w:pPr>
      <w:bookmarkStart w:id="121" w:name="_Toc174440024"/>
      <w:r w:rsidRPr="00390291">
        <w:t>Conferences</w:t>
      </w:r>
      <w:bookmarkEnd w:id="121"/>
    </w:p>
    <w:p w14:paraId="47109A96" w14:textId="77777777" w:rsidR="00C87E55" w:rsidRPr="00C87E55" w:rsidRDefault="009761A7" w:rsidP="00CE55B3">
      <w:pPr>
        <w:pStyle w:val="Bullet1"/>
      </w:pPr>
      <w:r>
        <w:t>Blood 202</w:t>
      </w:r>
      <w:r w:rsidR="00C87E55">
        <w:t>3</w:t>
      </w:r>
      <w:r>
        <w:t xml:space="preserve"> </w:t>
      </w:r>
      <w:r w:rsidR="00C87E55">
        <w:t>–</w:t>
      </w:r>
      <w:r>
        <w:t xml:space="preserve"> </w:t>
      </w:r>
      <w:r w:rsidR="00C87E55">
        <w:t xml:space="preserve">Poster: </w:t>
      </w:r>
      <w:r w:rsidR="00C87E55" w:rsidRPr="00C87E55">
        <w:t xml:space="preserve">A review of delayed haemolytic and delayed serologic reactions reported to Serious Transfusion Incident Reporting program </w:t>
      </w:r>
    </w:p>
    <w:p w14:paraId="61CD2D0A" w14:textId="45313AC1" w:rsidR="009761A7" w:rsidRDefault="00C87E55" w:rsidP="00CE55B3">
      <w:pPr>
        <w:pStyle w:val="Bullet1"/>
      </w:pPr>
      <w:r>
        <w:t>Oral presentation</w:t>
      </w:r>
      <w:r w:rsidR="00390291">
        <w:t xml:space="preserve"> –</w:t>
      </w:r>
      <w:r>
        <w:t xml:space="preserve"> L</w:t>
      </w:r>
      <w:r w:rsidRPr="00C87E55">
        <w:t>essons learnt from the Blood Matters Serious Transfusion Incident Reporting syste</w:t>
      </w:r>
      <w:r w:rsidR="00DF31BC">
        <w:t>m</w:t>
      </w:r>
    </w:p>
    <w:p w14:paraId="66B08010" w14:textId="0CA7DFAC" w:rsidR="00C83AF0" w:rsidRDefault="00DF31BC" w:rsidP="00CE55B3">
      <w:pPr>
        <w:pStyle w:val="Bullet1"/>
      </w:pPr>
      <w:r>
        <w:t xml:space="preserve">ISBT Gothenburg 2023 </w:t>
      </w:r>
      <w:r w:rsidR="00390291">
        <w:t xml:space="preserve">– </w:t>
      </w:r>
      <w:r>
        <w:t xml:space="preserve">Oral presentation: </w:t>
      </w:r>
      <w:r w:rsidRPr="00DF31BC">
        <w:t>ABO incompatible transfusions still a significant risk: 15 years of data from the Serious Transfusion Incident Report (STIR) program, Australia.</w:t>
      </w:r>
    </w:p>
    <w:p w14:paraId="3C8E8D01" w14:textId="77777777" w:rsidR="00C83AF0" w:rsidRDefault="00C83AF0">
      <w:pPr>
        <w:spacing w:after="0" w:line="240" w:lineRule="auto"/>
        <w:rPr>
          <w:rFonts w:eastAsia="Times"/>
        </w:rPr>
      </w:pPr>
      <w:r>
        <w:br w:type="page"/>
      </w:r>
    </w:p>
    <w:p w14:paraId="464F113C" w14:textId="45FA1D38" w:rsidR="00E9291B" w:rsidRDefault="00E9291B" w:rsidP="00E9291B">
      <w:pPr>
        <w:pStyle w:val="Heading1"/>
      </w:pPr>
      <w:bookmarkStart w:id="122" w:name="_Toc174440025"/>
      <w:r>
        <w:lastRenderedPageBreak/>
        <w:t>Appendix 3: Imputability and severity scores</w:t>
      </w:r>
      <w:bookmarkEnd w:id="122"/>
    </w:p>
    <w:p w14:paraId="73B97564" w14:textId="77777777" w:rsidR="00E9291B" w:rsidRPr="00F34190" w:rsidRDefault="00E9291B" w:rsidP="00CE55B3">
      <w:pPr>
        <w:pStyle w:val="Heading2"/>
      </w:pPr>
      <w:bookmarkStart w:id="123" w:name="_Toc174440026"/>
      <w:r>
        <w:t>Imputability scores</w:t>
      </w:r>
      <w:bookmarkEnd w:id="123"/>
    </w:p>
    <w:tbl>
      <w:tblPr>
        <w:tblStyle w:val="TableGrid"/>
        <w:tblW w:w="0" w:type="auto"/>
        <w:tblLook w:val="04A0" w:firstRow="1" w:lastRow="0" w:firstColumn="1" w:lastColumn="0" w:noHBand="0" w:noVBand="1"/>
      </w:tblPr>
      <w:tblGrid>
        <w:gridCol w:w="3539"/>
        <w:gridCol w:w="5749"/>
      </w:tblGrid>
      <w:tr w:rsidR="00E9291B" w14:paraId="7530F150" w14:textId="77777777" w:rsidTr="00590443">
        <w:trPr>
          <w:tblHeader/>
        </w:trPr>
        <w:tc>
          <w:tcPr>
            <w:tcW w:w="3539" w:type="dxa"/>
          </w:tcPr>
          <w:p w14:paraId="472109D0" w14:textId="77777777" w:rsidR="00E9291B" w:rsidRPr="00390291" w:rsidRDefault="00E9291B" w:rsidP="00390291">
            <w:pPr>
              <w:pStyle w:val="Tablecolhead"/>
            </w:pPr>
            <w:r w:rsidRPr="00390291">
              <w:t>Imputability/causality</w:t>
            </w:r>
          </w:p>
        </w:tc>
        <w:tc>
          <w:tcPr>
            <w:tcW w:w="5749" w:type="dxa"/>
          </w:tcPr>
          <w:p w14:paraId="59824228" w14:textId="77777777" w:rsidR="00E9291B" w:rsidRPr="00390291" w:rsidRDefault="00E9291B" w:rsidP="00390291">
            <w:pPr>
              <w:pStyle w:val="Tablecolhead"/>
            </w:pPr>
            <w:r w:rsidRPr="00390291">
              <w:t>Definition</w:t>
            </w:r>
          </w:p>
        </w:tc>
      </w:tr>
      <w:tr w:rsidR="00E9291B" w14:paraId="6EE8D324" w14:textId="77777777" w:rsidTr="00590443">
        <w:tc>
          <w:tcPr>
            <w:tcW w:w="3539" w:type="dxa"/>
          </w:tcPr>
          <w:p w14:paraId="71A682C5" w14:textId="77777777" w:rsidR="00E9291B" w:rsidRDefault="00E9291B" w:rsidP="00590443">
            <w:pPr>
              <w:pStyle w:val="Tabletext"/>
            </w:pPr>
            <w:r>
              <w:t>Not assessable</w:t>
            </w:r>
          </w:p>
        </w:tc>
        <w:tc>
          <w:tcPr>
            <w:tcW w:w="5749" w:type="dxa"/>
          </w:tcPr>
          <w:p w14:paraId="1BF3B163" w14:textId="77777777" w:rsidR="00E9291B" w:rsidRDefault="00E9291B" w:rsidP="00590443">
            <w:pPr>
              <w:pStyle w:val="Tabletext"/>
            </w:pPr>
            <w:r>
              <w:t>When there is insufficient evidence for an imputability definition</w:t>
            </w:r>
          </w:p>
        </w:tc>
      </w:tr>
      <w:tr w:rsidR="00E9291B" w14:paraId="624CAAB3" w14:textId="77777777" w:rsidTr="00590443">
        <w:tc>
          <w:tcPr>
            <w:tcW w:w="3539" w:type="dxa"/>
          </w:tcPr>
          <w:p w14:paraId="74F90469" w14:textId="77777777" w:rsidR="00E9291B" w:rsidRDefault="00E9291B" w:rsidP="00590443">
            <w:pPr>
              <w:pStyle w:val="Tabletext"/>
            </w:pPr>
            <w:r>
              <w:t>Excluded</w:t>
            </w:r>
          </w:p>
        </w:tc>
        <w:tc>
          <w:tcPr>
            <w:tcW w:w="5749" w:type="dxa"/>
          </w:tcPr>
          <w:p w14:paraId="102B258F" w14:textId="77777777" w:rsidR="00E9291B" w:rsidRDefault="00E9291B" w:rsidP="00590443">
            <w:pPr>
              <w:pStyle w:val="Tabletext"/>
            </w:pPr>
            <w:r>
              <w:t>When there is conclusive evidence that the cause of the incident is attributable to other causes and not the transfusion</w:t>
            </w:r>
          </w:p>
        </w:tc>
      </w:tr>
      <w:tr w:rsidR="00E9291B" w14:paraId="0C7DC16E" w14:textId="77777777" w:rsidTr="00590443">
        <w:tc>
          <w:tcPr>
            <w:tcW w:w="3539" w:type="dxa"/>
          </w:tcPr>
          <w:p w14:paraId="323D875E" w14:textId="77777777" w:rsidR="00E9291B" w:rsidRDefault="00E9291B" w:rsidP="00590443">
            <w:pPr>
              <w:pStyle w:val="Tabletext"/>
            </w:pPr>
            <w:r>
              <w:t>Possibly</w:t>
            </w:r>
          </w:p>
        </w:tc>
        <w:tc>
          <w:tcPr>
            <w:tcW w:w="5749" w:type="dxa"/>
          </w:tcPr>
          <w:p w14:paraId="7D7F0207" w14:textId="77777777" w:rsidR="00E9291B" w:rsidRDefault="00E9291B" w:rsidP="00590443">
            <w:pPr>
              <w:pStyle w:val="Tabletext"/>
            </w:pPr>
            <w:r>
              <w:t>When the evidence is indeterminate for attributing the incident to either the transfusion or other causes</w:t>
            </w:r>
          </w:p>
        </w:tc>
      </w:tr>
      <w:tr w:rsidR="00E9291B" w14:paraId="312A16EF" w14:textId="77777777" w:rsidTr="00590443">
        <w:tc>
          <w:tcPr>
            <w:tcW w:w="3539" w:type="dxa"/>
          </w:tcPr>
          <w:p w14:paraId="4F72483D" w14:textId="77777777" w:rsidR="00E9291B" w:rsidRDefault="00E9291B" w:rsidP="00590443">
            <w:pPr>
              <w:pStyle w:val="Tabletext"/>
            </w:pPr>
            <w:r>
              <w:t>Probably</w:t>
            </w:r>
          </w:p>
        </w:tc>
        <w:tc>
          <w:tcPr>
            <w:tcW w:w="5749" w:type="dxa"/>
          </w:tcPr>
          <w:p w14:paraId="6E4A3D99" w14:textId="77777777" w:rsidR="00E9291B" w:rsidRDefault="00E9291B" w:rsidP="00590443">
            <w:pPr>
              <w:pStyle w:val="Tabletext"/>
            </w:pPr>
            <w:r>
              <w:t>When the evidence is clearly in favour of attributing the incident to the transfusion</w:t>
            </w:r>
          </w:p>
        </w:tc>
      </w:tr>
      <w:tr w:rsidR="00E9291B" w14:paraId="5656BFD2" w14:textId="77777777" w:rsidTr="00590443">
        <w:tc>
          <w:tcPr>
            <w:tcW w:w="3539" w:type="dxa"/>
          </w:tcPr>
          <w:p w14:paraId="36BEAE82" w14:textId="77777777" w:rsidR="00E9291B" w:rsidRDefault="00E9291B" w:rsidP="00590443">
            <w:pPr>
              <w:pStyle w:val="Tabletext"/>
            </w:pPr>
            <w:r>
              <w:t>Certainly</w:t>
            </w:r>
          </w:p>
        </w:tc>
        <w:tc>
          <w:tcPr>
            <w:tcW w:w="5749" w:type="dxa"/>
          </w:tcPr>
          <w:p w14:paraId="4C398958" w14:textId="77777777" w:rsidR="00E9291B" w:rsidRDefault="00E9291B" w:rsidP="00590443">
            <w:pPr>
              <w:pStyle w:val="Tabletext"/>
            </w:pPr>
            <w:r>
              <w:t xml:space="preserve">When the evidence is conclusively attributable to the transfusion </w:t>
            </w:r>
          </w:p>
        </w:tc>
      </w:tr>
    </w:tbl>
    <w:p w14:paraId="4B17ED13" w14:textId="77777777" w:rsidR="00E9291B" w:rsidRPr="00390291" w:rsidRDefault="00E9291B" w:rsidP="00CE55B3">
      <w:pPr>
        <w:pStyle w:val="Heading2"/>
      </w:pPr>
      <w:bookmarkStart w:id="124" w:name="_Toc174440027"/>
      <w:r>
        <w:t>Severity scores</w:t>
      </w:r>
      <w:bookmarkEnd w:id="124"/>
    </w:p>
    <w:tbl>
      <w:tblPr>
        <w:tblStyle w:val="TableGrid"/>
        <w:tblW w:w="0" w:type="auto"/>
        <w:tblLook w:val="04A0" w:firstRow="1" w:lastRow="0" w:firstColumn="1" w:lastColumn="0" w:noHBand="0" w:noVBand="1"/>
      </w:tblPr>
      <w:tblGrid>
        <w:gridCol w:w="3539"/>
        <w:gridCol w:w="5749"/>
      </w:tblGrid>
      <w:tr w:rsidR="00E9291B" w14:paraId="4E1CDBB9" w14:textId="77777777" w:rsidTr="00590443">
        <w:trPr>
          <w:tblHeader/>
        </w:trPr>
        <w:tc>
          <w:tcPr>
            <w:tcW w:w="3539" w:type="dxa"/>
          </w:tcPr>
          <w:p w14:paraId="02209574" w14:textId="77777777" w:rsidR="00E9291B" w:rsidRDefault="00E9291B" w:rsidP="00590443">
            <w:pPr>
              <w:pStyle w:val="Tablecolhead"/>
            </w:pPr>
            <w:r>
              <w:t>Severity</w:t>
            </w:r>
          </w:p>
        </w:tc>
        <w:tc>
          <w:tcPr>
            <w:tcW w:w="5749" w:type="dxa"/>
          </w:tcPr>
          <w:p w14:paraId="371224DC" w14:textId="77777777" w:rsidR="00E9291B" w:rsidRDefault="00E9291B" w:rsidP="00590443">
            <w:pPr>
              <w:pStyle w:val="Tablecolhead"/>
            </w:pPr>
            <w:r>
              <w:t>Incident</w:t>
            </w:r>
          </w:p>
        </w:tc>
      </w:tr>
      <w:tr w:rsidR="00E9291B" w14:paraId="787611AB" w14:textId="77777777" w:rsidTr="00590443">
        <w:tc>
          <w:tcPr>
            <w:tcW w:w="3539" w:type="dxa"/>
          </w:tcPr>
          <w:p w14:paraId="442623D8" w14:textId="77777777" w:rsidR="00E9291B" w:rsidRPr="00335C10" w:rsidRDefault="00E9291B" w:rsidP="00590443">
            <w:pPr>
              <w:pStyle w:val="Tabletext"/>
            </w:pPr>
            <w:r w:rsidRPr="00335C10">
              <w:t>1</w:t>
            </w:r>
          </w:p>
        </w:tc>
        <w:tc>
          <w:tcPr>
            <w:tcW w:w="5749" w:type="dxa"/>
          </w:tcPr>
          <w:p w14:paraId="0639F4EE" w14:textId="77777777" w:rsidR="00E9291B" w:rsidRPr="00335C10" w:rsidRDefault="00E9291B" w:rsidP="00590443">
            <w:pPr>
              <w:pStyle w:val="Tabletext"/>
            </w:pPr>
            <w:r w:rsidRPr="00335C10">
              <w:t>Relatively infrequent, clear-cut events that occur independently of a patient’s condition; commonly reflect health service system and process deficiencies; result in, or have the realistic potential to result in, an unexpected death or a permanent and disabling injury of psychological harm to a person and includes reportable sentinel events</w:t>
            </w:r>
          </w:p>
        </w:tc>
      </w:tr>
      <w:tr w:rsidR="00E9291B" w14:paraId="6F688FDE" w14:textId="77777777" w:rsidTr="00590443">
        <w:tc>
          <w:tcPr>
            <w:tcW w:w="3539" w:type="dxa"/>
          </w:tcPr>
          <w:p w14:paraId="6490CAB3" w14:textId="77777777" w:rsidR="00E9291B" w:rsidRPr="00335C10" w:rsidRDefault="00E9291B" w:rsidP="00590443">
            <w:pPr>
              <w:pStyle w:val="Tabletext"/>
            </w:pPr>
            <w:r w:rsidRPr="00335C10">
              <w:t>2</w:t>
            </w:r>
          </w:p>
        </w:tc>
        <w:tc>
          <w:tcPr>
            <w:tcW w:w="5749" w:type="dxa"/>
          </w:tcPr>
          <w:p w14:paraId="21BD1F5A" w14:textId="77777777" w:rsidR="00E9291B" w:rsidRPr="00335C10" w:rsidRDefault="00E9291B" w:rsidP="00590443">
            <w:pPr>
              <w:pStyle w:val="Tabletext"/>
            </w:pPr>
            <w:r w:rsidRPr="00335C10">
              <w:t>Events that result in a temporary loss of function (sensory, motor, physiological or intellectual) which is unrelated to the natural course of the patient’s illness and differ from the expected outcome of the patient’s management</w:t>
            </w:r>
          </w:p>
        </w:tc>
      </w:tr>
      <w:tr w:rsidR="00E9291B" w14:paraId="09A4B8FE" w14:textId="77777777" w:rsidTr="00590443">
        <w:tc>
          <w:tcPr>
            <w:tcW w:w="3539" w:type="dxa"/>
          </w:tcPr>
          <w:p w14:paraId="19641F21" w14:textId="77777777" w:rsidR="00E9291B" w:rsidRPr="00335C10" w:rsidRDefault="00E9291B" w:rsidP="00590443">
            <w:pPr>
              <w:pStyle w:val="Tabletext"/>
            </w:pPr>
            <w:r w:rsidRPr="00335C10">
              <w:t>3</w:t>
            </w:r>
          </w:p>
        </w:tc>
        <w:tc>
          <w:tcPr>
            <w:tcW w:w="5749" w:type="dxa"/>
          </w:tcPr>
          <w:p w14:paraId="310AE29F" w14:textId="77777777" w:rsidR="00E9291B" w:rsidRPr="00335C10" w:rsidRDefault="00E9291B" w:rsidP="00590443">
            <w:pPr>
              <w:pStyle w:val="Tabletext"/>
            </w:pPr>
            <w:r w:rsidRPr="00335C10">
              <w:t>Events that result in a person requiring increased treatment, but not hospitalisation or an increased length of stay</w:t>
            </w:r>
          </w:p>
        </w:tc>
      </w:tr>
      <w:tr w:rsidR="00E9291B" w14:paraId="7B225A11" w14:textId="77777777" w:rsidTr="00590443">
        <w:tc>
          <w:tcPr>
            <w:tcW w:w="3539" w:type="dxa"/>
          </w:tcPr>
          <w:p w14:paraId="0F59A9D7" w14:textId="77777777" w:rsidR="00E9291B" w:rsidRPr="00335C10" w:rsidRDefault="00E9291B" w:rsidP="00590443">
            <w:pPr>
              <w:pStyle w:val="Tabletext"/>
            </w:pPr>
            <w:r w:rsidRPr="00335C10">
              <w:t>4</w:t>
            </w:r>
          </w:p>
        </w:tc>
        <w:tc>
          <w:tcPr>
            <w:tcW w:w="5749" w:type="dxa"/>
          </w:tcPr>
          <w:p w14:paraId="7DD54E1B" w14:textId="77777777" w:rsidR="00E9291B" w:rsidRPr="00335C10" w:rsidRDefault="00E9291B" w:rsidP="00590443">
            <w:pPr>
              <w:pStyle w:val="Tabletext"/>
            </w:pPr>
            <w:r w:rsidRPr="00335C10">
              <w:t>Events that result in minor injury requiring only first aid treatment or no injury</w:t>
            </w:r>
          </w:p>
        </w:tc>
      </w:tr>
    </w:tbl>
    <w:p w14:paraId="6682F0FE" w14:textId="77777777" w:rsidR="00C83AF0" w:rsidRPr="00CE55B3" w:rsidRDefault="00C83AF0" w:rsidP="00CE55B3">
      <w:pPr>
        <w:pStyle w:val="Body"/>
      </w:pPr>
      <w:bookmarkStart w:id="125" w:name="_Toc136329790"/>
      <w:bookmarkStart w:id="126" w:name="_Hlk171873230"/>
      <w:r>
        <w:br w:type="page"/>
      </w:r>
    </w:p>
    <w:p w14:paraId="0A8B393B" w14:textId="6F6A927E" w:rsidR="00E9291B" w:rsidRDefault="00E9291B" w:rsidP="00E9291B">
      <w:pPr>
        <w:pStyle w:val="Heading1"/>
      </w:pPr>
      <w:bookmarkStart w:id="127" w:name="_Toc174440028"/>
      <w:r>
        <w:lastRenderedPageBreak/>
        <w:t>Appendix 4: Case studies</w:t>
      </w:r>
      <w:bookmarkEnd w:id="125"/>
      <w:bookmarkEnd w:id="127"/>
    </w:p>
    <w:p w14:paraId="378A19FF" w14:textId="64046F19" w:rsidR="00390291" w:rsidRDefault="002A52A4">
      <w:pPr>
        <w:pStyle w:val="TOC4"/>
        <w:rPr>
          <w:rFonts w:asciiTheme="minorHAnsi" w:eastAsiaTheme="minorEastAsia" w:hAnsiTheme="minorHAnsi" w:cstheme="minorBidi"/>
          <w:noProof/>
          <w:color w:val="auto"/>
          <w:kern w:val="2"/>
          <w:sz w:val="24"/>
          <w:szCs w:val="24"/>
          <w:lang w:eastAsia="en-GB"/>
          <w14:ligatures w14:val="standardContextual"/>
        </w:rPr>
      </w:pPr>
      <w:r>
        <w:fldChar w:fldCharType="begin"/>
      </w:r>
      <w:r>
        <w:instrText xml:space="preserve"> TOC \o "4-4" \h \z \u </w:instrText>
      </w:r>
      <w:r>
        <w:fldChar w:fldCharType="separate"/>
      </w:r>
      <w:hyperlink w:anchor="_Toc174439912" w:history="1">
        <w:r w:rsidR="00390291" w:rsidRPr="00BD26BF">
          <w:rPr>
            <w:rStyle w:val="Hyperlink"/>
            <w:noProof/>
          </w:rPr>
          <w:t>Case study 1: Febrile non-haemolytic transfusion reaction</w:t>
        </w:r>
        <w:r w:rsidR="00390291">
          <w:rPr>
            <w:noProof/>
            <w:webHidden/>
          </w:rPr>
          <w:tab/>
        </w:r>
        <w:r w:rsidR="00390291">
          <w:rPr>
            <w:noProof/>
            <w:webHidden/>
          </w:rPr>
          <w:fldChar w:fldCharType="begin"/>
        </w:r>
        <w:r w:rsidR="00390291">
          <w:rPr>
            <w:noProof/>
            <w:webHidden/>
          </w:rPr>
          <w:instrText xml:space="preserve"> PAGEREF _Toc174439912 \h </w:instrText>
        </w:r>
        <w:r w:rsidR="00390291">
          <w:rPr>
            <w:noProof/>
            <w:webHidden/>
          </w:rPr>
        </w:r>
        <w:r w:rsidR="00390291">
          <w:rPr>
            <w:noProof/>
            <w:webHidden/>
          </w:rPr>
          <w:fldChar w:fldCharType="separate"/>
        </w:r>
        <w:r w:rsidR="00390291">
          <w:rPr>
            <w:noProof/>
            <w:webHidden/>
          </w:rPr>
          <w:t>18</w:t>
        </w:r>
        <w:r w:rsidR="00390291">
          <w:rPr>
            <w:noProof/>
            <w:webHidden/>
          </w:rPr>
          <w:fldChar w:fldCharType="end"/>
        </w:r>
      </w:hyperlink>
    </w:p>
    <w:p w14:paraId="48141C1C" w14:textId="00337BD6"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13" w:history="1">
        <w:r w:rsidR="00390291" w:rsidRPr="00BD26BF">
          <w:rPr>
            <w:rStyle w:val="Hyperlink"/>
            <w:noProof/>
          </w:rPr>
          <w:t>Case study 2: Anaphylactic reaction to FFP</w:t>
        </w:r>
        <w:r w:rsidR="00390291">
          <w:rPr>
            <w:noProof/>
            <w:webHidden/>
          </w:rPr>
          <w:tab/>
        </w:r>
        <w:r w:rsidR="00390291">
          <w:rPr>
            <w:noProof/>
            <w:webHidden/>
          </w:rPr>
          <w:fldChar w:fldCharType="begin"/>
        </w:r>
        <w:r w:rsidR="00390291">
          <w:rPr>
            <w:noProof/>
            <w:webHidden/>
          </w:rPr>
          <w:instrText xml:space="preserve"> PAGEREF _Toc174439913 \h </w:instrText>
        </w:r>
        <w:r w:rsidR="00390291">
          <w:rPr>
            <w:noProof/>
            <w:webHidden/>
          </w:rPr>
        </w:r>
        <w:r w:rsidR="00390291">
          <w:rPr>
            <w:noProof/>
            <w:webHidden/>
          </w:rPr>
          <w:fldChar w:fldCharType="separate"/>
        </w:r>
        <w:r w:rsidR="00390291">
          <w:rPr>
            <w:noProof/>
            <w:webHidden/>
          </w:rPr>
          <w:t>21</w:t>
        </w:r>
        <w:r w:rsidR="00390291">
          <w:rPr>
            <w:noProof/>
            <w:webHidden/>
          </w:rPr>
          <w:fldChar w:fldCharType="end"/>
        </w:r>
      </w:hyperlink>
    </w:p>
    <w:p w14:paraId="46873B28" w14:textId="02C99F77"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14" w:history="1">
        <w:r w:rsidR="00390291" w:rsidRPr="00BD26BF">
          <w:rPr>
            <w:rStyle w:val="Hyperlink"/>
            <w:noProof/>
          </w:rPr>
          <w:t>Case study 3: Hypotensive transfusion reaction</w:t>
        </w:r>
        <w:r w:rsidR="00390291">
          <w:rPr>
            <w:noProof/>
            <w:webHidden/>
          </w:rPr>
          <w:tab/>
        </w:r>
        <w:r w:rsidR="00390291">
          <w:rPr>
            <w:noProof/>
            <w:webHidden/>
          </w:rPr>
          <w:fldChar w:fldCharType="begin"/>
        </w:r>
        <w:r w:rsidR="00390291">
          <w:rPr>
            <w:noProof/>
            <w:webHidden/>
          </w:rPr>
          <w:instrText xml:space="preserve"> PAGEREF _Toc174439914 \h </w:instrText>
        </w:r>
        <w:r w:rsidR="00390291">
          <w:rPr>
            <w:noProof/>
            <w:webHidden/>
          </w:rPr>
        </w:r>
        <w:r w:rsidR="00390291">
          <w:rPr>
            <w:noProof/>
            <w:webHidden/>
          </w:rPr>
          <w:fldChar w:fldCharType="separate"/>
        </w:r>
        <w:r w:rsidR="00390291">
          <w:rPr>
            <w:noProof/>
            <w:webHidden/>
          </w:rPr>
          <w:t>23</w:t>
        </w:r>
        <w:r w:rsidR="00390291">
          <w:rPr>
            <w:noProof/>
            <w:webHidden/>
          </w:rPr>
          <w:fldChar w:fldCharType="end"/>
        </w:r>
      </w:hyperlink>
    </w:p>
    <w:p w14:paraId="4CF55754" w14:textId="4522051B"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15" w:history="1">
        <w:r w:rsidR="00390291" w:rsidRPr="00BD26BF">
          <w:rPr>
            <w:rStyle w:val="Hyperlink"/>
            <w:noProof/>
          </w:rPr>
          <w:t>Case study 4: Acute haemolysis associated with a low incidence antigen</w:t>
        </w:r>
        <w:r w:rsidR="00390291">
          <w:rPr>
            <w:noProof/>
            <w:webHidden/>
          </w:rPr>
          <w:tab/>
        </w:r>
        <w:r w:rsidR="00390291">
          <w:rPr>
            <w:noProof/>
            <w:webHidden/>
          </w:rPr>
          <w:fldChar w:fldCharType="begin"/>
        </w:r>
        <w:r w:rsidR="00390291">
          <w:rPr>
            <w:noProof/>
            <w:webHidden/>
          </w:rPr>
          <w:instrText xml:space="preserve"> PAGEREF _Toc174439915 \h </w:instrText>
        </w:r>
        <w:r w:rsidR="00390291">
          <w:rPr>
            <w:noProof/>
            <w:webHidden/>
          </w:rPr>
        </w:r>
        <w:r w:rsidR="00390291">
          <w:rPr>
            <w:noProof/>
            <w:webHidden/>
          </w:rPr>
          <w:fldChar w:fldCharType="separate"/>
        </w:r>
        <w:r w:rsidR="00390291">
          <w:rPr>
            <w:noProof/>
            <w:webHidden/>
          </w:rPr>
          <w:t>23</w:t>
        </w:r>
        <w:r w:rsidR="00390291">
          <w:rPr>
            <w:noProof/>
            <w:webHidden/>
          </w:rPr>
          <w:fldChar w:fldCharType="end"/>
        </w:r>
      </w:hyperlink>
    </w:p>
    <w:p w14:paraId="2B7DFDDB" w14:textId="0DA02C46"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19" w:history="1">
        <w:r w:rsidR="00390291" w:rsidRPr="00BD26BF">
          <w:rPr>
            <w:rStyle w:val="Hyperlink"/>
            <w:noProof/>
          </w:rPr>
          <w:t>Case study 5: Probable TACO with other potential causes of respiratory signs</w:t>
        </w:r>
        <w:r w:rsidR="00390291">
          <w:rPr>
            <w:noProof/>
            <w:webHidden/>
          </w:rPr>
          <w:tab/>
        </w:r>
        <w:r w:rsidR="00390291">
          <w:rPr>
            <w:noProof/>
            <w:webHidden/>
          </w:rPr>
          <w:fldChar w:fldCharType="begin"/>
        </w:r>
        <w:r w:rsidR="00390291">
          <w:rPr>
            <w:noProof/>
            <w:webHidden/>
          </w:rPr>
          <w:instrText xml:space="preserve"> PAGEREF _Toc174439919 \h </w:instrText>
        </w:r>
        <w:r w:rsidR="00390291">
          <w:rPr>
            <w:noProof/>
            <w:webHidden/>
          </w:rPr>
        </w:r>
        <w:r w:rsidR="00390291">
          <w:rPr>
            <w:noProof/>
            <w:webHidden/>
          </w:rPr>
          <w:fldChar w:fldCharType="separate"/>
        </w:r>
        <w:r w:rsidR="00390291">
          <w:rPr>
            <w:noProof/>
            <w:webHidden/>
          </w:rPr>
          <w:t>28</w:t>
        </w:r>
        <w:r w:rsidR="00390291">
          <w:rPr>
            <w:noProof/>
            <w:webHidden/>
          </w:rPr>
          <w:fldChar w:fldCharType="end"/>
        </w:r>
      </w:hyperlink>
    </w:p>
    <w:p w14:paraId="1B807707" w14:textId="1E8D820A"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0" w:history="1">
        <w:r w:rsidR="00390291" w:rsidRPr="00BD26BF">
          <w:rPr>
            <w:rStyle w:val="Hyperlink"/>
            <w:noProof/>
          </w:rPr>
          <w:t>Case study 5: Probable TACO with other potential causes of respiratory signs</w:t>
        </w:r>
        <w:r w:rsidR="00390291">
          <w:rPr>
            <w:noProof/>
            <w:webHidden/>
          </w:rPr>
          <w:tab/>
        </w:r>
        <w:r w:rsidR="00390291">
          <w:rPr>
            <w:noProof/>
            <w:webHidden/>
          </w:rPr>
          <w:fldChar w:fldCharType="begin"/>
        </w:r>
        <w:r w:rsidR="00390291">
          <w:rPr>
            <w:noProof/>
            <w:webHidden/>
          </w:rPr>
          <w:instrText xml:space="preserve"> PAGEREF _Toc174439920 \h </w:instrText>
        </w:r>
        <w:r w:rsidR="00390291">
          <w:rPr>
            <w:noProof/>
            <w:webHidden/>
          </w:rPr>
        </w:r>
        <w:r w:rsidR="00390291">
          <w:rPr>
            <w:noProof/>
            <w:webHidden/>
          </w:rPr>
          <w:fldChar w:fldCharType="separate"/>
        </w:r>
        <w:r w:rsidR="00390291">
          <w:rPr>
            <w:noProof/>
            <w:webHidden/>
          </w:rPr>
          <w:t>29</w:t>
        </w:r>
        <w:r w:rsidR="00390291">
          <w:rPr>
            <w:noProof/>
            <w:webHidden/>
          </w:rPr>
          <w:fldChar w:fldCharType="end"/>
        </w:r>
      </w:hyperlink>
    </w:p>
    <w:p w14:paraId="2A63116D" w14:textId="408515D3"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1" w:history="1">
        <w:r w:rsidR="00390291" w:rsidRPr="00BD26BF">
          <w:rPr>
            <w:rStyle w:val="Hyperlink"/>
            <w:noProof/>
          </w:rPr>
          <w:t>Case study 6: Two-person (double) independent checks not followed correctly</w:t>
        </w:r>
        <w:r w:rsidR="00390291">
          <w:rPr>
            <w:noProof/>
            <w:webHidden/>
          </w:rPr>
          <w:tab/>
        </w:r>
        <w:r w:rsidR="00390291">
          <w:rPr>
            <w:noProof/>
            <w:webHidden/>
          </w:rPr>
          <w:fldChar w:fldCharType="begin"/>
        </w:r>
        <w:r w:rsidR="00390291">
          <w:rPr>
            <w:noProof/>
            <w:webHidden/>
          </w:rPr>
          <w:instrText xml:space="preserve"> PAGEREF _Toc174439921 \h </w:instrText>
        </w:r>
        <w:r w:rsidR="00390291">
          <w:rPr>
            <w:noProof/>
            <w:webHidden/>
          </w:rPr>
        </w:r>
        <w:r w:rsidR="00390291">
          <w:rPr>
            <w:noProof/>
            <w:webHidden/>
          </w:rPr>
          <w:fldChar w:fldCharType="separate"/>
        </w:r>
        <w:r w:rsidR="00390291">
          <w:rPr>
            <w:noProof/>
            <w:webHidden/>
          </w:rPr>
          <w:t>33</w:t>
        </w:r>
        <w:r w:rsidR="00390291">
          <w:rPr>
            <w:noProof/>
            <w:webHidden/>
          </w:rPr>
          <w:fldChar w:fldCharType="end"/>
        </w:r>
      </w:hyperlink>
    </w:p>
    <w:p w14:paraId="35A039D2" w14:textId="100093D0"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2" w:history="1">
        <w:r w:rsidR="00390291" w:rsidRPr="00BD26BF">
          <w:rPr>
            <w:rStyle w:val="Hyperlink"/>
            <w:noProof/>
          </w:rPr>
          <w:t>Case study 7: Specific requirements for unit transfused not met</w:t>
        </w:r>
        <w:r w:rsidR="00390291">
          <w:rPr>
            <w:noProof/>
            <w:webHidden/>
          </w:rPr>
          <w:tab/>
        </w:r>
        <w:r w:rsidR="00390291">
          <w:rPr>
            <w:noProof/>
            <w:webHidden/>
          </w:rPr>
          <w:fldChar w:fldCharType="begin"/>
        </w:r>
        <w:r w:rsidR="00390291">
          <w:rPr>
            <w:noProof/>
            <w:webHidden/>
          </w:rPr>
          <w:instrText xml:space="preserve"> PAGEREF _Toc174439922 \h </w:instrText>
        </w:r>
        <w:r w:rsidR="00390291">
          <w:rPr>
            <w:noProof/>
            <w:webHidden/>
          </w:rPr>
        </w:r>
        <w:r w:rsidR="00390291">
          <w:rPr>
            <w:noProof/>
            <w:webHidden/>
          </w:rPr>
          <w:fldChar w:fldCharType="separate"/>
        </w:r>
        <w:r w:rsidR="00390291">
          <w:rPr>
            <w:noProof/>
            <w:webHidden/>
          </w:rPr>
          <w:t>34</w:t>
        </w:r>
        <w:r w:rsidR="00390291">
          <w:rPr>
            <w:noProof/>
            <w:webHidden/>
          </w:rPr>
          <w:fldChar w:fldCharType="end"/>
        </w:r>
      </w:hyperlink>
    </w:p>
    <w:p w14:paraId="5ED7021B" w14:textId="71524C14"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3" w:history="1">
        <w:r w:rsidR="00390291" w:rsidRPr="00BD26BF">
          <w:rPr>
            <w:rStyle w:val="Hyperlink"/>
            <w:noProof/>
          </w:rPr>
          <w:t>Case study 8: Unclear communication leads to unnecessary transfusion</w:t>
        </w:r>
        <w:r w:rsidR="00390291">
          <w:rPr>
            <w:noProof/>
            <w:webHidden/>
          </w:rPr>
          <w:tab/>
        </w:r>
        <w:r w:rsidR="00390291">
          <w:rPr>
            <w:noProof/>
            <w:webHidden/>
          </w:rPr>
          <w:fldChar w:fldCharType="begin"/>
        </w:r>
        <w:r w:rsidR="00390291">
          <w:rPr>
            <w:noProof/>
            <w:webHidden/>
          </w:rPr>
          <w:instrText xml:space="preserve"> PAGEREF _Toc174439923 \h </w:instrText>
        </w:r>
        <w:r w:rsidR="00390291">
          <w:rPr>
            <w:noProof/>
            <w:webHidden/>
          </w:rPr>
        </w:r>
        <w:r w:rsidR="00390291">
          <w:rPr>
            <w:noProof/>
            <w:webHidden/>
          </w:rPr>
          <w:fldChar w:fldCharType="separate"/>
        </w:r>
        <w:r w:rsidR="00390291">
          <w:rPr>
            <w:noProof/>
            <w:webHidden/>
          </w:rPr>
          <w:t>35</w:t>
        </w:r>
        <w:r w:rsidR="00390291">
          <w:rPr>
            <w:noProof/>
            <w:webHidden/>
          </w:rPr>
          <w:fldChar w:fldCharType="end"/>
        </w:r>
      </w:hyperlink>
    </w:p>
    <w:p w14:paraId="7978B752" w14:textId="7DF18BF9"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4" w:history="1">
        <w:r w:rsidR="00390291" w:rsidRPr="00BD26BF">
          <w:rPr>
            <w:rStyle w:val="Hyperlink"/>
            <w:noProof/>
          </w:rPr>
          <w:t>Case study 9: Incomplete blood component/product checks</w:t>
        </w:r>
        <w:r w:rsidR="00390291">
          <w:rPr>
            <w:noProof/>
            <w:webHidden/>
          </w:rPr>
          <w:tab/>
        </w:r>
        <w:r w:rsidR="00390291">
          <w:rPr>
            <w:noProof/>
            <w:webHidden/>
          </w:rPr>
          <w:fldChar w:fldCharType="begin"/>
        </w:r>
        <w:r w:rsidR="00390291">
          <w:rPr>
            <w:noProof/>
            <w:webHidden/>
          </w:rPr>
          <w:instrText xml:space="preserve"> PAGEREF _Toc174439924 \h </w:instrText>
        </w:r>
        <w:r w:rsidR="00390291">
          <w:rPr>
            <w:noProof/>
            <w:webHidden/>
          </w:rPr>
        </w:r>
        <w:r w:rsidR="00390291">
          <w:rPr>
            <w:noProof/>
            <w:webHidden/>
          </w:rPr>
          <w:fldChar w:fldCharType="separate"/>
        </w:r>
        <w:r w:rsidR="00390291">
          <w:rPr>
            <w:noProof/>
            <w:webHidden/>
          </w:rPr>
          <w:t>35</w:t>
        </w:r>
        <w:r w:rsidR="00390291">
          <w:rPr>
            <w:noProof/>
            <w:webHidden/>
          </w:rPr>
          <w:fldChar w:fldCharType="end"/>
        </w:r>
      </w:hyperlink>
    </w:p>
    <w:p w14:paraId="271DCC1D" w14:textId="60DD49C5"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5" w:history="1">
        <w:r w:rsidR="00390291" w:rsidRPr="00BD26BF">
          <w:rPr>
            <w:rStyle w:val="Hyperlink"/>
            <w:noProof/>
          </w:rPr>
          <w:t>Case study 10: Documentation of removal and return to blood fridge</w:t>
        </w:r>
        <w:r w:rsidR="00390291">
          <w:rPr>
            <w:noProof/>
            <w:webHidden/>
          </w:rPr>
          <w:tab/>
        </w:r>
        <w:r w:rsidR="00390291">
          <w:rPr>
            <w:noProof/>
            <w:webHidden/>
          </w:rPr>
          <w:fldChar w:fldCharType="begin"/>
        </w:r>
        <w:r w:rsidR="00390291">
          <w:rPr>
            <w:noProof/>
            <w:webHidden/>
          </w:rPr>
          <w:instrText xml:space="preserve"> PAGEREF _Toc174439925 \h </w:instrText>
        </w:r>
        <w:r w:rsidR="00390291">
          <w:rPr>
            <w:noProof/>
            <w:webHidden/>
          </w:rPr>
        </w:r>
        <w:r w:rsidR="00390291">
          <w:rPr>
            <w:noProof/>
            <w:webHidden/>
          </w:rPr>
          <w:fldChar w:fldCharType="separate"/>
        </w:r>
        <w:r w:rsidR="00390291">
          <w:rPr>
            <w:noProof/>
            <w:webHidden/>
          </w:rPr>
          <w:t>36</w:t>
        </w:r>
        <w:r w:rsidR="00390291">
          <w:rPr>
            <w:noProof/>
            <w:webHidden/>
          </w:rPr>
          <w:fldChar w:fldCharType="end"/>
        </w:r>
      </w:hyperlink>
    </w:p>
    <w:p w14:paraId="3D2C29A9" w14:textId="7BBD2A80"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6" w:history="1">
        <w:r w:rsidR="00390291" w:rsidRPr="00BD26BF">
          <w:rPr>
            <w:rStyle w:val="Hyperlink"/>
            <w:noProof/>
          </w:rPr>
          <w:t>Case study 11: Inappropriate product issued and almost administered</w:t>
        </w:r>
        <w:r w:rsidR="00390291">
          <w:rPr>
            <w:noProof/>
            <w:webHidden/>
          </w:rPr>
          <w:tab/>
        </w:r>
        <w:r w:rsidR="00390291">
          <w:rPr>
            <w:noProof/>
            <w:webHidden/>
          </w:rPr>
          <w:fldChar w:fldCharType="begin"/>
        </w:r>
        <w:r w:rsidR="00390291">
          <w:rPr>
            <w:noProof/>
            <w:webHidden/>
          </w:rPr>
          <w:instrText xml:space="preserve"> PAGEREF _Toc174439926 \h </w:instrText>
        </w:r>
        <w:r w:rsidR="00390291">
          <w:rPr>
            <w:noProof/>
            <w:webHidden/>
          </w:rPr>
        </w:r>
        <w:r w:rsidR="00390291">
          <w:rPr>
            <w:noProof/>
            <w:webHidden/>
          </w:rPr>
          <w:fldChar w:fldCharType="separate"/>
        </w:r>
        <w:r w:rsidR="00390291">
          <w:rPr>
            <w:noProof/>
            <w:webHidden/>
          </w:rPr>
          <w:t>37</w:t>
        </w:r>
        <w:r w:rsidR="00390291">
          <w:rPr>
            <w:noProof/>
            <w:webHidden/>
          </w:rPr>
          <w:fldChar w:fldCharType="end"/>
        </w:r>
      </w:hyperlink>
    </w:p>
    <w:p w14:paraId="624709EA" w14:textId="2C3388FF"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7" w:history="1">
        <w:r w:rsidR="00390291" w:rsidRPr="00BD26BF">
          <w:rPr>
            <w:rStyle w:val="Hyperlink"/>
            <w:noProof/>
          </w:rPr>
          <w:t>Case study 12: Error in collection technique almost caused inappropriate blood group determination</w:t>
        </w:r>
        <w:r w:rsidR="00390291">
          <w:rPr>
            <w:noProof/>
            <w:webHidden/>
          </w:rPr>
          <w:tab/>
        </w:r>
        <w:r w:rsidR="00390291">
          <w:rPr>
            <w:noProof/>
            <w:webHidden/>
          </w:rPr>
          <w:fldChar w:fldCharType="begin"/>
        </w:r>
        <w:r w:rsidR="00390291">
          <w:rPr>
            <w:noProof/>
            <w:webHidden/>
          </w:rPr>
          <w:instrText xml:space="preserve"> PAGEREF _Toc174439927 \h </w:instrText>
        </w:r>
        <w:r w:rsidR="00390291">
          <w:rPr>
            <w:noProof/>
            <w:webHidden/>
          </w:rPr>
        </w:r>
        <w:r w:rsidR="00390291">
          <w:rPr>
            <w:noProof/>
            <w:webHidden/>
          </w:rPr>
          <w:fldChar w:fldCharType="separate"/>
        </w:r>
        <w:r w:rsidR="00390291">
          <w:rPr>
            <w:noProof/>
            <w:webHidden/>
          </w:rPr>
          <w:t>37</w:t>
        </w:r>
        <w:r w:rsidR="00390291">
          <w:rPr>
            <w:noProof/>
            <w:webHidden/>
          </w:rPr>
          <w:fldChar w:fldCharType="end"/>
        </w:r>
      </w:hyperlink>
    </w:p>
    <w:p w14:paraId="5A5447D3" w14:textId="11A7E798"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8" w:history="1">
        <w:r w:rsidR="00390291" w:rsidRPr="00BD26BF">
          <w:rPr>
            <w:rStyle w:val="Hyperlink"/>
            <w:noProof/>
          </w:rPr>
          <w:t>Case study 13: Patients obtaining care under another person’s identity</w:t>
        </w:r>
        <w:r w:rsidR="00390291">
          <w:rPr>
            <w:noProof/>
            <w:webHidden/>
          </w:rPr>
          <w:tab/>
        </w:r>
        <w:r w:rsidR="00390291">
          <w:rPr>
            <w:noProof/>
            <w:webHidden/>
          </w:rPr>
          <w:fldChar w:fldCharType="begin"/>
        </w:r>
        <w:r w:rsidR="00390291">
          <w:rPr>
            <w:noProof/>
            <w:webHidden/>
          </w:rPr>
          <w:instrText xml:space="preserve"> PAGEREF _Toc174439928 \h </w:instrText>
        </w:r>
        <w:r w:rsidR="00390291">
          <w:rPr>
            <w:noProof/>
            <w:webHidden/>
          </w:rPr>
        </w:r>
        <w:r w:rsidR="00390291">
          <w:rPr>
            <w:noProof/>
            <w:webHidden/>
          </w:rPr>
          <w:fldChar w:fldCharType="separate"/>
        </w:r>
        <w:r w:rsidR="00390291">
          <w:rPr>
            <w:noProof/>
            <w:webHidden/>
          </w:rPr>
          <w:t>40</w:t>
        </w:r>
        <w:r w:rsidR="00390291">
          <w:rPr>
            <w:noProof/>
            <w:webHidden/>
          </w:rPr>
          <w:fldChar w:fldCharType="end"/>
        </w:r>
      </w:hyperlink>
    </w:p>
    <w:p w14:paraId="6E54401E" w14:textId="151C7F5C"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29" w:history="1">
        <w:r w:rsidR="00390291" w:rsidRPr="00BD26BF">
          <w:rPr>
            <w:rStyle w:val="Hyperlink"/>
            <w:noProof/>
          </w:rPr>
          <w:t>Case study 14: WBIT using an EMR</w:t>
        </w:r>
        <w:r w:rsidR="00390291">
          <w:rPr>
            <w:noProof/>
            <w:webHidden/>
          </w:rPr>
          <w:tab/>
        </w:r>
        <w:r w:rsidR="00390291">
          <w:rPr>
            <w:noProof/>
            <w:webHidden/>
          </w:rPr>
          <w:fldChar w:fldCharType="begin"/>
        </w:r>
        <w:r w:rsidR="00390291">
          <w:rPr>
            <w:noProof/>
            <w:webHidden/>
          </w:rPr>
          <w:instrText xml:space="preserve"> PAGEREF _Toc174439929 \h </w:instrText>
        </w:r>
        <w:r w:rsidR="00390291">
          <w:rPr>
            <w:noProof/>
            <w:webHidden/>
          </w:rPr>
        </w:r>
        <w:r w:rsidR="00390291">
          <w:rPr>
            <w:noProof/>
            <w:webHidden/>
          </w:rPr>
          <w:fldChar w:fldCharType="separate"/>
        </w:r>
        <w:r w:rsidR="00390291">
          <w:rPr>
            <w:noProof/>
            <w:webHidden/>
          </w:rPr>
          <w:t>41</w:t>
        </w:r>
        <w:r w:rsidR="00390291">
          <w:rPr>
            <w:noProof/>
            <w:webHidden/>
          </w:rPr>
          <w:fldChar w:fldCharType="end"/>
        </w:r>
      </w:hyperlink>
    </w:p>
    <w:p w14:paraId="312CB044" w14:textId="75F21F72"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30" w:history="1">
        <w:r w:rsidR="00390291" w:rsidRPr="00BD26BF">
          <w:rPr>
            <w:rStyle w:val="Hyperlink"/>
            <w:noProof/>
          </w:rPr>
          <w:t>Case study 15: Transcription error causes missed prophylaxis</w:t>
        </w:r>
        <w:r w:rsidR="00390291">
          <w:rPr>
            <w:noProof/>
            <w:webHidden/>
          </w:rPr>
          <w:tab/>
        </w:r>
        <w:r w:rsidR="00390291">
          <w:rPr>
            <w:noProof/>
            <w:webHidden/>
          </w:rPr>
          <w:fldChar w:fldCharType="begin"/>
        </w:r>
        <w:r w:rsidR="00390291">
          <w:rPr>
            <w:noProof/>
            <w:webHidden/>
          </w:rPr>
          <w:instrText xml:space="preserve"> PAGEREF _Toc174439930 \h </w:instrText>
        </w:r>
        <w:r w:rsidR="00390291">
          <w:rPr>
            <w:noProof/>
            <w:webHidden/>
          </w:rPr>
        </w:r>
        <w:r w:rsidR="00390291">
          <w:rPr>
            <w:noProof/>
            <w:webHidden/>
          </w:rPr>
          <w:fldChar w:fldCharType="separate"/>
        </w:r>
        <w:r w:rsidR="00390291">
          <w:rPr>
            <w:noProof/>
            <w:webHidden/>
          </w:rPr>
          <w:t>42</w:t>
        </w:r>
        <w:r w:rsidR="00390291">
          <w:rPr>
            <w:noProof/>
            <w:webHidden/>
          </w:rPr>
          <w:fldChar w:fldCharType="end"/>
        </w:r>
      </w:hyperlink>
    </w:p>
    <w:p w14:paraId="1A72F3CD" w14:textId="74854812" w:rsidR="00390291" w:rsidRDefault="00DE2CE1">
      <w:pPr>
        <w:pStyle w:val="TOC4"/>
        <w:rPr>
          <w:rFonts w:asciiTheme="minorHAnsi" w:eastAsiaTheme="minorEastAsia" w:hAnsiTheme="minorHAnsi" w:cstheme="minorBidi"/>
          <w:noProof/>
          <w:color w:val="auto"/>
          <w:kern w:val="2"/>
          <w:sz w:val="24"/>
          <w:szCs w:val="24"/>
          <w:lang w:eastAsia="en-GB"/>
          <w14:ligatures w14:val="standardContextual"/>
        </w:rPr>
      </w:pPr>
      <w:hyperlink w:anchor="_Toc174439931" w:history="1">
        <w:r w:rsidR="00390291" w:rsidRPr="00BD26BF">
          <w:rPr>
            <w:rStyle w:val="Hyperlink"/>
            <w:noProof/>
          </w:rPr>
          <w:t>Case study 16: Incorrect route of administration for RhD Ig</w:t>
        </w:r>
        <w:r w:rsidR="00390291">
          <w:rPr>
            <w:noProof/>
            <w:webHidden/>
          </w:rPr>
          <w:tab/>
        </w:r>
        <w:r w:rsidR="00390291">
          <w:rPr>
            <w:noProof/>
            <w:webHidden/>
          </w:rPr>
          <w:fldChar w:fldCharType="begin"/>
        </w:r>
        <w:r w:rsidR="00390291">
          <w:rPr>
            <w:noProof/>
            <w:webHidden/>
          </w:rPr>
          <w:instrText xml:space="preserve"> PAGEREF _Toc174439931 \h </w:instrText>
        </w:r>
        <w:r w:rsidR="00390291">
          <w:rPr>
            <w:noProof/>
            <w:webHidden/>
          </w:rPr>
        </w:r>
        <w:r w:rsidR="00390291">
          <w:rPr>
            <w:noProof/>
            <w:webHidden/>
          </w:rPr>
          <w:fldChar w:fldCharType="separate"/>
        </w:r>
        <w:r w:rsidR="00390291">
          <w:rPr>
            <w:noProof/>
            <w:webHidden/>
          </w:rPr>
          <w:t>43</w:t>
        </w:r>
        <w:r w:rsidR="00390291">
          <w:rPr>
            <w:noProof/>
            <w:webHidden/>
          </w:rPr>
          <w:fldChar w:fldCharType="end"/>
        </w:r>
      </w:hyperlink>
    </w:p>
    <w:p w14:paraId="593435DF" w14:textId="6A129EEC" w:rsidR="00E9291B" w:rsidRDefault="002A52A4" w:rsidP="00E9291B">
      <w:pPr>
        <w:pStyle w:val="Body"/>
      </w:pPr>
      <w:r>
        <w:fldChar w:fldCharType="end"/>
      </w:r>
      <w:bookmarkStart w:id="128" w:name="_Hlk66712316"/>
      <w:bookmarkEnd w:id="126"/>
    </w:p>
    <w:p w14:paraId="3B0DEC7A" w14:textId="0826165A" w:rsidR="004B1672" w:rsidRDefault="008B5171" w:rsidP="008B5171">
      <w:pPr>
        <w:pStyle w:val="Body"/>
        <w:tabs>
          <w:tab w:val="left" w:pos="7410"/>
        </w:tabs>
      </w:pPr>
      <w:r>
        <w:tab/>
      </w:r>
    </w:p>
    <w:p w14:paraId="384427B6" w14:textId="77777777" w:rsidR="00C83AF0" w:rsidRDefault="00C83AF0">
      <w:pPr>
        <w:spacing w:after="0" w:line="240" w:lineRule="auto"/>
        <w:rPr>
          <w:rFonts w:eastAsia="MS Gothic" w:cs="Arial"/>
          <w:bCs/>
          <w:color w:val="AF272F"/>
          <w:kern w:val="32"/>
          <w:sz w:val="44"/>
          <w:szCs w:val="44"/>
        </w:rPr>
      </w:pPr>
      <w:bookmarkStart w:id="129" w:name="_Toc136329791"/>
      <w:r>
        <w:br w:type="page"/>
      </w:r>
    </w:p>
    <w:p w14:paraId="2DA1DD52" w14:textId="1910E594" w:rsidR="00E9291B" w:rsidRDefault="00E9291B" w:rsidP="00E9291B">
      <w:pPr>
        <w:pStyle w:val="Heading1"/>
      </w:pPr>
      <w:bookmarkStart w:id="130" w:name="_Toc174440029"/>
      <w:r>
        <w:lastRenderedPageBreak/>
        <w:t>Appendix 5: STIR timeline</w:t>
      </w:r>
      <w:bookmarkEnd w:id="129"/>
      <w:bookmarkEnd w:id="130"/>
    </w:p>
    <w:tbl>
      <w:tblPr>
        <w:tblStyle w:val="TableGrid"/>
        <w:tblW w:w="0" w:type="auto"/>
        <w:tblLook w:val="04A0" w:firstRow="1" w:lastRow="0" w:firstColumn="1" w:lastColumn="0" w:noHBand="0" w:noVBand="1"/>
      </w:tblPr>
      <w:tblGrid>
        <w:gridCol w:w="2405"/>
        <w:gridCol w:w="6883"/>
      </w:tblGrid>
      <w:tr w:rsidR="00E9291B" w14:paraId="691DFEF5" w14:textId="77777777" w:rsidTr="00590443">
        <w:trPr>
          <w:tblHeader/>
        </w:trPr>
        <w:tc>
          <w:tcPr>
            <w:tcW w:w="2405" w:type="dxa"/>
          </w:tcPr>
          <w:p w14:paraId="7D123805" w14:textId="77777777" w:rsidR="00E9291B" w:rsidRPr="007E3875" w:rsidRDefault="00E9291B" w:rsidP="00590443">
            <w:pPr>
              <w:pStyle w:val="Tablecolhead"/>
            </w:pPr>
            <w:r w:rsidRPr="007E3875">
              <w:t>Year</w:t>
            </w:r>
          </w:p>
        </w:tc>
        <w:tc>
          <w:tcPr>
            <w:tcW w:w="6883" w:type="dxa"/>
          </w:tcPr>
          <w:p w14:paraId="3EFC1E2A" w14:textId="77777777" w:rsidR="00E9291B" w:rsidRPr="007E3875" w:rsidRDefault="00E9291B" w:rsidP="00590443">
            <w:pPr>
              <w:pStyle w:val="Tablecolhead"/>
            </w:pPr>
            <w:r w:rsidRPr="007E3875">
              <w:t>Action</w:t>
            </w:r>
          </w:p>
        </w:tc>
      </w:tr>
      <w:tr w:rsidR="00E9291B" w14:paraId="519A404E" w14:textId="77777777" w:rsidTr="00590443">
        <w:tc>
          <w:tcPr>
            <w:tcW w:w="2405" w:type="dxa"/>
          </w:tcPr>
          <w:p w14:paraId="3ECAE4B4" w14:textId="77777777" w:rsidR="00E9291B" w:rsidRDefault="00E9291B" w:rsidP="00590443">
            <w:pPr>
              <w:pStyle w:val="Body"/>
            </w:pPr>
            <w:r>
              <w:t>2006</w:t>
            </w:r>
          </w:p>
        </w:tc>
        <w:tc>
          <w:tcPr>
            <w:tcW w:w="6883" w:type="dxa"/>
          </w:tcPr>
          <w:p w14:paraId="08B4B638" w14:textId="77777777" w:rsidR="00E9291B" w:rsidRDefault="00E9291B" w:rsidP="00590443">
            <w:pPr>
              <w:pStyle w:val="Body"/>
            </w:pPr>
            <w:r>
              <w:t>Pilot July to October</w:t>
            </w:r>
          </w:p>
          <w:p w14:paraId="17BF3A3E" w14:textId="77777777" w:rsidR="00E9291B" w:rsidRDefault="00E9291B" w:rsidP="00590443">
            <w:pPr>
              <w:pStyle w:val="Body"/>
            </w:pPr>
            <w:r>
              <w:t>First notification received 16 September 2006</w:t>
            </w:r>
          </w:p>
          <w:p w14:paraId="1E2A2355" w14:textId="77777777" w:rsidR="00E9291B" w:rsidRDefault="00E9291B" w:rsidP="00590443">
            <w:pPr>
              <w:pStyle w:val="Body"/>
            </w:pPr>
            <w:r>
              <w:t>Nine incident categories</w:t>
            </w:r>
          </w:p>
        </w:tc>
      </w:tr>
      <w:tr w:rsidR="00E9291B" w14:paraId="051C32DF" w14:textId="77777777" w:rsidTr="00590443">
        <w:tc>
          <w:tcPr>
            <w:tcW w:w="2405" w:type="dxa"/>
          </w:tcPr>
          <w:p w14:paraId="25A1D4AB" w14:textId="77777777" w:rsidR="00E9291B" w:rsidRDefault="00E9291B" w:rsidP="00590443">
            <w:pPr>
              <w:pStyle w:val="Body"/>
            </w:pPr>
            <w:r>
              <w:t>2008</w:t>
            </w:r>
          </w:p>
        </w:tc>
        <w:tc>
          <w:tcPr>
            <w:tcW w:w="6883" w:type="dxa"/>
          </w:tcPr>
          <w:p w14:paraId="4C685FEA" w14:textId="77777777" w:rsidR="00E9291B" w:rsidRDefault="00E9291B" w:rsidP="00590443">
            <w:pPr>
              <w:pStyle w:val="Body"/>
            </w:pPr>
            <w:r>
              <w:t>First STIR report developed and published, covering 1 January 2006 to 31 December 2007</w:t>
            </w:r>
          </w:p>
          <w:p w14:paraId="5B346BE6" w14:textId="77777777" w:rsidR="00E9291B" w:rsidRDefault="00E9291B" w:rsidP="00590443">
            <w:pPr>
              <w:pStyle w:val="Body"/>
            </w:pPr>
            <w:r>
              <w:t>Four jurisdictions reporting</w:t>
            </w:r>
          </w:p>
        </w:tc>
      </w:tr>
      <w:tr w:rsidR="00E9291B" w14:paraId="019E6C45" w14:textId="77777777" w:rsidTr="00590443">
        <w:tc>
          <w:tcPr>
            <w:tcW w:w="2405" w:type="dxa"/>
          </w:tcPr>
          <w:p w14:paraId="25D84019" w14:textId="77777777" w:rsidR="00E9291B" w:rsidRDefault="00E9291B" w:rsidP="00590443">
            <w:pPr>
              <w:pStyle w:val="Body"/>
            </w:pPr>
            <w:r>
              <w:t>2011</w:t>
            </w:r>
          </w:p>
        </w:tc>
        <w:tc>
          <w:tcPr>
            <w:tcW w:w="6883" w:type="dxa"/>
          </w:tcPr>
          <w:p w14:paraId="741FC390" w14:textId="77777777" w:rsidR="00E9291B" w:rsidRDefault="00E9291B" w:rsidP="00590443">
            <w:pPr>
              <w:pStyle w:val="Body"/>
            </w:pPr>
            <w:r>
              <w:t>Move to electronic notification and report forms</w:t>
            </w:r>
          </w:p>
        </w:tc>
      </w:tr>
      <w:tr w:rsidR="00E9291B" w14:paraId="7F520C8F" w14:textId="77777777" w:rsidTr="00590443">
        <w:tc>
          <w:tcPr>
            <w:tcW w:w="2405" w:type="dxa"/>
          </w:tcPr>
          <w:p w14:paraId="35AC3768" w14:textId="77777777" w:rsidR="00E9291B" w:rsidRDefault="00E9291B" w:rsidP="00590443">
            <w:pPr>
              <w:pStyle w:val="Body"/>
            </w:pPr>
            <w:r>
              <w:t>2013</w:t>
            </w:r>
          </w:p>
        </w:tc>
        <w:tc>
          <w:tcPr>
            <w:tcW w:w="6883" w:type="dxa"/>
          </w:tcPr>
          <w:p w14:paraId="2AD66E4B" w14:textId="77777777" w:rsidR="00E9291B" w:rsidRDefault="00E9291B" w:rsidP="00590443">
            <w:pPr>
              <w:pStyle w:val="Body"/>
            </w:pPr>
            <w:r>
              <w:t>NSQHS Standard 7: ‘Blood and blood products’ developed, encourages haemovigilance reporting</w:t>
            </w:r>
          </w:p>
        </w:tc>
      </w:tr>
      <w:tr w:rsidR="00E9291B" w14:paraId="270F5B7C" w14:textId="77777777" w:rsidTr="00590443">
        <w:tc>
          <w:tcPr>
            <w:tcW w:w="2405" w:type="dxa"/>
          </w:tcPr>
          <w:p w14:paraId="09B8B793" w14:textId="77777777" w:rsidR="00E9291B" w:rsidRDefault="00E9291B" w:rsidP="00590443">
            <w:pPr>
              <w:pStyle w:val="Body"/>
            </w:pPr>
            <w:r>
              <w:t>2014</w:t>
            </w:r>
          </w:p>
        </w:tc>
        <w:tc>
          <w:tcPr>
            <w:tcW w:w="6883" w:type="dxa"/>
          </w:tcPr>
          <w:p w14:paraId="0E672BFE" w14:textId="77777777" w:rsidR="00E9291B" w:rsidRDefault="00E9291B" w:rsidP="00590443">
            <w:pPr>
              <w:pStyle w:val="Body"/>
            </w:pPr>
            <w:r>
              <w:t>Commenced annual STIR report</w:t>
            </w:r>
          </w:p>
        </w:tc>
      </w:tr>
      <w:tr w:rsidR="00E9291B" w14:paraId="69AD92A7" w14:textId="77777777" w:rsidTr="00590443">
        <w:tc>
          <w:tcPr>
            <w:tcW w:w="2405" w:type="dxa"/>
          </w:tcPr>
          <w:p w14:paraId="13355DF8" w14:textId="77777777" w:rsidR="00E9291B" w:rsidRDefault="00E9291B" w:rsidP="00590443">
            <w:pPr>
              <w:pStyle w:val="Body"/>
            </w:pPr>
            <w:r>
              <w:t>2015</w:t>
            </w:r>
          </w:p>
        </w:tc>
        <w:tc>
          <w:tcPr>
            <w:tcW w:w="6883" w:type="dxa"/>
          </w:tcPr>
          <w:p w14:paraId="0162B63C" w14:textId="77777777" w:rsidR="00E9291B" w:rsidRDefault="00E9291B" w:rsidP="00590443">
            <w:pPr>
              <w:pStyle w:val="Body"/>
            </w:pPr>
            <w:r>
              <w:t>Commenced RhD Ig and cell salvage reporting (1 January 2015)</w:t>
            </w:r>
          </w:p>
          <w:p w14:paraId="42F5C5AF" w14:textId="77777777" w:rsidR="00E9291B" w:rsidRDefault="00E9291B" w:rsidP="00590443">
            <w:pPr>
              <w:pStyle w:val="Body"/>
            </w:pPr>
            <w:r>
              <w:t>Change to WBIT reporting to exclude mismatch in labelling (zero tolerance)</w:t>
            </w:r>
          </w:p>
        </w:tc>
      </w:tr>
      <w:tr w:rsidR="00E9291B" w14:paraId="4C32BBCF" w14:textId="77777777" w:rsidTr="00590443">
        <w:tc>
          <w:tcPr>
            <w:tcW w:w="2405" w:type="dxa"/>
          </w:tcPr>
          <w:p w14:paraId="42E0124B" w14:textId="77777777" w:rsidR="00E9291B" w:rsidRDefault="00E9291B" w:rsidP="00590443">
            <w:pPr>
              <w:pStyle w:val="Body"/>
            </w:pPr>
            <w:r>
              <w:t>2017</w:t>
            </w:r>
          </w:p>
        </w:tc>
        <w:tc>
          <w:tcPr>
            <w:tcW w:w="6883" w:type="dxa"/>
          </w:tcPr>
          <w:p w14:paraId="292AAA3A" w14:textId="77777777" w:rsidR="00E9291B" w:rsidRDefault="00E9291B" w:rsidP="00590443">
            <w:pPr>
              <w:pStyle w:val="Body"/>
            </w:pPr>
            <w:r>
              <w:t>Review of all forms</w:t>
            </w:r>
          </w:p>
          <w:p w14:paraId="64D14AE2" w14:textId="77777777" w:rsidR="00E9291B" w:rsidRDefault="00E9291B" w:rsidP="00590443">
            <w:pPr>
              <w:pStyle w:val="Body"/>
            </w:pPr>
            <w:r>
              <w:t>Commenced reporting of delayed serological transfusion reaction and transfusion-associated dyspnoea (1 July 2017)</w:t>
            </w:r>
          </w:p>
        </w:tc>
      </w:tr>
      <w:tr w:rsidR="00E9291B" w14:paraId="5BCF20F5" w14:textId="77777777" w:rsidTr="00590443">
        <w:tc>
          <w:tcPr>
            <w:tcW w:w="2405" w:type="dxa"/>
          </w:tcPr>
          <w:p w14:paraId="515BC9C4" w14:textId="77777777" w:rsidR="00E9291B" w:rsidRDefault="00E9291B" w:rsidP="00590443">
            <w:pPr>
              <w:pStyle w:val="Body"/>
            </w:pPr>
            <w:r>
              <w:t>2018</w:t>
            </w:r>
          </w:p>
        </w:tc>
        <w:tc>
          <w:tcPr>
            <w:tcW w:w="6883" w:type="dxa"/>
          </w:tcPr>
          <w:p w14:paraId="49584EAD" w14:textId="77777777" w:rsidR="00E9291B" w:rsidRPr="007E3875" w:rsidRDefault="00E9291B" w:rsidP="00590443">
            <w:pPr>
              <w:pStyle w:val="Body"/>
            </w:pPr>
            <w:r>
              <w:t xml:space="preserve">First </w:t>
            </w:r>
            <w:r>
              <w:rPr>
                <w:i/>
                <w:iCs/>
              </w:rPr>
              <w:t xml:space="preserve">STIR bulletin </w:t>
            </w:r>
            <w:r>
              <w:t>sent to health services and interested parties</w:t>
            </w:r>
          </w:p>
        </w:tc>
      </w:tr>
      <w:tr w:rsidR="00E9291B" w14:paraId="10B02699" w14:textId="77777777" w:rsidTr="00590443">
        <w:tc>
          <w:tcPr>
            <w:tcW w:w="2405" w:type="dxa"/>
          </w:tcPr>
          <w:p w14:paraId="3430363D" w14:textId="77777777" w:rsidR="00E9291B" w:rsidRDefault="00E9291B" w:rsidP="00590443">
            <w:pPr>
              <w:pStyle w:val="Body"/>
            </w:pPr>
            <w:r>
              <w:t>2020</w:t>
            </w:r>
          </w:p>
        </w:tc>
        <w:tc>
          <w:tcPr>
            <w:tcW w:w="6883" w:type="dxa"/>
          </w:tcPr>
          <w:p w14:paraId="389D96D4" w14:textId="77777777" w:rsidR="00E9291B" w:rsidRDefault="00E9291B" w:rsidP="00590443">
            <w:pPr>
              <w:pStyle w:val="Body"/>
            </w:pPr>
            <w:r>
              <w:t>Commenced reporting of RhD isoimmunisations and hypotensive reactions (1 July 2020)</w:t>
            </w:r>
          </w:p>
        </w:tc>
      </w:tr>
      <w:tr w:rsidR="00E9291B" w14:paraId="796A9E3C" w14:textId="77777777" w:rsidTr="00590443">
        <w:tc>
          <w:tcPr>
            <w:tcW w:w="2405" w:type="dxa"/>
          </w:tcPr>
          <w:p w14:paraId="50C57E6B" w14:textId="77777777" w:rsidR="00E9291B" w:rsidRDefault="00E9291B" w:rsidP="00590443">
            <w:pPr>
              <w:pStyle w:val="Body"/>
            </w:pPr>
            <w:r>
              <w:t>2021</w:t>
            </w:r>
          </w:p>
        </w:tc>
        <w:tc>
          <w:tcPr>
            <w:tcW w:w="6883" w:type="dxa"/>
          </w:tcPr>
          <w:p w14:paraId="438FA99C" w14:textId="54612424" w:rsidR="00E9291B" w:rsidRDefault="00E9291B" w:rsidP="00590443">
            <w:pPr>
              <w:pStyle w:val="Body"/>
            </w:pPr>
            <w:r>
              <w:t xml:space="preserve">included questions re </w:t>
            </w:r>
            <w:r w:rsidR="00FB2BCF">
              <w:t xml:space="preserve">electronic medical records </w:t>
            </w:r>
            <w:r>
              <w:t>in investigation forms (1 July 2021)</w:t>
            </w:r>
          </w:p>
        </w:tc>
      </w:tr>
      <w:bookmarkEnd w:id="128"/>
    </w:tbl>
    <w:p w14:paraId="2C62382A" w14:textId="77777777" w:rsidR="00292375" w:rsidRPr="00495C75" w:rsidRDefault="00292375" w:rsidP="00390291">
      <w:pPr>
        <w:pStyle w:val="Body"/>
      </w:pPr>
    </w:p>
    <w:sectPr w:rsidR="00292375" w:rsidRPr="00495C75" w:rsidSect="007F13DC">
      <w:headerReference w:type="default" r:id="rId44"/>
      <w:headerReference w:type="first" r:id="rId45"/>
      <w:pgSz w:w="11906" w:h="16838" w:code="9"/>
      <w:pgMar w:top="1418" w:right="1304" w:bottom="1134" w:left="1304" w:header="680" w:footer="851"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B4D60" w14:textId="77777777" w:rsidR="00A80071" w:rsidRDefault="00A80071">
      <w:r>
        <w:separator/>
      </w:r>
    </w:p>
    <w:p w14:paraId="6CF45C60" w14:textId="77777777" w:rsidR="00A80071" w:rsidRDefault="00A80071"/>
  </w:endnote>
  <w:endnote w:type="continuationSeparator" w:id="0">
    <w:p w14:paraId="19B42416" w14:textId="77777777" w:rsidR="00A80071" w:rsidRDefault="00A80071">
      <w:r>
        <w:continuationSeparator/>
      </w:r>
    </w:p>
    <w:p w14:paraId="2ED932A4" w14:textId="77777777" w:rsidR="00A80071" w:rsidRDefault="00A80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IC-Regular">
    <w:altName w:val="Yu Gothic"/>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E48BF"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3FDFA04E" wp14:editId="0115A78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E2319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DFA04E"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7E2319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190FC"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36C9B68C" wp14:editId="736CE90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AC3B8"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9B68C"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96AC3B8"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DF9BA"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3434CAD9" wp14:editId="6856B2E2">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4E4E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34CAD9"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F34E4E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9D128"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61196FF3" wp14:editId="27E8B40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6640D"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196FF3"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C66640D"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A1B73"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254FB9A7" wp14:editId="7E920339">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855A7"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4FB9A7"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B1855A7"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42928D74" wp14:editId="0B497CC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A618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2928D7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A2A618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A14FC" w14:textId="77777777" w:rsidR="00A80071" w:rsidRDefault="00A80071" w:rsidP="00207717">
      <w:pPr>
        <w:spacing w:before="120"/>
      </w:pPr>
      <w:r>
        <w:separator/>
      </w:r>
    </w:p>
  </w:footnote>
  <w:footnote w:type="continuationSeparator" w:id="0">
    <w:p w14:paraId="744B49AF" w14:textId="77777777" w:rsidR="00A80071" w:rsidRDefault="00A80071">
      <w:r>
        <w:continuationSeparator/>
      </w:r>
    </w:p>
    <w:p w14:paraId="0756C569" w14:textId="77777777" w:rsidR="00A80071" w:rsidRDefault="00A80071"/>
  </w:footnote>
  <w:footnote w:id="1">
    <w:p w14:paraId="1062F9FC" w14:textId="1E7BF0C5" w:rsidR="004C16B6" w:rsidRDefault="004C16B6">
      <w:pPr>
        <w:pStyle w:val="FootnoteText"/>
      </w:pPr>
      <w:r>
        <w:rPr>
          <w:rStyle w:val="FootnoteReference"/>
        </w:rPr>
        <w:footnoteRef/>
      </w:r>
      <w:r>
        <w:t xml:space="preserve"> Multiple blood products may be selected for one reaction.</w:t>
      </w:r>
    </w:p>
  </w:footnote>
  <w:footnote w:id="2">
    <w:p w14:paraId="452DE237" w14:textId="19D0407D" w:rsidR="00390291" w:rsidRDefault="00390291">
      <w:pPr>
        <w:pStyle w:val="FootnoteText"/>
      </w:pPr>
      <w:r>
        <w:rPr>
          <w:rStyle w:val="FootnoteReference"/>
        </w:rPr>
        <w:footnoteRef/>
      </w:r>
      <w:r>
        <w:t xml:space="preserve"> &lt;</w:t>
      </w:r>
      <w:r w:rsidRPr="00FD75FB">
        <w:t>https://www.safetyandquality.gov.au/our-work/indicators-measurement-and-reporting/incident-management-and-sentinel-events</w:t>
      </w:r>
      <w:r>
        <w:t>&gt;</w:t>
      </w:r>
    </w:p>
  </w:footnote>
  <w:footnote w:id="3">
    <w:p w14:paraId="25A35493" w14:textId="717E00BC" w:rsidR="00A63672" w:rsidRDefault="00A63672">
      <w:pPr>
        <w:pStyle w:val="FootnoteText"/>
      </w:pPr>
      <w:r>
        <w:rPr>
          <w:rStyle w:val="FootnoteReference"/>
        </w:rPr>
        <w:footnoteRef/>
      </w:r>
      <w:r>
        <w:t xml:space="preserve"> &lt;</w:t>
      </w:r>
      <w:r w:rsidRPr="00FD75FB">
        <w:t>https://www.safercare.vic.gov.au/sites/default/files/2022-10/Victorian%20Duty%20of%20Candour%20Guidelines%20-%20FINAL.docx</w:t>
      </w:r>
      <w:r>
        <w:t>&gt;&gt;</w:t>
      </w:r>
    </w:p>
  </w:footnote>
  <w:footnote w:id="4">
    <w:p w14:paraId="0F045A19" w14:textId="75A2D66D" w:rsidR="00A63672" w:rsidRDefault="00A63672">
      <w:pPr>
        <w:pStyle w:val="FootnoteText"/>
      </w:pPr>
      <w:r>
        <w:rPr>
          <w:rStyle w:val="FootnoteReference"/>
        </w:rPr>
        <w:footnoteRef/>
      </w:r>
      <w:r>
        <w:t xml:space="preserve"> &lt;</w:t>
      </w:r>
      <w:r w:rsidRPr="009839B3">
        <w:t>https://www.safercare.vic.gov.au/sites/default/files/2022-10/Victorian%20Duty%20of%20Candour%20Framework%20-%20FINAL.docx</w:t>
      </w:r>
      <w:r>
        <w:t>&gt;</w:t>
      </w:r>
    </w:p>
  </w:footnote>
  <w:footnote w:id="5">
    <w:p w14:paraId="60A88DCE" w14:textId="25AEBD75" w:rsidR="00390291" w:rsidRDefault="00390291">
      <w:pPr>
        <w:pStyle w:val="FootnoteText"/>
      </w:pPr>
      <w:r>
        <w:rPr>
          <w:rStyle w:val="FootnoteReference"/>
        </w:rPr>
        <w:footnoteRef/>
      </w:r>
      <w:r>
        <w:t xml:space="preserve"> </w:t>
      </w:r>
      <w:r>
        <w:rPr>
          <w:szCs w:val="21"/>
        </w:rPr>
        <w:t>&lt;</w:t>
      </w:r>
      <w:r w:rsidRPr="00FD75FB">
        <w:rPr>
          <w:szCs w:val="21"/>
        </w:rPr>
        <w:t>https://www.safercare.vic.gov.au/sites/default/files/2022-10/Protections%20for%20serious%20adverse%20patient%20safety%20event%20%28SAPSE%29%20reviews%20-%20FINAL.docx</w:t>
      </w:r>
      <w:r>
        <w:rPr>
          <w:szCs w:val="21"/>
        </w:rPr>
        <w:t>&gt;</w:t>
      </w:r>
    </w:p>
  </w:footnote>
  <w:footnote w:id="6">
    <w:p w14:paraId="24997B14" w14:textId="29B3F258" w:rsidR="00390291" w:rsidRDefault="00390291">
      <w:pPr>
        <w:pStyle w:val="FootnoteText"/>
      </w:pPr>
      <w:r>
        <w:rPr>
          <w:rStyle w:val="FootnoteReference"/>
        </w:rPr>
        <w:footnoteRef/>
      </w:r>
      <w:r>
        <w:t xml:space="preserve"> &lt;</w:t>
      </w:r>
      <w:r w:rsidRPr="009839B3">
        <w:t>https://evolve.edu.au/recommendations/anzsbt</w:t>
      </w:r>
      <w:r>
        <w:t>&gt;</w:t>
      </w:r>
    </w:p>
  </w:footnote>
  <w:footnote w:id="7">
    <w:p w14:paraId="1610F5B7" w14:textId="06A5A348" w:rsidR="00390291" w:rsidRDefault="00390291">
      <w:pPr>
        <w:pStyle w:val="FootnoteText"/>
      </w:pPr>
      <w:r>
        <w:rPr>
          <w:rStyle w:val="FootnoteReference"/>
        </w:rPr>
        <w:footnoteRef/>
      </w:r>
      <w:r>
        <w:t xml:space="preserve"> &lt;</w:t>
      </w:r>
      <w:r w:rsidRPr="00FD75FB">
        <w:t>https://www.health.vic.gov.au/patient-care/blood-matters-audit-reports</w:t>
      </w:r>
      <w:r>
        <w:t>&gt;</w:t>
      </w:r>
    </w:p>
  </w:footnote>
  <w:footnote w:id="8">
    <w:p w14:paraId="18B2DA5C" w14:textId="4FB741FC" w:rsidR="00390291" w:rsidRDefault="00390291">
      <w:pPr>
        <w:pStyle w:val="FootnoteText"/>
      </w:pPr>
      <w:r>
        <w:rPr>
          <w:rStyle w:val="FootnoteReference"/>
        </w:rPr>
        <w:footnoteRef/>
      </w:r>
      <w:r>
        <w:t xml:space="preserve"> &lt;</w:t>
      </w:r>
      <w:r w:rsidRPr="00390291">
        <w:t>https://www.lifeblood.com.au/blood/learn-about-blood/plasma/anti-D</w:t>
      </w:r>
      <w:r>
        <w:t>&gt;</w:t>
      </w:r>
    </w:p>
  </w:footnote>
  <w:footnote w:id="9">
    <w:p w14:paraId="38AD0A94" w14:textId="6DECF1CA" w:rsidR="00390291" w:rsidRDefault="00390291">
      <w:pPr>
        <w:pStyle w:val="FootnoteText"/>
      </w:pPr>
      <w:r>
        <w:rPr>
          <w:rStyle w:val="FootnoteReference"/>
        </w:rPr>
        <w:footnoteRef/>
      </w:r>
      <w:r>
        <w:t xml:space="preserve"> &lt;</w:t>
      </w:r>
      <w:r w:rsidRPr="00390291">
        <w:t>https://www.lifeblood.com.au/blood/learn-about-blood/plasma/anti-D</w:t>
      </w:r>
      <w:r>
        <w:t>&gt;</w:t>
      </w:r>
    </w:p>
  </w:footnote>
  <w:footnote w:id="10">
    <w:p w14:paraId="32E8624E" w14:textId="17A494DD" w:rsidR="00390291" w:rsidRDefault="00390291">
      <w:pPr>
        <w:pStyle w:val="FootnoteText"/>
      </w:pPr>
      <w:r>
        <w:rPr>
          <w:rStyle w:val="FootnoteReference"/>
        </w:rPr>
        <w:footnoteRef/>
      </w:r>
      <w:r>
        <w:t xml:space="preserve"> &lt;</w:t>
      </w:r>
      <w:r w:rsidRPr="00390291">
        <w:t>https://www.blood.gov.au/guideline-prophylactic-use-rh-d-immunoglobulin-pregnancy-care</w:t>
      </w:r>
      <w:r>
        <w:t>&gt;</w:t>
      </w:r>
    </w:p>
  </w:footnote>
  <w:footnote w:id="11">
    <w:p w14:paraId="76DA2CDE" w14:textId="075F2ADF" w:rsidR="00390291" w:rsidRDefault="00390291">
      <w:pPr>
        <w:pStyle w:val="FootnoteText"/>
      </w:pPr>
      <w:r>
        <w:rPr>
          <w:rStyle w:val="FootnoteReference"/>
        </w:rPr>
        <w:footnoteRef/>
      </w:r>
      <w:r>
        <w:t xml:space="preserve"> &lt;</w:t>
      </w:r>
      <w:r w:rsidRPr="00390291">
        <w:t>https://www.health.vic.gov.au/patient-care/serious-transfusion-incident-reporting-system-stir</w:t>
      </w:r>
      <w:r>
        <w:t>&gt;</w:t>
      </w:r>
    </w:p>
  </w:footnote>
  <w:footnote w:id="12">
    <w:p w14:paraId="43BA1204" w14:textId="5FA9BA8A" w:rsidR="00390291" w:rsidRDefault="00390291">
      <w:pPr>
        <w:pStyle w:val="FootnoteText"/>
      </w:pPr>
      <w:r>
        <w:rPr>
          <w:rStyle w:val="FootnoteReference"/>
        </w:rPr>
        <w:footnoteRef/>
      </w:r>
      <w:r>
        <w:t xml:space="preserve"> &lt;</w:t>
      </w:r>
      <w:r w:rsidRPr="00390291">
        <w:t>https://www.gov.uk/drug-device-alerts/national-patient-safety-alert-reducing-risks-for-transfusion-associated-circulatory-overload-natpsa-slash-2024-slash-004-slash-mhra</w:t>
      </w:r>
      <w:r>
        <w:t>&gt;</w:t>
      </w:r>
    </w:p>
  </w:footnote>
  <w:footnote w:id="13">
    <w:p w14:paraId="14D4F734" w14:textId="5076DAA3" w:rsidR="00390291" w:rsidRDefault="00390291">
      <w:pPr>
        <w:pStyle w:val="FootnoteText"/>
      </w:pPr>
      <w:r>
        <w:rPr>
          <w:rStyle w:val="FootnoteReference"/>
        </w:rPr>
        <w:footnoteRef/>
      </w:r>
      <w:r>
        <w:t xml:space="preserve"> &lt;</w:t>
      </w:r>
      <w:r w:rsidRPr="00390291">
        <w:t>https://anzsbt.org.au/wp-content/uploads/2024/02/TAGVHD-Guideines-2024.pdf</w:t>
      </w:r>
      <w:r>
        <w:t>&gt;</w:t>
      </w:r>
    </w:p>
  </w:footnote>
  <w:footnote w:id="14">
    <w:p w14:paraId="2B3BE27F" w14:textId="7CE0EC49" w:rsidR="00390291" w:rsidRDefault="00390291">
      <w:pPr>
        <w:pStyle w:val="FootnoteText"/>
      </w:pPr>
      <w:r>
        <w:rPr>
          <w:rStyle w:val="FootnoteReference"/>
        </w:rPr>
        <w:footnoteRef/>
      </w:r>
      <w:r>
        <w:t xml:space="preserve"> &lt;</w:t>
      </w:r>
      <w:r w:rsidRPr="00390291">
        <w:t>https://www.lifeblood.com.au/health-professionals/clinical-practice/adverse-events/PTP</w:t>
      </w:r>
      <w:r>
        <w:t>&gt;</w:t>
      </w:r>
    </w:p>
  </w:footnote>
  <w:footnote w:id="15">
    <w:p w14:paraId="32BF626A" w14:textId="0197D1AD" w:rsidR="00390291" w:rsidRDefault="00390291">
      <w:pPr>
        <w:pStyle w:val="FootnoteText"/>
      </w:pPr>
      <w:r>
        <w:rPr>
          <w:rStyle w:val="FootnoteReference"/>
        </w:rPr>
        <w:footnoteRef/>
      </w:r>
      <w:r>
        <w:t xml:space="preserve"> &lt;</w:t>
      </w:r>
      <w:r w:rsidRPr="00390291">
        <w:t>https://www.health.vic.gov.au/patient-care/serious-transfusion-incident-reporting-system-stir</w:t>
      </w:r>
      <w:r>
        <w:t>&gt;</w:t>
      </w:r>
    </w:p>
  </w:footnote>
  <w:footnote w:id="16">
    <w:p w14:paraId="6F498C43" w14:textId="71F488EC" w:rsidR="00390291" w:rsidRDefault="00390291">
      <w:pPr>
        <w:pStyle w:val="FootnoteText"/>
      </w:pPr>
      <w:r>
        <w:rPr>
          <w:rStyle w:val="FootnoteReference"/>
        </w:rPr>
        <w:footnoteRef/>
      </w:r>
      <w:r>
        <w:t xml:space="preserve"> </w:t>
      </w:r>
      <w:r w:rsidRPr="003E4548">
        <w:rPr>
          <w:sz w:val="20"/>
        </w:rPr>
        <w:t>One report indicated the event occurred in two areas.</w:t>
      </w:r>
    </w:p>
  </w:footnote>
  <w:footnote w:id="17">
    <w:p w14:paraId="55D2D578" w14:textId="26AC8E32" w:rsidR="00390291" w:rsidRDefault="00390291">
      <w:pPr>
        <w:pStyle w:val="FootnoteText"/>
      </w:pPr>
      <w:r>
        <w:rPr>
          <w:rStyle w:val="FootnoteReference"/>
        </w:rPr>
        <w:footnoteRef/>
      </w:r>
      <w:r>
        <w:t xml:space="preserve"> &lt;</w:t>
      </w:r>
      <w:r w:rsidRPr="00390291">
        <w:t>https://anzsbt.org.au/guidelines-standards/anzsbt-guidelines/</w:t>
      </w:r>
      <w:r>
        <w:t>&gt;</w:t>
      </w:r>
    </w:p>
  </w:footnote>
  <w:footnote w:id="18">
    <w:p w14:paraId="2251D5CD" w14:textId="58514709" w:rsidR="00390291" w:rsidRDefault="00390291">
      <w:pPr>
        <w:pStyle w:val="FootnoteText"/>
      </w:pPr>
      <w:r>
        <w:rPr>
          <w:rStyle w:val="FootnoteReference"/>
        </w:rPr>
        <w:footnoteRef/>
      </w:r>
      <w:r>
        <w:t xml:space="preserve"> &lt;</w:t>
      </w:r>
      <w:r w:rsidRPr="00390291">
        <w:t>https://www.health.vic.gov.au/patient-care/prescribing-and-clinical-use-of-blood-and-blood-products</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5AB56"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CB64" w14:textId="3D0A1068" w:rsidR="00562811" w:rsidRPr="0051568D" w:rsidRDefault="00F00550" w:rsidP="0017674D">
    <w:pPr>
      <w:pStyle w:val="Header"/>
    </w:pPr>
    <w:r>
      <w:t>STIR</w:t>
    </w:r>
    <w:r w:rsidR="003B3212">
      <w:t xml:space="preserve"> annual report 2022</w:t>
    </w:r>
    <w:r>
      <w:t>–</w:t>
    </w:r>
    <w:r w:rsidR="003B3212">
      <w:t>23</w:t>
    </w:r>
    <w:r w:rsidR="0056281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7EF6" w14:textId="79A371AB" w:rsidR="007F13DC" w:rsidRPr="0051568D" w:rsidRDefault="00F00550" w:rsidP="007F13DC">
    <w:pPr>
      <w:pStyle w:val="Header"/>
    </w:pPr>
    <w:r>
      <w:t>STIR</w:t>
    </w:r>
    <w:r w:rsidR="007F13DC">
      <w:t xml:space="preserve"> annual report 2022</w:t>
    </w:r>
    <w:r>
      <w:t>–</w:t>
    </w:r>
    <w:r w:rsidR="007F13DC">
      <w:t>23</w:t>
    </w:r>
    <w:r w:rsidR="007F13DC">
      <w:ptab w:relativeTo="margin" w:alignment="right" w:leader="none"/>
    </w:r>
    <w:r w:rsidR="007F13DC" w:rsidRPr="00DE6C85">
      <w:rPr>
        <w:b w:val="0"/>
        <w:bCs/>
      </w:rPr>
      <w:fldChar w:fldCharType="begin"/>
    </w:r>
    <w:r w:rsidR="007F13DC" w:rsidRPr="00DE6C85">
      <w:rPr>
        <w:bCs/>
      </w:rPr>
      <w:instrText xml:space="preserve"> PAGE </w:instrText>
    </w:r>
    <w:r w:rsidR="007F13DC" w:rsidRPr="00DE6C85">
      <w:rPr>
        <w:b w:val="0"/>
        <w:bCs/>
      </w:rPr>
      <w:fldChar w:fldCharType="separate"/>
    </w:r>
    <w:r w:rsidR="007F13DC">
      <w:rPr>
        <w:b w:val="0"/>
        <w:bCs/>
      </w:rPr>
      <w:t>1</w:t>
    </w:r>
    <w:r w:rsidR="007F13DC"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DDD8" w14:textId="2F1AD578" w:rsidR="007F13DC" w:rsidRDefault="00F00550">
    <w:pPr>
      <w:pStyle w:val="Header"/>
    </w:pPr>
    <w:r>
      <w:t>STIR</w:t>
    </w:r>
    <w:r w:rsidR="007F13DC">
      <w:t xml:space="preserve"> annual report 2022</w:t>
    </w:r>
    <w:r>
      <w:t>–</w:t>
    </w:r>
    <w:r w:rsidR="007F13DC">
      <w:t>23</w:t>
    </w:r>
    <w:r w:rsidR="007F13DC">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EB72361"/>
    <w:multiLevelType w:val="hybridMultilevel"/>
    <w:tmpl w:val="EC6A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267776"/>
    <w:multiLevelType w:val="hybridMultilevel"/>
    <w:tmpl w:val="674AD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B78DF"/>
    <w:multiLevelType w:val="hybridMultilevel"/>
    <w:tmpl w:val="B6FC8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44150E"/>
    <w:multiLevelType w:val="hybridMultilevel"/>
    <w:tmpl w:val="B964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3C27ED5"/>
    <w:multiLevelType w:val="hybridMultilevel"/>
    <w:tmpl w:val="4CACC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D021A2"/>
    <w:multiLevelType w:val="hybridMultilevel"/>
    <w:tmpl w:val="1AD00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7B20AB3"/>
    <w:multiLevelType w:val="hybridMultilevel"/>
    <w:tmpl w:val="64EC4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5B475E"/>
    <w:multiLevelType w:val="hybridMultilevel"/>
    <w:tmpl w:val="57245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435C0F"/>
    <w:multiLevelType w:val="multilevel"/>
    <w:tmpl w:val="D2A2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3925344">
    <w:abstractNumId w:val="5"/>
  </w:num>
  <w:num w:numId="2" w16cid:durableId="997997816">
    <w:abstractNumId w:val="10"/>
  </w:num>
  <w:num w:numId="3" w16cid:durableId="489490920">
    <w:abstractNumId w:val="9"/>
  </w:num>
  <w:num w:numId="4" w16cid:durableId="762148312">
    <w:abstractNumId w:val="13"/>
  </w:num>
  <w:num w:numId="5" w16cid:durableId="212740932">
    <w:abstractNumId w:val="6"/>
  </w:num>
  <w:num w:numId="6" w16cid:durableId="1016882513">
    <w:abstractNumId w:val="0"/>
  </w:num>
  <w:num w:numId="7" w16cid:durableId="1187478191">
    <w:abstractNumId w:val="7"/>
  </w:num>
  <w:num w:numId="8" w16cid:durableId="1991401407">
    <w:abstractNumId w:val="14"/>
  </w:num>
  <w:num w:numId="9" w16cid:durableId="465272642">
    <w:abstractNumId w:val="8"/>
  </w:num>
  <w:num w:numId="10" w16cid:durableId="1487042628">
    <w:abstractNumId w:val="2"/>
  </w:num>
  <w:num w:numId="11" w16cid:durableId="1819880174">
    <w:abstractNumId w:val="4"/>
  </w:num>
  <w:num w:numId="12" w16cid:durableId="2053728550">
    <w:abstractNumId w:val="3"/>
  </w:num>
  <w:num w:numId="13" w16cid:durableId="129128575">
    <w:abstractNumId w:val="11"/>
  </w:num>
  <w:num w:numId="14" w16cid:durableId="142822527">
    <w:abstractNumId w:val="12"/>
  </w:num>
  <w:num w:numId="15" w16cid:durableId="16232682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72"/>
    <w:rsid w:val="00000719"/>
    <w:rsid w:val="00002D68"/>
    <w:rsid w:val="000033F7"/>
    <w:rsid w:val="00003403"/>
    <w:rsid w:val="000042CC"/>
    <w:rsid w:val="00004565"/>
    <w:rsid w:val="00005347"/>
    <w:rsid w:val="000072B6"/>
    <w:rsid w:val="00007632"/>
    <w:rsid w:val="0001021B"/>
    <w:rsid w:val="00011D89"/>
    <w:rsid w:val="000132FC"/>
    <w:rsid w:val="000154FD"/>
    <w:rsid w:val="000157AA"/>
    <w:rsid w:val="0001699E"/>
    <w:rsid w:val="00020704"/>
    <w:rsid w:val="00022271"/>
    <w:rsid w:val="000235E8"/>
    <w:rsid w:val="000238F9"/>
    <w:rsid w:val="00024D89"/>
    <w:rsid w:val="000250B6"/>
    <w:rsid w:val="00030CDD"/>
    <w:rsid w:val="00033D81"/>
    <w:rsid w:val="00033DC9"/>
    <w:rsid w:val="00034F2E"/>
    <w:rsid w:val="00037366"/>
    <w:rsid w:val="00041BF0"/>
    <w:rsid w:val="00041DB3"/>
    <w:rsid w:val="00042C8A"/>
    <w:rsid w:val="00043F8A"/>
    <w:rsid w:val="0004536B"/>
    <w:rsid w:val="00045CA4"/>
    <w:rsid w:val="00046B68"/>
    <w:rsid w:val="000470B4"/>
    <w:rsid w:val="000527DD"/>
    <w:rsid w:val="00054011"/>
    <w:rsid w:val="000548DB"/>
    <w:rsid w:val="000565F7"/>
    <w:rsid w:val="00056EC4"/>
    <w:rsid w:val="000578B2"/>
    <w:rsid w:val="00060959"/>
    <w:rsid w:val="00060C8F"/>
    <w:rsid w:val="0006298A"/>
    <w:rsid w:val="00062C83"/>
    <w:rsid w:val="000663CD"/>
    <w:rsid w:val="000733FE"/>
    <w:rsid w:val="00074219"/>
    <w:rsid w:val="00074ED5"/>
    <w:rsid w:val="0008019D"/>
    <w:rsid w:val="0008204A"/>
    <w:rsid w:val="0008508E"/>
    <w:rsid w:val="00087951"/>
    <w:rsid w:val="0009113B"/>
    <w:rsid w:val="00092583"/>
    <w:rsid w:val="00093402"/>
    <w:rsid w:val="00094DA3"/>
    <w:rsid w:val="00096CD1"/>
    <w:rsid w:val="000A012C"/>
    <w:rsid w:val="000A0EB9"/>
    <w:rsid w:val="000A185C"/>
    <w:rsid w:val="000A186C"/>
    <w:rsid w:val="000A1EA4"/>
    <w:rsid w:val="000A2476"/>
    <w:rsid w:val="000A641A"/>
    <w:rsid w:val="000B19CC"/>
    <w:rsid w:val="000B292A"/>
    <w:rsid w:val="000B3EDB"/>
    <w:rsid w:val="000B543D"/>
    <w:rsid w:val="000B55F9"/>
    <w:rsid w:val="000B5BF7"/>
    <w:rsid w:val="000B6BC8"/>
    <w:rsid w:val="000C0303"/>
    <w:rsid w:val="000C2DEC"/>
    <w:rsid w:val="000C42EA"/>
    <w:rsid w:val="000C4546"/>
    <w:rsid w:val="000C5B61"/>
    <w:rsid w:val="000C67BC"/>
    <w:rsid w:val="000C6856"/>
    <w:rsid w:val="000D10D1"/>
    <w:rsid w:val="000D1242"/>
    <w:rsid w:val="000D1538"/>
    <w:rsid w:val="000D2ABA"/>
    <w:rsid w:val="000E0970"/>
    <w:rsid w:val="000E3CC7"/>
    <w:rsid w:val="000E52F1"/>
    <w:rsid w:val="000E6BD4"/>
    <w:rsid w:val="000E6D6D"/>
    <w:rsid w:val="000F1F1E"/>
    <w:rsid w:val="000F2259"/>
    <w:rsid w:val="000F2DDA"/>
    <w:rsid w:val="000F2EA0"/>
    <w:rsid w:val="000F4035"/>
    <w:rsid w:val="000F5213"/>
    <w:rsid w:val="000F623E"/>
    <w:rsid w:val="00101001"/>
    <w:rsid w:val="00103276"/>
    <w:rsid w:val="0010392D"/>
    <w:rsid w:val="0010447F"/>
    <w:rsid w:val="00104FE3"/>
    <w:rsid w:val="0010714F"/>
    <w:rsid w:val="001120C5"/>
    <w:rsid w:val="001146B3"/>
    <w:rsid w:val="00120BD3"/>
    <w:rsid w:val="00122FEA"/>
    <w:rsid w:val="001232BD"/>
    <w:rsid w:val="001236DC"/>
    <w:rsid w:val="00124ED5"/>
    <w:rsid w:val="001264E9"/>
    <w:rsid w:val="001276FA"/>
    <w:rsid w:val="0013023F"/>
    <w:rsid w:val="001312D6"/>
    <w:rsid w:val="00132593"/>
    <w:rsid w:val="00132FA3"/>
    <w:rsid w:val="0013661C"/>
    <w:rsid w:val="001427DA"/>
    <w:rsid w:val="001447B3"/>
    <w:rsid w:val="00147500"/>
    <w:rsid w:val="00151E73"/>
    <w:rsid w:val="00152073"/>
    <w:rsid w:val="00152329"/>
    <w:rsid w:val="0015595B"/>
    <w:rsid w:val="00156598"/>
    <w:rsid w:val="00160946"/>
    <w:rsid w:val="00161296"/>
    <w:rsid w:val="00161939"/>
    <w:rsid w:val="00161AA0"/>
    <w:rsid w:val="00161D2E"/>
    <w:rsid w:val="00161F3E"/>
    <w:rsid w:val="00162093"/>
    <w:rsid w:val="00162CA9"/>
    <w:rsid w:val="00163C38"/>
    <w:rsid w:val="00165459"/>
    <w:rsid w:val="00165A57"/>
    <w:rsid w:val="001712C2"/>
    <w:rsid w:val="00172BAF"/>
    <w:rsid w:val="00173E08"/>
    <w:rsid w:val="0017674D"/>
    <w:rsid w:val="001771DD"/>
    <w:rsid w:val="00177995"/>
    <w:rsid w:val="00177A8C"/>
    <w:rsid w:val="0018244E"/>
    <w:rsid w:val="00182975"/>
    <w:rsid w:val="00186B33"/>
    <w:rsid w:val="00186D2B"/>
    <w:rsid w:val="001918AD"/>
    <w:rsid w:val="001920FB"/>
    <w:rsid w:val="00192F9D"/>
    <w:rsid w:val="0019522A"/>
    <w:rsid w:val="00196EB8"/>
    <w:rsid w:val="00196EFB"/>
    <w:rsid w:val="001979FF"/>
    <w:rsid w:val="00197B17"/>
    <w:rsid w:val="001A1861"/>
    <w:rsid w:val="001A1950"/>
    <w:rsid w:val="001A1C54"/>
    <w:rsid w:val="001A3ACE"/>
    <w:rsid w:val="001A5317"/>
    <w:rsid w:val="001A5A2E"/>
    <w:rsid w:val="001A6272"/>
    <w:rsid w:val="001B058F"/>
    <w:rsid w:val="001B0A63"/>
    <w:rsid w:val="001B1E2B"/>
    <w:rsid w:val="001B6B96"/>
    <w:rsid w:val="001B738B"/>
    <w:rsid w:val="001C09DB"/>
    <w:rsid w:val="001C277E"/>
    <w:rsid w:val="001C2A72"/>
    <w:rsid w:val="001C2F35"/>
    <w:rsid w:val="001C31B7"/>
    <w:rsid w:val="001C46DB"/>
    <w:rsid w:val="001D0B75"/>
    <w:rsid w:val="001D37E7"/>
    <w:rsid w:val="001D39A5"/>
    <w:rsid w:val="001D3C09"/>
    <w:rsid w:val="001D3F19"/>
    <w:rsid w:val="001D44E8"/>
    <w:rsid w:val="001D60EC"/>
    <w:rsid w:val="001D6F59"/>
    <w:rsid w:val="001E0324"/>
    <w:rsid w:val="001E317A"/>
    <w:rsid w:val="001E44DF"/>
    <w:rsid w:val="001E68A5"/>
    <w:rsid w:val="001E6BB0"/>
    <w:rsid w:val="001E7282"/>
    <w:rsid w:val="001E7FF0"/>
    <w:rsid w:val="001F3826"/>
    <w:rsid w:val="001F6E46"/>
    <w:rsid w:val="001F7C91"/>
    <w:rsid w:val="0020302D"/>
    <w:rsid w:val="002033B7"/>
    <w:rsid w:val="00205B35"/>
    <w:rsid w:val="00206463"/>
    <w:rsid w:val="00206F2F"/>
    <w:rsid w:val="00207717"/>
    <w:rsid w:val="0021053D"/>
    <w:rsid w:val="00210A92"/>
    <w:rsid w:val="00212B95"/>
    <w:rsid w:val="00215CC8"/>
    <w:rsid w:val="00216C03"/>
    <w:rsid w:val="00220A1A"/>
    <w:rsid w:val="00220C04"/>
    <w:rsid w:val="0022278D"/>
    <w:rsid w:val="0022701F"/>
    <w:rsid w:val="002272CB"/>
    <w:rsid w:val="00227C68"/>
    <w:rsid w:val="002333F5"/>
    <w:rsid w:val="00233724"/>
    <w:rsid w:val="00233C23"/>
    <w:rsid w:val="00235E97"/>
    <w:rsid w:val="00236547"/>
    <w:rsid w:val="002365B4"/>
    <w:rsid w:val="00240C1D"/>
    <w:rsid w:val="002432E1"/>
    <w:rsid w:val="002455AB"/>
    <w:rsid w:val="00246207"/>
    <w:rsid w:val="00246C5E"/>
    <w:rsid w:val="00250960"/>
    <w:rsid w:val="00251343"/>
    <w:rsid w:val="00251A10"/>
    <w:rsid w:val="002536A4"/>
    <w:rsid w:val="00253768"/>
    <w:rsid w:val="00254F58"/>
    <w:rsid w:val="00255F10"/>
    <w:rsid w:val="002620BC"/>
    <w:rsid w:val="00262802"/>
    <w:rsid w:val="00263A90"/>
    <w:rsid w:val="0026408B"/>
    <w:rsid w:val="00264F9E"/>
    <w:rsid w:val="00267C3E"/>
    <w:rsid w:val="002709BB"/>
    <w:rsid w:val="0027131C"/>
    <w:rsid w:val="00273BAC"/>
    <w:rsid w:val="00275B9D"/>
    <w:rsid w:val="002763B3"/>
    <w:rsid w:val="002802E3"/>
    <w:rsid w:val="0028213D"/>
    <w:rsid w:val="002862F1"/>
    <w:rsid w:val="0028673B"/>
    <w:rsid w:val="00291373"/>
    <w:rsid w:val="00292375"/>
    <w:rsid w:val="0029597D"/>
    <w:rsid w:val="002962C3"/>
    <w:rsid w:val="0029752B"/>
    <w:rsid w:val="00297AEC"/>
    <w:rsid w:val="002A0A9C"/>
    <w:rsid w:val="002A25F1"/>
    <w:rsid w:val="002A270F"/>
    <w:rsid w:val="002A483C"/>
    <w:rsid w:val="002A52A4"/>
    <w:rsid w:val="002A5A36"/>
    <w:rsid w:val="002B0C7C"/>
    <w:rsid w:val="002B1729"/>
    <w:rsid w:val="002B36C7"/>
    <w:rsid w:val="002B4DD4"/>
    <w:rsid w:val="002B5277"/>
    <w:rsid w:val="002B5375"/>
    <w:rsid w:val="002B77C1"/>
    <w:rsid w:val="002C0ED7"/>
    <w:rsid w:val="002C2728"/>
    <w:rsid w:val="002C5B7C"/>
    <w:rsid w:val="002D0871"/>
    <w:rsid w:val="002D1E0D"/>
    <w:rsid w:val="002D2E8B"/>
    <w:rsid w:val="002D5006"/>
    <w:rsid w:val="002D7C61"/>
    <w:rsid w:val="002D7E4A"/>
    <w:rsid w:val="002E01D0"/>
    <w:rsid w:val="002E161D"/>
    <w:rsid w:val="002E28A2"/>
    <w:rsid w:val="002E3100"/>
    <w:rsid w:val="002E64BC"/>
    <w:rsid w:val="002E6C95"/>
    <w:rsid w:val="002E7029"/>
    <w:rsid w:val="002E7C36"/>
    <w:rsid w:val="002F3D32"/>
    <w:rsid w:val="002F5F31"/>
    <w:rsid w:val="002F5F46"/>
    <w:rsid w:val="002F6550"/>
    <w:rsid w:val="00302216"/>
    <w:rsid w:val="00303E53"/>
    <w:rsid w:val="00305CC1"/>
    <w:rsid w:val="003060E6"/>
    <w:rsid w:val="00306E5F"/>
    <w:rsid w:val="00307E14"/>
    <w:rsid w:val="00310A49"/>
    <w:rsid w:val="00314054"/>
    <w:rsid w:val="00316F27"/>
    <w:rsid w:val="003208FB"/>
    <w:rsid w:val="003214F1"/>
    <w:rsid w:val="00322E4B"/>
    <w:rsid w:val="00327870"/>
    <w:rsid w:val="00331D25"/>
    <w:rsid w:val="003321DB"/>
    <w:rsid w:val="0033259D"/>
    <w:rsid w:val="003333D2"/>
    <w:rsid w:val="00333EA5"/>
    <w:rsid w:val="00334686"/>
    <w:rsid w:val="00337339"/>
    <w:rsid w:val="00340281"/>
    <w:rsid w:val="00340345"/>
    <w:rsid w:val="003406C6"/>
    <w:rsid w:val="003418CC"/>
    <w:rsid w:val="003434EE"/>
    <w:rsid w:val="00344AB1"/>
    <w:rsid w:val="003459BD"/>
    <w:rsid w:val="00350D38"/>
    <w:rsid w:val="00351B36"/>
    <w:rsid w:val="00352920"/>
    <w:rsid w:val="00357B4E"/>
    <w:rsid w:val="00357D28"/>
    <w:rsid w:val="0036569C"/>
    <w:rsid w:val="003716FD"/>
    <w:rsid w:val="0037204B"/>
    <w:rsid w:val="00373167"/>
    <w:rsid w:val="003744CF"/>
    <w:rsid w:val="00374717"/>
    <w:rsid w:val="003748D6"/>
    <w:rsid w:val="0037676C"/>
    <w:rsid w:val="00381043"/>
    <w:rsid w:val="003829E5"/>
    <w:rsid w:val="0038427C"/>
    <w:rsid w:val="00384328"/>
    <w:rsid w:val="00384329"/>
    <w:rsid w:val="003856F5"/>
    <w:rsid w:val="00386109"/>
    <w:rsid w:val="00386944"/>
    <w:rsid w:val="00390291"/>
    <w:rsid w:val="00391CCD"/>
    <w:rsid w:val="003927B3"/>
    <w:rsid w:val="00393B20"/>
    <w:rsid w:val="003956CC"/>
    <w:rsid w:val="00395C9A"/>
    <w:rsid w:val="00395FFF"/>
    <w:rsid w:val="003A0853"/>
    <w:rsid w:val="003A16F9"/>
    <w:rsid w:val="003A1F9F"/>
    <w:rsid w:val="003A1FB1"/>
    <w:rsid w:val="003A6B67"/>
    <w:rsid w:val="003B13B6"/>
    <w:rsid w:val="003B14C3"/>
    <w:rsid w:val="003B15E6"/>
    <w:rsid w:val="003B22EF"/>
    <w:rsid w:val="003B3212"/>
    <w:rsid w:val="003B408A"/>
    <w:rsid w:val="003B51A7"/>
    <w:rsid w:val="003B51BE"/>
    <w:rsid w:val="003C08A2"/>
    <w:rsid w:val="003C2045"/>
    <w:rsid w:val="003C2087"/>
    <w:rsid w:val="003C2391"/>
    <w:rsid w:val="003C43A1"/>
    <w:rsid w:val="003C4FC0"/>
    <w:rsid w:val="003C55F4"/>
    <w:rsid w:val="003C7897"/>
    <w:rsid w:val="003C7A3F"/>
    <w:rsid w:val="003D2766"/>
    <w:rsid w:val="003D2A74"/>
    <w:rsid w:val="003D3D88"/>
    <w:rsid w:val="003D3E8F"/>
    <w:rsid w:val="003D44D4"/>
    <w:rsid w:val="003D6475"/>
    <w:rsid w:val="003D6EBB"/>
    <w:rsid w:val="003D6EE6"/>
    <w:rsid w:val="003E375C"/>
    <w:rsid w:val="003E4086"/>
    <w:rsid w:val="003E4548"/>
    <w:rsid w:val="003E617D"/>
    <w:rsid w:val="003E639E"/>
    <w:rsid w:val="003E6B04"/>
    <w:rsid w:val="003E71E5"/>
    <w:rsid w:val="003F0104"/>
    <w:rsid w:val="003F0445"/>
    <w:rsid w:val="003F0CF0"/>
    <w:rsid w:val="003F14B1"/>
    <w:rsid w:val="003F2B20"/>
    <w:rsid w:val="003F3289"/>
    <w:rsid w:val="003F3C62"/>
    <w:rsid w:val="003F55E8"/>
    <w:rsid w:val="003F5CB9"/>
    <w:rsid w:val="004013C7"/>
    <w:rsid w:val="00401576"/>
    <w:rsid w:val="00401FCF"/>
    <w:rsid w:val="00402F79"/>
    <w:rsid w:val="00406285"/>
    <w:rsid w:val="00407557"/>
    <w:rsid w:val="0041147C"/>
    <w:rsid w:val="004115A2"/>
    <w:rsid w:val="004137C5"/>
    <w:rsid w:val="0041402E"/>
    <w:rsid w:val="004148F9"/>
    <w:rsid w:val="0041647A"/>
    <w:rsid w:val="0042084E"/>
    <w:rsid w:val="00421EEF"/>
    <w:rsid w:val="00424D65"/>
    <w:rsid w:val="0043012C"/>
    <w:rsid w:val="00430393"/>
    <w:rsid w:val="00431806"/>
    <w:rsid w:val="00431A70"/>
    <w:rsid w:val="00431F42"/>
    <w:rsid w:val="00432E58"/>
    <w:rsid w:val="00442C6C"/>
    <w:rsid w:val="00443CBE"/>
    <w:rsid w:val="00443E8A"/>
    <w:rsid w:val="004441BC"/>
    <w:rsid w:val="004468B4"/>
    <w:rsid w:val="00446D86"/>
    <w:rsid w:val="004477F3"/>
    <w:rsid w:val="0045230A"/>
    <w:rsid w:val="004542AB"/>
    <w:rsid w:val="00454A7D"/>
    <w:rsid w:val="00454AD0"/>
    <w:rsid w:val="00457337"/>
    <w:rsid w:val="00460ED4"/>
    <w:rsid w:val="00460F35"/>
    <w:rsid w:val="00462E3D"/>
    <w:rsid w:val="00466E79"/>
    <w:rsid w:val="004707C2"/>
    <w:rsid w:val="00470D7D"/>
    <w:rsid w:val="0047372D"/>
    <w:rsid w:val="00473BA3"/>
    <w:rsid w:val="004743DD"/>
    <w:rsid w:val="00474CEA"/>
    <w:rsid w:val="004752B4"/>
    <w:rsid w:val="0047653A"/>
    <w:rsid w:val="00483968"/>
    <w:rsid w:val="004841BE"/>
    <w:rsid w:val="00484F86"/>
    <w:rsid w:val="00485F6E"/>
    <w:rsid w:val="00490746"/>
    <w:rsid w:val="00490852"/>
    <w:rsid w:val="00491C9C"/>
    <w:rsid w:val="00492F30"/>
    <w:rsid w:val="004946F4"/>
    <w:rsid w:val="0049487E"/>
    <w:rsid w:val="00494F60"/>
    <w:rsid w:val="00495C75"/>
    <w:rsid w:val="004972F6"/>
    <w:rsid w:val="00497F17"/>
    <w:rsid w:val="004A160D"/>
    <w:rsid w:val="004A2709"/>
    <w:rsid w:val="004A3E81"/>
    <w:rsid w:val="004A4195"/>
    <w:rsid w:val="004A5C62"/>
    <w:rsid w:val="004A5CE5"/>
    <w:rsid w:val="004A707D"/>
    <w:rsid w:val="004B0974"/>
    <w:rsid w:val="004B1672"/>
    <w:rsid w:val="004B4185"/>
    <w:rsid w:val="004B705E"/>
    <w:rsid w:val="004C16B6"/>
    <w:rsid w:val="004C5541"/>
    <w:rsid w:val="004C6EEE"/>
    <w:rsid w:val="004C702B"/>
    <w:rsid w:val="004D0033"/>
    <w:rsid w:val="004D016B"/>
    <w:rsid w:val="004D1B22"/>
    <w:rsid w:val="004D23CC"/>
    <w:rsid w:val="004D36F2"/>
    <w:rsid w:val="004D72B9"/>
    <w:rsid w:val="004E1106"/>
    <w:rsid w:val="004E138F"/>
    <w:rsid w:val="004E2E65"/>
    <w:rsid w:val="004E3EAD"/>
    <w:rsid w:val="004E4649"/>
    <w:rsid w:val="004E48B8"/>
    <w:rsid w:val="004E5C2B"/>
    <w:rsid w:val="004F00DD"/>
    <w:rsid w:val="004F2133"/>
    <w:rsid w:val="004F2C46"/>
    <w:rsid w:val="004F3888"/>
    <w:rsid w:val="004F5398"/>
    <w:rsid w:val="004F55F1"/>
    <w:rsid w:val="004F6936"/>
    <w:rsid w:val="0050062F"/>
    <w:rsid w:val="00502011"/>
    <w:rsid w:val="00503DC6"/>
    <w:rsid w:val="00506CB6"/>
    <w:rsid w:val="00506F5D"/>
    <w:rsid w:val="00510C37"/>
    <w:rsid w:val="005126D0"/>
    <w:rsid w:val="00514667"/>
    <w:rsid w:val="0051568D"/>
    <w:rsid w:val="00526AC7"/>
    <w:rsid w:val="00526C15"/>
    <w:rsid w:val="00533CDF"/>
    <w:rsid w:val="00534301"/>
    <w:rsid w:val="005355A4"/>
    <w:rsid w:val="00536499"/>
    <w:rsid w:val="00542A03"/>
    <w:rsid w:val="00543903"/>
    <w:rsid w:val="00543BCC"/>
    <w:rsid w:val="00543F11"/>
    <w:rsid w:val="00544135"/>
    <w:rsid w:val="00546305"/>
    <w:rsid w:val="00547A95"/>
    <w:rsid w:val="0055119B"/>
    <w:rsid w:val="00552A18"/>
    <w:rsid w:val="00553A2D"/>
    <w:rsid w:val="00557DC2"/>
    <w:rsid w:val="00561202"/>
    <w:rsid w:val="00562507"/>
    <w:rsid w:val="00562811"/>
    <w:rsid w:val="0056284A"/>
    <w:rsid w:val="0056661F"/>
    <w:rsid w:val="00566EB2"/>
    <w:rsid w:val="00566F66"/>
    <w:rsid w:val="00572031"/>
    <w:rsid w:val="00572282"/>
    <w:rsid w:val="00573CE3"/>
    <w:rsid w:val="0057636C"/>
    <w:rsid w:val="00576E84"/>
    <w:rsid w:val="00580394"/>
    <w:rsid w:val="005809CD"/>
    <w:rsid w:val="00582B8C"/>
    <w:rsid w:val="0058757E"/>
    <w:rsid w:val="0058758D"/>
    <w:rsid w:val="00590305"/>
    <w:rsid w:val="00594CAD"/>
    <w:rsid w:val="00595147"/>
    <w:rsid w:val="005953AD"/>
    <w:rsid w:val="00596A4B"/>
    <w:rsid w:val="00597507"/>
    <w:rsid w:val="0059792B"/>
    <w:rsid w:val="005A26D6"/>
    <w:rsid w:val="005A38E7"/>
    <w:rsid w:val="005A479D"/>
    <w:rsid w:val="005A6EC2"/>
    <w:rsid w:val="005B1BAF"/>
    <w:rsid w:val="005B1C6D"/>
    <w:rsid w:val="005B21B6"/>
    <w:rsid w:val="005B3A08"/>
    <w:rsid w:val="005B782F"/>
    <w:rsid w:val="005B7A63"/>
    <w:rsid w:val="005C0955"/>
    <w:rsid w:val="005C49DA"/>
    <w:rsid w:val="005C50F3"/>
    <w:rsid w:val="005C54B5"/>
    <w:rsid w:val="005C5D80"/>
    <w:rsid w:val="005C5D91"/>
    <w:rsid w:val="005C6917"/>
    <w:rsid w:val="005D07B8"/>
    <w:rsid w:val="005D3437"/>
    <w:rsid w:val="005D640B"/>
    <w:rsid w:val="005D6597"/>
    <w:rsid w:val="005E0C78"/>
    <w:rsid w:val="005E14E7"/>
    <w:rsid w:val="005E26A3"/>
    <w:rsid w:val="005E2ECB"/>
    <w:rsid w:val="005E447E"/>
    <w:rsid w:val="005E4FD1"/>
    <w:rsid w:val="005F0096"/>
    <w:rsid w:val="005F0775"/>
    <w:rsid w:val="005F0CF5"/>
    <w:rsid w:val="005F21EB"/>
    <w:rsid w:val="005F424B"/>
    <w:rsid w:val="005F64CF"/>
    <w:rsid w:val="005F7F9C"/>
    <w:rsid w:val="006041AD"/>
    <w:rsid w:val="00604529"/>
    <w:rsid w:val="00605908"/>
    <w:rsid w:val="00606065"/>
    <w:rsid w:val="00607850"/>
    <w:rsid w:val="00607EF7"/>
    <w:rsid w:val="00610D7C"/>
    <w:rsid w:val="00613414"/>
    <w:rsid w:val="00620154"/>
    <w:rsid w:val="00622A85"/>
    <w:rsid w:val="0062408D"/>
    <w:rsid w:val="006240CC"/>
    <w:rsid w:val="00624940"/>
    <w:rsid w:val="006254F8"/>
    <w:rsid w:val="00627DA7"/>
    <w:rsid w:val="00630DA4"/>
    <w:rsid w:val="00631CD4"/>
    <w:rsid w:val="00632597"/>
    <w:rsid w:val="00634D13"/>
    <w:rsid w:val="006358B4"/>
    <w:rsid w:val="00640E0D"/>
    <w:rsid w:val="00641724"/>
    <w:rsid w:val="006419AA"/>
    <w:rsid w:val="00644B1F"/>
    <w:rsid w:val="00644B7E"/>
    <w:rsid w:val="00644CA5"/>
    <w:rsid w:val="006454E6"/>
    <w:rsid w:val="00646235"/>
    <w:rsid w:val="00646A68"/>
    <w:rsid w:val="006505BD"/>
    <w:rsid w:val="006508EA"/>
    <w:rsid w:val="0065092E"/>
    <w:rsid w:val="006511FA"/>
    <w:rsid w:val="006557A7"/>
    <w:rsid w:val="00656290"/>
    <w:rsid w:val="006562BE"/>
    <w:rsid w:val="006601C9"/>
    <w:rsid w:val="006608D8"/>
    <w:rsid w:val="006621D7"/>
    <w:rsid w:val="0066302A"/>
    <w:rsid w:val="00667770"/>
    <w:rsid w:val="00670597"/>
    <w:rsid w:val="006706D0"/>
    <w:rsid w:val="00677574"/>
    <w:rsid w:val="006812ED"/>
    <w:rsid w:val="0068170B"/>
    <w:rsid w:val="00683878"/>
    <w:rsid w:val="00684380"/>
    <w:rsid w:val="0068454C"/>
    <w:rsid w:val="00691B62"/>
    <w:rsid w:val="006933B5"/>
    <w:rsid w:val="00693D14"/>
    <w:rsid w:val="006961E7"/>
    <w:rsid w:val="00696F27"/>
    <w:rsid w:val="006A18C2"/>
    <w:rsid w:val="006A3383"/>
    <w:rsid w:val="006A3A37"/>
    <w:rsid w:val="006B077C"/>
    <w:rsid w:val="006B0E17"/>
    <w:rsid w:val="006B5461"/>
    <w:rsid w:val="006B6803"/>
    <w:rsid w:val="006C1EF7"/>
    <w:rsid w:val="006C1F46"/>
    <w:rsid w:val="006C2EFB"/>
    <w:rsid w:val="006C43E4"/>
    <w:rsid w:val="006C4B77"/>
    <w:rsid w:val="006D0F16"/>
    <w:rsid w:val="006D2A3F"/>
    <w:rsid w:val="006D2FBC"/>
    <w:rsid w:val="006D6E34"/>
    <w:rsid w:val="006D749B"/>
    <w:rsid w:val="006E138B"/>
    <w:rsid w:val="006E1867"/>
    <w:rsid w:val="006F0330"/>
    <w:rsid w:val="006F1FDC"/>
    <w:rsid w:val="006F4744"/>
    <w:rsid w:val="006F5371"/>
    <w:rsid w:val="006F6B8C"/>
    <w:rsid w:val="007013EF"/>
    <w:rsid w:val="00702F41"/>
    <w:rsid w:val="007055BD"/>
    <w:rsid w:val="00706546"/>
    <w:rsid w:val="00711533"/>
    <w:rsid w:val="007173CA"/>
    <w:rsid w:val="00717613"/>
    <w:rsid w:val="007205DD"/>
    <w:rsid w:val="007216AA"/>
    <w:rsid w:val="00721AB5"/>
    <w:rsid w:val="00721CFB"/>
    <w:rsid w:val="00721DEF"/>
    <w:rsid w:val="00721F52"/>
    <w:rsid w:val="007224CC"/>
    <w:rsid w:val="00724A43"/>
    <w:rsid w:val="00725B00"/>
    <w:rsid w:val="007273AC"/>
    <w:rsid w:val="0072784F"/>
    <w:rsid w:val="0072792F"/>
    <w:rsid w:val="00730898"/>
    <w:rsid w:val="00731AD4"/>
    <w:rsid w:val="007332DD"/>
    <w:rsid w:val="007346E4"/>
    <w:rsid w:val="00734EFA"/>
    <w:rsid w:val="00735564"/>
    <w:rsid w:val="00740838"/>
    <w:rsid w:val="00740F22"/>
    <w:rsid w:val="00741CF0"/>
    <w:rsid w:val="00741F1A"/>
    <w:rsid w:val="007447DA"/>
    <w:rsid w:val="00744F29"/>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2A85"/>
    <w:rsid w:val="00783160"/>
    <w:rsid w:val="007833D8"/>
    <w:rsid w:val="00785677"/>
    <w:rsid w:val="00786F16"/>
    <w:rsid w:val="00791BD7"/>
    <w:rsid w:val="007933F7"/>
    <w:rsid w:val="00796E20"/>
    <w:rsid w:val="00797491"/>
    <w:rsid w:val="00797C32"/>
    <w:rsid w:val="007A11E8"/>
    <w:rsid w:val="007A4762"/>
    <w:rsid w:val="007A4F24"/>
    <w:rsid w:val="007A753B"/>
    <w:rsid w:val="007B0914"/>
    <w:rsid w:val="007B1374"/>
    <w:rsid w:val="007B32E5"/>
    <w:rsid w:val="007B3DB9"/>
    <w:rsid w:val="007B589F"/>
    <w:rsid w:val="007B6186"/>
    <w:rsid w:val="007B73BC"/>
    <w:rsid w:val="007C0D8B"/>
    <w:rsid w:val="007C1838"/>
    <w:rsid w:val="007C20B9"/>
    <w:rsid w:val="007C4E00"/>
    <w:rsid w:val="007C616D"/>
    <w:rsid w:val="007C7301"/>
    <w:rsid w:val="007C7859"/>
    <w:rsid w:val="007C7A7F"/>
    <w:rsid w:val="007C7F28"/>
    <w:rsid w:val="007D1466"/>
    <w:rsid w:val="007D2BDE"/>
    <w:rsid w:val="007D2FB6"/>
    <w:rsid w:val="007D362C"/>
    <w:rsid w:val="007D49EB"/>
    <w:rsid w:val="007D5E1C"/>
    <w:rsid w:val="007D651B"/>
    <w:rsid w:val="007E0DE2"/>
    <w:rsid w:val="007E3667"/>
    <w:rsid w:val="007E3B98"/>
    <w:rsid w:val="007E417A"/>
    <w:rsid w:val="007E548D"/>
    <w:rsid w:val="007E54D7"/>
    <w:rsid w:val="007E758F"/>
    <w:rsid w:val="007E7A84"/>
    <w:rsid w:val="007F0EB5"/>
    <w:rsid w:val="007F13DC"/>
    <w:rsid w:val="007F1568"/>
    <w:rsid w:val="007F31B6"/>
    <w:rsid w:val="007F4A0B"/>
    <w:rsid w:val="007F546C"/>
    <w:rsid w:val="007F625F"/>
    <w:rsid w:val="007F665E"/>
    <w:rsid w:val="007F6D5F"/>
    <w:rsid w:val="007F7EB5"/>
    <w:rsid w:val="00800412"/>
    <w:rsid w:val="008009ED"/>
    <w:rsid w:val="0080587B"/>
    <w:rsid w:val="00806468"/>
    <w:rsid w:val="008079EA"/>
    <w:rsid w:val="008119CA"/>
    <w:rsid w:val="008130C4"/>
    <w:rsid w:val="008155F0"/>
    <w:rsid w:val="00816735"/>
    <w:rsid w:val="00816938"/>
    <w:rsid w:val="00820141"/>
    <w:rsid w:val="00820E0C"/>
    <w:rsid w:val="008210C1"/>
    <w:rsid w:val="00823275"/>
    <w:rsid w:val="0082366F"/>
    <w:rsid w:val="00827E86"/>
    <w:rsid w:val="008307E1"/>
    <w:rsid w:val="0083170A"/>
    <w:rsid w:val="008338A2"/>
    <w:rsid w:val="008361FE"/>
    <w:rsid w:val="00841AA9"/>
    <w:rsid w:val="008474FE"/>
    <w:rsid w:val="00852731"/>
    <w:rsid w:val="00853EE4"/>
    <w:rsid w:val="00854302"/>
    <w:rsid w:val="00854D16"/>
    <w:rsid w:val="00855535"/>
    <w:rsid w:val="00857175"/>
    <w:rsid w:val="00857C5A"/>
    <w:rsid w:val="0086255E"/>
    <w:rsid w:val="008633F0"/>
    <w:rsid w:val="008644C1"/>
    <w:rsid w:val="0086472E"/>
    <w:rsid w:val="00866EB8"/>
    <w:rsid w:val="00867D9D"/>
    <w:rsid w:val="00872E0A"/>
    <w:rsid w:val="00873594"/>
    <w:rsid w:val="00875285"/>
    <w:rsid w:val="00876C97"/>
    <w:rsid w:val="00884B62"/>
    <w:rsid w:val="0088529C"/>
    <w:rsid w:val="0088542D"/>
    <w:rsid w:val="00887214"/>
    <w:rsid w:val="00887903"/>
    <w:rsid w:val="00887A39"/>
    <w:rsid w:val="0089068A"/>
    <w:rsid w:val="0089270A"/>
    <w:rsid w:val="00893AF6"/>
    <w:rsid w:val="00894BC4"/>
    <w:rsid w:val="0089567D"/>
    <w:rsid w:val="00896890"/>
    <w:rsid w:val="008977D1"/>
    <w:rsid w:val="008A28A8"/>
    <w:rsid w:val="008A54AC"/>
    <w:rsid w:val="008A5B32"/>
    <w:rsid w:val="008B070F"/>
    <w:rsid w:val="008B2029"/>
    <w:rsid w:val="008B2B7E"/>
    <w:rsid w:val="008B2EE4"/>
    <w:rsid w:val="008B374C"/>
    <w:rsid w:val="008B3821"/>
    <w:rsid w:val="008B4D3D"/>
    <w:rsid w:val="008B5171"/>
    <w:rsid w:val="008B57C7"/>
    <w:rsid w:val="008B5CD7"/>
    <w:rsid w:val="008C1179"/>
    <w:rsid w:val="008C2E75"/>
    <w:rsid w:val="008C2F92"/>
    <w:rsid w:val="008C3546"/>
    <w:rsid w:val="008C589D"/>
    <w:rsid w:val="008C646A"/>
    <w:rsid w:val="008C6D51"/>
    <w:rsid w:val="008C7C84"/>
    <w:rsid w:val="008D1721"/>
    <w:rsid w:val="008D2846"/>
    <w:rsid w:val="008D4236"/>
    <w:rsid w:val="008D462F"/>
    <w:rsid w:val="008D6DCF"/>
    <w:rsid w:val="008D7C80"/>
    <w:rsid w:val="008E184F"/>
    <w:rsid w:val="008E2708"/>
    <w:rsid w:val="008E4331"/>
    <w:rsid w:val="008E4376"/>
    <w:rsid w:val="008E71B8"/>
    <w:rsid w:val="008E7A0A"/>
    <w:rsid w:val="008E7B49"/>
    <w:rsid w:val="008F59F6"/>
    <w:rsid w:val="00900719"/>
    <w:rsid w:val="00900E23"/>
    <w:rsid w:val="00901636"/>
    <w:rsid w:val="009017AC"/>
    <w:rsid w:val="00902A9A"/>
    <w:rsid w:val="00904A1C"/>
    <w:rsid w:val="00905030"/>
    <w:rsid w:val="00906490"/>
    <w:rsid w:val="009111B2"/>
    <w:rsid w:val="009151F5"/>
    <w:rsid w:val="00924AE1"/>
    <w:rsid w:val="009269B1"/>
    <w:rsid w:val="0092724D"/>
    <w:rsid w:val="009272B3"/>
    <w:rsid w:val="009305EC"/>
    <w:rsid w:val="009315BE"/>
    <w:rsid w:val="009326DD"/>
    <w:rsid w:val="0093338F"/>
    <w:rsid w:val="00933BF1"/>
    <w:rsid w:val="0093792E"/>
    <w:rsid w:val="00937BD9"/>
    <w:rsid w:val="00940780"/>
    <w:rsid w:val="009431A3"/>
    <w:rsid w:val="009436B2"/>
    <w:rsid w:val="00943C7D"/>
    <w:rsid w:val="00950521"/>
    <w:rsid w:val="00950E2C"/>
    <w:rsid w:val="00951D50"/>
    <w:rsid w:val="009525EB"/>
    <w:rsid w:val="0095470B"/>
    <w:rsid w:val="00954874"/>
    <w:rsid w:val="0095615A"/>
    <w:rsid w:val="00957DE6"/>
    <w:rsid w:val="009610DD"/>
    <w:rsid w:val="00961400"/>
    <w:rsid w:val="009635D8"/>
    <w:rsid w:val="00963646"/>
    <w:rsid w:val="00963BE1"/>
    <w:rsid w:val="0096632D"/>
    <w:rsid w:val="00967124"/>
    <w:rsid w:val="00967FAE"/>
    <w:rsid w:val="0097166C"/>
    <w:rsid w:val="009718C7"/>
    <w:rsid w:val="00974AD5"/>
    <w:rsid w:val="00974B72"/>
    <w:rsid w:val="0097559F"/>
    <w:rsid w:val="0097597E"/>
    <w:rsid w:val="009761A7"/>
    <w:rsid w:val="009761EA"/>
    <w:rsid w:val="0097761E"/>
    <w:rsid w:val="00977D59"/>
    <w:rsid w:val="00982454"/>
    <w:rsid w:val="00982AA7"/>
    <w:rsid w:val="00982CF0"/>
    <w:rsid w:val="009853E1"/>
    <w:rsid w:val="00986E6B"/>
    <w:rsid w:val="00990032"/>
    <w:rsid w:val="00990B19"/>
    <w:rsid w:val="0099123D"/>
    <w:rsid w:val="0099153B"/>
    <w:rsid w:val="00991769"/>
    <w:rsid w:val="00991B95"/>
    <w:rsid w:val="0099232C"/>
    <w:rsid w:val="00994386"/>
    <w:rsid w:val="009A13D8"/>
    <w:rsid w:val="009A279E"/>
    <w:rsid w:val="009A3015"/>
    <w:rsid w:val="009A3490"/>
    <w:rsid w:val="009B0A6F"/>
    <w:rsid w:val="009B0A94"/>
    <w:rsid w:val="009B0C62"/>
    <w:rsid w:val="009B2AE8"/>
    <w:rsid w:val="009B51A2"/>
    <w:rsid w:val="009B5622"/>
    <w:rsid w:val="009B59E9"/>
    <w:rsid w:val="009B70AA"/>
    <w:rsid w:val="009C0B1B"/>
    <w:rsid w:val="009C245E"/>
    <w:rsid w:val="009C415B"/>
    <w:rsid w:val="009C5E77"/>
    <w:rsid w:val="009C71CA"/>
    <w:rsid w:val="009C7A7E"/>
    <w:rsid w:val="009D02E8"/>
    <w:rsid w:val="009D0867"/>
    <w:rsid w:val="009D3B86"/>
    <w:rsid w:val="009D51D0"/>
    <w:rsid w:val="009D70A4"/>
    <w:rsid w:val="009D7B14"/>
    <w:rsid w:val="009E08D1"/>
    <w:rsid w:val="009E0D96"/>
    <w:rsid w:val="009E1B95"/>
    <w:rsid w:val="009E2AF5"/>
    <w:rsid w:val="009E496F"/>
    <w:rsid w:val="009E4B0D"/>
    <w:rsid w:val="009E5250"/>
    <w:rsid w:val="009E7A69"/>
    <w:rsid w:val="009E7E10"/>
    <w:rsid w:val="009E7F92"/>
    <w:rsid w:val="009F02A3"/>
    <w:rsid w:val="009F2182"/>
    <w:rsid w:val="009F2F27"/>
    <w:rsid w:val="009F34AA"/>
    <w:rsid w:val="009F6BCB"/>
    <w:rsid w:val="009F7B78"/>
    <w:rsid w:val="00A0057A"/>
    <w:rsid w:val="00A005B4"/>
    <w:rsid w:val="00A02FA1"/>
    <w:rsid w:val="00A04CCE"/>
    <w:rsid w:val="00A07421"/>
    <w:rsid w:val="00A0776B"/>
    <w:rsid w:val="00A10FB9"/>
    <w:rsid w:val="00A11421"/>
    <w:rsid w:val="00A1389F"/>
    <w:rsid w:val="00A13B7A"/>
    <w:rsid w:val="00A154FF"/>
    <w:rsid w:val="00A157B1"/>
    <w:rsid w:val="00A22229"/>
    <w:rsid w:val="00A24329"/>
    <w:rsid w:val="00A24442"/>
    <w:rsid w:val="00A24ADA"/>
    <w:rsid w:val="00A24FB8"/>
    <w:rsid w:val="00A2713B"/>
    <w:rsid w:val="00A3122F"/>
    <w:rsid w:val="00A32577"/>
    <w:rsid w:val="00A330BB"/>
    <w:rsid w:val="00A33F3D"/>
    <w:rsid w:val="00A432EA"/>
    <w:rsid w:val="00A446F5"/>
    <w:rsid w:val="00A44882"/>
    <w:rsid w:val="00A45125"/>
    <w:rsid w:val="00A54715"/>
    <w:rsid w:val="00A57221"/>
    <w:rsid w:val="00A6061C"/>
    <w:rsid w:val="00A62D44"/>
    <w:rsid w:val="00A63672"/>
    <w:rsid w:val="00A64CE3"/>
    <w:rsid w:val="00A65E01"/>
    <w:rsid w:val="00A6612C"/>
    <w:rsid w:val="00A67263"/>
    <w:rsid w:val="00A7161C"/>
    <w:rsid w:val="00A71A7E"/>
    <w:rsid w:val="00A71CE4"/>
    <w:rsid w:val="00A77AA3"/>
    <w:rsid w:val="00A80071"/>
    <w:rsid w:val="00A8236D"/>
    <w:rsid w:val="00A854EB"/>
    <w:rsid w:val="00A872E5"/>
    <w:rsid w:val="00A91406"/>
    <w:rsid w:val="00A9310D"/>
    <w:rsid w:val="00A96E65"/>
    <w:rsid w:val="00A96ECE"/>
    <w:rsid w:val="00A97C72"/>
    <w:rsid w:val="00AA310B"/>
    <w:rsid w:val="00AA63D4"/>
    <w:rsid w:val="00AB06E8"/>
    <w:rsid w:val="00AB1CD3"/>
    <w:rsid w:val="00AB352F"/>
    <w:rsid w:val="00AB77FD"/>
    <w:rsid w:val="00AC079E"/>
    <w:rsid w:val="00AC274B"/>
    <w:rsid w:val="00AC4764"/>
    <w:rsid w:val="00AC5A4A"/>
    <w:rsid w:val="00AC671F"/>
    <w:rsid w:val="00AC6D36"/>
    <w:rsid w:val="00AD0997"/>
    <w:rsid w:val="00AD0CBA"/>
    <w:rsid w:val="00AD26E2"/>
    <w:rsid w:val="00AD3FC5"/>
    <w:rsid w:val="00AD472E"/>
    <w:rsid w:val="00AD6888"/>
    <w:rsid w:val="00AD784C"/>
    <w:rsid w:val="00AE126A"/>
    <w:rsid w:val="00AE1BAE"/>
    <w:rsid w:val="00AE3005"/>
    <w:rsid w:val="00AE3BD5"/>
    <w:rsid w:val="00AE59A0"/>
    <w:rsid w:val="00AE6975"/>
    <w:rsid w:val="00AE7D73"/>
    <w:rsid w:val="00AF0A42"/>
    <w:rsid w:val="00AF0C57"/>
    <w:rsid w:val="00AF1056"/>
    <w:rsid w:val="00AF1CE5"/>
    <w:rsid w:val="00AF26F3"/>
    <w:rsid w:val="00AF5359"/>
    <w:rsid w:val="00AF5F04"/>
    <w:rsid w:val="00B00672"/>
    <w:rsid w:val="00B01B4D"/>
    <w:rsid w:val="00B04489"/>
    <w:rsid w:val="00B06571"/>
    <w:rsid w:val="00B068BA"/>
    <w:rsid w:val="00B06E49"/>
    <w:rsid w:val="00B06F40"/>
    <w:rsid w:val="00B07217"/>
    <w:rsid w:val="00B13851"/>
    <w:rsid w:val="00B13B1C"/>
    <w:rsid w:val="00B1493E"/>
    <w:rsid w:val="00B14B5F"/>
    <w:rsid w:val="00B1572E"/>
    <w:rsid w:val="00B15C0E"/>
    <w:rsid w:val="00B174A5"/>
    <w:rsid w:val="00B17CDD"/>
    <w:rsid w:val="00B21948"/>
    <w:rsid w:val="00B21F90"/>
    <w:rsid w:val="00B22291"/>
    <w:rsid w:val="00B23F9A"/>
    <w:rsid w:val="00B2417B"/>
    <w:rsid w:val="00B24E6F"/>
    <w:rsid w:val="00B26CB5"/>
    <w:rsid w:val="00B2752E"/>
    <w:rsid w:val="00B307CC"/>
    <w:rsid w:val="00B326B7"/>
    <w:rsid w:val="00B345A5"/>
    <w:rsid w:val="00B3588E"/>
    <w:rsid w:val="00B36EDB"/>
    <w:rsid w:val="00B4198F"/>
    <w:rsid w:val="00B41F3D"/>
    <w:rsid w:val="00B431E8"/>
    <w:rsid w:val="00B45141"/>
    <w:rsid w:val="00B46806"/>
    <w:rsid w:val="00B513DB"/>
    <w:rsid w:val="00B519CD"/>
    <w:rsid w:val="00B5258A"/>
    <w:rsid w:val="00B5273A"/>
    <w:rsid w:val="00B52F43"/>
    <w:rsid w:val="00B53104"/>
    <w:rsid w:val="00B57329"/>
    <w:rsid w:val="00B60E61"/>
    <w:rsid w:val="00B62B50"/>
    <w:rsid w:val="00B635B7"/>
    <w:rsid w:val="00B63AE8"/>
    <w:rsid w:val="00B65950"/>
    <w:rsid w:val="00B66D83"/>
    <w:rsid w:val="00B672C0"/>
    <w:rsid w:val="00B676FD"/>
    <w:rsid w:val="00B678B6"/>
    <w:rsid w:val="00B7124D"/>
    <w:rsid w:val="00B75646"/>
    <w:rsid w:val="00B7629E"/>
    <w:rsid w:val="00B762AE"/>
    <w:rsid w:val="00B776C2"/>
    <w:rsid w:val="00B90729"/>
    <w:rsid w:val="00B907DA"/>
    <w:rsid w:val="00B90B09"/>
    <w:rsid w:val="00B91DB1"/>
    <w:rsid w:val="00B93616"/>
    <w:rsid w:val="00B94C5E"/>
    <w:rsid w:val="00B950BC"/>
    <w:rsid w:val="00B9714C"/>
    <w:rsid w:val="00B9778F"/>
    <w:rsid w:val="00BA26F6"/>
    <w:rsid w:val="00BA29AD"/>
    <w:rsid w:val="00BA33CF"/>
    <w:rsid w:val="00BA3F8D"/>
    <w:rsid w:val="00BA65C5"/>
    <w:rsid w:val="00BB4645"/>
    <w:rsid w:val="00BB74AC"/>
    <w:rsid w:val="00BB7A10"/>
    <w:rsid w:val="00BB7BFD"/>
    <w:rsid w:val="00BC1DA9"/>
    <w:rsid w:val="00BC27D8"/>
    <w:rsid w:val="00BC60BE"/>
    <w:rsid w:val="00BC7468"/>
    <w:rsid w:val="00BC7D4F"/>
    <w:rsid w:val="00BC7ED7"/>
    <w:rsid w:val="00BD2850"/>
    <w:rsid w:val="00BD2F87"/>
    <w:rsid w:val="00BD52E7"/>
    <w:rsid w:val="00BE1F2C"/>
    <w:rsid w:val="00BE28D2"/>
    <w:rsid w:val="00BE4A64"/>
    <w:rsid w:val="00BE5E43"/>
    <w:rsid w:val="00BE6F82"/>
    <w:rsid w:val="00BF295B"/>
    <w:rsid w:val="00BF2D06"/>
    <w:rsid w:val="00BF557D"/>
    <w:rsid w:val="00BF59E7"/>
    <w:rsid w:val="00BF5A90"/>
    <w:rsid w:val="00BF60DC"/>
    <w:rsid w:val="00BF658D"/>
    <w:rsid w:val="00BF7F58"/>
    <w:rsid w:val="00BF7F75"/>
    <w:rsid w:val="00C00F61"/>
    <w:rsid w:val="00C01381"/>
    <w:rsid w:val="00C01AB1"/>
    <w:rsid w:val="00C026A0"/>
    <w:rsid w:val="00C0363B"/>
    <w:rsid w:val="00C05ADA"/>
    <w:rsid w:val="00C06137"/>
    <w:rsid w:val="00C06929"/>
    <w:rsid w:val="00C079B8"/>
    <w:rsid w:val="00C10037"/>
    <w:rsid w:val="00C115E1"/>
    <w:rsid w:val="00C123EA"/>
    <w:rsid w:val="00C12A49"/>
    <w:rsid w:val="00C133EE"/>
    <w:rsid w:val="00C149D0"/>
    <w:rsid w:val="00C163FD"/>
    <w:rsid w:val="00C22D02"/>
    <w:rsid w:val="00C2457B"/>
    <w:rsid w:val="00C24CA2"/>
    <w:rsid w:val="00C26588"/>
    <w:rsid w:val="00C266C0"/>
    <w:rsid w:val="00C27DE9"/>
    <w:rsid w:val="00C3244C"/>
    <w:rsid w:val="00C32989"/>
    <w:rsid w:val="00C33388"/>
    <w:rsid w:val="00C33E49"/>
    <w:rsid w:val="00C349EA"/>
    <w:rsid w:val="00C35484"/>
    <w:rsid w:val="00C3576D"/>
    <w:rsid w:val="00C36BD2"/>
    <w:rsid w:val="00C371E7"/>
    <w:rsid w:val="00C4173A"/>
    <w:rsid w:val="00C50DED"/>
    <w:rsid w:val="00C52217"/>
    <w:rsid w:val="00C530A5"/>
    <w:rsid w:val="00C602FF"/>
    <w:rsid w:val="00C60411"/>
    <w:rsid w:val="00C61174"/>
    <w:rsid w:val="00C6148F"/>
    <w:rsid w:val="00C621B1"/>
    <w:rsid w:val="00C62F7A"/>
    <w:rsid w:val="00C63B9C"/>
    <w:rsid w:val="00C6682F"/>
    <w:rsid w:val="00C67BF4"/>
    <w:rsid w:val="00C67ECA"/>
    <w:rsid w:val="00C7176B"/>
    <w:rsid w:val="00C7275E"/>
    <w:rsid w:val="00C731AF"/>
    <w:rsid w:val="00C74C5D"/>
    <w:rsid w:val="00C81846"/>
    <w:rsid w:val="00C83AF0"/>
    <w:rsid w:val="00C83B1B"/>
    <w:rsid w:val="00C85ED3"/>
    <w:rsid w:val="00C863C4"/>
    <w:rsid w:val="00C87E55"/>
    <w:rsid w:val="00C90DAB"/>
    <w:rsid w:val="00C920EA"/>
    <w:rsid w:val="00C93C3E"/>
    <w:rsid w:val="00CA08B9"/>
    <w:rsid w:val="00CA0CCB"/>
    <w:rsid w:val="00CA12E3"/>
    <w:rsid w:val="00CA1476"/>
    <w:rsid w:val="00CA49B4"/>
    <w:rsid w:val="00CA6611"/>
    <w:rsid w:val="00CA6AE6"/>
    <w:rsid w:val="00CA782F"/>
    <w:rsid w:val="00CB187B"/>
    <w:rsid w:val="00CB2835"/>
    <w:rsid w:val="00CB3285"/>
    <w:rsid w:val="00CB3E0A"/>
    <w:rsid w:val="00CB4500"/>
    <w:rsid w:val="00CC0C72"/>
    <w:rsid w:val="00CC2BFD"/>
    <w:rsid w:val="00CC6F40"/>
    <w:rsid w:val="00CD04EB"/>
    <w:rsid w:val="00CD3476"/>
    <w:rsid w:val="00CD64DF"/>
    <w:rsid w:val="00CE225F"/>
    <w:rsid w:val="00CE28D0"/>
    <w:rsid w:val="00CE3AD4"/>
    <w:rsid w:val="00CE55B3"/>
    <w:rsid w:val="00CE5A7A"/>
    <w:rsid w:val="00CE686F"/>
    <w:rsid w:val="00CF09E3"/>
    <w:rsid w:val="00CF2F50"/>
    <w:rsid w:val="00CF32D3"/>
    <w:rsid w:val="00CF6198"/>
    <w:rsid w:val="00CF6BA3"/>
    <w:rsid w:val="00D01946"/>
    <w:rsid w:val="00D02919"/>
    <w:rsid w:val="00D041D8"/>
    <w:rsid w:val="00D04C61"/>
    <w:rsid w:val="00D05B8D"/>
    <w:rsid w:val="00D05B9B"/>
    <w:rsid w:val="00D065A2"/>
    <w:rsid w:val="00D079AA"/>
    <w:rsid w:val="00D07F00"/>
    <w:rsid w:val="00D1130F"/>
    <w:rsid w:val="00D1183B"/>
    <w:rsid w:val="00D133B6"/>
    <w:rsid w:val="00D137A8"/>
    <w:rsid w:val="00D17B72"/>
    <w:rsid w:val="00D215EA"/>
    <w:rsid w:val="00D22701"/>
    <w:rsid w:val="00D24AE8"/>
    <w:rsid w:val="00D3185C"/>
    <w:rsid w:val="00D3205F"/>
    <w:rsid w:val="00D3318E"/>
    <w:rsid w:val="00D33E72"/>
    <w:rsid w:val="00D35BD6"/>
    <w:rsid w:val="00D36185"/>
    <w:rsid w:val="00D361B5"/>
    <w:rsid w:val="00D36F61"/>
    <w:rsid w:val="00D411A2"/>
    <w:rsid w:val="00D453A3"/>
    <w:rsid w:val="00D4606D"/>
    <w:rsid w:val="00D50B9C"/>
    <w:rsid w:val="00D513AF"/>
    <w:rsid w:val="00D52D73"/>
    <w:rsid w:val="00D52E58"/>
    <w:rsid w:val="00D52FD2"/>
    <w:rsid w:val="00D5523A"/>
    <w:rsid w:val="00D56B20"/>
    <w:rsid w:val="00D57431"/>
    <w:rsid w:val="00D578B3"/>
    <w:rsid w:val="00D608D7"/>
    <w:rsid w:val="00D618F4"/>
    <w:rsid w:val="00D63636"/>
    <w:rsid w:val="00D714CC"/>
    <w:rsid w:val="00D72648"/>
    <w:rsid w:val="00D74D78"/>
    <w:rsid w:val="00D75EA7"/>
    <w:rsid w:val="00D76ECC"/>
    <w:rsid w:val="00D81ADF"/>
    <w:rsid w:val="00D81F21"/>
    <w:rsid w:val="00D83001"/>
    <w:rsid w:val="00D83675"/>
    <w:rsid w:val="00D850F6"/>
    <w:rsid w:val="00D864F2"/>
    <w:rsid w:val="00D87DF7"/>
    <w:rsid w:val="00D92A4C"/>
    <w:rsid w:val="00D943F8"/>
    <w:rsid w:val="00D95470"/>
    <w:rsid w:val="00D96B55"/>
    <w:rsid w:val="00DA2619"/>
    <w:rsid w:val="00DA37D6"/>
    <w:rsid w:val="00DA4239"/>
    <w:rsid w:val="00DA588C"/>
    <w:rsid w:val="00DA65DE"/>
    <w:rsid w:val="00DA7ADF"/>
    <w:rsid w:val="00DB0B61"/>
    <w:rsid w:val="00DB0E7D"/>
    <w:rsid w:val="00DB1474"/>
    <w:rsid w:val="00DB2962"/>
    <w:rsid w:val="00DB4E4D"/>
    <w:rsid w:val="00DB52FB"/>
    <w:rsid w:val="00DB7686"/>
    <w:rsid w:val="00DC013B"/>
    <w:rsid w:val="00DC0380"/>
    <w:rsid w:val="00DC090B"/>
    <w:rsid w:val="00DC1679"/>
    <w:rsid w:val="00DC1CD5"/>
    <w:rsid w:val="00DC219B"/>
    <w:rsid w:val="00DC2CF1"/>
    <w:rsid w:val="00DC2DC7"/>
    <w:rsid w:val="00DC2EA0"/>
    <w:rsid w:val="00DC3A7C"/>
    <w:rsid w:val="00DC4FCF"/>
    <w:rsid w:val="00DC50E0"/>
    <w:rsid w:val="00DC6386"/>
    <w:rsid w:val="00DD1130"/>
    <w:rsid w:val="00DD1951"/>
    <w:rsid w:val="00DD487D"/>
    <w:rsid w:val="00DD4E83"/>
    <w:rsid w:val="00DD60A3"/>
    <w:rsid w:val="00DD6628"/>
    <w:rsid w:val="00DD6945"/>
    <w:rsid w:val="00DE1CA2"/>
    <w:rsid w:val="00DE2CE1"/>
    <w:rsid w:val="00DE2D04"/>
    <w:rsid w:val="00DE3250"/>
    <w:rsid w:val="00DE6028"/>
    <w:rsid w:val="00DE6C85"/>
    <w:rsid w:val="00DE78A3"/>
    <w:rsid w:val="00DF0A6E"/>
    <w:rsid w:val="00DF1A71"/>
    <w:rsid w:val="00DF31BC"/>
    <w:rsid w:val="00DF50FC"/>
    <w:rsid w:val="00DF68C7"/>
    <w:rsid w:val="00DF731A"/>
    <w:rsid w:val="00E064B0"/>
    <w:rsid w:val="00E06B75"/>
    <w:rsid w:val="00E07570"/>
    <w:rsid w:val="00E100F2"/>
    <w:rsid w:val="00E11332"/>
    <w:rsid w:val="00E11352"/>
    <w:rsid w:val="00E124A2"/>
    <w:rsid w:val="00E170DC"/>
    <w:rsid w:val="00E17546"/>
    <w:rsid w:val="00E17B6F"/>
    <w:rsid w:val="00E210B5"/>
    <w:rsid w:val="00E21A95"/>
    <w:rsid w:val="00E2395D"/>
    <w:rsid w:val="00E261B3"/>
    <w:rsid w:val="00E26818"/>
    <w:rsid w:val="00E268E4"/>
    <w:rsid w:val="00E27FFC"/>
    <w:rsid w:val="00E30B15"/>
    <w:rsid w:val="00E31AE3"/>
    <w:rsid w:val="00E33237"/>
    <w:rsid w:val="00E34A82"/>
    <w:rsid w:val="00E354AF"/>
    <w:rsid w:val="00E362C6"/>
    <w:rsid w:val="00E40181"/>
    <w:rsid w:val="00E4208C"/>
    <w:rsid w:val="00E43172"/>
    <w:rsid w:val="00E51C10"/>
    <w:rsid w:val="00E54950"/>
    <w:rsid w:val="00E54E27"/>
    <w:rsid w:val="00E55FB3"/>
    <w:rsid w:val="00E56A01"/>
    <w:rsid w:val="00E629A1"/>
    <w:rsid w:val="00E62A9F"/>
    <w:rsid w:val="00E65AD0"/>
    <w:rsid w:val="00E6794C"/>
    <w:rsid w:val="00E70631"/>
    <w:rsid w:val="00E71591"/>
    <w:rsid w:val="00E71CEB"/>
    <w:rsid w:val="00E7474F"/>
    <w:rsid w:val="00E76063"/>
    <w:rsid w:val="00E80DE3"/>
    <w:rsid w:val="00E82C55"/>
    <w:rsid w:val="00E8359F"/>
    <w:rsid w:val="00E83886"/>
    <w:rsid w:val="00E8787E"/>
    <w:rsid w:val="00E9042A"/>
    <w:rsid w:val="00E913ED"/>
    <w:rsid w:val="00E91AAA"/>
    <w:rsid w:val="00E92082"/>
    <w:rsid w:val="00E9291B"/>
    <w:rsid w:val="00E92AC3"/>
    <w:rsid w:val="00E940DA"/>
    <w:rsid w:val="00E954B1"/>
    <w:rsid w:val="00EA1983"/>
    <w:rsid w:val="00EA2E1E"/>
    <w:rsid w:val="00EA2F6A"/>
    <w:rsid w:val="00EA30C8"/>
    <w:rsid w:val="00EA599E"/>
    <w:rsid w:val="00EA71E9"/>
    <w:rsid w:val="00EB00E0"/>
    <w:rsid w:val="00EB05D5"/>
    <w:rsid w:val="00EB4BC7"/>
    <w:rsid w:val="00EB56B9"/>
    <w:rsid w:val="00EB619C"/>
    <w:rsid w:val="00EB76B9"/>
    <w:rsid w:val="00EB76DF"/>
    <w:rsid w:val="00EC059F"/>
    <w:rsid w:val="00EC07C8"/>
    <w:rsid w:val="00EC1F24"/>
    <w:rsid w:val="00EC22F6"/>
    <w:rsid w:val="00EC3DB9"/>
    <w:rsid w:val="00EC6222"/>
    <w:rsid w:val="00ED2E2B"/>
    <w:rsid w:val="00ED38F0"/>
    <w:rsid w:val="00ED5B9B"/>
    <w:rsid w:val="00ED6AA1"/>
    <w:rsid w:val="00ED6BAD"/>
    <w:rsid w:val="00ED7447"/>
    <w:rsid w:val="00ED7762"/>
    <w:rsid w:val="00EE00D6"/>
    <w:rsid w:val="00EE11E7"/>
    <w:rsid w:val="00EE1488"/>
    <w:rsid w:val="00EE29AD"/>
    <w:rsid w:val="00EE3E24"/>
    <w:rsid w:val="00EE4D5D"/>
    <w:rsid w:val="00EE5131"/>
    <w:rsid w:val="00EF0D11"/>
    <w:rsid w:val="00EF109B"/>
    <w:rsid w:val="00EF201C"/>
    <w:rsid w:val="00EF2846"/>
    <w:rsid w:val="00EF2C72"/>
    <w:rsid w:val="00EF36AF"/>
    <w:rsid w:val="00EF59A3"/>
    <w:rsid w:val="00EF6675"/>
    <w:rsid w:val="00EF6BCA"/>
    <w:rsid w:val="00F00550"/>
    <w:rsid w:val="00F0063D"/>
    <w:rsid w:val="00F00F9C"/>
    <w:rsid w:val="00F01E5F"/>
    <w:rsid w:val="00F024F3"/>
    <w:rsid w:val="00F02ABA"/>
    <w:rsid w:val="00F0437A"/>
    <w:rsid w:val="00F04A10"/>
    <w:rsid w:val="00F04FD8"/>
    <w:rsid w:val="00F072AF"/>
    <w:rsid w:val="00F101B8"/>
    <w:rsid w:val="00F10EDB"/>
    <w:rsid w:val="00F11037"/>
    <w:rsid w:val="00F126DB"/>
    <w:rsid w:val="00F12F0D"/>
    <w:rsid w:val="00F13563"/>
    <w:rsid w:val="00F16F1B"/>
    <w:rsid w:val="00F212E2"/>
    <w:rsid w:val="00F250A9"/>
    <w:rsid w:val="00F267AF"/>
    <w:rsid w:val="00F30FF4"/>
    <w:rsid w:val="00F3122E"/>
    <w:rsid w:val="00F32368"/>
    <w:rsid w:val="00F324E7"/>
    <w:rsid w:val="00F331AD"/>
    <w:rsid w:val="00F3416D"/>
    <w:rsid w:val="00F35287"/>
    <w:rsid w:val="00F37F22"/>
    <w:rsid w:val="00F404B0"/>
    <w:rsid w:val="00F40A70"/>
    <w:rsid w:val="00F41FF6"/>
    <w:rsid w:val="00F42BFF"/>
    <w:rsid w:val="00F43A37"/>
    <w:rsid w:val="00F461C9"/>
    <w:rsid w:val="00F4641B"/>
    <w:rsid w:val="00F46EB8"/>
    <w:rsid w:val="00F47F4F"/>
    <w:rsid w:val="00F50777"/>
    <w:rsid w:val="00F50CD1"/>
    <w:rsid w:val="00F511E4"/>
    <w:rsid w:val="00F52D09"/>
    <w:rsid w:val="00F52E08"/>
    <w:rsid w:val="00F53189"/>
    <w:rsid w:val="00F53A66"/>
    <w:rsid w:val="00F5462D"/>
    <w:rsid w:val="00F55B21"/>
    <w:rsid w:val="00F5609F"/>
    <w:rsid w:val="00F56EF6"/>
    <w:rsid w:val="00F60082"/>
    <w:rsid w:val="00F61A9F"/>
    <w:rsid w:val="00F61B5F"/>
    <w:rsid w:val="00F64696"/>
    <w:rsid w:val="00F65AA9"/>
    <w:rsid w:val="00F6768F"/>
    <w:rsid w:val="00F72C2C"/>
    <w:rsid w:val="00F72E2C"/>
    <w:rsid w:val="00F741F2"/>
    <w:rsid w:val="00F75411"/>
    <w:rsid w:val="00F76CAB"/>
    <w:rsid w:val="00F772C6"/>
    <w:rsid w:val="00F815B5"/>
    <w:rsid w:val="00F84B35"/>
    <w:rsid w:val="00F85195"/>
    <w:rsid w:val="00F868E3"/>
    <w:rsid w:val="00F87515"/>
    <w:rsid w:val="00F91338"/>
    <w:rsid w:val="00F938BA"/>
    <w:rsid w:val="00F958A8"/>
    <w:rsid w:val="00F97919"/>
    <w:rsid w:val="00FA2C46"/>
    <w:rsid w:val="00FA3525"/>
    <w:rsid w:val="00FA5A53"/>
    <w:rsid w:val="00FB07AE"/>
    <w:rsid w:val="00FB1F6E"/>
    <w:rsid w:val="00FB27B8"/>
    <w:rsid w:val="00FB2BCF"/>
    <w:rsid w:val="00FB4769"/>
    <w:rsid w:val="00FB4CDA"/>
    <w:rsid w:val="00FB51B9"/>
    <w:rsid w:val="00FB6481"/>
    <w:rsid w:val="00FB68CA"/>
    <w:rsid w:val="00FB6D36"/>
    <w:rsid w:val="00FC0965"/>
    <w:rsid w:val="00FC0F81"/>
    <w:rsid w:val="00FC252F"/>
    <w:rsid w:val="00FC395C"/>
    <w:rsid w:val="00FC518C"/>
    <w:rsid w:val="00FC5E8E"/>
    <w:rsid w:val="00FC7F45"/>
    <w:rsid w:val="00FD3766"/>
    <w:rsid w:val="00FD3D05"/>
    <w:rsid w:val="00FD47C4"/>
    <w:rsid w:val="00FD52F3"/>
    <w:rsid w:val="00FD75FB"/>
    <w:rsid w:val="00FE0666"/>
    <w:rsid w:val="00FE2DCF"/>
    <w:rsid w:val="00FE3FA7"/>
    <w:rsid w:val="00FE4081"/>
    <w:rsid w:val="00FE50EB"/>
    <w:rsid w:val="00FE5144"/>
    <w:rsid w:val="00FE7127"/>
    <w:rsid w:val="00FE7259"/>
    <w:rsid w:val="00FE73DC"/>
    <w:rsid w:val="00FF20F5"/>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543096"/>
  <w15:docId w15:val="{8BB9F835-A43B-45FA-B11E-5ED42BFC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9310D"/>
    <w:pPr>
      <w:spacing w:after="120" w:line="280" w:lineRule="atLeast"/>
    </w:pPr>
    <w:rPr>
      <w:rFonts w:ascii="Arial" w:hAnsi="Arial"/>
      <w:color w:val="000000" w:themeColor="text1"/>
      <w:sz w:val="21"/>
      <w:lang w:eastAsia="en-US"/>
    </w:rPr>
  </w:style>
  <w:style w:type="paragraph" w:styleId="Heading1">
    <w:name w:val="heading 1"/>
    <w:next w:val="Body"/>
    <w:link w:val="Heading1Char"/>
    <w:uiPriority w:val="1"/>
    <w:qFormat/>
    <w:rsid w:val="00977D59"/>
    <w:pPr>
      <w:keepNext/>
      <w:keepLines/>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6C1F46"/>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6C1F46"/>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6C1F46"/>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77D59"/>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6C1F46"/>
    <w:rPr>
      <w:rFonts w:ascii="Arial" w:hAnsi="Arial"/>
      <w:b/>
      <w:color w:val="53565A"/>
      <w:sz w:val="32"/>
      <w:szCs w:val="28"/>
      <w:lang w:eastAsia="en-US"/>
    </w:rPr>
  </w:style>
  <w:style w:type="character" w:customStyle="1" w:styleId="Heading3Char">
    <w:name w:val="Heading 3 Char"/>
    <w:link w:val="Heading3"/>
    <w:uiPriority w:val="1"/>
    <w:rsid w:val="006C1F46"/>
    <w:rPr>
      <w:rFonts w:ascii="Arial" w:eastAsia="MS Gothic" w:hAnsi="Arial"/>
      <w:bCs/>
      <w:color w:val="53565A"/>
      <w:sz w:val="30"/>
      <w:szCs w:val="26"/>
      <w:lang w:eastAsia="en-US"/>
    </w:rPr>
  </w:style>
  <w:style w:type="character" w:customStyle="1" w:styleId="Heading4Char">
    <w:name w:val="Heading 4 Char"/>
    <w:link w:val="Heading4"/>
    <w:uiPriority w:val="1"/>
    <w:rsid w:val="006C1F46"/>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C1F46"/>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C1F46"/>
    <w:pPr>
      <w:spacing w:line="320" w:lineRule="atLeast"/>
    </w:pPr>
    <w:rPr>
      <w:color w:val="AF272F"/>
      <w:sz w:val="24"/>
    </w:rPr>
  </w:style>
  <w:style w:type="paragraph" w:styleId="NormalWeb">
    <w:name w:val="Normal (Web)"/>
    <w:basedOn w:val="Normal"/>
    <w:uiPriority w:val="99"/>
    <w:semiHidden/>
    <w:unhideWhenUsed/>
    <w:rsid w:val="00E9291B"/>
    <w:rPr>
      <w:rFonts w:ascii="Times New Roman" w:hAnsi="Times New Roman"/>
      <w:sz w:val="24"/>
      <w:szCs w:val="24"/>
    </w:rPr>
  </w:style>
  <w:style w:type="paragraph" w:styleId="ListParagraph">
    <w:name w:val="List Paragraph"/>
    <w:basedOn w:val="Normal"/>
    <w:uiPriority w:val="72"/>
    <w:semiHidden/>
    <w:qFormat/>
    <w:rsid w:val="00C87E55"/>
    <w:pPr>
      <w:ind w:left="720"/>
      <w:contextualSpacing/>
    </w:pPr>
  </w:style>
  <w:style w:type="paragraph" w:styleId="Caption">
    <w:name w:val="caption"/>
    <w:basedOn w:val="Normal"/>
    <w:next w:val="Normal"/>
    <w:uiPriority w:val="35"/>
    <w:unhideWhenUsed/>
    <w:qFormat/>
    <w:rsid w:val="00F126DB"/>
    <w:pPr>
      <w:spacing w:after="200" w:line="240" w:lineRule="auto"/>
    </w:pPr>
    <w:rPr>
      <w:i/>
      <w:iCs/>
      <w:color w:val="1F497D" w:themeColor="text2"/>
      <w:sz w:val="18"/>
      <w:szCs w:val="18"/>
    </w:rPr>
  </w:style>
  <w:style w:type="table" w:styleId="GridTable2-Accent2">
    <w:name w:val="Grid Table 2 Accent 2"/>
    <w:basedOn w:val="TableNormal"/>
    <w:uiPriority w:val="47"/>
    <w:rsid w:val="008009E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2">
    <w:name w:val="Grid Table 4 Accent 2"/>
    <w:basedOn w:val="TableNormal"/>
    <w:uiPriority w:val="49"/>
    <w:rsid w:val="008009E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2">
    <w:name w:val="List Table 2 Accent 2"/>
    <w:basedOn w:val="TableNormal"/>
    <w:uiPriority w:val="47"/>
    <w:rsid w:val="00494F6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494F6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2">
    <w:name w:val="List Table 1 Light Accent 2"/>
    <w:basedOn w:val="TableNormal"/>
    <w:uiPriority w:val="46"/>
    <w:rsid w:val="00982AA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xheading">
    <w:name w:val="Box heading"/>
    <w:basedOn w:val="Heading4"/>
    <w:uiPriority w:val="11"/>
    <w:rsid w:val="00FD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38292212">
      <w:bodyDiv w:val="1"/>
      <w:marLeft w:val="0"/>
      <w:marRight w:val="0"/>
      <w:marTop w:val="0"/>
      <w:marBottom w:val="0"/>
      <w:divBdr>
        <w:top w:val="none" w:sz="0" w:space="0" w:color="auto"/>
        <w:left w:val="none" w:sz="0" w:space="0" w:color="auto"/>
        <w:bottom w:val="none" w:sz="0" w:space="0" w:color="auto"/>
        <w:right w:val="none" w:sz="0" w:space="0" w:color="auto"/>
      </w:divBdr>
      <w:divsChild>
        <w:div w:id="77792393">
          <w:marLeft w:val="547"/>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37095629">
      <w:bodyDiv w:val="1"/>
      <w:marLeft w:val="0"/>
      <w:marRight w:val="0"/>
      <w:marTop w:val="0"/>
      <w:marBottom w:val="0"/>
      <w:divBdr>
        <w:top w:val="none" w:sz="0" w:space="0" w:color="auto"/>
        <w:left w:val="none" w:sz="0" w:space="0" w:color="auto"/>
        <w:bottom w:val="none" w:sz="0" w:space="0" w:color="auto"/>
        <w:right w:val="none" w:sz="0" w:space="0" w:color="auto"/>
      </w:divBdr>
      <w:divsChild>
        <w:div w:id="997153946">
          <w:marLeft w:val="446"/>
          <w:marRight w:val="0"/>
          <w:marTop w:val="160"/>
          <w:marBottom w:val="160"/>
          <w:divBdr>
            <w:top w:val="none" w:sz="0" w:space="0" w:color="auto"/>
            <w:left w:val="none" w:sz="0" w:space="0" w:color="auto"/>
            <w:bottom w:val="none" w:sz="0" w:space="0" w:color="auto"/>
            <w:right w:val="none" w:sz="0" w:space="0" w:color="auto"/>
          </w:divBdr>
        </w:div>
      </w:divsChild>
    </w:div>
    <w:div w:id="755829779">
      <w:bodyDiv w:val="1"/>
      <w:marLeft w:val="0"/>
      <w:marRight w:val="0"/>
      <w:marTop w:val="0"/>
      <w:marBottom w:val="0"/>
      <w:divBdr>
        <w:top w:val="none" w:sz="0" w:space="0" w:color="auto"/>
        <w:left w:val="none" w:sz="0" w:space="0" w:color="auto"/>
        <w:bottom w:val="none" w:sz="0" w:space="0" w:color="auto"/>
        <w:right w:val="none" w:sz="0" w:space="0" w:color="auto"/>
      </w:divBdr>
    </w:div>
    <w:div w:id="78520230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604255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9281038">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5067867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376177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yperlink" Target="https://www.safercare.vic.gov.au/sites/default/files/2022-10/Victorian%20Duty%20of%20Candour%20Framework%20-%20FINAL.docx" TargetMode="External"/><Relationship Id="rId39" Type="http://schemas.openxmlformats.org/officeDocument/2006/relationships/hyperlink" Target="https://www.health.vic.gov.au/patient-care/serious-transfusion-incident-reporting-system-stir" TargetMode="External"/><Relationship Id="rId21" Type="http://schemas.openxmlformats.org/officeDocument/2006/relationships/footer" Target="footer5.xml"/><Relationship Id="rId34" Type="http://schemas.openxmlformats.org/officeDocument/2006/relationships/hyperlink" Target="https://www.health.vic.gov.au/patient-care/serious-transfusion-incident-reporting-system-stir" TargetMode="External"/><Relationship Id="rId42" Type="http://schemas.openxmlformats.org/officeDocument/2006/relationships/hyperlink" Target="https://www.health.vic.gov.au/patient-care/prescribing-and-clinical-use-of-blood-and-blood-product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loodmatters@redcrossblood.org.au" TargetMode="External"/><Relationship Id="rId29" Type="http://schemas.openxmlformats.org/officeDocument/2006/relationships/hyperlink" Target="https://evolve.edu.au/recommendations/anzsb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tyandquality.gov.au/our-work/indicators-measurement-and-reporting/incident-management-and-sentinel-events" TargetMode="External"/><Relationship Id="rId32" Type="http://schemas.openxmlformats.org/officeDocument/2006/relationships/hyperlink" Target="https://www.lifeblood.com.au/blood/learn-about-blood/plasma/anti-D" TargetMode="External"/><Relationship Id="rId37" Type="http://schemas.openxmlformats.org/officeDocument/2006/relationships/hyperlink" Target="https://www.lifeblood.com.au/health-professionals/clinical-practice/adverse-events/PTP" TargetMode="External"/><Relationship Id="rId40" Type="http://schemas.openxmlformats.org/officeDocument/2006/relationships/image" Target="media/image6.png"/><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bloodmatters@redcrossblood.org.au" TargetMode="External"/><Relationship Id="rId23" Type="http://schemas.openxmlformats.org/officeDocument/2006/relationships/image" Target="media/image3.png"/><Relationship Id="rId28" Type="http://schemas.openxmlformats.org/officeDocument/2006/relationships/image" Target="media/image4.png"/><Relationship Id="rId36" Type="http://schemas.openxmlformats.org/officeDocument/2006/relationships/hyperlink" Target="https://anzsbt.org.au/wp-content/uploads/2024/02/TAGVHD-Guideines-2024.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lifeblood.com.au/blood/learn-about-blood/plasma/anti-D"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hyperlink" Target="https://www.safercare.vic.gov.au/sites/default/files/2022-10/Protections%20for%20serious%20adverse%20patient%20safety%20event%20%28SAPSE%29%20reviews%20-%20FINAL.docx" TargetMode="External"/><Relationship Id="rId30" Type="http://schemas.openxmlformats.org/officeDocument/2006/relationships/hyperlink" Target="https://www.health.vic.gov.au/patient-care/blood-matters-audit-reports" TargetMode="External"/><Relationship Id="rId35" Type="http://schemas.openxmlformats.org/officeDocument/2006/relationships/hyperlink" Target="https://www.gov.uk/drug-device-alerts/national-patient-safety-alert-reducing-risks-for-transfusion-associated-circulatory-overload-natpsa-slash-2024-slash-004-slash-mhra" TargetMode="External"/><Relationship Id="rId43"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vic.gov.au/patient-care/serious-transfusion-incident-reporting-system" TargetMode="External"/><Relationship Id="rId25" Type="http://schemas.openxmlformats.org/officeDocument/2006/relationships/hyperlink" Target="https://www.safercare.vic.gov.au/sites/default/files/2022-10/Victorian%20Duty%20of%20Candour%20Guidelines%20-%20FINAL.docx" TargetMode="External"/><Relationship Id="rId33" Type="http://schemas.openxmlformats.org/officeDocument/2006/relationships/hyperlink" Target="https://www.blood.gov.au/guideline-prophylactic-use-rh-d-immunoglobulin-pregnancy-care" TargetMode="External"/><Relationship Id="rId38" Type="http://schemas.openxmlformats.org/officeDocument/2006/relationships/image" Target="media/image5.png"/><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anzsbt.org.au/guidelines-standards/anzsbt-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3\Branding_templates\New%20templates%20July%202021\Blood%20Matters%20DH%20red%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b70b9b4-4e86-47ad-ba30-80a481ff8f08}"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Blood Matters DH red report</Template>
  <TotalTime>31</TotalTime>
  <Pages>54</Pages>
  <Words>11570</Words>
  <Characters>69524</Characters>
  <Application>Microsoft Office Word</Application>
  <DocSecurity>0</DocSecurity>
  <Lines>579</Lines>
  <Paragraphs>161</Paragraphs>
  <ScaleCrop>false</ScaleCrop>
  <HeadingPairs>
    <vt:vector size="2" baseType="variant">
      <vt:variant>
        <vt:lpstr>Title</vt:lpstr>
      </vt:variant>
      <vt:variant>
        <vt:i4>1</vt:i4>
      </vt:variant>
    </vt:vector>
  </HeadingPairs>
  <TitlesOfParts>
    <vt:vector size="1" baseType="lpstr">
      <vt:lpstr>STIR report 2022–23</vt:lpstr>
    </vt:vector>
  </TitlesOfParts>
  <Manager/>
  <Company>Victoria State Government, Department of Health, Blood Matters</Company>
  <LinksUpToDate>false</LinksUpToDate>
  <CharactersWithSpaces>80933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 report 2022–23</dc:title>
  <dc:subject>Haemovigilance reporting</dc:subject>
  <dc:creator>Blood Matters</dc:creator>
  <cp:keywords>transfusion, blood, haemovigilance</cp:keywords>
  <dc:description/>
  <cp:lastModifiedBy>Clare Hennessy</cp:lastModifiedBy>
  <cp:revision>5</cp:revision>
  <cp:lastPrinted>2021-01-29T05:27:00Z</cp:lastPrinted>
  <dcterms:created xsi:type="dcterms:W3CDTF">2024-08-13T06:01:00Z</dcterms:created>
  <dcterms:modified xsi:type="dcterms:W3CDTF">2024-08-13T23:31:00Z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