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2B732E85">
        <w:trPr>
          <w:trHeight w:val="622"/>
        </w:trPr>
        <w:tc>
          <w:tcPr>
            <w:tcW w:w="10348" w:type="dxa"/>
            <w:tcMar>
              <w:top w:w="1531" w:type="dxa"/>
              <w:left w:w="0" w:type="dxa"/>
              <w:right w:w="0" w:type="dxa"/>
            </w:tcMar>
          </w:tcPr>
          <w:p w14:paraId="18038076" w14:textId="3AADD108" w:rsidR="003B5733" w:rsidRPr="003B5733" w:rsidRDefault="00915255" w:rsidP="003B5733">
            <w:pPr>
              <w:pStyle w:val="Documenttitle"/>
            </w:pPr>
            <w:r>
              <w:t>Annual review of m</w:t>
            </w:r>
            <w:r w:rsidR="00A378F2">
              <w:t>unicipal public health and wellbeing plan</w:t>
            </w:r>
          </w:p>
        </w:tc>
      </w:tr>
      <w:tr w:rsidR="003B5733" w14:paraId="2B0FB168" w14:textId="77777777" w:rsidTr="2B732E85">
        <w:tc>
          <w:tcPr>
            <w:tcW w:w="10348" w:type="dxa"/>
          </w:tcPr>
          <w:p w14:paraId="6C198BA9" w14:textId="5E72189F" w:rsidR="003B5733" w:rsidRPr="00A1389F" w:rsidRDefault="00C113CB">
            <w:pPr>
              <w:pStyle w:val="Documentsubtitle"/>
            </w:pPr>
            <w:r>
              <w:t>G</w:t>
            </w:r>
            <w:r w:rsidR="29178CB3">
              <w:t>uidance note</w:t>
            </w:r>
            <w:r>
              <w:t>, August 2024</w:t>
            </w:r>
          </w:p>
        </w:tc>
      </w:tr>
      <w:tr w:rsidR="003B5733" w14:paraId="1D099E71" w14:textId="77777777" w:rsidTr="2B732E85">
        <w:tc>
          <w:tcPr>
            <w:tcW w:w="10348" w:type="dxa"/>
          </w:tcPr>
          <w:p w14:paraId="1415A28C" w14:textId="77777777" w:rsidR="003B5733" w:rsidRPr="001E5058" w:rsidRDefault="006E4899" w:rsidP="001E5058">
            <w:pPr>
              <w:pStyle w:val="Bannermarking"/>
            </w:pPr>
            <w:r>
              <w:fldChar w:fldCharType="begin"/>
            </w:r>
            <w:r>
              <w:instrText>FILLIN  "Type the protective marking" \d OFFICIAL \o  \* MERGEFORMAT</w:instrText>
            </w:r>
            <w:r>
              <w:fldChar w:fldCharType="separate"/>
            </w:r>
            <w:r w:rsidR="009F1300">
              <w:t>OFFICIAL</w:t>
            </w:r>
            <w:r>
              <w:fldChar w:fldCharType="end"/>
            </w:r>
          </w:p>
        </w:tc>
      </w:tr>
    </w:tbl>
    <w:p w14:paraId="6D5FCFE8" w14:textId="745052EA" w:rsidR="00602B1B" w:rsidRDefault="00512278" w:rsidP="00B66BFD">
      <w:pPr>
        <w:pStyle w:val="Body"/>
        <w:contextualSpacing/>
      </w:pPr>
      <w:r w:rsidRPr="00701D15">
        <w:t xml:space="preserve">The </w:t>
      </w:r>
      <w:r w:rsidRPr="00385CA9">
        <w:rPr>
          <w:i/>
          <w:iCs/>
        </w:rPr>
        <w:t>Public Health and Wellbeing Act 2008</w:t>
      </w:r>
      <w:r w:rsidRPr="00652140">
        <w:rPr>
          <w:i/>
          <w:iCs/>
        </w:rPr>
        <w:t xml:space="preserve"> </w:t>
      </w:r>
      <w:r w:rsidRPr="00701D15">
        <w:t>(the Act) recognises the significant role of councils in improving the health and wellbeing of people in their municipality</w:t>
      </w:r>
      <w:r w:rsidR="00D77044">
        <w:t>.</w:t>
      </w:r>
      <w:r w:rsidRPr="00701D15">
        <w:t xml:space="preserve"> This Guidance Note outlines the legislative requirements for annual reviews of the municipal public health and wellbeing plan, raises</w:t>
      </w:r>
      <w:r w:rsidR="00816DD1">
        <w:t xml:space="preserve"> </w:t>
      </w:r>
      <w:r w:rsidR="008076D5" w:rsidRPr="00701D15">
        <w:t xml:space="preserve">the implications of the </w:t>
      </w:r>
      <w:r w:rsidR="008076D5" w:rsidRPr="00385CA9">
        <w:rPr>
          <w:i/>
          <w:iCs/>
        </w:rPr>
        <w:t>Local Government Act 2020</w:t>
      </w:r>
      <w:r w:rsidR="008076D5" w:rsidRPr="00701D15">
        <w:t xml:space="preserve"> for the process of the review, and </w:t>
      </w:r>
      <w:r w:rsidR="006374E2">
        <w:t xml:space="preserve">makes reference to </w:t>
      </w:r>
      <w:r w:rsidR="008C3551">
        <w:t xml:space="preserve">policy alignment </w:t>
      </w:r>
      <w:r w:rsidR="008076D5" w:rsidRPr="00701D15">
        <w:t>opportunities that will inform the annual review.</w:t>
      </w:r>
    </w:p>
    <w:p w14:paraId="08A25450" w14:textId="22C63FCD" w:rsidR="0063186A" w:rsidRDefault="0063186A" w:rsidP="0063186A">
      <w:pPr>
        <w:pStyle w:val="Heading2"/>
      </w:pPr>
      <w:r>
        <w:t>Legislative requirements</w:t>
      </w:r>
    </w:p>
    <w:p w14:paraId="631CBEC8" w14:textId="2B7D7FF3" w:rsidR="00F92377" w:rsidRDefault="00F92377" w:rsidP="00B66BFD">
      <w:pPr>
        <w:pStyle w:val="Body"/>
        <w:contextualSpacing/>
      </w:pPr>
      <w:r>
        <w:t xml:space="preserve">The function of a Council under the Act is to seek to protect, improve and promote public health and </w:t>
      </w:r>
    </w:p>
    <w:p w14:paraId="60CFF112" w14:textId="77777777" w:rsidR="00F92377" w:rsidRDefault="00F92377" w:rsidP="00B66BFD">
      <w:pPr>
        <w:pStyle w:val="Body"/>
        <w:contextualSpacing/>
      </w:pPr>
      <w:r>
        <w:t xml:space="preserve">wellbeing within the municipal district. Recognising this, the Act requires all councils to develop a </w:t>
      </w:r>
    </w:p>
    <w:p w14:paraId="24602764" w14:textId="77777777" w:rsidR="00F92377" w:rsidRDefault="00F92377" w:rsidP="00B66BFD">
      <w:pPr>
        <w:pStyle w:val="Body"/>
        <w:contextualSpacing/>
      </w:pPr>
      <w:r>
        <w:t xml:space="preserve">municipal public health and wellbeing plan (MPHWP) every four years (s. 26(a)); to provide for the </w:t>
      </w:r>
    </w:p>
    <w:p w14:paraId="17D3F7BB" w14:textId="77777777" w:rsidR="00F92377" w:rsidRDefault="00F92377" w:rsidP="00B66BFD">
      <w:pPr>
        <w:pStyle w:val="Body"/>
        <w:contextualSpacing/>
      </w:pPr>
      <w:r>
        <w:t xml:space="preserve">involvement of people in the local community in the development, implementation and evaluation of the </w:t>
      </w:r>
    </w:p>
    <w:p w14:paraId="7F931869" w14:textId="078484E6" w:rsidR="00F92377" w:rsidRDefault="00F92377" w:rsidP="00B66BFD">
      <w:pPr>
        <w:pStyle w:val="Body"/>
        <w:contextualSpacing/>
      </w:pPr>
      <w:r>
        <w:t xml:space="preserve">Plan (s. 26(2)(c)); and that the plan specify how the Council will work in partnership with the Department and other agencies undertaking public health initiatives, projects and programs to accomplish the goals </w:t>
      </w:r>
    </w:p>
    <w:p w14:paraId="60978F75" w14:textId="0682F51F" w:rsidR="00F92377" w:rsidRDefault="00F92377" w:rsidP="00726501">
      <w:pPr>
        <w:pStyle w:val="Body"/>
        <w:contextualSpacing/>
      </w:pPr>
      <w:r>
        <w:t>and strategies identified in the public health and wellbeing plan (s. 26(2)(d)).</w:t>
      </w:r>
    </w:p>
    <w:p w14:paraId="7ED2832A" w14:textId="77777777" w:rsidR="00D75F62" w:rsidRDefault="00D75F62" w:rsidP="00B66BFD">
      <w:pPr>
        <w:pStyle w:val="Body"/>
        <w:contextualSpacing/>
      </w:pPr>
    </w:p>
    <w:p w14:paraId="31676F58" w14:textId="081DEB24" w:rsidR="00F92377" w:rsidRDefault="00F92377" w:rsidP="00B66BFD">
      <w:pPr>
        <w:pStyle w:val="Body"/>
        <w:contextualSpacing/>
      </w:pPr>
      <w:r>
        <w:t xml:space="preserve">The Act also requires councils to conduct an annual review of the Plan and, if appropriate, amend the </w:t>
      </w:r>
    </w:p>
    <w:p w14:paraId="682755C3" w14:textId="77777777" w:rsidR="00F92377" w:rsidRDefault="00F92377" w:rsidP="00B66BFD">
      <w:pPr>
        <w:pStyle w:val="Body"/>
        <w:contextualSpacing/>
      </w:pPr>
      <w:r>
        <w:t xml:space="preserve">plan (s. 26(4)). The review needs to include a review of the measures council has implemented to </w:t>
      </w:r>
    </w:p>
    <w:p w14:paraId="48120F07" w14:textId="77777777" w:rsidR="00F92377" w:rsidRDefault="00F92377" w:rsidP="00B66BFD">
      <w:pPr>
        <w:pStyle w:val="Body"/>
        <w:contextualSpacing/>
      </w:pPr>
      <w:r>
        <w:t xml:space="preserve">prevent family violence and respond to the needs of victims of family violence in the local community </w:t>
      </w:r>
    </w:p>
    <w:p w14:paraId="77D75CAD" w14:textId="77777777" w:rsidR="00F92377" w:rsidRDefault="00F92377" w:rsidP="00B66BFD">
      <w:pPr>
        <w:pStyle w:val="Body"/>
        <w:contextualSpacing/>
      </w:pPr>
      <w:r>
        <w:t xml:space="preserve">(s. 26(4)(A)). Councils that have included public health and wellbeing matters in a Council Plan (by </w:t>
      </w:r>
    </w:p>
    <w:p w14:paraId="1C0B5096" w14:textId="77777777" w:rsidR="00F92377" w:rsidRDefault="00F92377" w:rsidP="00B66BFD">
      <w:pPr>
        <w:pStyle w:val="Body"/>
        <w:contextualSpacing/>
      </w:pPr>
      <w:r>
        <w:t xml:space="preserve">receiving an exemption from the Secretary, Department of Health), are also required to review their </w:t>
      </w:r>
    </w:p>
    <w:p w14:paraId="5B879158" w14:textId="18C989E3" w:rsidR="00332B30" w:rsidRDefault="00F92377" w:rsidP="00B66BFD">
      <w:pPr>
        <w:pStyle w:val="Body"/>
        <w:contextualSpacing/>
      </w:pPr>
      <w:r>
        <w:t xml:space="preserve">Council Plan annually (s. 27(2)(b) and (c)). </w:t>
      </w:r>
    </w:p>
    <w:p w14:paraId="6E7EE0F2" w14:textId="77777777" w:rsidR="00D75F62" w:rsidRDefault="00D75F62" w:rsidP="00B66BFD">
      <w:pPr>
        <w:pStyle w:val="Body"/>
        <w:contextualSpacing/>
      </w:pPr>
    </w:p>
    <w:p w14:paraId="298C8DE0" w14:textId="77777777" w:rsidR="00F92377" w:rsidRDefault="00F92377" w:rsidP="00B66BFD">
      <w:pPr>
        <w:pStyle w:val="Body"/>
        <w:contextualSpacing/>
      </w:pPr>
      <w:r>
        <w:t xml:space="preserve">The </w:t>
      </w:r>
      <w:r w:rsidRPr="00030644">
        <w:rPr>
          <w:i/>
          <w:iCs/>
        </w:rPr>
        <w:t>Public Health and Wellbeing Act</w:t>
      </w:r>
      <w:r>
        <w:t xml:space="preserve"> does not explicitly require councils to involve community in the </w:t>
      </w:r>
    </w:p>
    <w:p w14:paraId="102B8CC4" w14:textId="77777777" w:rsidR="00F92377" w:rsidRDefault="00F92377" w:rsidP="00B66BFD">
      <w:pPr>
        <w:pStyle w:val="Body"/>
        <w:contextualSpacing/>
      </w:pPr>
      <w:r>
        <w:t xml:space="preserve">annual review but does require councils to provide for the involvement of people in the local community </w:t>
      </w:r>
    </w:p>
    <w:p w14:paraId="71C3EC21" w14:textId="77777777" w:rsidR="00F92377" w:rsidRDefault="00F92377" w:rsidP="00B66BFD">
      <w:pPr>
        <w:pStyle w:val="Body"/>
        <w:contextualSpacing/>
      </w:pPr>
      <w:r>
        <w:t xml:space="preserve">in the implementation of the Plan (s. 26(2)(c)). However, the </w:t>
      </w:r>
      <w:r w:rsidRPr="00D23314">
        <w:rPr>
          <w:i/>
          <w:iCs/>
        </w:rPr>
        <w:t>Local Government Act 2020</w:t>
      </w:r>
      <w:r>
        <w:t xml:space="preserve"> requires </w:t>
      </w:r>
    </w:p>
    <w:p w14:paraId="04469F49" w14:textId="77777777" w:rsidR="00F92377" w:rsidRDefault="00F92377" w:rsidP="00B66BFD">
      <w:pPr>
        <w:pStyle w:val="Body"/>
        <w:contextualSpacing/>
      </w:pPr>
      <w:r>
        <w:t>councils to have deliberative engagement practices. A short guide for deliberative engagement</w:t>
      </w:r>
    </w:p>
    <w:p w14:paraId="56627454" w14:textId="65F38A56" w:rsidR="00F92377" w:rsidRDefault="00F92377" w:rsidP="00BE7A12">
      <w:pPr>
        <w:pStyle w:val="Body"/>
        <w:contextualSpacing/>
      </w:pPr>
      <w:r>
        <w:t xml:space="preserve">is available from the </w:t>
      </w:r>
      <w:r w:rsidRPr="00726501">
        <w:t>Victorian Local Governance Association</w:t>
      </w:r>
      <w:r>
        <w:t xml:space="preserve">. Councils are required to adopt and maintain a community engagement policy and include deliberative engagement practices in relation to key strategic work. The </w:t>
      </w:r>
      <w:r w:rsidRPr="00D23314">
        <w:rPr>
          <w:i/>
          <w:iCs/>
        </w:rPr>
        <w:t>Local</w:t>
      </w:r>
      <w:r w:rsidR="00D23314" w:rsidRPr="00D23314">
        <w:rPr>
          <w:i/>
          <w:iCs/>
        </w:rPr>
        <w:t xml:space="preserve"> </w:t>
      </w:r>
      <w:r w:rsidRPr="00D23314">
        <w:rPr>
          <w:i/>
          <w:iCs/>
        </w:rPr>
        <w:t>Government Act</w:t>
      </w:r>
      <w:r>
        <w:t xml:space="preserve"> does not stipulate the methods or format required which means each council can choose the most appropriate form of deliberation to suit their particular situation.</w:t>
      </w:r>
    </w:p>
    <w:p w14:paraId="396439AA" w14:textId="77777777" w:rsidR="00332B30" w:rsidRDefault="00332B30" w:rsidP="00B66BFD">
      <w:pPr>
        <w:pStyle w:val="Body"/>
        <w:contextualSpacing/>
      </w:pPr>
    </w:p>
    <w:p w14:paraId="0F3027DF" w14:textId="1D5A575C" w:rsidR="00F72C43" w:rsidRDefault="00F72C43" w:rsidP="00AE71C0">
      <w:pPr>
        <w:pStyle w:val="Heading2"/>
        <w:spacing w:before="120" w:after="0" w:line="280" w:lineRule="atLeast"/>
      </w:pPr>
      <w:r>
        <w:t>Conducting the annual review</w:t>
      </w:r>
    </w:p>
    <w:p w14:paraId="3C7F79A1" w14:textId="77777777" w:rsidR="00230655" w:rsidRPr="00230655" w:rsidRDefault="00230655" w:rsidP="00AE71C0">
      <w:pPr>
        <w:pStyle w:val="Body"/>
        <w:spacing w:before="120" w:after="0"/>
        <w:contextualSpacing/>
      </w:pPr>
      <w:r w:rsidRPr="00230655">
        <w:t xml:space="preserve">The annual review provides an opportunity to ensure actions identified in the plan (MPHWP or Council </w:t>
      </w:r>
    </w:p>
    <w:p w14:paraId="0169E883" w14:textId="77777777" w:rsidR="00230655" w:rsidRPr="00230655" w:rsidRDefault="00230655" w:rsidP="00AE71C0">
      <w:pPr>
        <w:pStyle w:val="Body"/>
        <w:spacing w:before="120" w:after="0"/>
        <w:contextualSpacing/>
      </w:pPr>
      <w:r w:rsidRPr="00230655">
        <w:t xml:space="preserve">Plan) are being implemented satisfactorily, are having the desired impact, and to assess whether they </w:t>
      </w:r>
    </w:p>
    <w:p w14:paraId="5709A6F4" w14:textId="77777777" w:rsidR="00230655" w:rsidRPr="00230655" w:rsidRDefault="00230655" w:rsidP="00AE71C0">
      <w:pPr>
        <w:pStyle w:val="Body"/>
        <w:spacing w:before="120" w:after="0"/>
        <w:contextualSpacing/>
      </w:pPr>
      <w:r w:rsidRPr="00230655">
        <w:t xml:space="preserve">remain the best way for council to improve public health and wellbeing over the life of the plan. This </w:t>
      </w:r>
    </w:p>
    <w:p w14:paraId="2856D5C8" w14:textId="77777777" w:rsidR="00230655" w:rsidRPr="00230655" w:rsidRDefault="00230655" w:rsidP="00AE71C0">
      <w:pPr>
        <w:pStyle w:val="Body"/>
        <w:spacing w:before="120" w:after="0"/>
        <w:contextualSpacing/>
      </w:pPr>
      <w:r w:rsidRPr="00230655">
        <w:t xml:space="preserve">allows councils to identify and follow-up on activities that have not started or that need refinement; to </w:t>
      </w:r>
    </w:p>
    <w:p w14:paraId="2303B68F" w14:textId="7B1A781B" w:rsidR="00230655" w:rsidRPr="00230655" w:rsidRDefault="00230655" w:rsidP="00AE71C0">
      <w:pPr>
        <w:pStyle w:val="Body"/>
        <w:spacing w:before="120" w:after="0"/>
        <w:contextualSpacing/>
      </w:pPr>
      <w:r w:rsidRPr="00230655">
        <w:lastRenderedPageBreak/>
        <w:t xml:space="preserve">reduce or conclude activities that may no longer be necessary or effective; and to commence new activities in response to newly identified needs or opportunities. In this way, councils can ensure reliable plan implementation and maintain the relevance of the plan over its four-year life. Conducting an annual </w:t>
      </w:r>
    </w:p>
    <w:p w14:paraId="0E0A11C2" w14:textId="590276B0" w:rsidR="00230655" w:rsidRPr="00230655" w:rsidRDefault="00230655" w:rsidP="00AE71C0">
      <w:pPr>
        <w:pStyle w:val="Body"/>
        <w:spacing w:before="120" w:after="0"/>
        <w:contextualSpacing/>
      </w:pPr>
      <w:r w:rsidRPr="00230655">
        <w:t xml:space="preserve">review may also assist to extend the influence of the MPHWP across council or in relation to partnerships, for example: </w:t>
      </w:r>
    </w:p>
    <w:p w14:paraId="52A94FB2" w14:textId="77777777" w:rsidR="00230655" w:rsidRDefault="00230655" w:rsidP="00AE71C0">
      <w:pPr>
        <w:pStyle w:val="Bullet1"/>
        <w:spacing w:before="120" w:after="0"/>
        <w:contextualSpacing/>
      </w:pPr>
      <w:r w:rsidRPr="00230655">
        <w:t xml:space="preserve">reporting and celebrating achievements </w:t>
      </w:r>
    </w:p>
    <w:p w14:paraId="4F44357E" w14:textId="4463336F" w:rsidR="00230655" w:rsidRPr="00230655" w:rsidRDefault="00230655" w:rsidP="00AE71C0">
      <w:pPr>
        <w:pStyle w:val="Bullet1"/>
        <w:spacing w:before="120" w:after="0"/>
        <w:contextualSpacing/>
      </w:pPr>
      <w:r w:rsidRPr="00230655">
        <w:t>informing other related plans and policies</w:t>
      </w:r>
    </w:p>
    <w:p w14:paraId="06C51438" w14:textId="7668FD72" w:rsidR="00230655" w:rsidRPr="00230655" w:rsidRDefault="00230655" w:rsidP="00AE71C0">
      <w:pPr>
        <w:pStyle w:val="Bullet1"/>
        <w:spacing w:before="120" w:after="0"/>
        <w:contextualSpacing/>
      </w:pPr>
      <w:r w:rsidRPr="00230655">
        <w:t xml:space="preserve">strengthening networks and partnerships </w:t>
      </w:r>
    </w:p>
    <w:p w14:paraId="51A55BF8" w14:textId="284E3D42" w:rsidR="00230655" w:rsidRPr="00230655" w:rsidRDefault="00230655" w:rsidP="00AE71C0">
      <w:pPr>
        <w:pStyle w:val="Bullet1"/>
        <w:spacing w:before="120" w:after="0"/>
        <w:contextualSpacing/>
      </w:pPr>
      <w:r w:rsidRPr="00230655">
        <w:t>informing resource allocation.</w:t>
      </w:r>
    </w:p>
    <w:p w14:paraId="4FC618B4" w14:textId="77777777" w:rsidR="00230655" w:rsidRPr="00230655" w:rsidRDefault="00230655" w:rsidP="00AE71C0">
      <w:pPr>
        <w:pStyle w:val="Body"/>
        <w:spacing w:before="120" w:after="0"/>
        <w:contextualSpacing/>
      </w:pPr>
      <w:r w:rsidRPr="00230655">
        <w:t xml:space="preserve">Each annual review will help build evidence for the future evaluation of the MPHWP and inform the </w:t>
      </w:r>
    </w:p>
    <w:p w14:paraId="7DAE8289" w14:textId="77777777" w:rsidR="00230655" w:rsidRPr="00230655" w:rsidRDefault="00230655" w:rsidP="00AE71C0">
      <w:pPr>
        <w:pStyle w:val="Body"/>
        <w:spacing w:before="120" w:after="0"/>
        <w:contextualSpacing/>
      </w:pPr>
      <w:r w:rsidRPr="00230655">
        <w:t xml:space="preserve">development of the next plan. The annual review undertaken in the final year of the four-year cycle </w:t>
      </w:r>
    </w:p>
    <w:p w14:paraId="2AD2B71C" w14:textId="77777777" w:rsidR="00230655" w:rsidRPr="00230655" w:rsidRDefault="00230655" w:rsidP="00AE71C0">
      <w:pPr>
        <w:pStyle w:val="Body"/>
        <w:spacing w:before="120" w:after="0"/>
        <w:contextualSpacing/>
      </w:pPr>
      <w:r w:rsidRPr="00230655">
        <w:t>should take a longer-term view and have a stronger orientation to review the impact and outcomes</w:t>
      </w:r>
    </w:p>
    <w:p w14:paraId="70C77207" w14:textId="0FD84B86" w:rsidR="00230655" w:rsidRPr="00726501" w:rsidRDefault="00230655" w:rsidP="00AE71C0">
      <w:pPr>
        <w:pStyle w:val="Body"/>
        <w:spacing w:before="120" w:after="0"/>
        <w:contextualSpacing/>
        <w:rPr>
          <w:i/>
          <w:iCs/>
        </w:rPr>
      </w:pPr>
      <w:r w:rsidRPr="00AA1617">
        <w:t xml:space="preserve">achieved over the whole cycle in line with the </w:t>
      </w:r>
      <w:r w:rsidRPr="00726501">
        <w:rPr>
          <w:i/>
          <w:iCs/>
        </w:rPr>
        <w:t xml:space="preserve">Victorian </w:t>
      </w:r>
      <w:r w:rsidR="00A840B0">
        <w:rPr>
          <w:i/>
          <w:iCs/>
        </w:rPr>
        <w:t>p</w:t>
      </w:r>
      <w:r w:rsidRPr="00726501">
        <w:rPr>
          <w:i/>
          <w:iCs/>
        </w:rPr>
        <w:t xml:space="preserve">ublic </w:t>
      </w:r>
      <w:r w:rsidR="00A840B0">
        <w:rPr>
          <w:i/>
          <w:iCs/>
        </w:rPr>
        <w:t>h</w:t>
      </w:r>
      <w:r w:rsidRPr="00726501">
        <w:rPr>
          <w:i/>
          <w:iCs/>
        </w:rPr>
        <w:t xml:space="preserve">ealth and </w:t>
      </w:r>
      <w:r w:rsidR="00A840B0">
        <w:rPr>
          <w:i/>
          <w:iCs/>
        </w:rPr>
        <w:t>w</w:t>
      </w:r>
      <w:r w:rsidRPr="00726501">
        <w:rPr>
          <w:i/>
          <w:iCs/>
        </w:rPr>
        <w:t xml:space="preserve">ellbeing </w:t>
      </w:r>
      <w:r w:rsidR="00A840B0">
        <w:rPr>
          <w:i/>
          <w:iCs/>
        </w:rPr>
        <w:t>o</w:t>
      </w:r>
      <w:r w:rsidRPr="00726501">
        <w:rPr>
          <w:i/>
          <w:iCs/>
        </w:rPr>
        <w:t xml:space="preserve">utcomes </w:t>
      </w:r>
    </w:p>
    <w:p w14:paraId="4718284A" w14:textId="2CABEEE8" w:rsidR="00230655" w:rsidRDefault="00A840B0" w:rsidP="00AE71C0">
      <w:pPr>
        <w:pStyle w:val="Body"/>
        <w:spacing w:before="120" w:after="0"/>
        <w:contextualSpacing/>
      </w:pPr>
      <w:r>
        <w:rPr>
          <w:i/>
          <w:iCs/>
        </w:rPr>
        <w:t>f</w:t>
      </w:r>
      <w:r w:rsidR="00230655" w:rsidRPr="00726501">
        <w:rPr>
          <w:i/>
          <w:iCs/>
        </w:rPr>
        <w:t>ramework</w:t>
      </w:r>
      <w:r w:rsidR="00055516">
        <w:t>.</w:t>
      </w:r>
      <w:r w:rsidR="00230655" w:rsidRPr="00AA1617">
        <w:t xml:space="preserve"> The final year review should also be an important input to planning the next four-year MPHWP.</w:t>
      </w:r>
    </w:p>
    <w:p w14:paraId="3AB4AF41" w14:textId="200838E7" w:rsidR="00BF7BD8" w:rsidRDefault="00633233" w:rsidP="00BF7BD8">
      <w:pPr>
        <w:pStyle w:val="Heading2"/>
      </w:pPr>
      <w:r>
        <w:t xml:space="preserve">Alignment with </w:t>
      </w:r>
      <w:r w:rsidR="000D225C">
        <w:t xml:space="preserve">prevention </w:t>
      </w:r>
      <w:r w:rsidR="00B36F2A">
        <w:t xml:space="preserve">system </w:t>
      </w:r>
      <w:r w:rsidR="000D225C">
        <w:t xml:space="preserve">policy and </w:t>
      </w:r>
      <w:r>
        <w:t>p</w:t>
      </w:r>
      <w:r w:rsidR="000D225C">
        <w:t>rograms</w:t>
      </w:r>
    </w:p>
    <w:p w14:paraId="3744227C" w14:textId="1217DBB5" w:rsidR="000D60D6" w:rsidRDefault="00BF7BD8" w:rsidP="00BF7BD8">
      <w:pPr>
        <w:pStyle w:val="Body"/>
        <w:spacing w:before="120" w:after="0"/>
        <w:contextualSpacing/>
        <w:rPr>
          <w:rStyle w:val="eop"/>
          <w:rFonts w:cs="Arial"/>
          <w:color w:val="000000"/>
          <w:szCs w:val="21"/>
          <w:shd w:val="clear" w:color="auto" w:fill="FFFFFF"/>
        </w:rPr>
      </w:pPr>
      <w:r>
        <w:t xml:space="preserve">The annual review is an opportunity to </w:t>
      </w:r>
      <w:r w:rsidR="00B36F2A">
        <w:t>consider</w:t>
      </w:r>
      <w:r>
        <w:t xml:space="preserve"> MPHWP align</w:t>
      </w:r>
      <w:r w:rsidR="003D2B29">
        <w:t>ment</w:t>
      </w:r>
      <w:r>
        <w:t xml:space="preserve"> with </w:t>
      </w:r>
      <w:r w:rsidR="003A1204">
        <w:t>the</w:t>
      </w:r>
      <w:r w:rsidR="00633233">
        <w:t xml:space="preserve"> networked </w:t>
      </w:r>
      <w:r w:rsidR="00F12D9C">
        <w:t>Victorian public health system</w:t>
      </w:r>
      <w:r w:rsidR="003A1204">
        <w:t xml:space="preserve">, comprising the </w:t>
      </w:r>
      <w:r w:rsidR="00F12D9C">
        <w:t>9 Local public health units</w:t>
      </w:r>
      <w:r w:rsidR="003A1204">
        <w:t xml:space="preserve"> </w:t>
      </w:r>
      <w:r>
        <w:t>and to identify opportunities to maximise council’s efforts</w:t>
      </w:r>
      <w:r w:rsidR="00662977">
        <w:t xml:space="preserve"> bringing </w:t>
      </w:r>
      <w:r w:rsidR="000D60D6">
        <w:rPr>
          <w:rStyle w:val="normaltextrun"/>
          <w:rFonts w:cs="Arial"/>
          <w:color w:val="000000"/>
          <w:szCs w:val="21"/>
          <w:shd w:val="clear" w:color="auto" w:fill="FFFFFF"/>
        </w:rPr>
        <w:t>partners together in a coordinated systems approach to improve health and wellbeing for Victorians.</w:t>
      </w:r>
      <w:r w:rsidR="000D60D6">
        <w:rPr>
          <w:rStyle w:val="eop"/>
          <w:rFonts w:cs="Arial"/>
          <w:color w:val="000000"/>
          <w:szCs w:val="21"/>
          <w:shd w:val="clear" w:color="auto" w:fill="FFFFFF"/>
        </w:rPr>
        <w:t> </w:t>
      </w:r>
      <w:r w:rsidR="00C55E05">
        <w:rPr>
          <w:rStyle w:val="eop"/>
          <w:rFonts w:cs="Arial"/>
          <w:color w:val="000000"/>
          <w:szCs w:val="21"/>
          <w:shd w:val="clear" w:color="auto" w:fill="FFFFFF"/>
        </w:rPr>
        <w:t>For more information</w:t>
      </w:r>
      <w:r w:rsidR="00CD6124">
        <w:rPr>
          <w:rStyle w:val="eop"/>
          <w:rFonts w:cs="Arial"/>
          <w:color w:val="000000"/>
          <w:szCs w:val="21"/>
          <w:shd w:val="clear" w:color="auto" w:fill="FFFFFF"/>
        </w:rPr>
        <w:t>,</w:t>
      </w:r>
      <w:r w:rsidR="00C55E05">
        <w:rPr>
          <w:rStyle w:val="eop"/>
          <w:rFonts w:cs="Arial"/>
          <w:color w:val="000000"/>
          <w:szCs w:val="21"/>
          <w:shd w:val="clear" w:color="auto" w:fill="FFFFFF"/>
        </w:rPr>
        <w:t xml:space="preserve"> refer to </w:t>
      </w:r>
      <w:r w:rsidR="00C55E05" w:rsidRPr="00484E53">
        <w:t>LPHU map and LGA catchment</w:t>
      </w:r>
      <w:r w:rsidR="00945C82">
        <w:t xml:space="preserve"> on the Local Public Health Unit page</w:t>
      </w:r>
      <w:r w:rsidR="00C55E05">
        <w:t xml:space="preserve"> &lt;</w:t>
      </w:r>
      <w:r w:rsidR="00C55E05" w:rsidRPr="00C8613B">
        <w:t xml:space="preserve"> </w:t>
      </w:r>
      <w:r w:rsidR="006F1151" w:rsidRPr="00664B90">
        <w:t>https://www.health.vic.gov.au/local-public-health-units</w:t>
      </w:r>
      <w:r w:rsidR="006F1151">
        <w:t xml:space="preserve"> &gt;</w:t>
      </w:r>
    </w:p>
    <w:p w14:paraId="0A140664" w14:textId="77777777" w:rsidR="00D70D6C" w:rsidRDefault="00D70D6C" w:rsidP="00BF7BD8">
      <w:pPr>
        <w:pStyle w:val="Body"/>
        <w:spacing w:before="120" w:after="0"/>
        <w:contextualSpacing/>
      </w:pPr>
    </w:p>
    <w:p w14:paraId="354B06CF" w14:textId="0DDCCAF4" w:rsidR="00BF7BD8" w:rsidRDefault="00BF7BD8" w:rsidP="00BF7BD8">
      <w:pPr>
        <w:pStyle w:val="Body"/>
        <w:spacing w:before="120" w:after="0"/>
        <w:contextualSpacing/>
      </w:pPr>
      <w:r>
        <w:t>LPHUs partner with local organisations (including local government) to focus on delivery of prevention interventions and outcomes through a shared planning approach with joint goals and strategies to enable integrated place based chronic disease prevention and health promotion. To facilitate this work, LPHUs develop</w:t>
      </w:r>
      <w:r w:rsidR="00B64C7E">
        <w:t>ed</w:t>
      </w:r>
      <w:r>
        <w:t xml:space="preserve"> a</w:t>
      </w:r>
      <w:r w:rsidR="008618BE">
        <w:t>n inaugural</w:t>
      </w:r>
      <w:r>
        <w:t xml:space="preserve"> catchment-wide population health plan </w:t>
      </w:r>
      <w:r w:rsidR="008618BE">
        <w:t xml:space="preserve">in 2023 </w:t>
      </w:r>
      <w:r>
        <w:t xml:space="preserve">that aligns with </w:t>
      </w:r>
      <w:r w:rsidR="008618BE">
        <w:t>priorities of the Victorian public health and wellbeing plan.</w:t>
      </w:r>
    </w:p>
    <w:p w14:paraId="3BD43BD1" w14:textId="77777777" w:rsidR="00DC61C3" w:rsidRDefault="00DC61C3" w:rsidP="00152DC9">
      <w:pPr>
        <w:pStyle w:val="Body"/>
        <w:spacing w:before="120" w:after="0"/>
        <w:contextualSpacing/>
      </w:pPr>
    </w:p>
    <w:p w14:paraId="52F54769" w14:textId="4F2E3C83" w:rsidR="00152DC9" w:rsidRPr="00152DC9" w:rsidRDefault="00152DC9" w:rsidP="00152DC9">
      <w:pPr>
        <w:pStyle w:val="Body"/>
        <w:spacing w:before="120" w:after="0"/>
        <w:contextualSpacing/>
      </w:pPr>
      <w:r w:rsidRPr="00152DC9">
        <w:t xml:space="preserve">The annual review is a reminder for councils to explore opportunities to extend, build and strengthen </w:t>
      </w:r>
    </w:p>
    <w:p w14:paraId="26C15A18" w14:textId="77777777" w:rsidR="00152DC9" w:rsidRPr="00152DC9" w:rsidRDefault="00152DC9" w:rsidP="00152DC9">
      <w:pPr>
        <w:pStyle w:val="Body"/>
        <w:spacing w:before="120" w:after="0"/>
        <w:contextualSpacing/>
      </w:pPr>
      <w:r w:rsidRPr="00152DC9">
        <w:t>local partnerships to improve public health and wellbeing.</w:t>
      </w:r>
    </w:p>
    <w:p w14:paraId="62AA011D" w14:textId="77777777" w:rsidR="00152DC9" w:rsidRPr="00152DC9" w:rsidRDefault="00152DC9" w:rsidP="00152DC9">
      <w:pPr>
        <w:pStyle w:val="Heading2"/>
      </w:pPr>
      <w:r w:rsidRPr="00152DC9">
        <w:t>Further Information</w:t>
      </w:r>
    </w:p>
    <w:p w14:paraId="2EF9B0CB" w14:textId="19041AB4" w:rsidR="00152DC9" w:rsidRPr="00664B90" w:rsidRDefault="00152DC9" w:rsidP="00152DC9">
      <w:pPr>
        <w:pStyle w:val="Body"/>
        <w:spacing w:before="120" w:after="0"/>
        <w:contextualSpacing/>
      </w:pPr>
      <w:r w:rsidRPr="00152DC9">
        <w:t xml:space="preserve">For further information and support about the annual review process, please visit the </w:t>
      </w:r>
      <w:r w:rsidRPr="00664B90">
        <w:t xml:space="preserve">Department of </w:t>
      </w:r>
    </w:p>
    <w:p w14:paraId="674CE133" w14:textId="090DD48D" w:rsidR="00152DC9" w:rsidRPr="00664B90" w:rsidRDefault="00152DC9" w:rsidP="00152DC9">
      <w:pPr>
        <w:pStyle w:val="Body"/>
        <w:spacing w:before="120" w:after="0"/>
        <w:contextualSpacing/>
      </w:pPr>
      <w:r w:rsidRPr="00664B90">
        <w:t xml:space="preserve">Health Municipal public health and wellbeing planning page </w:t>
      </w:r>
      <w:r w:rsidR="007C3F52">
        <w:t>&lt;</w:t>
      </w:r>
      <w:r w:rsidR="007C3F52" w:rsidRPr="007C3F52">
        <w:t>https://www.health.vic.gov.au/population-health-systems/municipal-public-health-and-wellbeing-planning</w:t>
      </w:r>
      <w:r w:rsidR="007C3F52">
        <w:t xml:space="preserve">&gt;  </w:t>
      </w:r>
    </w:p>
    <w:p w14:paraId="6495CBF6" w14:textId="3854671A" w:rsidR="00D45569" w:rsidRDefault="00D45569" w:rsidP="00152DC9">
      <w:pPr>
        <w:pStyle w:val="Body"/>
        <w:spacing w:before="120" w:after="0"/>
        <w:contextualSpacing/>
        <w:rPr>
          <w:b/>
          <w:bCs/>
        </w:rPr>
      </w:pPr>
    </w:p>
    <w:tbl>
      <w:tblPr>
        <w:tblStyle w:val="TableGrid"/>
        <w:tblW w:w="10343" w:type="dxa"/>
        <w:tblCellMar>
          <w:bottom w:w="108" w:type="dxa"/>
        </w:tblCellMar>
        <w:tblLook w:val="0600" w:firstRow="0" w:lastRow="0" w:firstColumn="0" w:lastColumn="0" w:noHBand="1" w:noVBand="1"/>
      </w:tblPr>
      <w:tblGrid>
        <w:gridCol w:w="10343"/>
      </w:tblGrid>
      <w:tr w:rsidR="00F31719" w14:paraId="50DD789A" w14:textId="77777777" w:rsidTr="00A76628">
        <w:tc>
          <w:tcPr>
            <w:tcW w:w="10343" w:type="dxa"/>
          </w:tcPr>
          <w:p w14:paraId="326AE5B1" w14:textId="51BCB7A4" w:rsidR="00F31719" w:rsidRPr="00B221E9" w:rsidRDefault="00F31719">
            <w:pPr>
              <w:pStyle w:val="Accessibilitypara"/>
              <w:rPr>
                <w:sz w:val="20"/>
                <w:szCs w:val="20"/>
              </w:rPr>
            </w:pPr>
            <w:r w:rsidRPr="00B221E9">
              <w:rPr>
                <w:sz w:val="20"/>
                <w:szCs w:val="20"/>
              </w:rPr>
              <w:t>To receive this document in another format</w:t>
            </w:r>
            <w:r w:rsidR="00604D4F">
              <w:rPr>
                <w:sz w:val="20"/>
                <w:szCs w:val="20"/>
              </w:rPr>
              <w:t xml:space="preserve"> email, </w:t>
            </w:r>
            <w:hyperlink r:id="rId18" w:history="1">
              <w:r w:rsidR="00A76628" w:rsidRPr="0043774D">
                <w:rPr>
                  <w:rStyle w:val="Hyperlink"/>
                  <w:sz w:val="20"/>
                  <w:szCs w:val="20"/>
                </w:rPr>
                <w:t>prevention@health.vic.gov.au</w:t>
              </w:r>
            </w:hyperlink>
            <w:r w:rsidR="00A76628">
              <w:rPr>
                <w:sz w:val="20"/>
                <w:szCs w:val="20"/>
              </w:rPr>
              <w:t xml:space="preserve"> </w:t>
            </w:r>
            <w:r w:rsidR="00715862" w:rsidRPr="00715862">
              <w:rPr>
                <w:sz w:val="20"/>
                <w:szCs w:val="20"/>
              </w:rPr>
              <w:t>&lt;prevention@health.vic.gov.au&gt;</w:t>
            </w:r>
          </w:p>
          <w:p w14:paraId="49FA93D6" w14:textId="77777777" w:rsidR="00F31719" w:rsidRPr="00B221E9" w:rsidRDefault="00F31719">
            <w:pPr>
              <w:pStyle w:val="Imprint"/>
            </w:pPr>
            <w:r w:rsidRPr="00B221E9">
              <w:t>Authorised and published by the Victorian Government, 1 Treasury Place, Melbourne.</w:t>
            </w:r>
          </w:p>
          <w:p w14:paraId="2D065F19" w14:textId="5226544B" w:rsidR="00F31719" w:rsidRPr="00B221E9" w:rsidRDefault="00F31719">
            <w:pPr>
              <w:pStyle w:val="Imprint"/>
            </w:pPr>
            <w:r w:rsidRPr="00B221E9">
              <w:t xml:space="preserve">© State of Victoria, Australia, Department of Health, </w:t>
            </w:r>
            <w:r w:rsidR="006D6E1D">
              <w:t>August</w:t>
            </w:r>
            <w:r w:rsidRPr="00B221E9">
              <w:t xml:space="preserve"> 2024.</w:t>
            </w:r>
          </w:p>
          <w:p w14:paraId="687AFA34" w14:textId="65AAA2C0" w:rsidR="00F31719" w:rsidRDefault="00F31719">
            <w:pPr>
              <w:pStyle w:val="Imprint"/>
            </w:pPr>
            <w:r w:rsidRPr="00B221E9">
              <w:t xml:space="preserve">Available at </w:t>
            </w:r>
            <w:hyperlink r:id="rId19" w:history="1">
              <w:r w:rsidR="006E4899">
                <w:rPr>
                  <w:rStyle w:val="Hyperlink"/>
                </w:rPr>
                <w:t>Municipal public health and wellbeing planning</w:t>
              </w:r>
            </w:hyperlink>
            <w:r w:rsidR="0004530B">
              <w:t xml:space="preserve"> &lt;</w:t>
            </w:r>
            <w:r w:rsidR="0004530B" w:rsidRPr="0004530B">
              <w:t>https://www.health.vic.gov.au/population-health-systems/municipal-public-health-and-wellbeing-planning</w:t>
            </w:r>
            <w:r w:rsidR="0004530B">
              <w:t>&gt;</w:t>
            </w:r>
          </w:p>
        </w:tc>
      </w:tr>
    </w:tbl>
    <w:p w14:paraId="450D60A7" w14:textId="77777777" w:rsidR="00997C4C" w:rsidRPr="00152DC9" w:rsidRDefault="00997C4C" w:rsidP="00152DC9">
      <w:pPr>
        <w:pStyle w:val="Body"/>
        <w:spacing w:before="120" w:after="0"/>
        <w:contextualSpacing/>
        <w:rPr>
          <w:b/>
          <w:bCs/>
        </w:rPr>
      </w:pPr>
    </w:p>
    <w:sectPr w:rsidR="00997C4C" w:rsidRPr="00152DC9" w:rsidSect="00E62622">
      <w:foot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5CE1A" w14:textId="77777777" w:rsidR="00B7762E" w:rsidRDefault="00B7762E">
      <w:r>
        <w:separator/>
      </w:r>
    </w:p>
  </w:endnote>
  <w:endnote w:type="continuationSeparator" w:id="0">
    <w:p w14:paraId="5C416D05" w14:textId="77777777" w:rsidR="00B7762E" w:rsidRDefault="00B7762E">
      <w:r>
        <w:continuationSeparator/>
      </w:r>
    </w:p>
  </w:endnote>
  <w:endnote w:type="continuationNotice" w:id="1">
    <w:p w14:paraId="04845E9F" w14:textId="77777777" w:rsidR="00B7762E" w:rsidRDefault="00B77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C978D" w14:textId="77777777" w:rsidR="009F0505" w:rsidRDefault="009F0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98B71"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44087"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C8368"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0651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2F8B5" w14:textId="77777777" w:rsidR="00B7762E" w:rsidRDefault="00B7762E" w:rsidP="002862F1">
      <w:pPr>
        <w:spacing w:before="120"/>
      </w:pPr>
      <w:r>
        <w:separator/>
      </w:r>
    </w:p>
  </w:footnote>
  <w:footnote w:type="continuationSeparator" w:id="0">
    <w:p w14:paraId="68A52E7F" w14:textId="77777777" w:rsidR="00B7762E" w:rsidRDefault="00B7762E">
      <w:r>
        <w:continuationSeparator/>
      </w:r>
    </w:p>
  </w:footnote>
  <w:footnote w:type="continuationNotice" w:id="1">
    <w:p w14:paraId="23F5F3E7" w14:textId="77777777" w:rsidR="00B7762E" w:rsidRDefault="00B776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94EC7" w14:textId="77777777" w:rsidR="009F0505" w:rsidRDefault="009F0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24E2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A87A6" w14:textId="77777777" w:rsidR="009F0505" w:rsidRDefault="009F0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A6598C"/>
    <w:multiLevelType w:val="hybridMultilevel"/>
    <w:tmpl w:val="0BD89DAC"/>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F510A6E"/>
    <w:multiLevelType w:val="multilevel"/>
    <w:tmpl w:val="B3A6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054744">
    <w:abstractNumId w:val="10"/>
  </w:num>
  <w:num w:numId="2" w16cid:durableId="1832870723">
    <w:abstractNumId w:val="18"/>
  </w:num>
  <w:num w:numId="3" w16cid:durableId="904536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79920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8119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41077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3350388">
    <w:abstractNumId w:val="22"/>
  </w:num>
  <w:num w:numId="8" w16cid:durableId="798110478">
    <w:abstractNumId w:val="17"/>
  </w:num>
  <w:num w:numId="9" w16cid:durableId="379743869">
    <w:abstractNumId w:val="21"/>
  </w:num>
  <w:num w:numId="10" w16cid:durableId="20969727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3914464">
    <w:abstractNumId w:val="23"/>
  </w:num>
  <w:num w:numId="12" w16cid:durableId="11317037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2037467">
    <w:abstractNumId w:val="19"/>
  </w:num>
  <w:num w:numId="14" w16cid:durableId="11161458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80308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4303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5069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81035">
    <w:abstractNumId w:val="25"/>
  </w:num>
  <w:num w:numId="19" w16cid:durableId="16431496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3132846">
    <w:abstractNumId w:val="14"/>
  </w:num>
  <w:num w:numId="21" w16cid:durableId="1528637122">
    <w:abstractNumId w:val="12"/>
  </w:num>
  <w:num w:numId="22" w16cid:durableId="2001350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0230282">
    <w:abstractNumId w:val="15"/>
  </w:num>
  <w:num w:numId="24" w16cid:durableId="1127167091">
    <w:abstractNumId w:val="26"/>
  </w:num>
  <w:num w:numId="25" w16cid:durableId="443119364">
    <w:abstractNumId w:val="24"/>
  </w:num>
  <w:num w:numId="26" w16cid:durableId="1055860095">
    <w:abstractNumId w:val="20"/>
  </w:num>
  <w:num w:numId="27" w16cid:durableId="433282421">
    <w:abstractNumId w:val="11"/>
  </w:num>
  <w:num w:numId="28" w16cid:durableId="1068844120">
    <w:abstractNumId w:val="27"/>
  </w:num>
  <w:num w:numId="29" w16cid:durableId="786046846">
    <w:abstractNumId w:val="9"/>
  </w:num>
  <w:num w:numId="30" w16cid:durableId="510491127">
    <w:abstractNumId w:val="7"/>
  </w:num>
  <w:num w:numId="31" w16cid:durableId="1731541779">
    <w:abstractNumId w:val="6"/>
  </w:num>
  <w:num w:numId="32" w16cid:durableId="1917744898">
    <w:abstractNumId w:val="5"/>
  </w:num>
  <w:num w:numId="33" w16cid:durableId="1272588267">
    <w:abstractNumId w:val="4"/>
  </w:num>
  <w:num w:numId="34" w16cid:durableId="318848174">
    <w:abstractNumId w:val="8"/>
  </w:num>
  <w:num w:numId="35" w16cid:durableId="451747146">
    <w:abstractNumId w:val="3"/>
  </w:num>
  <w:num w:numId="36" w16cid:durableId="919562388">
    <w:abstractNumId w:val="2"/>
  </w:num>
  <w:num w:numId="37" w16cid:durableId="681199749">
    <w:abstractNumId w:val="1"/>
  </w:num>
  <w:num w:numId="38" w16cid:durableId="604582774">
    <w:abstractNumId w:val="0"/>
  </w:num>
  <w:num w:numId="39" w16cid:durableId="1255889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10968872">
    <w:abstractNumId w:val="28"/>
  </w:num>
  <w:num w:numId="41" w16cid:durableId="126545924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84"/>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4225"/>
    <w:rsid w:val="00005347"/>
    <w:rsid w:val="000072B6"/>
    <w:rsid w:val="0001021B"/>
    <w:rsid w:val="00011D89"/>
    <w:rsid w:val="000154FD"/>
    <w:rsid w:val="00016FBF"/>
    <w:rsid w:val="00022271"/>
    <w:rsid w:val="000235E8"/>
    <w:rsid w:val="00024D89"/>
    <w:rsid w:val="000250B6"/>
    <w:rsid w:val="0003053D"/>
    <w:rsid w:val="00030644"/>
    <w:rsid w:val="00033D81"/>
    <w:rsid w:val="00037366"/>
    <w:rsid w:val="00041BF0"/>
    <w:rsid w:val="00042C8A"/>
    <w:rsid w:val="0004530B"/>
    <w:rsid w:val="0004536B"/>
    <w:rsid w:val="00046B68"/>
    <w:rsid w:val="000527DD"/>
    <w:rsid w:val="0005287F"/>
    <w:rsid w:val="00055516"/>
    <w:rsid w:val="000578B2"/>
    <w:rsid w:val="00060959"/>
    <w:rsid w:val="00060C8F"/>
    <w:rsid w:val="0006298A"/>
    <w:rsid w:val="000663CD"/>
    <w:rsid w:val="000733FE"/>
    <w:rsid w:val="00074219"/>
    <w:rsid w:val="00074ED5"/>
    <w:rsid w:val="000760B2"/>
    <w:rsid w:val="000835C6"/>
    <w:rsid w:val="0008508E"/>
    <w:rsid w:val="00087951"/>
    <w:rsid w:val="0009113B"/>
    <w:rsid w:val="00091BA7"/>
    <w:rsid w:val="00093402"/>
    <w:rsid w:val="000937E8"/>
    <w:rsid w:val="00094DA3"/>
    <w:rsid w:val="00096CD1"/>
    <w:rsid w:val="000A012C"/>
    <w:rsid w:val="000A02A7"/>
    <w:rsid w:val="000A0EB9"/>
    <w:rsid w:val="000A186C"/>
    <w:rsid w:val="000A1EA4"/>
    <w:rsid w:val="000A2476"/>
    <w:rsid w:val="000A4E79"/>
    <w:rsid w:val="000A641A"/>
    <w:rsid w:val="000B3EDB"/>
    <w:rsid w:val="000B543D"/>
    <w:rsid w:val="000B55F9"/>
    <w:rsid w:val="000B5BF7"/>
    <w:rsid w:val="000B6BC8"/>
    <w:rsid w:val="000C0303"/>
    <w:rsid w:val="000C254A"/>
    <w:rsid w:val="000C42EA"/>
    <w:rsid w:val="000C4546"/>
    <w:rsid w:val="000D1242"/>
    <w:rsid w:val="000D225C"/>
    <w:rsid w:val="000D60D6"/>
    <w:rsid w:val="000E0970"/>
    <w:rsid w:val="000E09AA"/>
    <w:rsid w:val="000E1910"/>
    <w:rsid w:val="000E3CC7"/>
    <w:rsid w:val="000E6BD4"/>
    <w:rsid w:val="000E6D6D"/>
    <w:rsid w:val="000F1F1E"/>
    <w:rsid w:val="000F2259"/>
    <w:rsid w:val="000F2DDA"/>
    <w:rsid w:val="000F5213"/>
    <w:rsid w:val="00101001"/>
    <w:rsid w:val="00103276"/>
    <w:rsid w:val="0010392D"/>
    <w:rsid w:val="0010447F"/>
    <w:rsid w:val="00104FE3"/>
    <w:rsid w:val="00105C72"/>
    <w:rsid w:val="0010714F"/>
    <w:rsid w:val="001120C5"/>
    <w:rsid w:val="0011701A"/>
    <w:rsid w:val="00120BD3"/>
    <w:rsid w:val="00122FEA"/>
    <w:rsid w:val="001232BD"/>
    <w:rsid w:val="00124ED5"/>
    <w:rsid w:val="001276FA"/>
    <w:rsid w:val="00133978"/>
    <w:rsid w:val="00134BA7"/>
    <w:rsid w:val="0014255B"/>
    <w:rsid w:val="001447B3"/>
    <w:rsid w:val="00145D16"/>
    <w:rsid w:val="00152073"/>
    <w:rsid w:val="00152DC9"/>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87446"/>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D79E1"/>
    <w:rsid w:val="001E0C5D"/>
    <w:rsid w:val="001E2A36"/>
    <w:rsid w:val="001E44DF"/>
    <w:rsid w:val="001E5058"/>
    <w:rsid w:val="001E6274"/>
    <w:rsid w:val="001E68A5"/>
    <w:rsid w:val="001E6BB0"/>
    <w:rsid w:val="001E7282"/>
    <w:rsid w:val="001F3826"/>
    <w:rsid w:val="001F3E8A"/>
    <w:rsid w:val="001F6E46"/>
    <w:rsid w:val="001F7186"/>
    <w:rsid w:val="001F7C91"/>
    <w:rsid w:val="00200176"/>
    <w:rsid w:val="002033B7"/>
    <w:rsid w:val="00206463"/>
    <w:rsid w:val="00206618"/>
    <w:rsid w:val="002066A0"/>
    <w:rsid w:val="00206F2F"/>
    <w:rsid w:val="0021053D"/>
    <w:rsid w:val="00210A92"/>
    <w:rsid w:val="00216C03"/>
    <w:rsid w:val="00220C04"/>
    <w:rsid w:val="0022278D"/>
    <w:rsid w:val="00223601"/>
    <w:rsid w:val="0022701F"/>
    <w:rsid w:val="00227C68"/>
    <w:rsid w:val="00230655"/>
    <w:rsid w:val="00231D91"/>
    <w:rsid w:val="002333F5"/>
    <w:rsid w:val="00233724"/>
    <w:rsid w:val="002365B4"/>
    <w:rsid w:val="002432E1"/>
    <w:rsid w:val="00244A8A"/>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5C2E"/>
    <w:rsid w:val="002763B3"/>
    <w:rsid w:val="002802E3"/>
    <w:rsid w:val="0028213D"/>
    <w:rsid w:val="00284281"/>
    <w:rsid w:val="002862F1"/>
    <w:rsid w:val="00291373"/>
    <w:rsid w:val="0029597D"/>
    <w:rsid w:val="002962C3"/>
    <w:rsid w:val="0029752B"/>
    <w:rsid w:val="002A0A9C"/>
    <w:rsid w:val="002A3DA8"/>
    <w:rsid w:val="002A483C"/>
    <w:rsid w:val="002A7C6E"/>
    <w:rsid w:val="002B0C7C"/>
    <w:rsid w:val="002B1729"/>
    <w:rsid w:val="002B36C7"/>
    <w:rsid w:val="002B4DD4"/>
    <w:rsid w:val="002B5277"/>
    <w:rsid w:val="002B5375"/>
    <w:rsid w:val="002B77C1"/>
    <w:rsid w:val="002C0ED7"/>
    <w:rsid w:val="002C2728"/>
    <w:rsid w:val="002C30B2"/>
    <w:rsid w:val="002D1E0D"/>
    <w:rsid w:val="002D5006"/>
    <w:rsid w:val="002E01D0"/>
    <w:rsid w:val="002E161D"/>
    <w:rsid w:val="002E2F15"/>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543"/>
    <w:rsid w:val="00327870"/>
    <w:rsid w:val="00330991"/>
    <w:rsid w:val="0033259D"/>
    <w:rsid w:val="00332B30"/>
    <w:rsid w:val="003333D2"/>
    <w:rsid w:val="00336472"/>
    <w:rsid w:val="003406C6"/>
    <w:rsid w:val="003418CC"/>
    <w:rsid w:val="003459BD"/>
    <w:rsid w:val="00350D38"/>
    <w:rsid w:val="00351B36"/>
    <w:rsid w:val="00351D30"/>
    <w:rsid w:val="00357B4E"/>
    <w:rsid w:val="00367CD2"/>
    <w:rsid w:val="003716FD"/>
    <w:rsid w:val="0037204B"/>
    <w:rsid w:val="00373890"/>
    <w:rsid w:val="003744CF"/>
    <w:rsid w:val="00374717"/>
    <w:rsid w:val="0037676C"/>
    <w:rsid w:val="00381043"/>
    <w:rsid w:val="003829E5"/>
    <w:rsid w:val="00385CA9"/>
    <w:rsid w:val="00386109"/>
    <w:rsid w:val="00386944"/>
    <w:rsid w:val="00387225"/>
    <w:rsid w:val="003956CC"/>
    <w:rsid w:val="00395C9A"/>
    <w:rsid w:val="003A0516"/>
    <w:rsid w:val="003A0853"/>
    <w:rsid w:val="003A1204"/>
    <w:rsid w:val="003A6B67"/>
    <w:rsid w:val="003B13B6"/>
    <w:rsid w:val="003B15E6"/>
    <w:rsid w:val="003B408A"/>
    <w:rsid w:val="003B48A3"/>
    <w:rsid w:val="003B5733"/>
    <w:rsid w:val="003C08A2"/>
    <w:rsid w:val="003C2045"/>
    <w:rsid w:val="003C43A1"/>
    <w:rsid w:val="003C4FC0"/>
    <w:rsid w:val="003C55F4"/>
    <w:rsid w:val="003C7897"/>
    <w:rsid w:val="003C7A3F"/>
    <w:rsid w:val="003D1DD0"/>
    <w:rsid w:val="003D2766"/>
    <w:rsid w:val="003D2A74"/>
    <w:rsid w:val="003D2B29"/>
    <w:rsid w:val="003D3E8F"/>
    <w:rsid w:val="003D6475"/>
    <w:rsid w:val="003E0378"/>
    <w:rsid w:val="003E0D9F"/>
    <w:rsid w:val="003E375C"/>
    <w:rsid w:val="003E4086"/>
    <w:rsid w:val="003E639E"/>
    <w:rsid w:val="003E71E5"/>
    <w:rsid w:val="003F0445"/>
    <w:rsid w:val="003F0CF0"/>
    <w:rsid w:val="003F14B1"/>
    <w:rsid w:val="003F2B20"/>
    <w:rsid w:val="003F3289"/>
    <w:rsid w:val="003F5CB9"/>
    <w:rsid w:val="004013C7"/>
    <w:rsid w:val="00401760"/>
    <w:rsid w:val="00401FCF"/>
    <w:rsid w:val="0040248F"/>
    <w:rsid w:val="004028BF"/>
    <w:rsid w:val="00406285"/>
    <w:rsid w:val="004112C6"/>
    <w:rsid w:val="004148F9"/>
    <w:rsid w:val="00414D4A"/>
    <w:rsid w:val="0042084E"/>
    <w:rsid w:val="00421EEF"/>
    <w:rsid w:val="00424D65"/>
    <w:rsid w:val="00433FF7"/>
    <w:rsid w:val="00441579"/>
    <w:rsid w:val="00442C6C"/>
    <w:rsid w:val="00443CBE"/>
    <w:rsid w:val="00443E8A"/>
    <w:rsid w:val="004441BC"/>
    <w:rsid w:val="004468B4"/>
    <w:rsid w:val="0045230A"/>
    <w:rsid w:val="004546C2"/>
    <w:rsid w:val="00454AD0"/>
    <w:rsid w:val="00457337"/>
    <w:rsid w:val="00462E3D"/>
    <w:rsid w:val="00466E79"/>
    <w:rsid w:val="00470D7D"/>
    <w:rsid w:val="0047372D"/>
    <w:rsid w:val="00473BA3"/>
    <w:rsid w:val="004743DD"/>
    <w:rsid w:val="00474CEA"/>
    <w:rsid w:val="00483968"/>
    <w:rsid w:val="00484E53"/>
    <w:rsid w:val="00484F86"/>
    <w:rsid w:val="00490746"/>
    <w:rsid w:val="00490852"/>
    <w:rsid w:val="00491C9C"/>
    <w:rsid w:val="00492F30"/>
    <w:rsid w:val="004946F4"/>
    <w:rsid w:val="0049487E"/>
    <w:rsid w:val="004A04E0"/>
    <w:rsid w:val="004A160D"/>
    <w:rsid w:val="004A3E81"/>
    <w:rsid w:val="004A4195"/>
    <w:rsid w:val="004A5C62"/>
    <w:rsid w:val="004A5CE5"/>
    <w:rsid w:val="004A707D"/>
    <w:rsid w:val="004C5541"/>
    <w:rsid w:val="004C6EEE"/>
    <w:rsid w:val="004C702B"/>
    <w:rsid w:val="004D0033"/>
    <w:rsid w:val="004D016B"/>
    <w:rsid w:val="004D1B22"/>
    <w:rsid w:val="004D23CC"/>
    <w:rsid w:val="004D363B"/>
    <w:rsid w:val="004D36F2"/>
    <w:rsid w:val="004E1106"/>
    <w:rsid w:val="004E138F"/>
    <w:rsid w:val="004E4649"/>
    <w:rsid w:val="004E5C2B"/>
    <w:rsid w:val="004F00DD"/>
    <w:rsid w:val="004F2133"/>
    <w:rsid w:val="004F5398"/>
    <w:rsid w:val="004F55F1"/>
    <w:rsid w:val="004F6936"/>
    <w:rsid w:val="00503DC6"/>
    <w:rsid w:val="00506F5D"/>
    <w:rsid w:val="00510C37"/>
    <w:rsid w:val="00512278"/>
    <w:rsid w:val="005126D0"/>
    <w:rsid w:val="0051568D"/>
    <w:rsid w:val="005160DB"/>
    <w:rsid w:val="00523AC9"/>
    <w:rsid w:val="00526AC7"/>
    <w:rsid w:val="00526C15"/>
    <w:rsid w:val="0053089F"/>
    <w:rsid w:val="00536395"/>
    <w:rsid w:val="00536499"/>
    <w:rsid w:val="00543903"/>
    <w:rsid w:val="00543F11"/>
    <w:rsid w:val="00546305"/>
    <w:rsid w:val="00547A95"/>
    <w:rsid w:val="0055119B"/>
    <w:rsid w:val="005548B5"/>
    <w:rsid w:val="0055670E"/>
    <w:rsid w:val="005638B5"/>
    <w:rsid w:val="005679DA"/>
    <w:rsid w:val="00572031"/>
    <w:rsid w:val="00572282"/>
    <w:rsid w:val="00573CE3"/>
    <w:rsid w:val="00576E84"/>
    <w:rsid w:val="00580394"/>
    <w:rsid w:val="005809CD"/>
    <w:rsid w:val="00582B8C"/>
    <w:rsid w:val="0058757E"/>
    <w:rsid w:val="00587765"/>
    <w:rsid w:val="00596A4B"/>
    <w:rsid w:val="00597475"/>
    <w:rsid w:val="00597507"/>
    <w:rsid w:val="005A36B5"/>
    <w:rsid w:val="005A479D"/>
    <w:rsid w:val="005B1C6D"/>
    <w:rsid w:val="005B21B6"/>
    <w:rsid w:val="005B3A08"/>
    <w:rsid w:val="005B7A63"/>
    <w:rsid w:val="005C0955"/>
    <w:rsid w:val="005C49DA"/>
    <w:rsid w:val="005C50F3"/>
    <w:rsid w:val="005C54B5"/>
    <w:rsid w:val="005C5D80"/>
    <w:rsid w:val="005C5D91"/>
    <w:rsid w:val="005D07B8"/>
    <w:rsid w:val="005D3F8C"/>
    <w:rsid w:val="005D6597"/>
    <w:rsid w:val="005E14E7"/>
    <w:rsid w:val="005E26A3"/>
    <w:rsid w:val="005E2ECB"/>
    <w:rsid w:val="005E3DB7"/>
    <w:rsid w:val="005E447E"/>
    <w:rsid w:val="005E4FD1"/>
    <w:rsid w:val="005F0775"/>
    <w:rsid w:val="005F0BDF"/>
    <w:rsid w:val="005F0CF5"/>
    <w:rsid w:val="005F21EB"/>
    <w:rsid w:val="00602B1B"/>
    <w:rsid w:val="00604D4F"/>
    <w:rsid w:val="00605908"/>
    <w:rsid w:val="00610D7C"/>
    <w:rsid w:val="00613414"/>
    <w:rsid w:val="00620154"/>
    <w:rsid w:val="0062408D"/>
    <w:rsid w:val="006240CC"/>
    <w:rsid w:val="00624940"/>
    <w:rsid w:val="006254F8"/>
    <w:rsid w:val="00627DA7"/>
    <w:rsid w:val="00630049"/>
    <w:rsid w:val="00630DA4"/>
    <w:rsid w:val="0063186A"/>
    <w:rsid w:val="00632597"/>
    <w:rsid w:val="00633233"/>
    <w:rsid w:val="006358B4"/>
    <w:rsid w:val="006374E2"/>
    <w:rsid w:val="006419AA"/>
    <w:rsid w:val="00644B1F"/>
    <w:rsid w:val="00644B7E"/>
    <w:rsid w:val="006454E6"/>
    <w:rsid w:val="00646235"/>
    <w:rsid w:val="00646A68"/>
    <w:rsid w:val="006505BD"/>
    <w:rsid w:val="006508EA"/>
    <w:rsid w:val="0065092E"/>
    <w:rsid w:val="00652140"/>
    <w:rsid w:val="006557A7"/>
    <w:rsid w:val="00655B88"/>
    <w:rsid w:val="00656290"/>
    <w:rsid w:val="006608D8"/>
    <w:rsid w:val="006621D7"/>
    <w:rsid w:val="00662977"/>
    <w:rsid w:val="0066302A"/>
    <w:rsid w:val="00664B90"/>
    <w:rsid w:val="00667770"/>
    <w:rsid w:val="00670597"/>
    <w:rsid w:val="006706D0"/>
    <w:rsid w:val="00671C1E"/>
    <w:rsid w:val="00677574"/>
    <w:rsid w:val="0068454C"/>
    <w:rsid w:val="00687850"/>
    <w:rsid w:val="00691B62"/>
    <w:rsid w:val="006933B5"/>
    <w:rsid w:val="00693D14"/>
    <w:rsid w:val="00696F27"/>
    <w:rsid w:val="006A18C2"/>
    <w:rsid w:val="006A3383"/>
    <w:rsid w:val="006A4506"/>
    <w:rsid w:val="006B077C"/>
    <w:rsid w:val="006B6803"/>
    <w:rsid w:val="006D0F16"/>
    <w:rsid w:val="006D2A3F"/>
    <w:rsid w:val="006D2FBC"/>
    <w:rsid w:val="006D6E1D"/>
    <w:rsid w:val="006E0541"/>
    <w:rsid w:val="006E138B"/>
    <w:rsid w:val="006E4899"/>
    <w:rsid w:val="006F0330"/>
    <w:rsid w:val="006F1151"/>
    <w:rsid w:val="006F1FDC"/>
    <w:rsid w:val="006F6B8C"/>
    <w:rsid w:val="007013EF"/>
    <w:rsid w:val="00701D15"/>
    <w:rsid w:val="00701D28"/>
    <w:rsid w:val="00705403"/>
    <w:rsid w:val="007055BD"/>
    <w:rsid w:val="00715862"/>
    <w:rsid w:val="007173CA"/>
    <w:rsid w:val="007216AA"/>
    <w:rsid w:val="00721AB5"/>
    <w:rsid w:val="00721CFB"/>
    <w:rsid w:val="00721DEF"/>
    <w:rsid w:val="0072251A"/>
    <w:rsid w:val="00724A43"/>
    <w:rsid w:val="00726501"/>
    <w:rsid w:val="007273AC"/>
    <w:rsid w:val="00731AD4"/>
    <w:rsid w:val="007346E4"/>
    <w:rsid w:val="00734FCA"/>
    <w:rsid w:val="0073582E"/>
    <w:rsid w:val="00740F22"/>
    <w:rsid w:val="00741CF0"/>
    <w:rsid w:val="00741F1A"/>
    <w:rsid w:val="007446F9"/>
    <w:rsid w:val="007447DA"/>
    <w:rsid w:val="00744F28"/>
    <w:rsid w:val="007450F8"/>
    <w:rsid w:val="0074696E"/>
    <w:rsid w:val="00750135"/>
    <w:rsid w:val="00750EC2"/>
    <w:rsid w:val="00752B28"/>
    <w:rsid w:val="007541A9"/>
    <w:rsid w:val="00754E36"/>
    <w:rsid w:val="00763139"/>
    <w:rsid w:val="00766F85"/>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0337"/>
    <w:rsid w:val="007A11E8"/>
    <w:rsid w:val="007A1494"/>
    <w:rsid w:val="007A1994"/>
    <w:rsid w:val="007B0914"/>
    <w:rsid w:val="007B1374"/>
    <w:rsid w:val="007B32E5"/>
    <w:rsid w:val="007B3DB9"/>
    <w:rsid w:val="007B589F"/>
    <w:rsid w:val="007B6186"/>
    <w:rsid w:val="007B73BC"/>
    <w:rsid w:val="007C1838"/>
    <w:rsid w:val="007C20B9"/>
    <w:rsid w:val="007C3F52"/>
    <w:rsid w:val="007C49E9"/>
    <w:rsid w:val="007C7301"/>
    <w:rsid w:val="007C7859"/>
    <w:rsid w:val="007C7F28"/>
    <w:rsid w:val="007D1466"/>
    <w:rsid w:val="007D20A4"/>
    <w:rsid w:val="007D2BDE"/>
    <w:rsid w:val="007D2FB6"/>
    <w:rsid w:val="007D3D90"/>
    <w:rsid w:val="007D49EB"/>
    <w:rsid w:val="007D5E1C"/>
    <w:rsid w:val="007E0DE2"/>
    <w:rsid w:val="007E1227"/>
    <w:rsid w:val="007E3B98"/>
    <w:rsid w:val="007E417A"/>
    <w:rsid w:val="007F31B6"/>
    <w:rsid w:val="007F546C"/>
    <w:rsid w:val="007F625F"/>
    <w:rsid w:val="007F665E"/>
    <w:rsid w:val="00800412"/>
    <w:rsid w:val="0080275A"/>
    <w:rsid w:val="0080587B"/>
    <w:rsid w:val="00806468"/>
    <w:rsid w:val="008076D5"/>
    <w:rsid w:val="008119CA"/>
    <w:rsid w:val="008130C4"/>
    <w:rsid w:val="008155F0"/>
    <w:rsid w:val="00816735"/>
    <w:rsid w:val="00816DD1"/>
    <w:rsid w:val="00820141"/>
    <w:rsid w:val="00820E0C"/>
    <w:rsid w:val="008213F0"/>
    <w:rsid w:val="00823275"/>
    <w:rsid w:val="0082366F"/>
    <w:rsid w:val="008338A2"/>
    <w:rsid w:val="008339AC"/>
    <w:rsid w:val="00835FAF"/>
    <w:rsid w:val="00841AA9"/>
    <w:rsid w:val="00844E44"/>
    <w:rsid w:val="008474FE"/>
    <w:rsid w:val="00850B79"/>
    <w:rsid w:val="00853EE4"/>
    <w:rsid w:val="0085487B"/>
    <w:rsid w:val="00855535"/>
    <w:rsid w:val="00855920"/>
    <w:rsid w:val="00857C5A"/>
    <w:rsid w:val="008617CA"/>
    <w:rsid w:val="008618BE"/>
    <w:rsid w:val="00861E7B"/>
    <w:rsid w:val="0086255E"/>
    <w:rsid w:val="008633F0"/>
    <w:rsid w:val="00867655"/>
    <w:rsid w:val="00867D9D"/>
    <w:rsid w:val="00872E0A"/>
    <w:rsid w:val="00873594"/>
    <w:rsid w:val="00875285"/>
    <w:rsid w:val="00884B62"/>
    <w:rsid w:val="0088529C"/>
    <w:rsid w:val="00887903"/>
    <w:rsid w:val="00887C2C"/>
    <w:rsid w:val="0089270A"/>
    <w:rsid w:val="0089397F"/>
    <w:rsid w:val="00893AF6"/>
    <w:rsid w:val="00894BC4"/>
    <w:rsid w:val="008A28A8"/>
    <w:rsid w:val="008A5B32"/>
    <w:rsid w:val="008A60B5"/>
    <w:rsid w:val="008B2EE4"/>
    <w:rsid w:val="008B4D3D"/>
    <w:rsid w:val="008B57C7"/>
    <w:rsid w:val="008B6131"/>
    <w:rsid w:val="008C2F92"/>
    <w:rsid w:val="008C3551"/>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870"/>
    <w:rsid w:val="00904A1C"/>
    <w:rsid w:val="00905030"/>
    <w:rsid w:val="00906490"/>
    <w:rsid w:val="00910E99"/>
    <w:rsid w:val="009111B2"/>
    <w:rsid w:val="009151F5"/>
    <w:rsid w:val="00915255"/>
    <w:rsid w:val="009220CA"/>
    <w:rsid w:val="00924AE1"/>
    <w:rsid w:val="009269B1"/>
    <w:rsid w:val="0092724D"/>
    <w:rsid w:val="009272B3"/>
    <w:rsid w:val="0093112E"/>
    <w:rsid w:val="009315BE"/>
    <w:rsid w:val="0093338F"/>
    <w:rsid w:val="00936B67"/>
    <w:rsid w:val="00937986"/>
    <w:rsid w:val="00937BD9"/>
    <w:rsid w:val="00945C82"/>
    <w:rsid w:val="00950E2C"/>
    <w:rsid w:val="00951D50"/>
    <w:rsid w:val="009525EB"/>
    <w:rsid w:val="0095470B"/>
    <w:rsid w:val="00954874"/>
    <w:rsid w:val="0095615A"/>
    <w:rsid w:val="00961400"/>
    <w:rsid w:val="00963646"/>
    <w:rsid w:val="00965B17"/>
    <w:rsid w:val="0096632D"/>
    <w:rsid w:val="009718C7"/>
    <w:rsid w:val="0097559F"/>
    <w:rsid w:val="0097641E"/>
    <w:rsid w:val="0097761E"/>
    <w:rsid w:val="00982454"/>
    <w:rsid w:val="00982CF0"/>
    <w:rsid w:val="009853E1"/>
    <w:rsid w:val="00986E6B"/>
    <w:rsid w:val="00990032"/>
    <w:rsid w:val="00990B19"/>
    <w:rsid w:val="0099153B"/>
    <w:rsid w:val="00991769"/>
    <w:rsid w:val="0099232C"/>
    <w:rsid w:val="0099376F"/>
    <w:rsid w:val="00994386"/>
    <w:rsid w:val="00997C4C"/>
    <w:rsid w:val="009A13D8"/>
    <w:rsid w:val="009A279E"/>
    <w:rsid w:val="009A3015"/>
    <w:rsid w:val="009A30E4"/>
    <w:rsid w:val="009A3490"/>
    <w:rsid w:val="009B0A6F"/>
    <w:rsid w:val="009B0A94"/>
    <w:rsid w:val="009B2AE8"/>
    <w:rsid w:val="009B59E9"/>
    <w:rsid w:val="009B70AA"/>
    <w:rsid w:val="009B7279"/>
    <w:rsid w:val="009C5E77"/>
    <w:rsid w:val="009C7A7E"/>
    <w:rsid w:val="009C7F3E"/>
    <w:rsid w:val="009D02E8"/>
    <w:rsid w:val="009D1FC4"/>
    <w:rsid w:val="009D51D0"/>
    <w:rsid w:val="009D70A4"/>
    <w:rsid w:val="009D7B14"/>
    <w:rsid w:val="009E08D1"/>
    <w:rsid w:val="009E1B95"/>
    <w:rsid w:val="009E496F"/>
    <w:rsid w:val="009E4B0D"/>
    <w:rsid w:val="009E5250"/>
    <w:rsid w:val="009E7F92"/>
    <w:rsid w:val="009F02A3"/>
    <w:rsid w:val="009F0505"/>
    <w:rsid w:val="009F1300"/>
    <w:rsid w:val="009F2F27"/>
    <w:rsid w:val="009F34AA"/>
    <w:rsid w:val="009F4C00"/>
    <w:rsid w:val="009F6BCB"/>
    <w:rsid w:val="009F7B78"/>
    <w:rsid w:val="00A00183"/>
    <w:rsid w:val="00A0057A"/>
    <w:rsid w:val="00A02FA1"/>
    <w:rsid w:val="00A04CCE"/>
    <w:rsid w:val="00A06893"/>
    <w:rsid w:val="00A07421"/>
    <w:rsid w:val="00A0776B"/>
    <w:rsid w:val="00A10FB9"/>
    <w:rsid w:val="00A11421"/>
    <w:rsid w:val="00A1389F"/>
    <w:rsid w:val="00A157B1"/>
    <w:rsid w:val="00A22229"/>
    <w:rsid w:val="00A24442"/>
    <w:rsid w:val="00A25F64"/>
    <w:rsid w:val="00A330BB"/>
    <w:rsid w:val="00A378F2"/>
    <w:rsid w:val="00A446D4"/>
    <w:rsid w:val="00A44882"/>
    <w:rsid w:val="00A45125"/>
    <w:rsid w:val="00A4531F"/>
    <w:rsid w:val="00A54715"/>
    <w:rsid w:val="00A6061C"/>
    <w:rsid w:val="00A62D44"/>
    <w:rsid w:val="00A67263"/>
    <w:rsid w:val="00A7161C"/>
    <w:rsid w:val="00A76628"/>
    <w:rsid w:val="00A77AA3"/>
    <w:rsid w:val="00A8236D"/>
    <w:rsid w:val="00A840B0"/>
    <w:rsid w:val="00A854EB"/>
    <w:rsid w:val="00A872E5"/>
    <w:rsid w:val="00A91406"/>
    <w:rsid w:val="00A96E65"/>
    <w:rsid w:val="00A97C72"/>
    <w:rsid w:val="00AA0E4D"/>
    <w:rsid w:val="00AA1617"/>
    <w:rsid w:val="00AA268E"/>
    <w:rsid w:val="00AA310B"/>
    <w:rsid w:val="00AA63D4"/>
    <w:rsid w:val="00AB06E8"/>
    <w:rsid w:val="00AB1CD3"/>
    <w:rsid w:val="00AB352F"/>
    <w:rsid w:val="00AC274B"/>
    <w:rsid w:val="00AC4764"/>
    <w:rsid w:val="00AC6D36"/>
    <w:rsid w:val="00AD0CBA"/>
    <w:rsid w:val="00AD177A"/>
    <w:rsid w:val="00AD26E2"/>
    <w:rsid w:val="00AD784C"/>
    <w:rsid w:val="00AE014A"/>
    <w:rsid w:val="00AE126A"/>
    <w:rsid w:val="00AE1BAE"/>
    <w:rsid w:val="00AE3005"/>
    <w:rsid w:val="00AE3BD5"/>
    <w:rsid w:val="00AE59A0"/>
    <w:rsid w:val="00AE71C0"/>
    <w:rsid w:val="00AF0C57"/>
    <w:rsid w:val="00AF26F3"/>
    <w:rsid w:val="00AF5F04"/>
    <w:rsid w:val="00B00672"/>
    <w:rsid w:val="00B01B4D"/>
    <w:rsid w:val="00B06571"/>
    <w:rsid w:val="00B068BA"/>
    <w:rsid w:val="00B07FF7"/>
    <w:rsid w:val="00B13851"/>
    <w:rsid w:val="00B13B1C"/>
    <w:rsid w:val="00B14780"/>
    <w:rsid w:val="00B21F90"/>
    <w:rsid w:val="00B221E9"/>
    <w:rsid w:val="00B22291"/>
    <w:rsid w:val="00B23F9A"/>
    <w:rsid w:val="00B2417B"/>
    <w:rsid w:val="00B24E6F"/>
    <w:rsid w:val="00B26CB5"/>
    <w:rsid w:val="00B2752E"/>
    <w:rsid w:val="00B307CC"/>
    <w:rsid w:val="00B326B7"/>
    <w:rsid w:val="00B3588E"/>
    <w:rsid w:val="00B36F2A"/>
    <w:rsid w:val="00B41F3D"/>
    <w:rsid w:val="00B431E8"/>
    <w:rsid w:val="00B45141"/>
    <w:rsid w:val="00B46DE7"/>
    <w:rsid w:val="00B519CD"/>
    <w:rsid w:val="00B5273A"/>
    <w:rsid w:val="00B5276C"/>
    <w:rsid w:val="00B534FF"/>
    <w:rsid w:val="00B57329"/>
    <w:rsid w:val="00B60E61"/>
    <w:rsid w:val="00B62B50"/>
    <w:rsid w:val="00B635B7"/>
    <w:rsid w:val="00B63AE8"/>
    <w:rsid w:val="00B64C7E"/>
    <w:rsid w:val="00B65950"/>
    <w:rsid w:val="00B66BFD"/>
    <w:rsid w:val="00B66D83"/>
    <w:rsid w:val="00B672C0"/>
    <w:rsid w:val="00B676FD"/>
    <w:rsid w:val="00B75646"/>
    <w:rsid w:val="00B7762E"/>
    <w:rsid w:val="00B83813"/>
    <w:rsid w:val="00B90729"/>
    <w:rsid w:val="00B907DA"/>
    <w:rsid w:val="00B925A6"/>
    <w:rsid w:val="00B92A05"/>
    <w:rsid w:val="00B94CD5"/>
    <w:rsid w:val="00B950BC"/>
    <w:rsid w:val="00B9714C"/>
    <w:rsid w:val="00BA29AD"/>
    <w:rsid w:val="00BA33CF"/>
    <w:rsid w:val="00BA3F8D"/>
    <w:rsid w:val="00BA59E7"/>
    <w:rsid w:val="00BB0313"/>
    <w:rsid w:val="00BB7A10"/>
    <w:rsid w:val="00BC0EE9"/>
    <w:rsid w:val="00BC3E8F"/>
    <w:rsid w:val="00BC60BE"/>
    <w:rsid w:val="00BC63D9"/>
    <w:rsid w:val="00BC7468"/>
    <w:rsid w:val="00BC7D4F"/>
    <w:rsid w:val="00BC7ED7"/>
    <w:rsid w:val="00BD2850"/>
    <w:rsid w:val="00BE28D2"/>
    <w:rsid w:val="00BE4A64"/>
    <w:rsid w:val="00BE5E43"/>
    <w:rsid w:val="00BE7A12"/>
    <w:rsid w:val="00BF30B2"/>
    <w:rsid w:val="00BF3103"/>
    <w:rsid w:val="00BF557D"/>
    <w:rsid w:val="00BF7BD8"/>
    <w:rsid w:val="00BF7F58"/>
    <w:rsid w:val="00C01381"/>
    <w:rsid w:val="00C01AB1"/>
    <w:rsid w:val="00C026A0"/>
    <w:rsid w:val="00C05914"/>
    <w:rsid w:val="00C06137"/>
    <w:rsid w:val="00C079B8"/>
    <w:rsid w:val="00C10037"/>
    <w:rsid w:val="00C113CB"/>
    <w:rsid w:val="00C123EA"/>
    <w:rsid w:val="00C12A49"/>
    <w:rsid w:val="00C133EE"/>
    <w:rsid w:val="00C149D0"/>
    <w:rsid w:val="00C26588"/>
    <w:rsid w:val="00C27DE9"/>
    <w:rsid w:val="00C32989"/>
    <w:rsid w:val="00C33388"/>
    <w:rsid w:val="00C35484"/>
    <w:rsid w:val="00C40EB9"/>
    <w:rsid w:val="00C4173A"/>
    <w:rsid w:val="00C50DED"/>
    <w:rsid w:val="00C55E05"/>
    <w:rsid w:val="00C602FF"/>
    <w:rsid w:val="00C61113"/>
    <w:rsid w:val="00C61174"/>
    <w:rsid w:val="00C6148F"/>
    <w:rsid w:val="00C621B1"/>
    <w:rsid w:val="00C62F7A"/>
    <w:rsid w:val="00C63B9C"/>
    <w:rsid w:val="00C6682F"/>
    <w:rsid w:val="00C668E9"/>
    <w:rsid w:val="00C67BF4"/>
    <w:rsid w:val="00C7275E"/>
    <w:rsid w:val="00C74C5D"/>
    <w:rsid w:val="00C82473"/>
    <w:rsid w:val="00C8613B"/>
    <w:rsid w:val="00C863C4"/>
    <w:rsid w:val="00C8746D"/>
    <w:rsid w:val="00C920EA"/>
    <w:rsid w:val="00C93C3E"/>
    <w:rsid w:val="00C97B6C"/>
    <w:rsid w:val="00CA12E3"/>
    <w:rsid w:val="00CA1476"/>
    <w:rsid w:val="00CA5999"/>
    <w:rsid w:val="00CA6611"/>
    <w:rsid w:val="00CA6AE6"/>
    <w:rsid w:val="00CA782F"/>
    <w:rsid w:val="00CB187B"/>
    <w:rsid w:val="00CB21B1"/>
    <w:rsid w:val="00CB2835"/>
    <w:rsid w:val="00CB3285"/>
    <w:rsid w:val="00CB4500"/>
    <w:rsid w:val="00CB7800"/>
    <w:rsid w:val="00CC0C72"/>
    <w:rsid w:val="00CC2BFD"/>
    <w:rsid w:val="00CD0930"/>
    <w:rsid w:val="00CD3476"/>
    <w:rsid w:val="00CD6124"/>
    <w:rsid w:val="00CD64DF"/>
    <w:rsid w:val="00CE225F"/>
    <w:rsid w:val="00CE51D3"/>
    <w:rsid w:val="00CF2F50"/>
    <w:rsid w:val="00CF6198"/>
    <w:rsid w:val="00D01B99"/>
    <w:rsid w:val="00D02919"/>
    <w:rsid w:val="00D04C61"/>
    <w:rsid w:val="00D05B8D"/>
    <w:rsid w:val="00D065A2"/>
    <w:rsid w:val="00D079AA"/>
    <w:rsid w:val="00D07F00"/>
    <w:rsid w:val="00D1130F"/>
    <w:rsid w:val="00D17B72"/>
    <w:rsid w:val="00D17E39"/>
    <w:rsid w:val="00D23314"/>
    <w:rsid w:val="00D3185C"/>
    <w:rsid w:val="00D3205F"/>
    <w:rsid w:val="00D3318E"/>
    <w:rsid w:val="00D33E72"/>
    <w:rsid w:val="00D35BD6"/>
    <w:rsid w:val="00D361B5"/>
    <w:rsid w:val="00D405AC"/>
    <w:rsid w:val="00D411A2"/>
    <w:rsid w:val="00D45569"/>
    <w:rsid w:val="00D4606D"/>
    <w:rsid w:val="00D46C92"/>
    <w:rsid w:val="00D50B9C"/>
    <w:rsid w:val="00D52D73"/>
    <w:rsid w:val="00D52E58"/>
    <w:rsid w:val="00D56B20"/>
    <w:rsid w:val="00D578B3"/>
    <w:rsid w:val="00D618F4"/>
    <w:rsid w:val="00D70D6C"/>
    <w:rsid w:val="00D714CC"/>
    <w:rsid w:val="00D75EA7"/>
    <w:rsid w:val="00D75F62"/>
    <w:rsid w:val="00D77044"/>
    <w:rsid w:val="00D81ADF"/>
    <w:rsid w:val="00D81F21"/>
    <w:rsid w:val="00D864F2"/>
    <w:rsid w:val="00D92F95"/>
    <w:rsid w:val="00D943F8"/>
    <w:rsid w:val="00D95470"/>
    <w:rsid w:val="00D96B55"/>
    <w:rsid w:val="00DA1958"/>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021"/>
    <w:rsid w:val="00DC61C3"/>
    <w:rsid w:val="00DC6386"/>
    <w:rsid w:val="00DD1130"/>
    <w:rsid w:val="00DD1951"/>
    <w:rsid w:val="00DD1CD4"/>
    <w:rsid w:val="00DD487D"/>
    <w:rsid w:val="00DD4E83"/>
    <w:rsid w:val="00DD6628"/>
    <w:rsid w:val="00DD6945"/>
    <w:rsid w:val="00DE2D04"/>
    <w:rsid w:val="00DE3250"/>
    <w:rsid w:val="00DE451A"/>
    <w:rsid w:val="00DE5ED8"/>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54F3"/>
    <w:rsid w:val="00E40181"/>
    <w:rsid w:val="00E5444B"/>
    <w:rsid w:val="00E54863"/>
    <w:rsid w:val="00E54950"/>
    <w:rsid w:val="00E56A01"/>
    <w:rsid w:val="00E56D59"/>
    <w:rsid w:val="00E62622"/>
    <w:rsid w:val="00E629A1"/>
    <w:rsid w:val="00E6794C"/>
    <w:rsid w:val="00E71591"/>
    <w:rsid w:val="00E71CEB"/>
    <w:rsid w:val="00E735AE"/>
    <w:rsid w:val="00E7474F"/>
    <w:rsid w:val="00E80DE3"/>
    <w:rsid w:val="00E82C55"/>
    <w:rsid w:val="00E85926"/>
    <w:rsid w:val="00E8787E"/>
    <w:rsid w:val="00E92AC3"/>
    <w:rsid w:val="00EA1360"/>
    <w:rsid w:val="00EA2F6A"/>
    <w:rsid w:val="00EA4F2B"/>
    <w:rsid w:val="00EA573A"/>
    <w:rsid w:val="00EB00E0"/>
    <w:rsid w:val="00EB243D"/>
    <w:rsid w:val="00EC04BA"/>
    <w:rsid w:val="00EC059F"/>
    <w:rsid w:val="00EC1F24"/>
    <w:rsid w:val="00EC22F6"/>
    <w:rsid w:val="00EC2D82"/>
    <w:rsid w:val="00EC40D5"/>
    <w:rsid w:val="00ED2CEF"/>
    <w:rsid w:val="00ED5B9B"/>
    <w:rsid w:val="00ED6BAD"/>
    <w:rsid w:val="00ED7447"/>
    <w:rsid w:val="00EE00D6"/>
    <w:rsid w:val="00EE11E7"/>
    <w:rsid w:val="00EE1488"/>
    <w:rsid w:val="00EE29AD"/>
    <w:rsid w:val="00EE3E24"/>
    <w:rsid w:val="00EE4D5D"/>
    <w:rsid w:val="00EE5131"/>
    <w:rsid w:val="00EF109B"/>
    <w:rsid w:val="00EF201C"/>
    <w:rsid w:val="00EF36AF"/>
    <w:rsid w:val="00EF51D2"/>
    <w:rsid w:val="00EF59A3"/>
    <w:rsid w:val="00EF6675"/>
    <w:rsid w:val="00F00F9C"/>
    <w:rsid w:val="00F01E5F"/>
    <w:rsid w:val="00F024F3"/>
    <w:rsid w:val="00F02ABA"/>
    <w:rsid w:val="00F03EDA"/>
    <w:rsid w:val="00F0437A"/>
    <w:rsid w:val="00F101B8"/>
    <w:rsid w:val="00F11037"/>
    <w:rsid w:val="00F12D9C"/>
    <w:rsid w:val="00F145DD"/>
    <w:rsid w:val="00F16304"/>
    <w:rsid w:val="00F16F1B"/>
    <w:rsid w:val="00F20F75"/>
    <w:rsid w:val="00F250A9"/>
    <w:rsid w:val="00F267AF"/>
    <w:rsid w:val="00F27867"/>
    <w:rsid w:val="00F30FF4"/>
    <w:rsid w:val="00F3122E"/>
    <w:rsid w:val="00F31719"/>
    <w:rsid w:val="00F32368"/>
    <w:rsid w:val="00F331AD"/>
    <w:rsid w:val="00F35287"/>
    <w:rsid w:val="00F37DC9"/>
    <w:rsid w:val="00F40A70"/>
    <w:rsid w:val="00F420BD"/>
    <w:rsid w:val="00F43A37"/>
    <w:rsid w:val="00F451AB"/>
    <w:rsid w:val="00F4641B"/>
    <w:rsid w:val="00F46EB8"/>
    <w:rsid w:val="00F50A58"/>
    <w:rsid w:val="00F50CD1"/>
    <w:rsid w:val="00F511E4"/>
    <w:rsid w:val="00F52D09"/>
    <w:rsid w:val="00F52E08"/>
    <w:rsid w:val="00F53261"/>
    <w:rsid w:val="00F53A66"/>
    <w:rsid w:val="00F53DDD"/>
    <w:rsid w:val="00F5462D"/>
    <w:rsid w:val="00F5545A"/>
    <w:rsid w:val="00F55B21"/>
    <w:rsid w:val="00F56EF6"/>
    <w:rsid w:val="00F60082"/>
    <w:rsid w:val="00F61A9F"/>
    <w:rsid w:val="00F61B5F"/>
    <w:rsid w:val="00F632E7"/>
    <w:rsid w:val="00F64696"/>
    <w:rsid w:val="00F65AA9"/>
    <w:rsid w:val="00F6768F"/>
    <w:rsid w:val="00F72C2C"/>
    <w:rsid w:val="00F72C43"/>
    <w:rsid w:val="00F76CAB"/>
    <w:rsid w:val="00F772C6"/>
    <w:rsid w:val="00F815B5"/>
    <w:rsid w:val="00F84FA0"/>
    <w:rsid w:val="00F85195"/>
    <w:rsid w:val="00F868E3"/>
    <w:rsid w:val="00F92377"/>
    <w:rsid w:val="00F936D6"/>
    <w:rsid w:val="00F938BA"/>
    <w:rsid w:val="00F97919"/>
    <w:rsid w:val="00FA2C46"/>
    <w:rsid w:val="00FA3525"/>
    <w:rsid w:val="00FA5A53"/>
    <w:rsid w:val="00FB1882"/>
    <w:rsid w:val="00FB2551"/>
    <w:rsid w:val="00FB4769"/>
    <w:rsid w:val="00FB4CDA"/>
    <w:rsid w:val="00FB6481"/>
    <w:rsid w:val="00FB6D36"/>
    <w:rsid w:val="00FC0965"/>
    <w:rsid w:val="00FC0F81"/>
    <w:rsid w:val="00FC2442"/>
    <w:rsid w:val="00FC252F"/>
    <w:rsid w:val="00FC395C"/>
    <w:rsid w:val="00FC5E8E"/>
    <w:rsid w:val="00FD3766"/>
    <w:rsid w:val="00FD47C4"/>
    <w:rsid w:val="00FD722A"/>
    <w:rsid w:val="00FE2DCF"/>
    <w:rsid w:val="00FE3FA7"/>
    <w:rsid w:val="00FF2A4E"/>
    <w:rsid w:val="00FF2FCE"/>
    <w:rsid w:val="00FF4DE4"/>
    <w:rsid w:val="00FF4F7D"/>
    <w:rsid w:val="00FF54DF"/>
    <w:rsid w:val="00FF5F36"/>
    <w:rsid w:val="00FF6D9D"/>
    <w:rsid w:val="00FF7DD5"/>
    <w:rsid w:val="29178CB3"/>
    <w:rsid w:val="2B732E85"/>
    <w:rsid w:val="34155249"/>
    <w:rsid w:val="71FE041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B1C856AF-8C3E-4FAA-B357-23A5FF4A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customStyle="1" w:styleId="rpl-text-label">
    <w:name w:val="rpl-text-label"/>
    <w:basedOn w:val="DefaultParagraphFont"/>
    <w:rsid w:val="00687850"/>
  </w:style>
  <w:style w:type="paragraph" w:styleId="NormalWeb">
    <w:name w:val="Normal (Web)"/>
    <w:basedOn w:val="Normal"/>
    <w:uiPriority w:val="99"/>
    <w:semiHidden/>
    <w:unhideWhenUsed/>
    <w:rsid w:val="00687850"/>
    <w:pPr>
      <w:spacing w:before="100" w:beforeAutospacing="1" w:after="100" w:afterAutospacing="1" w:line="240" w:lineRule="auto"/>
    </w:pPr>
    <w:rPr>
      <w:rFonts w:ascii="Times New Roman" w:hAnsi="Times New Roman"/>
      <w:sz w:val="24"/>
      <w:szCs w:val="24"/>
      <w:lang w:eastAsia="en-AU"/>
    </w:rPr>
  </w:style>
  <w:style w:type="character" w:styleId="Emphasis">
    <w:name w:val="Emphasis"/>
    <w:basedOn w:val="DefaultParagraphFont"/>
    <w:uiPriority w:val="20"/>
    <w:qFormat/>
    <w:rsid w:val="00687850"/>
    <w:rPr>
      <w:i/>
      <w:iCs/>
    </w:rPr>
  </w:style>
  <w:style w:type="character" w:customStyle="1" w:styleId="rpl-text-icongroup">
    <w:name w:val="rpl-text-icon__group"/>
    <w:basedOn w:val="DefaultParagraphFont"/>
    <w:rsid w:val="00687850"/>
  </w:style>
  <w:style w:type="character" w:customStyle="1" w:styleId="normaltextrun">
    <w:name w:val="normaltextrun"/>
    <w:basedOn w:val="DefaultParagraphFont"/>
    <w:rsid w:val="000D60D6"/>
  </w:style>
  <w:style w:type="character" w:customStyle="1" w:styleId="eop">
    <w:name w:val="eop"/>
    <w:basedOn w:val="DefaultParagraphFont"/>
    <w:rsid w:val="000D6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181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85245835">
      <w:bodyDiv w:val="1"/>
      <w:marLeft w:val="0"/>
      <w:marRight w:val="0"/>
      <w:marTop w:val="0"/>
      <w:marBottom w:val="0"/>
      <w:divBdr>
        <w:top w:val="none" w:sz="0" w:space="0" w:color="auto"/>
        <w:left w:val="none" w:sz="0" w:space="0" w:color="auto"/>
        <w:bottom w:val="none" w:sz="0" w:space="0" w:color="auto"/>
        <w:right w:val="none" w:sz="0" w:space="0" w:color="auto"/>
      </w:divBdr>
      <w:divsChild>
        <w:div w:id="1617328300">
          <w:marLeft w:val="0"/>
          <w:marRight w:val="0"/>
          <w:marTop w:val="0"/>
          <w:marBottom w:val="0"/>
          <w:divBdr>
            <w:top w:val="none" w:sz="0" w:space="0" w:color="auto"/>
            <w:left w:val="none" w:sz="0" w:space="0" w:color="auto"/>
            <w:bottom w:val="none" w:sz="0" w:space="0" w:color="auto"/>
            <w:right w:val="none" w:sz="0" w:space="0" w:color="auto"/>
          </w:divBdr>
        </w:div>
      </w:divsChild>
    </w:div>
    <w:div w:id="698624680">
      <w:bodyDiv w:val="1"/>
      <w:marLeft w:val="0"/>
      <w:marRight w:val="0"/>
      <w:marTop w:val="0"/>
      <w:marBottom w:val="0"/>
      <w:divBdr>
        <w:top w:val="none" w:sz="0" w:space="0" w:color="auto"/>
        <w:left w:val="none" w:sz="0" w:space="0" w:color="auto"/>
        <w:bottom w:val="none" w:sz="0" w:space="0" w:color="auto"/>
        <w:right w:val="none" w:sz="0" w:space="0" w:color="auto"/>
      </w:divBdr>
      <w:divsChild>
        <w:div w:id="571236787">
          <w:marLeft w:val="0"/>
          <w:marRight w:val="0"/>
          <w:marTop w:val="0"/>
          <w:marBottom w:val="0"/>
          <w:divBdr>
            <w:top w:val="single" w:sz="6" w:space="0" w:color="CCCCCC"/>
            <w:left w:val="none" w:sz="0" w:space="0" w:color="auto"/>
            <w:bottom w:val="none" w:sz="0" w:space="0" w:color="auto"/>
            <w:right w:val="none" w:sz="0" w:space="0" w:color="auto"/>
          </w:divBdr>
          <w:divsChild>
            <w:div w:id="171066474">
              <w:marLeft w:val="0"/>
              <w:marRight w:val="0"/>
              <w:marTop w:val="60"/>
              <w:marBottom w:val="60"/>
              <w:divBdr>
                <w:top w:val="none" w:sz="0" w:space="0" w:color="auto"/>
                <w:left w:val="none" w:sz="0" w:space="0" w:color="auto"/>
                <w:bottom w:val="none" w:sz="0" w:space="0" w:color="auto"/>
                <w:right w:val="none" w:sz="0" w:space="0" w:color="auto"/>
              </w:divBdr>
              <w:divsChild>
                <w:div w:id="1006439549">
                  <w:marLeft w:val="0"/>
                  <w:marRight w:val="0"/>
                  <w:marTop w:val="0"/>
                  <w:marBottom w:val="0"/>
                  <w:divBdr>
                    <w:top w:val="none" w:sz="0" w:space="0" w:color="auto"/>
                    <w:left w:val="none" w:sz="0" w:space="0" w:color="auto"/>
                    <w:bottom w:val="none" w:sz="0" w:space="0" w:color="auto"/>
                    <w:right w:val="none" w:sz="0" w:space="0" w:color="auto"/>
                  </w:divBdr>
                  <w:divsChild>
                    <w:div w:id="252517436">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 w:id="1743529486">
                  <w:marLeft w:val="0"/>
                  <w:marRight w:val="0"/>
                  <w:marTop w:val="0"/>
                  <w:marBottom w:val="0"/>
                  <w:divBdr>
                    <w:top w:val="none" w:sz="0" w:space="0" w:color="auto"/>
                    <w:left w:val="none" w:sz="0" w:space="0" w:color="auto"/>
                    <w:bottom w:val="none" w:sz="0" w:space="0" w:color="auto"/>
                    <w:right w:val="none" w:sz="0" w:space="0" w:color="auto"/>
                  </w:divBdr>
                  <w:divsChild>
                    <w:div w:id="56776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0022">
              <w:marLeft w:val="0"/>
              <w:marRight w:val="0"/>
              <w:marTop w:val="60"/>
              <w:marBottom w:val="60"/>
              <w:divBdr>
                <w:top w:val="none" w:sz="0" w:space="0" w:color="auto"/>
                <w:left w:val="none" w:sz="0" w:space="0" w:color="auto"/>
                <w:bottom w:val="none" w:sz="0" w:space="0" w:color="auto"/>
                <w:right w:val="none" w:sz="0" w:space="0" w:color="auto"/>
              </w:divBdr>
              <w:divsChild>
                <w:div w:id="1478034839">
                  <w:marLeft w:val="0"/>
                  <w:marRight w:val="0"/>
                  <w:marTop w:val="0"/>
                  <w:marBottom w:val="0"/>
                  <w:divBdr>
                    <w:top w:val="none" w:sz="0" w:space="0" w:color="auto"/>
                    <w:left w:val="none" w:sz="0" w:space="0" w:color="auto"/>
                    <w:bottom w:val="none" w:sz="0" w:space="0" w:color="auto"/>
                    <w:right w:val="none" w:sz="0" w:space="0" w:color="auto"/>
                  </w:divBdr>
                  <w:divsChild>
                    <w:div w:id="2119399384">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598100186">
              <w:marLeft w:val="0"/>
              <w:marRight w:val="0"/>
              <w:marTop w:val="60"/>
              <w:marBottom w:val="60"/>
              <w:divBdr>
                <w:top w:val="none" w:sz="0" w:space="0" w:color="auto"/>
                <w:left w:val="none" w:sz="0" w:space="0" w:color="auto"/>
                <w:bottom w:val="none" w:sz="0" w:space="0" w:color="auto"/>
                <w:right w:val="none" w:sz="0" w:space="0" w:color="auto"/>
              </w:divBdr>
              <w:divsChild>
                <w:div w:id="981617870">
                  <w:marLeft w:val="0"/>
                  <w:marRight w:val="0"/>
                  <w:marTop w:val="0"/>
                  <w:marBottom w:val="0"/>
                  <w:divBdr>
                    <w:top w:val="none" w:sz="0" w:space="0" w:color="auto"/>
                    <w:left w:val="none" w:sz="0" w:space="0" w:color="auto"/>
                    <w:bottom w:val="none" w:sz="0" w:space="0" w:color="auto"/>
                    <w:right w:val="none" w:sz="0" w:space="0" w:color="auto"/>
                  </w:divBdr>
                  <w:divsChild>
                    <w:div w:id="1289900399">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651250482">
              <w:marLeft w:val="0"/>
              <w:marRight w:val="0"/>
              <w:marTop w:val="60"/>
              <w:marBottom w:val="60"/>
              <w:divBdr>
                <w:top w:val="none" w:sz="0" w:space="0" w:color="auto"/>
                <w:left w:val="none" w:sz="0" w:space="0" w:color="auto"/>
                <w:bottom w:val="none" w:sz="0" w:space="0" w:color="auto"/>
                <w:right w:val="none" w:sz="0" w:space="0" w:color="auto"/>
              </w:divBdr>
              <w:divsChild>
                <w:div w:id="758869671">
                  <w:marLeft w:val="0"/>
                  <w:marRight w:val="0"/>
                  <w:marTop w:val="0"/>
                  <w:marBottom w:val="0"/>
                  <w:divBdr>
                    <w:top w:val="none" w:sz="0" w:space="0" w:color="auto"/>
                    <w:left w:val="none" w:sz="0" w:space="0" w:color="auto"/>
                    <w:bottom w:val="none" w:sz="0" w:space="0" w:color="auto"/>
                    <w:right w:val="none" w:sz="0" w:space="0" w:color="auto"/>
                  </w:divBdr>
                  <w:divsChild>
                    <w:div w:id="1814056393">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430007630">
              <w:marLeft w:val="0"/>
              <w:marRight w:val="0"/>
              <w:marTop w:val="60"/>
              <w:marBottom w:val="60"/>
              <w:divBdr>
                <w:top w:val="none" w:sz="0" w:space="0" w:color="auto"/>
                <w:left w:val="none" w:sz="0" w:space="0" w:color="auto"/>
                <w:bottom w:val="none" w:sz="0" w:space="0" w:color="auto"/>
                <w:right w:val="none" w:sz="0" w:space="0" w:color="auto"/>
              </w:divBdr>
              <w:divsChild>
                <w:div w:id="14041565">
                  <w:marLeft w:val="0"/>
                  <w:marRight w:val="0"/>
                  <w:marTop w:val="0"/>
                  <w:marBottom w:val="0"/>
                  <w:divBdr>
                    <w:top w:val="none" w:sz="0" w:space="0" w:color="auto"/>
                    <w:left w:val="none" w:sz="0" w:space="0" w:color="auto"/>
                    <w:bottom w:val="none" w:sz="0" w:space="0" w:color="auto"/>
                    <w:right w:val="none" w:sz="0" w:space="0" w:color="auto"/>
                  </w:divBdr>
                  <w:divsChild>
                    <w:div w:id="575362344">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592544067">
              <w:marLeft w:val="0"/>
              <w:marRight w:val="0"/>
              <w:marTop w:val="60"/>
              <w:marBottom w:val="60"/>
              <w:divBdr>
                <w:top w:val="none" w:sz="0" w:space="0" w:color="auto"/>
                <w:left w:val="none" w:sz="0" w:space="0" w:color="auto"/>
                <w:bottom w:val="none" w:sz="0" w:space="0" w:color="auto"/>
                <w:right w:val="none" w:sz="0" w:space="0" w:color="auto"/>
              </w:divBdr>
              <w:divsChild>
                <w:div w:id="1976791354">
                  <w:marLeft w:val="0"/>
                  <w:marRight w:val="0"/>
                  <w:marTop w:val="0"/>
                  <w:marBottom w:val="0"/>
                  <w:divBdr>
                    <w:top w:val="none" w:sz="0" w:space="0" w:color="auto"/>
                    <w:left w:val="none" w:sz="0" w:space="0" w:color="auto"/>
                    <w:bottom w:val="none" w:sz="0" w:space="0" w:color="auto"/>
                    <w:right w:val="none" w:sz="0" w:space="0" w:color="auto"/>
                  </w:divBdr>
                  <w:divsChild>
                    <w:div w:id="984314204">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987971693">
              <w:marLeft w:val="0"/>
              <w:marRight w:val="0"/>
              <w:marTop w:val="60"/>
              <w:marBottom w:val="60"/>
              <w:divBdr>
                <w:top w:val="none" w:sz="0" w:space="0" w:color="auto"/>
                <w:left w:val="none" w:sz="0" w:space="0" w:color="auto"/>
                <w:bottom w:val="none" w:sz="0" w:space="0" w:color="auto"/>
                <w:right w:val="none" w:sz="0" w:space="0" w:color="auto"/>
              </w:divBdr>
              <w:divsChild>
                <w:div w:id="2082603284">
                  <w:marLeft w:val="0"/>
                  <w:marRight w:val="0"/>
                  <w:marTop w:val="0"/>
                  <w:marBottom w:val="0"/>
                  <w:divBdr>
                    <w:top w:val="none" w:sz="0" w:space="0" w:color="auto"/>
                    <w:left w:val="none" w:sz="0" w:space="0" w:color="auto"/>
                    <w:bottom w:val="none" w:sz="0" w:space="0" w:color="auto"/>
                    <w:right w:val="none" w:sz="0" w:space="0" w:color="auto"/>
                  </w:divBdr>
                  <w:divsChild>
                    <w:div w:id="1262181436">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2009282279">
              <w:marLeft w:val="0"/>
              <w:marRight w:val="0"/>
              <w:marTop w:val="60"/>
              <w:marBottom w:val="60"/>
              <w:divBdr>
                <w:top w:val="none" w:sz="0" w:space="0" w:color="auto"/>
                <w:left w:val="none" w:sz="0" w:space="0" w:color="auto"/>
                <w:bottom w:val="none" w:sz="0" w:space="0" w:color="auto"/>
                <w:right w:val="none" w:sz="0" w:space="0" w:color="auto"/>
              </w:divBdr>
              <w:divsChild>
                <w:div w:id="204101431">
                  <w:marLeft w:val="0"/>
                  <w:marRight w:val="0"/>
                  <w:marTop w:val="0"/>
                  <w:marBottom w:val="0"/>
                  <w:divBdr>
                    <w:top w:val="none" w:sz="0" w:space="0" w:color="auto"/>
                    <w:left w:val="none" w:sz="0" w:space="0" w:color="auto"/>
                    <w:bottom w:val="none" w:sz="0" w:space="0" w:color="auto"/>
                    <w:right w:val="none" w:sz="0" w:space="0" w:color="auto"/>
                  </w:divBdr>
                  <w:divsChild>
                    <w:div w:id="1850945666">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sChild>
        </w:div>
        <w:div w:id="1866358670">
          <w:marLeft w:val="0"/>
          <w:marRight w:val="0"/>
          <w:marTop w:val="0"/>
          <w:marBottom w:val="0"/>
          <w:divBdr>
            <w:top w:val="none" w:sz="0" w:space="0" w:color="auto"/>
            <w:left w:val="none" w:sz="0" w:space="0" w:color="auto"/>
            <w:bottom w:val="none" w:sz="0" w:space="0" w:color="auto"/>
            <w:right w:val="none" w:sz="0" w:space="0" w:color="auto"/>
          </w:divBdr>
          <w:divsChild>
            <w:div w:id="644238080">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707603900">
      <w:bodyDiv w:val="1"/>
      <w:marLeft w:val="0"/>
      <w:marRight w:val="0"/>
      <w:marTop w:val="0"/>
      <w:marBottom w:val="0"/>
      <w:divBdr>
        <w:top w:val="none" w:sz="0" w:space="0" w:color="auto"/>
        <w:left w:val="none" w:sz="0" w:space="0" w:color="auto"/>
        <w:bottom w:val="none" w:sz="0" w:space="0" w:color="auto"/>
        <w:right w:val="none" w:sz="0" w:space="0" w:color="auto"/>
      </w:divBdr>
      <w:divsChild>
        <w:div w:id="414596996">
          <w:marLeft w:val="0"/>
          <w:marRight w:val="0"/>
          <w:marTop w:val="0"/>
          <w:marBottom w:val="0"/>
          <w:divBdr>
            <w:top w:val="none" w:sz="0" w:space="0" w:color="auto"/>
            <w:left w:val="none" w:sz="0" w:space="0" w:color="auto"/>
            <w:bottom w:val="none" w:sz="0" w:space="0" w:color="auto"/>
            <w:right w:val="none" w:sz="0" w:space="0" w:color="auto"/>
          </w:divBdr>
          <w:divsChild>
            <w:div w:id="530532111">
              <w:marLeft w:val="0"/>
              <w:marRight w:val="0"/>
              <w:marTop w:val="75"/>
              <w:marBottom w:val="150"/>
              <w:divBdr>
                <w:top w:val="none" w:sz="0" w:space="0" w:color="auto"/>
                <w:left w:val="none" w:sz="0" w:space="0" w:color="auto"/>
                <w:bottom w:val="none" w:sz="0" w:space="0" w:color="auto"/>
                <w:right w:val="none" w:sz="0" w:space="0" w:color="auto"/>
              </w:divBdr>
            </w:div>
          </w:divsChild>
        </w:div>
        <w:div w:id="944922325">
          <w:marLeft w:val="0"/>
          <w:marRight w:val="0"/>
          <w:marTop w:val="0"/>
          <w:marBottom w:val="0"/>
          <w:divBdr>
            <w:top w:val="single" w:sz="6" w:space="0" w:color="CCCCCC"/>
            <w:left w:val="none" w:sz="0" w:space="0" w:color="auto"/>
            <w:bottom w:val="none" w:sz="0" w:space="0" w:color="auto"/>
            <w:right w:val="none" w:sz="0" w:space="0" w:color="auto"/>
          </w:divBdr>
          <w:divsChild>
            <w:div w:id="63071688">
              <w:marLeft w:val="0"/>
              <w:marRight w:val="0"/>
              <w:marTop w:val="60"/>
              <w:marBottom w:val="60"/>
              <w:divBdr>
                <w:top w:val="none" w:sz="0" w:space="0" w:color="auto"/>
                <w:left w:val="none" w:sz="0" w:space="0" w:color="auto"/>
                <w:bottom w:val="none" w:sz="0" w:space="0" w:color="auto"/>
                <w:right w:val="none" w:sz="0" w:space="0" w:color="auto"/>
              </w:divBdr>
              <w:divsChild>
                <w:div w:id="1530560434">
                  <w:marLeft w:val="0"/>
                  <w:marRight w:val="0"/>
                  <w:marTop w:val="0"/>
                  <w:marBottom w:val="0"/>
                  <w:divBdr>
                    <w:top w:val="none" w:sz="0" w:space="0" w:color="auto"/>
                    <w:left w:val="none" w:sz="0" w:space="0" w:color="auto"/>
                    <w:bottom w:val="none" w:sz="0" w:space="0" w:color="auto"/>
                    <w:right w:val="none" w:sz="0" w:space="0" w:color="auto"/>
                  </w:divBdr>
                  <w:divsChild>
                    <w:div w:id="306321192">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84100173">
              <w:marLeft w:val="0"/>
              <w:marRight w:val="0"/>
              <w:marTop w:val="60"/>
              <w:marBottom w:val="60"/>
              <w:divBdr>
                <w:top w:val="none" w:sz="0" w:space="0" w:color="auto"/>
                <w:left w:val="none" w:sz="0" w:space="0" w:color="auto"/>
                <w:bottom w:val="none" w:sz="0" w:space="0" w:color="auto"/>
                <w:right w:val="none" w:sz="0" w:space="0" w:color="auto"/>
              </w:divBdr>
              <w:divsChild>
                <w:div w:id="1541211353">
                  <w:marLeft w:val="0"/>
                  <w:marRight w:val="0"/>
                  <w:marTop w:val="0"/>
                  <w:marBottom w:val="0"/>
                  <w:divBdr>
                    <w:top w:val="none" w:sz="0" w:space="0" w:color="auto"/>
                    <w:left w:val="none" w:sz="0" w:space="0" w:color="auto"/>
                    <w:bottom w:val="none" w:sz="0" w:space="0" w:color="auto"/>
                    <w:right w:val="none" w:sz="0" w:space="0" w:color="auto"/>
                  </w:divBdr>
                  <w:divsChild>
                    <w:div w:id="984747772">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89219256">
              <w:marLeft w:val="0"/>
              <w:marRight w:val="0"/>
              <w:marTop w:val="60"/>
              <w:marBottom w:val="60"/>
              <w:divBdr>
                <w:top w:val="none" w:sz="0" w:space="0" w:color="auto"/>
                <w:left w:val="none" w:sz="0" w:space="0" w:color="auto"/>
                <w:bottom w:val="none" w:sz="0" w:space="0" w:color="auto"/>
                <w:right w:val="none" w:sz="0" w:space="0" w:color="auto"/>
              </w:divBdr>
              <w:divsChild>
                <w:div w:id="451291783">
                  <w:marLeft w:val="0"/>
                  <w:marRight w:val="0"/>
                  <w:marTop w:val="0"/>
                  <w:marBottom w:val="0"/>
                  <w:divBdr>
                    <w:top w:val="none" w:sz="0" w:space="0" w:color="auto"/>
                    <w:left w:val="none" w:sz="0" w:space="0" w:color="auto"/>
                    <w:bottom w:val="none" w:sz="0" w:space="0" w:color="auto"/>
                    <w:right w:val="none" w:sz="0" w:space="0" w:color="auto"/>
                  </w:divBdr>
                  <w:divsChild>
                    <w:div w:id="1122650445">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 w:id="1590961792">
                  <w:marLeft w:val="0"/>
                  <w:marRight w:val="0"/>
                  <w:marTop w:val="0"/>
                  <w:marBottom w:val="0"/>
                  <w:divBdr>
                    <w:top w:val="none" w:sz="0" w:space="0" w:color="auto"/>
                    <w:left w:val="none" w:sz="0" w:space="0" w:color="auto"/>
                    <w:bottom w:val="none" w:sz="0" w:space="0" w:color="auto"/>
                    <w:right w:val="none" w:sz="0" w:space="0" w:color="auto"/>
                  </w:divBdr>
                  <w:divsChild>
                    <w:div w:id="2179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6469">
              <w:marLeft w:val="0"/>
              <w:marRight w:val="0"/>
              <w:marTop w:val="60"/>
              <w:marBottom w:val="60"/>
              <w:divBdr>
                <w:top w:val="none" w:sz="0" w:space="0" w:color="auto"/>
                <w:left w:val="none" w:sz="0" w:space="0" w:color="auto"/>
                <w:bottom w:val="none" w:sz="0" w:space="0" w:color="auto"/>
                <w:right w:val="none" w:sz="0" w:space="0" w:color="auto"/>
              </w:divBdr>
              <w:divsChild>
                <w:div w:id="943221768">
                  <w:marLeft w:val="0"/>
                  <w:marRight w:val="0"/>
                  <w:marTop w:val="0"/>
                  <w:marBottom w:val="0"/>
                  <w:divBdr>
                    <w:top w:val="none" w:sz="0" w:space="0" w:color="auto"/>
                    <w:left w:val="none" w:sz="0" w:space="0" w:color="auto"/>
                    <w:bottom w:val="none" w:sz="0" w:space="0" w:color="auto"/>
                    <w:right w:val="none" w:sz="0" w:space="0" w:color="auto"/>
                  </w:divBdr>
                  <w:divsChild>
                    <w:div w:id="1642422016">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100367552">
              <w:marLeft w:val="0"/>
              <w:marRight w:val="0"/>
              <w:marTop w:val="60"/>
              <w:marBottom w:val="60"/>
              <w:divBdr>
                <w:top w:val="none" w:sz="0" w:space="0" w:color="auto"/>
                <w:left w:val="none" w:sz="0" w:space="0" w:color="auto"/>
                <w:bottom w:val="none" w:sz="0" w:space="0" w:color="auto"/>
                <w:right w:val="none" w:sz="0" w:space="0" w:color="auto"/>
              </w:divBdr>
              <w:divsChild>
                <w:div w:id="1551383828">
                  <w:marLeft w:val="0"/>
                  <w:marRight w:val="0"/>
                  <w:marTop w:val="0"/>
                  <w:marBottom w:val="0"/>
                  <w:divBdr>
                    <w:top w:val="none" w:sz="0" w:space="0" w:color="auto"/>
                    <w:left w:val="none" w:sz="0" w:space="0" w:color="auto"/>
                    <w:bottom w:val="none" w:sz="0" w:space="0" w:color="auto"/>
                    <w:right w:val="none" w:sz="0" w:space="0" w:color="auto"/>
                  </w:divBdr>
                  <w:divsChild>
                    <w:div w:id="474184054">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269506966">
              <w:marLeft w:val="0"/>
              <w:marRight w:val="0"/>
              <w:marTop w:val="60"/>
              <w:marBottom w:val="60"/>
              <w:divBdr>
                <w:top w:val="none" w:sz="0" w:space="0" w:color="auto"/>
                <w:left w:val="none" w:sz="0" w:space="0" w:color="auto"/>
                <w:bottom w:val="none" w:sz="0" w:space="0" w:color="auto"/>
                <w:right w:val="none" w:sz="0" w:space="0" w:color="auto"/>
              </w:divBdr>
              <w:divsChild>
                <w:div w:id="1988632914">
                  <w:marLeft w:val="0"/>
                  <w:marRight w:val="0"/>
                  <w:marTop w:val="0"/>
                  <w:marBottom w:val="0"/>
                  <w:divBdr>
                    <w:top w:val="none" w:sz="0" w:space="0" w:color="auto"/>
                    <w:left w:val="none" w:sz="0" w:space="0" w:color="auto"/>
                    <w:bottom w:val="none" w:sz="0" w:space="0" w:color="auto"/>
                    <w:right w:val="none" w:sz="0" w:space="0" w:color="auto"/>
                  </w:divBdr>
                  <w:divsChild>
                    <w:div w:id="431364881">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885021496">
              <w:marLeft w:val="0"/>
              <w:marRight w:val="0"/>
              <w:marTop w:val="60"/>
              <w:marBottom w:val="60"/>
              <w:divBdr>
                <w:top w:val="none" w:sz="0" w:space="0" w:color="auto"/>
                <w:left w:val="none" w:sz="0" w:space="0" w:color="auto"/>
                <w:bottom w:val="none" w:sz="0" w:space="0" w:color="auto"/>
                <w:right w:val="none" w:sz="0" w:space="0" w:color="auto"/>
              </w:divBdr>
              <w:divsChild>
                <w:div w:id="652177098">
                  <w:marLeft w:val="0"/>
                  <w:marRight w:val="0"/>
                  <w:marTop w:val="0"/>
                  <w:marBottom w:val="0"/>
                  <w:divBdr>
                    <w:top w:val="none" w:sz="0" w:space="0" w:color="auto"/>
                    <w:left w:val="none" w:sz="0" w:space="0" w:color="auto"/>
                    <w:bottom w:val="none" w:sz="0" w:space="0" w:color="auto"/>
                    <w:right w:val="none" w:sz="0" w:space="0" w:color="auto"/>
                  </w:divBdr>
                  <w:divsChild>
                    <w:div w:id="1286424021">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2042703338">
              <w:marLeft w:val="0"/>
              <w:marRight w:val="0"/>
              <w:marTop w:val="60"/>
              <w:marBottom w:val="60"/>
              <w:divBdr>
                <w:top w:val="none" w:sz="0" w:space="0" w:color="auto"/>
                <w:left w:val="none" w:sz="0" w:space="0" w:color="auto"/>
                <w:bottom w:val="none" w:sz="0" w:space="0" w:color="auto"/>
                <w:right w:val="none" w:sz="0" w:space="0" w:color="auto"/>
              </w:divBdr>
              <w:divsChild>
                <w:div w:id="1655986445">
                  <w:marLeft w:val="0"/>
                  <w:marRight w:val="0"/>
                  <w:marTop w:val="0"/>
                  <w:marBottom w:val="0"/>
                  <w:divBdr>
                    <w:top w:val="none" w:sz="0" w:space="0" w:color="auto"/>
                    <w:left w:val="none" w:sz="0" w:space="0" w:color="auto"/>
                    <w:bottom w:val="none" w:sz="0" w:space="0" w:color="auto"/>
                    <w:right w:val="none" w:sz="0" w:space="0" w:color="auto"/>
                  </w:divBdr>
                  <w:divsChild>
                    <w:div w:id="1437409642">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69902793">
      <w:bodyDiv w:val="1"/>
      <w:marLeft w:val="0"/>
      <w:marRight w:val="0"/>
      <w:marTop w:val="0"/>
      <w:marBottom w:val="0"/>
      <w:divBdr>
        <w:top w:val="none" w:sz="0" w:space="0" w:color="auto"/>
        <w:left w:val="none" w:sz="0" w:space="0" w:color="auto"/>
        <w:bottom w:val="none" w:sz="0" w:space="0" w:color="auto"/>
        <w:right w:val="none" w:sz="0" w:space="0" w:color="auto"/>
      </w:divBdr>
      <w:divsChild>
        <w:div w:id="872377384">
          <w:marLeft w:val="0"/>
          <w:marRight w:val="0"/>
          <w:marTop w:val="0"/>
          <w:marBottom w:val="0"/>
          <w:divBdr>
            <w:top w:val="none" w:sz="0" w:space="0" w:color="auto"/>
            <w:left w:val="none" w:sz="0" w:space="0" w:color="auto"/>
            <w:bottom w:val="none" w:sz="0" w:space="0" w:color="auto"/>
            <w:right w:val="none" w:sz="0" w:space="0" w:color="auto"/>
          </w:divBdr>
          <w:divsChild>
            <w:div w:id="469132486">
              <w:marLeft w:val="0"/>
              <w:marRight w:val="0"/>
              <w:marTop w:val="75"/>
              <w:marBottom w:val="150"/>
              <w:divBdr>
                <w:top w:val="none" w:sz="0" w:space="0" w:color="auto"/>
                <w:left w:val="none" w:sz="0" w:space="0" w:color="auto"/>
                <w:bottom w:val="none" w:sz="0" w:space="0" w:color="auto"/>
                <w:right w:val="none" w:sz="0" w:space="0" w:color="auto"/>
              </w:divBdr>
            </w:div>
          </w:divsChild>
        </w:div>
        <w:div w:id="1383142153">
          <w:marLeft w:val="0"/>
          <w:marRight w:val="0"/>
          <w:marTop w:val="0"/>
          <w:marBottom w:val="0"/>
          <w:divBdr>
            <w:top w:val="single" w:sz="6" w:space="0" w:color="CCCCCC"/>
            <w:left w:val="none" w:sz="0" w:space="0" w:color="auto"/>
            <w:bottom w:val="none" w:sz="0" w:space="0" w:color="auto"/>
            <w:right w:val="none" w:sz="0" w:space="0" w:color="auto"/>
          </w:divBdr>
          <w:divsChild>
            <w:div w:id="4553607">
              <w:marLeft w:val="0"/>
              <w:marRight w:val="0"/>
              <w:marTop w:val="60"/>
              <w:marBottom w:val="60"/>
              <w:divBdr>
                <w:top w:val="none" w:sz="0" w:space="0" w:color="auto"/>
                <w:left w:val="none" w:sz="0" w:space="0" w:color="auto"/>
                <w:bottom w:val="none" w:sz="0" w:space="0" w:color="auto"/>
                <w:right w:val="none" w:sz="0" w:space="0" w:color="auto"/>
              </w:divBdr>
              <w:divsChild>
                <w:div w:id="1033968495">
                  <w:marLeft w:val="0"/>
                  <w:marRight w:val="0"/>
                  <w:marTop w:val="0"/>
                  <w:marBottom w:val="0"/>
                  <w:divBdr>
                    <w:top w:val="none" w:sz="0" w:space="0" w:color="auto"/>
                    <w:left w:val="none" w:sz="0" w:space="0" w:color="auto"/>
                    <w:bottom w:val="none" w:sz="0" w:space="0" w:color="auto"/>
                    <w:right w:val="none" w:sz="0" w:space="0" w:color="auto"/>
                  </w:divBdr>
                  <w:divsChild>
                    <w:div w:id="1539901352">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448670170">
              <w:marLeft w:val="0"/>
              <w:marRight w:val="0"/>
              <w:marTop w:val="60"/>
              <w:marBottom w:val="60"/>
              <w:divBdr>
                <w:top w:val="none" w:sz="0" w:space="0" w:color="auto"/>
                <w:left w:val="none" w:sz="0" w:space="0" w:color="auto"/>
                <w:bottom w:val="none" w:sz="0" w:space="0" w:color="auto"/>
                <w:right w:val="none" w:sz="0" w:space="0" w:color="auto"/>
              </w:divBdr>
              <w:divsChild>
                <w:div w:id="291715290">
                  <w:marLeft w:val="0"/>
                  <w:marRight w:val="0"/>
                  <w:marTop w:val="0"/>
                  <w:marBottom w:val="0"/>
                  <w:divBdr>
                    <w:top w:val="none" w:sz="0" w:space="0" w:color="auto"/>
                    <w:left w:val="none" w:sz="0" w:space="0" w:color="auto"/>
                    <w:bottom w:val="none" w:sz="0" w:space="0" w:color="auto"/>
                    <w:right w:val="none" w:sz="0" w:space="0" w:color="auto"/>
                  </w:divBdr>
                  <w:divsChild>
                    <w:div w:id="197398990">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sChild>
            </w:div>
            <w:div w:id="1396775923">
              <w:marLeft w:val="0"/>
              <w:marRight w:val="0"/>
              <w:marTop w:val="60"/>
              <w:marBottom w:val="60"/>
              <w:divBdr>
                <w:top w:val="none" w:sz="0" w:space="0" w:color="auto"/>
                <w:left w:val="none" w:sz="0" w:space="0" w:color="auto"/>
                <w:bottom w:val="none" w:sz="0" w:space="0" w:color="auto"/>
                <w:right w:val="none" w:sz="0" w:space="0" w:color="auto"/>
              </w:divBdr>
              <w:divsChild>
                <w:div w:id="1787232373">
                  <w:marLeft w:val="0"/>
                  <w:marRight w:val="0"/>
                  <w:marTop w:val="0"/>
                  <w:marBottom w:val="0"/>
                  <w:divBdr>
                    <w:top w:val="none" w:sz="0" w:space="0" w:color="auto"/>
                    <w:left w:val="none" w:sz="0" w:space="0" w:color="auto"/>
                    <w:bottom w:val="none" w:sz="0" w:space="0" w:color="auto"/>
                    <w:right w:val="none" w:sz="0" w:space="0" w:color="auto"/>
                  </w:divBdr>
                  <w:divsChild>
                    <w:div w:id="465584095">
                      <w:marLeft w:val="0"/>
                      <w:marRight w:val="0"/>
                      <w:marTop w:val="0"/>
                      <w:marBottom w:val="0"/>
                      <w:divBdr>
                        <w:top w:val="single" w:sz="6" w:space="15" w:color="D7D8D8"/>
                        <w:left w:val="single" w:sz="6" w:space="8" w:color="D7D8D8"/>
                        <w:bottom w:val="single" w:sz="6" w:space="15" w:color="D7D8D8"/>
                        <w:right w:val="single" w:sz="6" w:space="26" w:color="D7D8D8"/>
                      </w:divBdr>
                    </w:div>
                  </w:divsChild>
                </w:div>
                <w:div w:id="2111394137">
                  <w:marLeft w:val="0"/>
                  <w:marRight w:val="0"/>
                  <w:marTop w:val="0"/>
                  <w:marBottom w:val="0"/>
                  <w:divBdr>
                    <w:top w:val="none" w:sz="0" w:space="0" w:color="auto"/>
                    <w:left w:val="none" w:sz="0" w:space="0" w:color="auto"/>
                    <w:bottom w:val="none" w:sz="0" w:space="0" w:color="auto"/>
                    <w:right w:val="none" w:sz="0" w:space="0" w:color="auto"/>
                  </w:divBdr>
                  <w:divsChild>
                    <w:div w:id="2255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1342649">
      <w:bodyDiv w:val="1"/>
      <w:marLeft w:val="0"/>
      <w:marRight w:val="0"/>
      <w:marTop w:val="0"/>
      <w:marBottom w:val="0"/>
      <w:divBdr>
        <w:top w:val="none" w:sz="0" w:space="0" w:color="auto"/>
        <w:left w:val="none" w:sz="0" w:space="0" w:color="auto"/>
        <w:bottom w:val="none" w:sz="0" w:space="0" w:color="auto"/>
        <w:right w:val="none" w:sz="0" w:space="0" w:color="auto"/>
      </w:divBdr>
    </w:div>
    <w:div w:id="200535372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revention@health.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health.vic.gov.au/population-health-systems/municipal-public-health-and-wellbeing-plan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7bbb6e9-9e8e-4aaa-bd83-5a905f9aafb2" xsi:nil="true"/>
    <Status xmlns="7c9c34ea-70da-459a-a3ad-af54afdeb5a4" xsi:nil="true"/>
    <lcf76f155ced4ddcb4097134ff3c332f xmlns="7c9c34ea-70da-459a-a3ad-af54afdeb5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1CBEAA2A4ED841AA843CD156635011" ma:contentTypeVersion="16" ma:contentTypeDescription="Create a new document." ma:contentTypeScope="" ma:versionID="a37114a59d829d4669eea2e677efb4a9">
  <xsd:schema xmlns:xsd="http://www.w3.org/2001/XMLSchema" xmlns:xs="http://www.w3.org/2001/XMLSchema" xmlns:p="http://schemas.microsoft.com/office/2006/metadata/properties" xmlns:ns2="7c9c34ea-70da-459a-a3ad-af54afdeb5a4" xmlns:ns3="a7bbb6e9-9e8e-4aaa-bd83-5a905f9aafb2" targetNamespace="http://schemas.microsoft.com/office/2006/metadata/properties" ma:root="true" ma:fieldsID="b52206d4fd89997aad3655f558874918" ns2:_="" ns3:_="">
    <xsd:import namespace="7c9c34ea-70da-459a-a3ad-af54afdeb5a4"/>
    <xsd:import namespace="a7bbb6e9-9e8e-4aaa-bd83-5a905f9aaf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c34ea-70da-459a-a3ad-af54afdeb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description="Status of the document only" ma:format="Dropdown" ma:internalName="Status">
      <xsd:simpleType>
        <xsd:restriction base="dms:Choice">
          <xsd:enumeration value="DRAFT"/>
          <xsd:enumeration value="FINAL"/>
          <xsd:enumeration value="TEMPLATE"/>
          <xsd:enumeration value="ARCHIVE"/>
          <xsd:enumeration value="CURRENT VERSION"/>
          <xsd:enumeration value="PENDING ENDORSEMENT"/>
          <xsd:enumeration value="ENDORSED"/>
          <xsd:enumeration value="APPROVED"/>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bb6e9-9e8e-4aaa-bd83-5a905f9aaf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3d27d16-54ad-40b4-84ec-bcfcda629e00}" ma:internalName="TaxCatchAll" ma:showField="CatchAllData" ma:web="a7bbb6e9-9e8e-4aaa-bd83-5a905f9aaf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7c9c34ea-70da-459a-a3ad-af54afdeb5a4"/>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7bbb6e9-9e8e-4aaa-bd83-5a905f9aafb2"/>
    <ds:schemaRef ds:uri="http://www.w3.org/XML/1998/namespace"/>
  </ds:schemaRefs>
</ds:datastoreItem>
</file>

<file path=customXml/itemProps3.xml><?xml version="1.0" encoding="utf-8"?>
<ds:datastoreItem xmlns:ds="http://schemas.openxmlformats.org/officeDocument/2006/customXml" ds:itemID="{EF2784FE-D488-4C31-934D-5C45E11FA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c34ea-70da-459a-a3ad-af54afdeb5a4"/>
    <ds:schemaRef ds:uri="a7bbb6e9-9e8e-4aaa-bd83-5a905f9aa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872</Words>
  <Characters>5150</Characters>
  <Application>Microsoft Office Word</Application>
  <DocSecurity>2</DocSecurity>
  <Lines>80</Lines>
  <Paragraphs>50</Paragraphs>
  <ScaleCrop>false</ScaleCrop>
  <HeadingPairs>
    <vt:vector size="2" baseType="variant">
      <vt:variant>
        <vt:lpstr>Title</vt:lpstr>
      </vt:variant>
      <vt:variant>
        <vt:i4>1</vt:i4>
      </vt:variant>
    </vt:vector>
  </HeadingPairs>
  <TitlesOfParts>
    <vt:vector size="1" baseType="lpstr">
      <vt:lpstr>Annual review of municipal public health and wellbeing plan - guidance note</vt:lpstr>
    </vt:vector>
  </TitlesOfParts>
  <Manager/>
  <Company>Victoria State Government, Department of Health</Company>
  <LinksUpToDate>false</LinksUpToDate>
  <CharactersWithSpaces>6004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of municipal public health and wellbeing plan - guidance note</dc:title>
  <dc:subject/>
  <dc:creator>Department of Health</dc:creator>
  <cp:keywords/>
  <dc:description/>
  <cp:lastModifiedBy>Tyler McPherson (Health)</cp:lastModifiedBy>
  <cp:revision>108</cp:revision>
  <cp:lastPrinted>2020-03-31T15:28:00Z</cp:lastPrinted>
  <dcterms:created xsi:type="dcterms:W3CDTF">2024-05-21T11:05:00Z</dcterms:created>
  <dcterms:modified xsi:type="dcterms:W3CDTF">2024-09-03T23:43:00Z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0x010100221CBEAA2A4ED841AA843CD156635011</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43e64453-338c-4f93-8a4d-0039a0a41f2a_Enabled">
    <vt:lpwstr>true</vt:lpwstr>
  </property>
  <property fmtid="{D5CDD505-2E9C-101B-9397-08002B2CF9AE}" pid="16" name="MSIP_Label_43e64453-338c-4f93-8a4d-0039a0a41f2a_SetDate">
    <vt:lpwstr>2022-10-05T04:44:21Z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5b0953da-1d06-41e3-80b2-c3d82fe549a2</vt:lpwstr>
  </property>
  <property fmtid="{D5CDD505-2E9C-101B-9397-08002B2CF9AE}" pid="21" name="MSIP_Label_43e64453-338c-4f93-8a4d-0039a0a41f2a_ContentBits">
    <vt:lpwstr>2</vt:lpwstr>
  </property>
  <property fmtid="{D5CDD505-2E9C-101B-9397-08002B2CF9AE}" pid="22" name="MediaServiceImageTags">
    <vt:lpwstr/>
  </property>
  <property fmtid="{D5CDD505-2E9C-101B-9397-08002B2CF9AE}" pid="23" name="lcf76f155ced4ddcb4097134ff3c332f">
    <vt:lpwstr/>
  </property>
  <property fmtid="{D5CDD505-2E9C-101B-9397-08002B2CF9AE}" pid="24" name="GrammarlyDocumentId">
    <vt:lpwstr>f374f03775e5ac9a1499829f911274c94b713141b574c04e0ab98321d63dccac</vt:lpwstr>
  </property>
</Properties>
</file>